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A3B53" w14:textId="77777777" w:rsidR="00F35068" w:rsidRDefault="00F1383C" w:rsidP="004F6540">
      <w:pPr>
        <w:ind w:left="284"/>
        <w:jc w:val="center"/>
        <w:rPr>
          <w:rFonts w:ascii="Verdana" w:hAnsi="Verdana"/>
          <w:b/>
          <w:sz w:val="20"/>
          <w:szCs w:val="20"/>
        </w:rPr>
      </w:pPr>
      <w:r w:rsidRPr="00F1383C">
        <w:rPr>
          <w:rFonts w:ascii="Verdana" w:hAnsi="Verdana"/>
          <w:b/>
          <w:sz w:val="20"/>
          <w:szCs w:val="20"/>
        </w:rPr>
        <w:t>ELETROBRAS TERMONUCLEAR S.A.</w:t>
      </w:r>
      <w:r w:rsidR="00A86505">
        <w:rPr>
          <w:rFonts w:ascii="Verdana" w:hAnsi="Verdana"/>
          <w:b/>
          <w:sz w:val="20"/>
          <w:szCs w:val="20"/>
        </w:rPr>
        <w:t xml:space="preserve"> - </w:t>
      </w:r>
      <w:r w:rsidR="00E52A93">
        <w:rPr>
          <w:rFonts w:ascii="Verdana" w:hAnsi="Verdana"/>
          <w:b/>
          <w:sz w:val="20"/>
          <w:szCs w:val="20"/>
        </w:rPr>
        <w:t>ELETRONUCLEAR</w:t>
      </w:r>
    </w:p>
    <w:p w14:paraId="44FD5AE8" w14:textId="77777777" w:rsidR="00F1383C" w:rsidRPr="00F1383C" w:rsidRDefault="00F1383C" w:rsidP="00270280">
      <w:pPr>
        <w:jc w:val="center"/>
        <w:rPr>
          <w:rFonts w:ascii="Verdana" w:hAnsi="Verdana"/>
          <w:b/>
          <w:sz w:val="20"/>
          <w:szCs w:val="20"/>
        </w:rPr>
      </w:pPr>
    </w:p>
    <w:p w14:paraId="46955C1C" w14:textId="77777777" w:rsidR="00DE35BF" w:rsidRPr="0059236C" w:rsidRDefault="00FC0DB6" w:rsidP="00DE35BF">
      <w:pPr>
        <w:jc w:val="center"/>
        <w:rPr>
          <w:rFonts w:ascii="Verdana" w:hAnsi="Verdana"/>
          <w:b/>
          <w:sz w:val="20"/>
          <w:szCs w:val="20"/>
        </w:rPr>
      </w:pPr>
      <w:r w:rsidRPr="0059236C">
        <w:rPr>
          <w:rFonts w:ascii="Verdana" w:hAnsi="Verdana"/>
          <w:b/>
          <w:sz w:val="20"/>
          <w:szCs w:val="20"/>
        </w:rPr>
        <w:t xml:space="preserve">Notas explicativas </w:t>
      </w:r>
      <w:r w:rsidR="00236EF3" w:rsidRPr="00236EF3">
        <w:rPr>
          <w:rFonts w:ascii="Verdana" w:hAnsi="Verdana"/>
          <w:b/>
          <w:sz w:val="20"/>
          <w:szCs w:val="20"/>
        </w:rPr>
        <w:t>às demonstrações financeiras do exercício findo em 31 de dezembro de 202</w:t>
      </w:r>
      <w:r w:rsidR="00236EF3">
        <w:rPr>
          <w:rFonts w:ascii="Verdana" w:hAnsi="Verdana"/>
          <w:b/>
          <w:sz w:val="20"/>
          <w:szCs w:val="20"/>
        </w:rPr>
        <w:t>1</w:t>
      </w:r>
    </w:p>
    <w:p w14:paraId="6AFB723D" w14:textId="77777777" w:rsidR="00FC0DB6" w:rsidRPr="0059236C" w:rsidRDefault="009E72FD" w:rsidP="009E72FD">
      <w:pPr>
        <w:tabs>
          <w:tab w:val="center" w:pos="5238"/>
          <w:tab w:val="left" w:pos="9460"/>
        </w:tabs>
        <w:jc w:val="left"/>
        <w:rPr>
          <w:rFonts w:ascii="Verdana" w:hAnsi="Verdana"/>
          <w:b/>
          <w:sz w:val="20"/>
          <w:szCs w:val="20"/>
        </w:rPr>
      </w:pPr>
      <w:r w:rsidRPr="0059236C">
        <w:rPr>
          <w:rFonts w:ascii="Verdana" w:hAnsi="Verdana"/>
          <w:b/>
          <w:sz w:val="20"/>
          <w:szCs w:val="20"/>
        </w:rPr>
        <w:tab/>
      </w:r>
      <w:r w:rsidR="00FC0DB6" w:rsidRPr="0059236C">
        <w:rPr>
          <w:rFonts w:ascii="Verdana" w:hAnsi="Verdana"/>
          <w:b/>
          <w:sz w:val="20"/>
          <w:szCs w:val="20"/>
        </w:rPr>
        <w:t>(Em milhares de Reais</w:t>
      </w:r>
      <w:r w:rsidR="005E4A4C">
        <w:rPr>
          <w:rFonts w:ascii="Verdana" w:hAnsi="Verdana"/>
          <w:b/>
          <w:sz w:val="20"/>
          <w:szCs w:val="20"/>
        </w:rPr>
        <w:t>, exceto quando indicado de outra forma</w:t>
      </w:r>
      <w:r w:rsidR="00FC0DB6" w:rsidRPr="0059236C">
        <w:rPr>
          <w:rFonts w:ascii="Verdana" w:hAnsi="Verdana"/>
          <w:b/>
          <w:sz w:val="20"/>
          <w:szCs w:val="20"/>
        </w:rPr>
        <w:t>)</w:t>
      </w:r>
      <w:r w:rsidRPr="0059236C">
        <w:rPr>
          <w:rFonts w:ascii="Verdana" w:hAnsi="Verdana"/>
          <w:b/>
          <w:sz w:val="20"/>
          <w:szCs w:val="20"/>
        </w:rPr>
        <w:tab/>
      </w:r>
    </w:p>
    <w:p w14:paraId="4B5A86B8" w14:textId="77777777" w:rsidR="00F35068" w:rsidRDefault="00F35068" w:rsidP="00270280">
      <w:pPr>
        <w:rPr>
          <w:rFonts w:ascii="Verdana" w:hAnsi="Verdana"/>
          <w:b/>
          <w:sz w:val="20"/>
          <w:szCs w:val="20"/>
        </w:rPr>
      </w:pPr>
    </w:p>
    <w:p w14:paraId="6AEF24B9" w14:textId="77777777" w:rsidR="00987E25" w:rsidRDefault="00987E25" w:rsidP="00270280">
      <w:pPr>
        <w:rPr>
          <w:rFonts w:ascii="Verdana" w:hAnsi="Verdana"/>
          <w:b/>
          <w:sz w:val="20"/>
          <w:szCs w:val="20"/>
        </w:rPr>
      </w:pPr>
    </w:p>
    <w:p w14:paraId="7360ABEA" w14:textId="77777777" w:rsidR="00987E25" w:rsidRPr="0059236C" w:rsidRDefault="00987E25" w:rsidP="00270280">
      <w:pPr>
        <w:rPr>
          <w:rFonts w:ascii="Verdana" w:hAnsi="Verdana"/>
          <w:b/>
          <w:sz w:val="20"/>
          <w:szCs w:val="20"/>
        </w:rPr>
      </w:pPr>
    </w:p>
    <w:p w14:paraId="5EB020A0" w14:textId="77777777" w:rsidR="00F35068" w:rsidRPr="00235AA7" w:rsidRDefault="004363D4" w:rsidP="00270280">
      <w:pPr>
        <w:tabs>
          <w:tab w:val="left" w:pos="567"/>
          <w:tab w:val="left" w:pos="1134"/>
          <w:tab w:val="left" w:pos="1701"/>
          <w:tab w:val="left" w:pos="2268"/>
          <w:tab w:val="left" w:pos="2835"/>
        </w:tabs>
        <w:outlineLvl w:val="0"/>
        <w:rPr>
          <w:rFonts w:ascii="Verdana" w:hAnsi="Verdana"/>
          <w:b/>
          <w:color w:val="0D63B5"/>
          <w:sz w:val="20"/>
          <w:szCs w:val="20"/>
        </w:rPr>
      </w:pPr>
      <w:r w:rsidRPr="00235AA7">
        <w:rPr>
          <w:rFonts w:ascii="Verdana" w:hAnsi="Verdana"/>
          <w:b/>
          <w:color w:val="0D63B5"/>
          <w:sz w:val="20"/>
          <w:szCs w:val="20"/>
        </w:rPr>
        <w:t>NOTA 1 – CONTEXTO OPERACIONAL</w:t>
      </w:r>
    </w:p>
    <w:p w14:paraId="25E07444" w14:textId="77777777" w:rsidR="00F35068" w:rsidRPr="00235AA7" w:rsidRDefault="00F35068" w:rsidP="00270280">
      <w:pPr>
        <w:pStyle w:val="Commarcadores"/>
        <w:numPr>
          <w:ilvl w:val="0"/>
          <w:numId w:val="0"/>
        </w:numPr>
        <w:rPr>
          <w:rFonts w:ascii="Verdana" w:hAnsi="Verdana"/>
          <w:sz w:val="20"/>
          <w:szCs w:val="20"/>
        </w:rPr>
      </w:pPr>
    </w:p>
    <w:p w14:paraId="2ED91BE3" w14:textId="77777777" w:rsidR="00F12A53" w:rsidRPr="00235AA7" w:rsidRDefault="00F12A53" w:rsidP="00270280">
      <w:pPr>
        <w:pStyle w:val="Commarcadores"/>
        <w:numPr>
          <w:ilvl w:val="0"/>
          <w:numId w:val="0"/>
        </w:numPr>
        <w:rPr>
          <w:rFonts w:ascii="Verdana" w:hAnsi="Verdana"/>
          <w:sz w:val="20"/>
          <w:szCs w:val="20"/>
        </w:rPr>
      </w:pPr>
    </w:p>
    <w:p w14:paraId="52325E27" w14:textId="77777777" w:rsidR="00233C4A" w:rsidRPr="00235AA7" w:rsidRDefault="00233C4A" w:rsidP="00233C4A">
      <w:pPr>
        <w:rPr>
          <w:rFonts w:ascii="Verdana" w:hAnsi="Verdana" w:cs="Arial"/>
          <w:sz w:val="20"/>
          <w:szCs w:val="20"/>
        </w:rPr>
      </w:pPr>
      <w:r w:rsidRPr="00235AA7">
        <w:rPr>
          <w:rFonts w:ascii="Verdana" w:hAnsi="Verdana" w:cs="Arial"/>
          <w:sz w:val="20"/>
          <w:szCs w:val="20"/>
        </w:rPr>
        <w:t xml:space="preserve">A ELETROBRAS TERMONUCLEAR S.A. - </w:t>
      </w:r>
      <w:r>
        <w:rPr>
          <w:rFonts w:ascii="Verdana" w:hAnsi="Verdana" w:cs="Arial"/>
          <w:sz w:val="20"/>
          <w:szCs w:val="20"/>
        </w:rPr>
        <w:t>ELETRONUCLEAR</w:t>
      </w:r>
      <w:r w:rsidRPr="00235AA7">
        <w:rPr>
          <w:rFonts w:ascii="Verdana" w:hAnsi="Verdana" w:cs="Arial"/>
          <w:sz w:val="20"/>
          <w:szCs w:val="20"/>
        </w:rPr>
        <w:t>, ("</w:t>
      </w:r>
      <w:r>
        <w:rPr>
          <w:rFonts w:ascii="Verdana" w:hAnsi="Verdana" w:cs="Arial"/>
          <w:sz w:val="20"/>
          <w:szCs w:val="20"/>
        </w:rPr>
        <w:t>ELETRONUCLEAR</w:t>
      </w:r>
      <w:r w:rsidRPr="00235AA7">
        <w:rPr>
          <w:rFonts w:ascii="Verdana" w:hAnsi="Verdana" w:cs="Arial"/>
          <w:sz w:val="20"/>
          <w:szCs w:val="20"/>
        </w:rPr>
        <w:t xml:space="preserve">" </w:t>
      </w:r>
      <w:r>
        <w:rPr>
          <w:rFonts w:ascii="Verdana" w:hAnsi="Verdana" w:cs="Arial"/>
          <w:sz w:val="20"/>
          <w:szCs w:val="20"/>
        </w:rPr>
        <w:t xml:space="preserve">ou </w:t>
      </w:r>
      <w:r w:rsidRPr="00235AA7">
        <w:rPr>
          <w:rFonts w:ascii="Verdana" w:hAnsi="Verdana" w:cs="Arial"/>
          <w:sz w:val="20"/>
          <w:szCs w:val="20"/>
        </w:rPr>
        <w:t xml:space="preserve">"Companhia") é uma companhia de capital fechado, com sua sede fixada na Rua da Candelária, nº 65 - 2º </w:t>
      </w:r>
      <w:proofErr w:type="gramStart"/>
      <w:r w:rsidRPr="00235AA7">
        <w:rPr>
          <w:rFonts w:ascii="Verdana" w:hAnsi="Verdana" w:cs="Arial"/>
          <w:sz w:val="20"/>
          <w:szCs w:val="20"/>
        </w:rPr>
        <w:t>ao 14º andares</w:t>
      </w:r>
      <w:proofErr w:type="gramEnd"/>
      <w:r w:rsidRPr="00235AA7">
        <w:rPr>
          <w:rFonts w:ascii="Verdana" w:hAnsi="Verdana" w:cs="Arial"/>
          <w:sz w:val="20"/>
          <w:szCs w:val="20"/>
        </w:rPr>
        <w:t xml:space="preserve"> - Centro - Rio de Janeiro – RJ. </w:t>
      </w:r>
      <w:r w:rsidRPr="00235AA7">
        <w:rPr>
          <w:rFonts w:ascii="Verdana" w:hAnsi="Verdana"/>
          <w:sz w:val="20"/>
          <w:szCs w:val="20"/>
        </w:rPr>
        <w:t xml:space="preserve">A Companhia é uma sociedade de economia mista controlada da Centrais Elétricas </w:t>
      </w:r>
      <w:proofErr w:type="spellStart"/>
      <w:r w:rsidRPr="00235AA7">
        <w:rPr>
          <w:rFonts w:ascii="Verdana" w:hAnsi="Verdana"/>
          <w:sz w:val="20"/>
          <w:szCs w:val="20"/>
        </w:rPr>
        <w:t>Barsileiras</w:t>
      </w:r>
      <w:proofErr w:type="spellEnd"/>
      <w:r w:rsidRPr="00235AA7">
        <w:rPr>
          <w:rFonts w:ascii="Verdana" w:hAnsi="Verdana"/>
          <w:sz w:val="20"/>
          <w:szCs w:val="20"/>
        </w:rPr>
        <w:t xml:space="preserve"> S.A. – Eletrobras.</w:t>
      </w:r>
    </w:p>
    <w:p w14:paraId="7152DC80" w14:textId="77777777" w:rsidR="00233C4A" w:rsidRPr="00235AA7" w:rsidRDefault="00233C4A" w:rsidP="00233C4A">
      <w:pPr>
        <w:rPr>
          <w:rFonts w:ascii="Verdana" w:hAnsi="Verdana" w:cs="Arial"/>
          <w:sz w:val="20"/>
          <w:szCs w:val="20"/>
        </w:rPr>
      </w:pPr>
    </w:p>
    <w:p w14:paraId="12E20EA4" w14:textId="77777777" w:rsidR="00233C4A" w:rsidRPr="00235AA7" w:rsidRDefault="00233C4A" w:rsidP="00233C4A">
      <w:pPr>
        <w:rPr>
          <w:rFonts w:ascii="Verdana" w:hAnsi="Verdana" w:cs="Arial"/>
          <w:sz w:val="20"/>
          <w:szCs w:val="20"/>
        </w:rPr>
      </w:pPr>
      <w:r w:rsidRPr="00235AA7">
        <w:rPr>
          <w:rFonts w:ascii="Verdana" w:hAnsi="Verdana" w:cs="Arial"/>
          <w:sz w:val="20"/>
          <w:szCs w:val="20"/>
        </w:rPr>
        <w:t xml:space="preserve">A </w:t>
      </w:r>
      <w:r>
        <w:rPr>
          <w:rFonts w:ascii="Verdana" w:hAnsi="Verdana" w:cs="Arial"/>
          <w:sz w:val="20"/>
          <w:szCs w:val="20"/>
        </w:rPr>
        <w:t>C</w:t>
      </w:r>
      <w:r w:rsidRPr="00235AA7">
        <w:rPr>
          <w:rFonts w:ascii="Verdana" w:hAnsi="Verdana" w:cs="Arial"/>
          <w:sz w:val="20"/>
          <w:szCs w:val="20"/>
        </w:rPr>
        <w:t xml:space="preserve">ompanhia tem como atividade principal a construção e operação de usinas nucleares, a geração de energia elétrica delas decorrentes e a realização de serviços de engenharia e correlatos, sendo essas atividades regulamentadas e fiscalizadas pela Agência Nacional de Energia Elétrica - Aneel, vinculada ao Ministério de Minas e Energia - MME. Dentro do escopo desse objeto, a Companhia vem exercendo basicamente as atividades de exploração das Usinas Angra 1 e Angra 2, com potência nominal de 1.990 MW, bem como a construção da terceira unidade </w:t>
      </w:r>
      <w:proofErr w:type="spellStart"/>
      <w:r w:rsidRPr="00235AA7">
        <w:rPr>
          <w:rFonts w:ascii="Verdana" w:hAnsi="Verdana" w:cs="Arial"/>
          <w:sz w:val="20"/>
          <w:szCs w:val="20"/>
        </w:rPr>
        <w:t>nucleoelétrica</w:t>
      </w:r>
      <w:proofErr w:type="spellEnd"/>
      <w:r w:rsidRPr="00235AA7">
        <w:rPr>
          <w:rFonts w:ascii="Verdana" w:hAnsi="Verdana" w:cs="Arial"/>
          <w:sz w:val="20"/>
          <w:szCs w:val="20"/>
        </w:rPr>
        <w:t>, denominada Usina Angra 3, cujo estágio está descrito na nota</w:t>
      </w:r>
      <w:r>
        <w:rPr>
          <w:rFonts w:ascii="Verdana" w:hAnsi="Verdana" w:cs="Arial"/>
          <w:sz w:val="20"/>
          <w:szCs w:val="20"/>
        </w:rPr>
        <w:t xml:space="preserve"> 35.3.5,</w:t>
      </w:r>
      <w:r w:rsidRPr="00235AA7">
        <w:rPr>
          <w:rFonts w:ascii="Verdana" w:hAnsi="Verdana" w:cs="Arial"/>
          <w:sz w:val="20"/>
          <w:szCs w:val="20"/>
        </w:rPr>
        <w:t xml:space="preserve"> todas integrantes da Central Nuclear Almirante Álvaro Alberto - CNAAA.</w:t>
      </w:r>
    </w:p>
    <w:p w14:paraId="0558720A" w14:textId="77777777" w:rsidR="00233C4A" w:rsidRDefault="00233C4A" w:rsidP="00233C4A">
      <w:pPr>
        <w:rPr>
          <w:rFonts w:ascii="Verdana" w:hAnsi="Verdana" w:cs="Arial"/>
          <w:sz w:val="20"/>
          <w:szCs w:val="20"/>
        </w:rPr>
      </w:pPr>
    </w:p>
    <w:p w14:paraId="2D1B8F8C" w14:textId="77777777" w:rsidR="00233C4A" w:rsidRDefault="00233C4A" w:rsidP="00233C4A">
      <w:pPr>
        <w:widowControl w:val="0"/>
        <w:autoSpaceDE w:val="0"/>
        <w:autoSpaceDN w:val="0"/>
        <w:rPr>
          <w:rFonts w:ascii="Verdana" w:hAnsi="Verdana"/>
        </w:rPr>
      </w:pPr>
      <w:r w:rsidRPr="00255E5C">
        <w:rPr>
          <w:rFonts w:ascii="Verdana" w:hAnsi="Verdana" w:cs="Arial"/>
          <w:sz w:val="20"/>
          <w:szCs w:val="20"/>
        </w:rPr>
        <w:t xml:space="preserve">A Companhia apresenta capital circulante líquido de R$ </w:t>
      </w:r>
      <w:r>
        <w:rPr>
          <w:rFonts w:ascii="Verdana" w:hAnsi="Verdana" w:cs="Arial"/>
          <w:sz w:val="20"/>
          <w:szCs w:val="20"/>
        </w:rPr>
        <w:t>17.957</w:t>
      </w:r>
      <w:r w:rsidRPr="00255E5C">
        <w:rPr>
          <w:rFonts w:ascii="Verdana" w:hAnsi="Verdana" w:cs="Arial"/>
          <w:sz w:val="20"/>
          <w:szCs w:val="20"/>
        </w:rPr>
        <w:t xml:space="preserve"> em</w:t>
      </w:r>
      <w:r w:rsidRPr="008E79B0">
        <w:rPr>
          <w:rFonts w:ascii="Verdana" w:hAnsi="Verdana" w:cs="Arial"/>
          <w:sz w:val="20"/>
          <w:szCs w:val="20"/>
        </w:rPr>
        <w:t xml:space="preserve"> 31 de dezembro de 2021</w:t>
      </w:r>
      <w:r>
        <w:rPr>
          <w:rFonts w:ascii="Verdana" w:hAnsi="Verdana" w:cs="Arial"/>
          <w:sz w:val="20"/>
          <w:szCs w:val="20"/>
        </w:rPr>
        <w:t xml:space="preserve">, tendo apresentado um valor </w:t>
      </w:r>
      <w:r w:rsidRPr="008E79B0">
        <w:rPr>
          <w:rFonts w:ascii="Verdana" w:hAnsi="Verdana" w:cs="Arial"/>
          <w:sz w:val="20"/>
          <w:szCs w:val="20"/>
        </w:rPr>
        <w:t>negativo de R$ 512.826 em 31 de dezembro de 2020. As tratativas sobre a liquidez da Companhia, impactada substancialmente pelos financiamentos das obras de An</w:t>
      </w:r>
      <w:r w:rsidRPr="00255E5C">
        <w:rPr>
          <w:rFonts w:ascii="Verdana" w:hAnsi="Verdana" w:cs="Arial"/>
          <w:sz w:val="20"/>
          <w:szCs w:val="20"/>
        </w:rPr>
        <w:t>gra 3, podem ser observadas na nota 3</w:t>
      </w:r>
      <w:r>
        <w:rPr>
          <w:rFonts w:ascii="Verdana" w:hAnsi="Verdana" w:cs="Arial"/>
          <w:sz w:val="20"/>
          <w:szCs w:val="20"/>
        </w:rPr>
        <w:t>5</w:t>
      </w:r>
      <w:r w:rsidRPr="00255E5C">
        <w:rPr>
          <w:rFonts w:ascii="Verdana" w:hAnsi="Verdana" w:cs="Arial"/>
          <w:sz w:val="20"/>
          <w:szCs w:val="20"/>
        </w:rPr>
        <w:t>.3.4</w:t>
      </w:r>
      <w:r>
        <w:rPr>
          <w:rFonts w:ascii="Verdana" w:hAnsi="Verdana" w:cs="Arial"/>
          <w:sz w:val="20"/>
          <w:szCs w:val="20"/>
        </w:rPr>
        <w:t>.</w:t>
      </w:r>
    </w:p>
    <w:p w14:paraId="155EC441" w14:textId="77777777" w:rsidR="00233C4A" w:rsidRDefault="00233C4A" w:rsidP="00233C4A">
      <w:pPr>
        <w:widowControl w:val="0"/>
        <w:autoSpaceDE w:val="0"/>
        <w:autoSpaceDN w:val="0"/>
        <w:jc w:val="left"/>
        <w:rPr>
          <w:rFonts w:ascii="Verdana" w:hAnsi="Verdana"/>
        </w:rPr>
      </w:pPr>
    </w:p>
    <w:p w14:paraId="6F9BB5A5" w14:textId="77777777" w:rsidR="00233C4A" w:rsidRPr="00235AA7" w:rsidRDefault="00233C4A" w:rsidP="00233C4A">
      <w:pPr>
        <w:tabs>
          <w:tab w:val="left" w:pos="142"/>
        </w:tabs>
        <w:rPr>
          <w:rFonts w:ascii="Verdana" w:hAnsi="Verdana" w:cs="Arial"/>
          <w:sz w:val="20"/>
          <w:szCs w:val="20"/>
        </w:rPr>
      </w:pPr>
      <w:r w:rsidRPr="00235AA7">
        <w:rPr>
          <w:rFonts w:ascii="Verdana" w:hAnsi="Verdana" w:cs="Arial"/>
          <w:sz w:val="20"/>
          <w:szCs w:val="20"/>
        </w:rPr>
        <w:t xml:space="preserve">A emissão </w:t>
      </w:r>
      <w:proofErr w:type="gramStart"/>
      <w:r w:rsidRPr="00235AA7">
        <w:rPr>
          <w:rFonts w:ascii="Verdana" w:hAnsi="Verdana" w:cs="Arial"/>
          <w:sz w:val="20"/>
          <w:szCs w:val="20"/>
        </w:rPr>
        <w:t>destas  demonstrações</w:t>
      </w:r>
      <w:proofErr w:type="gramEnd"/>
      <w:r w:rsidRPr="00235AA7">
        <w:rPr>
          <w:rFonts w:ascii="Verdana" w:hAnsi="Verdana" w:cs="Arial"/>
          <w:sz w:val="20"/>
          <w:szCs w:val="20"/>
        </w:rPr>
        <w:t xml:space="preserve"> financeiras foi aprovada pelo Conselho de Administração da Companhia </w:t>
      </w:r>
      <w:r w:rsidRPr="00934016">
        <w:rPr>
          <w:rFonts w:ascii="Verdana" w:hAnsi="Verdana" w:cs="Arial"/>
          <w:sz w:val="20"/>
          <w:szCs w:val="20"/>
        </w:rPr>
        <w:t xml:space="preserve">em </w:t>
      </w:r>
      <w:r w:rsidRPr="005E4A4C">
        <w:rPr>
          <w:rFonts w:ascii="Verdana" w:hAnsi="Verdana" w:cs="Arial"/>
          <w:sz w:val="20"/>
          <w:szCs w:val="20"/>
        </w:rPr>
        <w:t>18 de março de 2022.</w:t>
      </w:r>
    </w:p>
    <w:p w14:paraId="43947872" w14:textId="77777777" w:rsidR="00233C4A" w:rsidRDefault="00233C4A" w:rsidP="00233C4A">
      <w:pPr>
        <w:tabs>
          <w:tab w:val="num" w:pos="426"/>
        </w:tabs>
        <w:rPr>
          <w:rFonts w:ascii="Verdana" w:hAnsi="Verdana"/>
          <w:sz w:val="20"/>
          <w:szCs w:val="20"/>
        </w:rPr>
      </w:pPr>
    </w:p>
    <w:p w14:paraId="31DD90D8" w14:textId="77777777" w:rsidR="00233C4A" w:rsidRPr="00191187" w:rsidRDefault="00233C4A" w:rsidP="00233C4A">
      <w:pPr>
        <w:tabs>
          <w:tab w:val="num" w:pos="426"/>
        </w:tabs>
        <w:rPr>
          <w:rFonts w:ascii="Verdana" w:hAnsi="Verdana"/>
          <w:sz w:val="20"/>
          <w:szCs w:val="20"/>
        </w:rPr>
      </w:pPr>
    </w:p>
    <w:p w14:paraId="1C0A89BC" w14:textId="77777777" w:rsidR="00233C4A" w:rsidRPr="00191187" w:rsidRDefault="00233C4A" w:rsidP="00233C4A">
      <w:pPr>
        <w:rPr>
          <w:rFonts w:ascii="Verdana" w:hAnsi="Verdana"/>
          <w:color w:val="0D63B5"/>
          <w:sz w:val="20"/>
          <w:szCs w:val="20"/>
        </w:rPr>
      </w:pPr>
      <w:r w:rsidRPr="00191187">
        <w:rPr>
          <w:rFonts w:ascii="Verdana" w:hAnsi="Verdana"/>
          <w:color w:val="0D63B5"/>
          <w:sz w:val="20"/>
          <w:szCs w:val="20"/>
        </w:rPr>
        <w:t>Capitalização da Eletrobras</w:t>
      </w:r>
    </w:p>
    <w:p w14:paraId="5B52ADEA" w14:textId="77777777" w:rsidR="00233C4A" w:rsidRPr="00191187" w:rsidRDefault="00233C4A" w:rsidP="00233C4A">
      <w:pPr>
        <w:rPr>
          <w:rFonts w:ascii="Verdana" w:hAnsi="Verdana"/>
          <w:color w:val="0D63B5"/>
          <w:sz w:val="20"/>
          <w:szCs w:val="20"/>
        </w:rPr>
      </w:pPr>
    </w:p>
    <w:p w14:paraId="0DE6C1D4" w14:textId="77777777" w:rsidR="00233C4A" w:rsidRPr="005E4A4C" w:rsidRDefault="00233C4A" w:rsidP="00233C4A">
      <w:pPr>
        <w:rPr>
          <w:rFonts w:ascii="Verdana" w:hAnsi="Verdana" w:cs="Cambria Math"/>
          <w:color w:val="000000"/>
          <w:sz w:val="20"/>
          <w:szCs w:val="20"/>
        </w:rPr>
      </w:pPr>
      <w:bookmarkStart w:id="0" w:name="_Hlk97961372"/>
      <w:r w:rsidRPr="005E4A4C">
        <w:rPr>
          <w:rFonts w:ascii="Verdana" w:hAnsi="Verdana" w:cs="Cambria Math"/>
          <w:color w:val="000000"/>
          <w:sz w:val="20"/>
          <w:szCs w:val="20"/>
        </w:rPr>
        <w:t xml:space="preserve">Em fevereiro de 2021, foi editada a Medida Provisória - MP nº 1.031/2021, que possibilitou o início dos estudos da modelagem da desestatização da Eletrobras, pelo </w:t>
      </w:r>
      <w:r w:rsidRPr="005E4A4C">
        <w:rPr>
          <w:rFonts w:ascii="Verdana" w:hAnsi="Verdana"/>
          <w:sz w:val="20"/>
          <w:szCs w:val="20"/>
        </w:rPr>
        <w:t>Banco Nacional de Desenvolvimento Econômico e Social</w:t>
      </w:r>
      <w:r w:rsidRPr="005E4A4C">
        <w:rPr>
          <w:rFonts w:ascii="Verdana" w:hAnsi="Verdana" w:cs="Cambria Math"/>
          <w:color w:val="000000"/>
          <w:sz w:val="20"/>
          <w:szCs w:val="20"/>
        </w:rPr>
        <w:t xml:space="preserve"> - BNDES, e trouxe algumas modificações em relação ao texto do Projeto de Lei de desestatização da Eletrobras nº 5.877/2019. </w:t>
      </w:r>
    </w:p>
    <w:bookmarkEnd w:id="0"/>
    <w:p w14:paraId="68A690FE" w14:textId="77777777" w:rsidR="00233C4A" w:rsidRPr="005E4A4C" w:rsidRDefault="00233C4A" w:rsidP="00233C4A">
      <w:pPr>
        <w:rPr>
          <w:rFonts w:ascii="Verdana" w:hAnsi="Verdana" w:cs="Cambria Math"/>
          <w:color w:val="000000"/>
          <w:sz w:val="20"/>
          <w:szCs w:val="20"/>
        </w:rPr>
      </w:pPr>
    </w:p>
    <w:p w14:paraId="59155C34" w14:textId="77777777" w:rsidR="00233C4A" w:rsidRPr="005E4A4C" w:rsidRDefault="00233C4A" w:rsidP="00233C4A">
      <w:pPr>
        <w:rPr>
          <w:rFonts w:ascii="Verdana" w:hAnsi="Verdana" w:cs="Cambria Math"/>
          <w:color w:val="000000"/>
          <w:sz w:val="20"/>
          <w:szCs w:val="20"/>
        </w:rPr>
      </w:pPr>
      <w:bookmarkStart w:id="1" w:name="_Hlk97961412"/>
      <w:r w:rsidRPr="005E4A4C">
        <w:rPr>
          <w:rFonts w:ascii="Verdana" w:hAnsi="Verdana" w:cs="Cambria Math"/>
          <w:color w:val="000000"/>
          <w:sz w:val="20"/>
          <w:szCs w:val="20"/>
        </w:rPr>
        <w:t>Em abril de 2021, foi editado o Decreto nº 10.670/2021, que dispõe sobre a qualificação da Eletrobras no âmbito do Programa de Parcerias de Investimentos – PPI e a sua inclusão no Programa Nacional de Desestatização – PND, para início dos estudos necessários à estruturação do processo de capitalização da Eletrobras.</w:t>
      </w:r>
    </w:p>
    <w:bookmarkEnd w:id="1"/>
    <w:p w14:paraId="237F215E" w14:textId="77777777" w:rsidR="00233C4A" w:rsidRPr="005E4A4C" w:rsidRDefault="00233C4A" w:rsidP="00233C4A">
      <w:pPr>
        <w:rPr>
          <w:rFonts w:ascii="Verdana" w:hAnsi="Verdana" w:cs="Cambria Math"/>
          <w:color w:val="000000"/>
          <w:sz w:val="20"/>
          <w:szCs w:val="20"/>
        </w:rPr>
      </w:pPr>
    </w:p>
    <w:p w14:paraId="5F2FCAE5" w14:textId="77777777" w:rsidR="00233C4A" w:rsidRPr="005E4A4C" w:rsidRDefault="00233C4A" w:rsidP="00233C4A">
      <w:pPr>
        <w:rPr>
          <w:rFonts w:ascii="Verdana" w:hAnsi="Verdana" w:cs="Cambria Math"/>
          <w:color w:val="000000"/>
          <w:sz w:val="20"/>
          <w:szCs w:val="20"/>
        </w:rPr>
      </w:pPr>
      <w:bookmarkStart w:id="2" w:name="_Hlk97961436"/>
      <w:r w:rsidRPr="005E4A4C">
        <w:rPr>
          <w:rFonts w:ascii="Verdana" w:hAnsi="Verdana" w:cs="Cambria Math"/>
          <w:color w:val="000000"/>
          <w:sz w:val="20"/>
          <w:szCs w:val="20"/>
        </w:rPr>
        <w:t>O Conselho do Programa de Parcerias de Investimentos – CPPI, aprovou a Resolução nº 176/2021, que atribuiu à Eletrobras a emissão e oferta das ações, após a conversão em lei da Medida Provisória nº 1.031/2021. O BNDES é o responsável pela execução e acompanhamento do processo de capitalização até o seu encerramento, devendo prestar apoio à Eletrobras no que for necessário.</w:t>
      </w:r>
    </w:p>
    <w:bookmarkEnd w:id="2"/>
    <w:p w14:paraId="4787926D" w14:textId="77777777" w:rsidR="00233C4A" w:rsidRPr="005E4A4C" w:rsidRDefault="00233C4A" w:rsidP="00233C4A">
      <w:pPr>
        <w:rPr>
          <w:rFonts w:ascii="Verdana" w:hAnsi="Verdana" w:cs="Cambria Math"/>
          <w:color w:val="000000"/>
          <w:sz w:val="20"/>
          <w:szCs w:val="20"/>
        </w:rPr>
      </w:pPr>
    </w:p>
    <w:p w14:paraId="37093444" w14:textId="77777777" w:rsidR="00233C4A" w:rsidRPr="005E4A4C" w:rsidRDefault="00233C4A" w:rsidP="00233C4A">
      <w:pPr>
        <w:tabs>
          <w:tab w:val="left" w:pos="4253"/>
        </w:tabs>
        <w:rPr>
          <w:rFonts w:ascii="Verdana" w:hAnsi="Verdana" w:cs="Cambria Math"/>
          <w:color w:val="000000"/>
          <w:sz w:val="20"/>
          <w:szCs w:val="20"/>
        </w:rPr>
      </w:pPr>
      <w:bookmarkStart w:id="3" w:name="_Hlk97961461"/>
      <w:r w:rsidRPr="005E4A4C">
        <w:rPr>
          <w:rFonts w:ascii="Verdana" w:hAnsi="Verdana" w:cs="Cambria Math"/>
          <w:color w:val="000000"/>
          <w:sz w:val="20"/>
          <w:szCs w:val="20"/>
        </w:rPr>
        <w:t>Em julho de 2021, foi publicada no Diário Oficial da União</w:t>
      </w:r>
      <w:r>
        <w:rPr>
          <w:rFonts w:ascii="Verdana" w:hAnsi="Verdana" w:cs="Cambria Math"/>
          <w:color w:val="000000"/>
          <w:sz w:val="20"/>
          <w:szCs w:val="20"/>
        </w:rPr>
        <w:t xml:space="preserve"> - DOU</w:t>
      </w:r>
      <w:r w:rsidRPr="005E4A4C">
        <w:rPr>
          <w:rFonts w:ascii="Verdana" w:hAnsi="Verdana" w:cs="Cambria Math"/>
          <w:color w:val="000000"/>
          <w:sz w:val="20"/>
          <w:szCs w:val="20"/>
        </w:rPr>
        <w:t xml:space="preserve">, a </w:t>
      </w:r>
      <w:bookmarkStart w:id="4" w:name="OLE_LINK23"/>
      <w:bookmarkStart w:id="5" w:name="OLE_LINK24"/>
      <w:r w:rsidRPr="005E4A4C">
        <w:rPr>
          <w:rFonts w:ascii="Verdana" w:hAnsi="Verdana" w:cs="Cambria Math"/>
          <w:color w:val="000000"/>
          <w:sz w:val="20"/>
          <w:szCs w:val="20"/>
        </w:rPr>
        <w:t>Lei nº 14.182/202</w:t>
      </w:r>
      <w:bookmarkEnd w:id="4"/>
      <w:bookmarkEnd w:id="5"/>
      <w:r w:rsidRPr="005E4A4C">
        <w:rPr>
          <w:rFonts w:ascii="Verdana" w:hAnsi="Verdana" w:cs="Cambria Math"/>
          <w:color w:val="000000"/>
          <w:sz w:val="20"/>
          <w:szCs w:val="20"/>
        </w:rPr>
        <w:t>1, decorrente do Projeto de Lei de Conversão - PLV nº 7/2021 e da Medida Provisória nº 1.031/2021, que trata da desestatização da Eletrobras.</w:t>
      </w:r>
    </w:p>
    <w:bookmarkEnd w:id="3"/>
    <w:p w14:paraId="7726F848" w14:textId="77777777" w:rsidR="00233C4A" w:rsidRPr="005E4A4C" w:rsidRDefault="00233C4A" w:rsidP="00233C4A">
      <w:pPr>
        <w:tabs>
          <w:tab w:val="left" w:pos="4253"/>
        </w:tabs>
        <w:rPr>
          <w:rFonts w:ascii="Verdana" w:hAnsi="Verdana" w:cs="Cambria Math"/>
          <w:color w:val="000000"/>
          <w:sz w:val="20"/>
          <w:szCs w:val="20"/>
        </w:rPr>
      </w:pPr>
    </w:p>
    <w:p w14:paraId="2D0FCB5B" w14:textId="77777777" w:rsidR="00233C4A" w:rsidRPr="005E4A4C" w:rsidRDefault="00233C4A" w:rsidP="00233C4A">
      <w:pPr>
        <w:rPr>
          <w:rFonts w:ascii="Verdana" w:hAnsi="Verdana" w:cs="Cambria Math"/>
          <w:color w:val="000000"/>
          <w:sz w:val="20"/>
          <w:szCs w:val="20"/>
        </w:rPr>
      </w:pPr>
      <w:bookmarkStart w:id="6" w:name="_Hlk97961482"/>
      <w:r w:rsidRPr="005E4A4C">
        <w:rPr>
          <w:rFonts w:ascii="Verdana" w:hAnsi="Verdana" w:cs="Cambria Math"/>
          <w:color w:val="000000"/>
          <w:sz w:val="20"/>
          <w:szCs w:val="20"/>
        </w:rPr>
        <w:t>O modelo de desestatização prevê que o processo se dará pelo aumento do capital social, por meio de subscrição pública de ações ordinárias com renúncia do direito de subscrição pela União.</w:t>
      </w:r>
    </w:p>
    <w:bookmarkEnd w:id="6"/>
    <w:p w14:paraId="51F93CCC" w14:textId="77777777" w:rsidR="00233C4A" w:rsidRPr="005E4A4C" w:rsidRDefault="00233C4A" w:rsidP="00233C4A">
      <w:pPr>
        <w:rPr>
          <w:rFonts w:ascii="Verdana" w:hAnsi="Verdana" w:cs="Cambria Math"/>
          <w:color w:val="000000"/>
          <w:sz w:val="20"/>
          <w:szCs w:val="20"/>
        </w:rPr>
      </w:pPr>
      <w:r w:rsidRPr="005E4A4C">
        <w:rPr>
          <w:rFonts w:ascii="Verdana" w:hAnsi="Verdana" w:cs="Cambria Math"/>
          <w:color w:val="000000"/>
          <w:sz w:val="20"/>
          <w:szCs w:val="20"/>
        </w:rPr>
        <w:lastRenderedPageBreak/>
        <w:t xml:space="preserve"> </w:t>
      </w:r>
    </w:p>
    <w:p w14:paraId="619E36AC" w14:textId="77777777" w:rsidR="00233C4A" w:rsidRPr="005E4A4C" w:rsidRDefault="00233C4A" w:rsidP="00233C4A">
      <w:pPr>
        <w:rPr>
          <w:rFonts w:ascii="Verdana" w:hAnsi="Verdana" w:cs="Cambria Math"/>
          <w:sz w:val="20"/>
          <w:szCs w:val="20"/>
        </w:rPr>
      </w:pPr>
      <w:bookmarkStart w:id="7" w:name="_Hlk97961541"/>
      <w:r w:rsidRPr="005E4A4C">
        <w:rPr>
          <w:rFonts w:ascii="Verdana" w:hAnsi="Verdana" w:cs="Cambria Math"/>
          <w:sz w:val="20"/>
          <w:szCs w:val="20"/>
        </w:rPr>
        <w:t>Em outubro de 2021, o CPPI aprovou a Resolução nº 203/2021, com alterações promovidas pela Resolução nº 221/2021, que trata da modelagem de desestatização da Eletrobras. A referida resolução detalha os atos da reestruturação societária da Eletrobras a ser realizada para o processo de desestatização. Além disso, exige que, previamente à desestatização, sejam promovidas alterações no Estatuto Social da Eletrobras para incluir mecanismos para:</w:t>
      </w:r>
      <w:bookmarkEnd w:id="7"/>
    </w:p>
    <w:p w14:paraId="0DA45927" w14:textId="77777777" w:rsidR="00233C4A" w:rsidRPr="005E4A4C" w:rsidRDefault="00233C4A" w:rsidP="00233C4A">
      <w:pPr>
        <w:rPr>
          <w:rFonts w:ascii="Verdana" w:hAnsi="Verdana" w:cs="Cambria Math"/>
          <w:sz w:val="20"/>
          <w:szCs w:val="20"/>
        </w:rPr>
      </w:pPr>
    </w:p>
    <w:p w14:paraId="74FCD986" w14:textId="77777777" w:rsidR="00233C4A" w:rsidRPr="005E4A4C" w:rsidRDefault="00233C4A" w:rsidP="00233C4A">
      <w:pPr>
        <w:pStyle w:val="PargrafodaLista"/>
        <w:numPr>
          <w:ilvl w:val="0"/>
          <w:numId w:val="45"/>
        </w:numPr>
        <w:autoSpaceDE w:val="0"/>
        <w:autoSpaceDN w:val="0"/>
        <w:adjustRightInd w:val="0"/>
        <w:contextualSpacing/>
        <w:rPr>
          <w:rFonts w:ascii="Verdana" w:hAnsi="Verdana" w:cs="Cambria Math"/>
          <w:sz w:val="20"/>
          <w:szCs w:val="20"/>
        </w:rPr>
      </w:pPr>
      <w:bookmarkStart w:id="8" w:name="_Hlk97961554"/>
      <w:proofErr w:type="gramStart"/>
      <w:r w:rsidRPr="005E4A4C">
        <w:rPr>
          <w:rFonts w:ascii="Verdana" w:hAnsi="Verdana" w:cs="Cambria Math"/>
          <w:sz w:val="20"/>
          <w:szCs w:val="20"/>
        </w:rPr>
        <w:t>vedar</w:t>
      </w:r>
      <w:proofErr w:type="gramEnd"/>
      <w:r w:rsidRPr="005E4A4C">
        <w:rPr>
          <w:rFonts w:ascii="Verdana" w:hAnsi="Verdana" w:cs="Cambria Math"/>
          <w:sz w:val="20"/>
          <w:szCs w:val="20"/>
        </w:rPr>
        <w:t xml:space="preserve"> que qualquer acionista ou grupo de acionistas exerça votos em volume superior a dez por cento do capital votante;</w:t>
      </w:r>
    </w:p>
    <w:bookmarkEnd w:id="8"/>
    <w:p w14:paraId="2331D7E7" w14:textId="77777777" w:rsidR="00233C4A" w:rsidRPr="005E4A4C" w:rsidRDefault="00233C4A" w:rsidP="00233C4A">
      <w:pPr>
        <w:pStyle w:val="PargrafodaLista"/>
        <w:autoSpaceDE w:val="0"/>
        <w:autoSpaceDN w:val="0"/>
        <w:adjustRightInd w:val="0"/>
        <w:jc w:val="left"/>
        <w:rPr>
          <w:rFonts w:ascii="Verdana" w:hAnsi="Verdana" w:cs="Cambria Math"/>
          <w:sz w:val="20"/>
          <w:szCs w:val="20"/>
        </w:rPr>
      </w:pPr>
    </w:p>
    <w:p w14:paraId="4A3473E3" w14:textId="77777777" w:rsidR="00233C4A" w:rsidRPr="005E4A4C" w:rsidRDefault="00233C4A" w:rsidP="00233C4A">
      <w:pPr>
        <w:pStyle w:val="PargrafodaLista"/>
        <w:numPr>
          <w:ilvl w:val="0"/>
          <w:numId w:val="45"/>
        </w:numPr>
        <w:autoSpaceDE w:val="0"/>
        <w:autoSpaceDN w:val="0"/>
        <w:adjustRightInd w:val="0"/>
        <w:contextualSpacing/>
        <w:rPr>
          <w:rFonts w:ascii="Verdana" w:hAnsi="Verdana" w:cs="Cambria Math"/>
          <w:sz w:val="20"/>
          <w:szCs w:val="20"/>
        </w:rPr>
      </w:pPr>
      <w:bookmarkStart w:id="9" w:name="_Hlk97961574"/>
      <w:proofErr w:type="gramStart"/>
      <w:r w:rsidRPr="005E4A4C">
        <w:rPr>
          <w:rFonts w:ascii="Verdana" w:hAnsi="Verdana" w:cs="Cambria Math"/>
          <w:sz w:val="20"/>
          <w:szCs w:val="20"/>
        </w:rPr>
        <w:t>vedar</w:t>
      </w:r>
      <w:proofErr w:type="gramEnd"/>
      <w:r w:rsidRPr="005E4A4C">
        <w:rPr>
          <w:rFonts w:ascii="Verdana" w:hAnsi="Verdana" w:cs="Cambria Math"/>
          <w:sz w:val="20"/>
          <w:szCs w:val="20"/>
        </w:rPr>
        <w:t xml:space="preserve"> a realização de acordos de acionistas para o exercício de direito de voto, exceto para a formação de blocos com volume inferior a dez por cento do capital votante;</w:t>
      </w:r>
    </w:p>
    <w:bookmarkEnd w:id="9"/>
    <w:p w14:paraId="594EA36E" w14:textId="77777777" w:rsidR="00233C4A" w:rsidRPr="005E4A4C" w:rsidRDefault="00233C4A" w:rsidP="00233C4A">
      <w:pPr>
        <w:pStyle w:val="PargrafodaLista"/>
        <w:autoSpaceDE w:val="0"/>
        <w:autoSpaceDN w:val="0"/>
        <w:adjustRightInd w:val="0"/>
        <w:jc w:val="left"/>
        <w:rPr>
          <w:rFonts w:ascii="Verdana" w:hAnsi="Verdana" w:cs="Cambria Math"/>
          <w:sz w:val="20"/>
          <w:szCs w:val="20"/>
        </w:rPr>
      </w:pPr>
    </w:p>
    <w:p w14:paraId="38E0963E" w14:textId="77777777" w:rsidR="00233C4A" w:rsidRPr="005E4A4C" w:rsidRDefault="00233C4A" w:rsidP="00233C4A">
      <w:pPr>
        <w:pStyle w:val="PargrafodaLista"/>
        <w:numPr>
          <w:ilvl w:val="0"/>
          <w:numId w:val="45"/>
        </w:numPr>
        <w:autoSpaceDE w:val="0"/>
        <w:autoSpaceDN w:val="0"/>
        <w:adjustRightInd w:val="0"/>
        <w:contextualSpacing/>
        <w:rPr>
          <w:rFonts w:ascii="Verdana" w:hAnsi="Verdana" w:cs="Cambria Math"/>
          <w:sz w:val="20"/>
          <w:szCs w:val="20"/>
        </w:rPr>
      </w:pPr>
      <w:bookmarkStart w:id="10" w:name="_Hlk97961585"/>
      <w:proofErr w:type="gramStart"/>
      <w:r w:rsidRPr="005E4A4C">
        <w:rPr>
          <w:rFonts w:ascii="Verdana" w:hAnsi="Verdana" w:cs="Cambria Math"/>
          <w:sz w:val="20"/>
          <w:szCs w:val="20"/>
        </w:rPr>
        <w:t>conversão</w:t>
      </w:r>
      <w:proofErr w:type="gramEnd"/>
      <w:r w:rsidRPr="005E4A4C">
        <w:rPr>
          <w:rFonts w:ascii="Verdana" w:hAnsi="Verdana" w:cs="Cambria Math"/>
          <w:sz w:val="20"/>
          <w:szCs w:val="20"/>
        </w:rPr>
        <w:t xml:space="preserve"> de 1 ação preferencial de classe B de emissão da Eletrobras e de titularidade da União para a criação de 1 ação preferencial de classe especial, </w:t>
      </w:r>
      <w:r w:rsidRPr="005E4A4C">
        <w:rPr>
          <w:rFonts w:ascii="Verdana" w:hAnsi="Verdana" w:cs="Cambria Math"/>
          <w:i/>
          <w:iCs/>
          <w:sz w:val="20"/>
          <w:szCs w:val="20"/>
        </w:rPr>
        <w:t xml:space="preserve">Golden </w:t>
      </w:r>
      <w:proofErr w:type="spellStart"/>
      <w:r w:rsidRPr="005E4A4C">
        <w:rPr>
          <w:rFonts w:ascii="Verdana" w:hAnsi="Verdana" w:cs="Cambria Math"/>
          <w:i/>
          <w:iCs/>
          <w:sz w:val="20"/>
          <w:szCs w:val="20"/>
        </w:rPr>
        <w:t>share</w:t>
      </w:r>
      <w:proofErr w:type="spellEnd"/>
      <w:r w:rsidRPr="005E4A4C">
        <w:rPr>
          <w:rFonts w:ascii="Verdana" w:hAnsi="Verdana" w:cs="Cambria Math"/>
          <w:sz w:val="20"/>
          <w:szCs w:val="20"/>
        </w:rPr>
        <w:t>, que dará o poder de veto nas deliberações sociais relacionadas às matérias que visem a modificar o estatuto social da Eletrobras para alterar a limitação ao exercício do direito ao voto e à celebração de acordo de acionistas descritas nas alíneas (a) e (b) acima;</w:t>
      </w:r>
    </w:p>
    <w:bookmarkEnd w:id="10"/>
    <w:p w14:paraId="1AF095DA" w14:textId="77777777" w:rsidR="00233C4A" w:rsidRPr="005E4A4C" w:rsidRDefault="00233C4A" w:rsidP="00233C4A">
      <w:pPr>
        <w:pStyle w:val="PargrafodaLista"/>
        <w:rPr>
          <w:rFonts w:ascii="Verdana" w:hAnsi="Verdana" w:cs="Cambria Math"/>
          <w:sz w:val="20"/>
          <w:szCs w:val="20"/>
        </w:rPr>
      </w:pPr>
    </w:p>
    <w:p w14:paraId="1AB1910F" w14:textId="77777777" w:rsidR="00233C4A" w:rsidRPr="005E4A4C" w:rsidRDefault="00233C4A" w:rsidP="00233C4A">
      <w:pPr>
        <w:pStyle w:val="PargrafodaLista"/>
        <w:numPr>
          <w:ilvl w:val="0"/>
          <w:numId w:val="45"/>
        </w:numPr>
        <w:autoSpaceDE w:val="0"/>
        <w:autoSpaceDN w:val="0"/>
        <w:adjustRightInd w:val="0"/>
        <w:contextualSpacing/>
        <w:rPr>
          <w:rFonts w:ascii="Verdana" w:hAnsi="Verdana" w:cs="Cambria Math"/>
          <w:sz w:val="20"/>
          <w:szCs w:val="20"/>
        </w:rPr>
      </w:pPr>
      <w:bookmarkStart w:id="11" w:name="_Hlk97961597"/>
      <w:proofErr w:type="gramStart"/>
      <w:r w:rsidRPr="005E4A4C">
        <w:rPr>
          <w:rFonts w:ascii="Verdana" w:hAnsi="Verdana" w:cs="Cambria Math"/>
          <w:sz w:val="20"/>
          <w:szCs w:val="20"/>
        </w:rPr>
        <w:t>estabelecer</w:t>
      </w:r>
      <w:proofErr w:type="gramEnd"/>
      <w:r w:rsidRPr="005E4A4C">
        <w:rPr>
          <w:rFonts w:ascii="Verdana" w:hAnsi="Verdana" w:cs="Cambria Math"/>
          <w:sz w:val="20"/>
          <w:szCs w:val="20"/>
        </w:rPr>
        <w:t xml:space="preserve"> que qualquer acionista ou grupo de acionistas que ultrapasse, direta ou indiretamente, de forma consolidada, cinquenta por cento do capital votante e que não retorne a patamar inferior a tal percentual em até cento e vinte dias, realize Oferta Pública de Aquisição, por preço pelo menos duzentos por cento superior à maior cotação das ações ordinárias nos últimos quinhentos e quatro pregões, atualizada pela taxa do Sistema Especial de Liquidação e Custódia - SELIC; </w:t>
      </w:r>
    </w:p>
    <w:bookmarkEnd w:id="11"/>
    <w:p w14:paraId="29169D28" w14:textId="77777777" w:rsidR="00233C4A" w:rsidRPr="005E4A4C" w:rsidRDefault="00233C4A" w:rsidP="00233C4A">
      <w:pPr>
        <w:pStyle w:val="PargrafodaLista"/>
        <w:autoSpaceDE w:val="0"/>
        <w:autoSpaceDN w:val="0"/>
        <w:adjustRightInd w:val="0"/>
        <w:jc w:val="left"/>
        <w:rPr>
          <w:rFonts w:ascii="Verdana" w:hAnsi="Verdana" w:cs="Cambria Math"/>
          <w:sz w:val="20"/>
          <w:szCs w:val="20"/>
        </w:rPr>
      </w:pPr>
    </w:p>
    <w:p w14:paraId="6397BD8D" w14:textId="77777777" w:rsidR="00233C4A" w:rsidRPr="005E4A4C" w:rsidRDefault="00233C4A" w:rsidP="00233C4A">
      <w:pPr>
        <w:pStyle w:val="PargrafodaLista"/>
        <w:numPr>
          <w:ilvl w:val="0"/>
          <w:numId w:val="45"/>
        </w:numPr>
        <w:autoSpaceDE w:val="0"/>
        <w:autoSpaceDN w:val="0"/>
        <w:adjustRightInd w:val="0"/>
        <w:contextualSpacing/>
        <w:rPr>
          <w:rFonts w:ascii="Verdana" w:hAnsi="Verdana" w:cs="Cambria Math"/>
          <w:sz w:val="20"/>
          <w:szCs w:val="20"/>
        </w:rPr>
      </w:pPr>
      <w:proofErr w:type="gramStart"/>
      <w:r w:rsidRPr="005E4A4C">
        <w:rPr>
          <w:rFonts w:ascii="Verdana" w:hAnsi="Verdana" w:cs="Cambria Math"/>
          <w:sz w:val="20"/>
          <w:szCs w:val="20"/>
        </w:rPr>
        <w:t>estabelecer</w:t>
      </w:r>
      <w:proofErr w:type="gramEnd"/>
      <w:r w:rsidRPr="005E4A4C">
        <w:rPr>
          <w:rFonts w:ascii="Verdana" w:hAnsi="Verdana" w:cs="Cambria Math"/>
          <w:sz w:val="20"/>
          <w:szCs w:val="20"/>
        </w:rPr>
        <w:t xml:space="preserve"> que qualquer acionista ou grupo de acionistas que ultrapasse, direta ou indiretamente, de forma consolidada, trinta por cento do capital votante e que não retorne a patamar inferior a tal percentual em até cento e vinte dias, realize Oferta Pública de Aquisição, por preço pelo menos cem por cento superior à maior cotação das ações ordinárias nos últimos quinhentos e quatro pregões, atualizada pela taxa SELIC;</w:t>
      </w:r>
    </w:p>
    <w:p w14:paraId="4F4FC900" w14:textId="77777777" w:rsidR="00233C4A" w:rsidRPr="005E4A4C" w:rsidRDefault="00233C4A" w:rsidP="00233C4A">
      <w:pPr>
        <w:pStyle w:val="PargrafodaLista"/>
        <w:rPr>
          <w:rFonts w:ascii="Verdana" w:hAnsi="Verdana" w:cs="Cambria Math"/>
          <w:sz w:val="20"/>
          <w:szCs w:val="20"/>
        </w:rPr>
      </w:pPr>
    </w:p>
    <w:p w14:paraId="42DEEBBA" w14:textId="77777777" w:rsidR="00233C4A" w:rsidRPr="005E4A4C" w:rsidRDefault="00233C4A" w:rsidP="00233C4A">
      <w:pPr>
        <w:pStyle w:val="PargrafodaLista"/>
        <w:numPr>
          <w:ilvl w:val="0"/>
          <w:numId w:val="45"/>
        </w:numPr>
        <w:autoSpaceDE w:val="0"/>
        <w:autoSpaceDN w:val="0"/>
        <w:adjustRightInd w:val="0"/>
        <w:contextualSpacing/>
        <w:rPr>
          <w:rFonts w:ascii="Verdana" w:hAnsi="Verdana" w:cs="Cambria Math"/>
          <w:sz w:val="20"/>
          <w:szCs w:val="20"/>
        </w:rPr>
      </w:pPr>
      <w:proofErr w:type="gramStart"/>
      <w:r w:rsidRPr="005E4A4C">
        <w:rPr>
          <w:rFonts w:ascii="Verdana" w:hAnsi="Verdana" w:cs="Cambria Math"/>
          <w:sz w:val="20"/>
          <w:szCs w:val="20"/>
        </w:rPr>
        <w:t>estabelecer</w:t>
      </w:r>
      <w:proofErr w:type="gramEnd"/>
      <w:r w:rsidRPr="005E4A4C">
        <w:rPr>
          <w:rFonts w:ascii="Verdana" w:hAnsi="Verdana" w:cs="Cambria Math"/>
          <w:sz w:val="20"/>
          <w:szCs w:val="20"/>
        </w:rPr>
        <w:t xml:space="preserve"> capital autorizado, nos termos do art. 168 da Lei nº 6.404 de 1976, permitindo aumentar o capital social da Eletrobras em valor, no mínimo, suficiente para perfazer o montante necessário à realização da Oferta Primária, considerando ainda a possibilidade de distribuição das Ações do Lote Suplementar e das Ações Adicionais;</w:t>
      </w:r>
    </w:p>
    <w:p w14:paraId="7D061988" w14:textId="77777777" w:rsidR="00233C4A" w:rsidRPr="005E4A4C" w:rsidRDefault="00233C4A" w:rsidP="00233C4A">
      <w:pPr>
        <w:pStyle w:val="PargrafodaLista"/>
        <w:rPr>
          <w:rFonts w:ascii="Verdana" w:hAnsi="Verdana" w:cs="Cambria Math"/>
          <w:sz w:val="20"/>
          <w:szCs w:val="20"/>
        </w:rPr>
      </w:pPr>
    </w:p>
    <w:p w14:paraId="6E0E63E0" w14:textId="77777777" w:rsidR="00233C4A" w:rsidRPr="005E4A4C" w:rsidRDefault="00233C4A" w:rsidP="00233C4A">
      <w:pPr>
        <w:pStyle w:val="PargrafodaLista"/>
        <w:numPr>
          <w:ilvl w:val="0"/>
          <w:numId w:val="45"/>
        </w:numPr>
        <w:autoSpaceDE w:val="0"/>
        <w:autoSpaceDN w:val="0"/>
        <w:adjustRightInd w:val="0"/>
        <w:contextualSpacing/>
        <w:rPr>
          <w:rFonts w:ascii="Verdana" w:hAnsi="Verdana" w:cs="Cambria Math"/>
          <w:sz w:val="20"/>
          <w:szCs w:val="20"/>
        </w:rPr>
      </w:pPr>
      <w:proofErr w:type="gramStart"/>
      <w:r w:rsidRPr="005E4A4C">
        <w:rPr>
          <w:rFonts w:ascii="Verdana" w:hAnsi="Verdana" w:cs="Cambria Math"/>
          <w:sz w:val="20"/>
          <w:szCs w:val="20"/>
        </w:rPr>
        <w:t>prever</w:t>
      </w:r>
      <w:proofErr w:type="gramEnd"/>
      <w:r w:rsidRPr="005E4A4C">
        <w:rPr>
          <w:rFonts w:ascii="Verdana" w:hAnsi="Verdana" w:cs="Cambria Math"/>
          <w:sz w:val="20"/>
          <w:szCs w:val="20"/>
        </w:rPr>
        <w:t xml:space="preserve"> a ausência de direito de preferência dos acionistas para subscrição de valores mobiliários dentro do limite do capital autorizado, caso a colocação de tais valores mobiliários seja feita mediante venda em bolsa de valores ou por subscrição pública, nos termos do disposto no art. 172, </w:t>
      </w:r>
      <w:r w:rsidRPr="005E4A4C">
        <w:rPr>
          <w:rFonts w:ascii="Verdana" w:hAnsi="Verdana" w:cs="Cambria Math"/>
          <w:i/>
          <w:sz w:val="20"/>
          <w:szCs w:val="20"/>
        </w:rPr>
        <w:t>caput</w:t>
      </w:r>
      <w:r w:rsidRPr="005E4A4C">
        <w:rPr>
          <w:rFonts w:ascii="Verdana" w:hAnsi="Verdana" w:cs="Cambria Math"/>
          <w:sz w:val="20"/>
          <w:szCs w:val="20"/>
        </w:rPr>
        <w:t xml:space="preserve"> e inciso I, da Lei nº 6.404 de 1976; e</w:t>
      </w:r>
    </w:p>
    <w:p w14:paraId="391A70C0" w14:textId="77777777" w:rsidR="00233C4A" w:rsidRPr="005E4A4C" w:rsidRDefault="00233C4A" w:rsidP="00233C4A">
      <w:pPr>
        <w:pStyle w:val="PargrafodaLista"/>
        <w:rPr>
          <w:rFonts w:ascii="Verdana" w:hAnsi="Verdana" w:cs="Cambria Math"/>
          <w:sz w:val="20"/>
          <w:szCs w:val="20"/>
        </w:rPr>
      </w:pPr>
    </w:p>
    <w:p w14:paraId="466450A3" w14:textId="77777777" w:rsidR="00233C4A" w:rsidRPr="005E4A4C" w:rsidRDefault="00233C4A" w:rsidP="00233C4A">
      <w:pPr>
        <w:pStyle w:val="PargrafodaLista"/>
        <w:numPr>
          <w:ilvl w:val="0"/>
          <w:numId w:val="45"/>
        </w:numPr>
        <w:autoSpaceDE w:val="0"/>
        <w:autoSpaceDN w:val="0"/>
        <w:adjustRightInd w:val="0"/>
        <w:contextualSpacing/>
        <w:rPr>
          <w:rFonts w:ascii="Verdana" w:hAnsi="Verdana" w:cs="Cambria Math"/>
          <w:sz w:val="20"/>
          <w:szCs w:val="20"/>
        </w:rPr>
      </w:pPr>
      <w:proofErr w:type="gramStart"/>
      <w:r w:rsidRPr="005E4A4C">
        <w:rPr>
          <w:rFonts w:ascii="Verdana" w:hAnsi="Verdana" w:cs="Cambria Math"/>
          <w:sz w:val="20"/>
          <w:szCs w:val="20"/>
        </w:rPr>
        <w:t>aprovar</w:t>
      </w:r>
      <w:proofErr w:type="gramEnd"/>
      <w:r w:rsidRPr="005E4A4C">
        <w:rPr>
          <w:rFonts w:ascii="Verdana" w:hAnsi="Verdana" w:cs="Cambria Math"/>
          <w:sz w:val="20"/>
          <w:szCs w:val="20"/>
        </w:rPr>
        <w:t xml:space="preserve"> outros ajustes ao estatuto social da Eletrobras, para remover disposições relacionadas à sua condição de sociedade de economia mista e adaptá-lo à atuação da companhia após liquidação da Oferta.</w:t>
      </w:r>
    </w:p>
    <w:p w14:paraId="117663B8" w14:textId="77777777" w:rsidR="00233C4A" w:rsidRPr="005E4A4C" w:rsidRDefault="00233C4A" w:rsidP="00233C4A">
      <w:pPr>
        <w:pStyle w:val="PargrafodaLista"/>
        <w:rPr>
          <w:rFonts w:ascii="Verdana" w:hAnsi="Verdana" w:cs="Cambria Math"/>
          <w:sz w:val="20"/>
          <w:szCs w:val="20"/>
        </w:rPr>
      </w:pPr>
    </w:p>
    <w:p w14:paraId="05DC4FE8" w14:textId="77777777" w:rsidR="00233C4A" w:rsidRPr="005E4A4C" w:rsidRDefault="00233C4A" w:rsidP="00233C4A">
      <w:pPr>
        <w:rPr>
          <w:rFonts w:ascii="Verdana" w:hAnsi="Verdana" w:cs="Cambria Math"/>
          <w:sz w:val="20"/>
          <w:szCs w:val="20"/>
        </w:rPr>
      </w:pPr>
      <w:r w:rsidRPr="005E4A4C">
        <w:rPr>
          <w:rFonts w:ascii="Verdana" w:hAnsi="Verdana" w:cs="Cambria Math"/>
          <w:sz w:val="20"/>
          <w:szCs w:val="20"/>
        </w:rPr>
        <w:t>A Lei nº 14.182/2021 prevê a concessão de novas outorgas de concessões de geração de energia elétrica sob titularidade ou controle, direto ou indireto, da Eletrobras, que:</w:t>
      </w:r>
    </w:p>
    <w:p w14:paraId="6FF22463" w14:textId="77777777" w:rsidR="00233C4A" w:rsidRPr="005E4A4C" w:rsidRDefault="00233C4A" w:rsidP="00233C4A">
      <w:pPr>
        <w:pStyle w:val="PargrafodaLista"/>
        <w:ind w:left="720"/>
        <w:rPr>
          <w:rFonts w:ascii="Verdana" w:hAnsi="Verdana" w:cs="Cambria Math"/>
          <w:sz w:val="20"/>
          <w:szCs w:val="20"/>
        </w:rPr>
      </w:pPr>
    </w:p>
    <w:p w14:paraId="376AD124" w14:textId="6EE72B5E" w:rsidR="00233C4A" w:rsidRDefault="00233C4A" w:rsidP="00233C4A">
      <w:pPr>
        <w:pStyle w:val="PargrafodaLista"/>
        <w:numPr>
          <w:ilvl w:val="0"/>
          <w:numId w:val="46"/>
        </w:numPr>
        <w:autoSpaceDE w:val="0"/>
        <w:autoSpaceDN w:val="0"/>
        <w:adjustRightInd w:val="0"/>
        <w:contextualSpacing/>
        <w:rPr>
          <w:rFonts w:ascii="Verdana" w:hAnsi="Verdana" w:cs="Cambria Math"/>
          <w:sz w:val="20"/>
          <w:szCs w:val="20"/>
        </w:rPr>
      </w:pPr>
      <w:proofErr w:type="gramStart"/>
      <w:r w:rsidRPr="005E4A4C">
        <w:rPr>
          <w:rFonts w:ascii="Verdana" w:hAnsi="Verdana" w:cs="Cambria Math"/>
          <w:sz w:val="20"/>
          <w:szCs w:val="20"/>
        </w:rPr>
        <w:t>tenham</w:t>
      </w:r>
      <w:proofErr w:type="gramEnd"/>
      <w:r w:rsidRPr="005E4A4C">
        <w:rPr>
          <w:rFonts w:ascii="Verdana" w:hAnsi="Verdana" w:cs="Cambria Math"/>
          <w:sz w:val="20"/>
          <w:szCs w:val="20"/>
        </w:rPr>
        <w:t xml:space="preserve"> sido prorrogadas nos termos do art. 1º da Lei nº 12.783, de 11 de janeiro de 2013 (usinas “cotizadas”); </w:t>
      </w:r>
    </w:p>
    <w:p w14:paraId="3577A218" w14:textId="77777777" w:rsidR="00780D17" w:rsidRPr="005E4A4C" w:rsidRDefault="00780D17" w:rsidP="00780D17">
      <w:pPr>
        <w:pStyle w:val="PargrafodaLista"/>
        <w:autoSpaceDE w:val="0"/>
        <w:autoSpaceDN w:val="0"/>
        <w:adjustRightInd w:val="0"/>
        <w:ind w:left="720"/>
        <w:contextualSpacing/>
        <w:rPr>
          <w:rFonts w:ascii="Verdana" w:hAnsi="Verdana" w:cs="Cambria Math"/>
          <w:sz w:val="20"/>
          <w:szCs w:val="20"/>
        </w:rPr>
      </w:pPr>
    </w:p>
    <w:p w14:paraId="17E63091" w14:textId="77777777" w:rsidR="00233C4A" w:rsidRPr="005E4A4C" w:rsidRDefault="00233C4A" w:rsidP="00233C4A">
      <w:pPr>
        <w:pStyle w:val="PargrafodaLista"/>
        <w:numPr>
          <w:ilvl w:val="0"/>
          <w:numId w:val="46"/>
        </w:numPr>
        <w:autoSpaceDE w:val="0"/>
        <w:autoSpaceDN w:val="0"/>
        <w:adjustRightInd w:val="0"/>
        <w:contextualSpacing/>
        <w:rPr>
          <w:rFonts w:ascii="Verdana" w:hAnsi="Verdana" w:cs="Cambria Math"/>
          <w:sz w:val="20"/>
          <w:szCs w:val="20"/>
        </w:rPr>
      </w:pPr>
      <w:proofErr w:type="gramStart"/>
      <w:r w:rsidRPr="005E4A4C">
        <w:rPr>
          <w:rFonts w:ascii="Verdana" w:hAnsi="Verdana" w:cs="Cambria Math"/>
          <w:sz w:val="20"/>
          <w:szCs w:val="20"/>
        </w:rPr>
        <w:t>sejam</w:t>
      </w:r>
      <w:proofErr w:type="gramEnd"/>
      <w:r w:rsidRPr="005E4A4C">
        <w:rPr>
          <w:rFonts w:ascii="Verdana" w:hAnsi="Verdana" w:cs="Cambria Math"/>
          <w:sz w:val="20"/>
          <w:szCs w:val="20"/>
        </w:rPr>
        <w:t xml:space="preserve"> alcançadas pelo disposto no inciso II do § 2º do art. 22 da Lei nº 11.943, de 28 de maio de 2009 (Sobradinho); </w:t>
      </w:r>
    </w:p>
    <w:p w14:paraId="74E1E006" w14:textId="77777777" w:rsidR="00233C4A" w:rsidRPr="005E4A4C" w:rsidRDefault="00233C4A" w:rsidP="00233C4A">
      <w:pPr>
        <w:pStyle w:val="PargrafodaLista"/>
        <w:autoSpaceDE w:val="0"/>
        <w:autoSpaceDN w:val="0"/>
        <w:adjustRightInd w:val="0"/>
        <w:ind w:left="720"/>
        <w:contextualSpacing/>
        <w:rPr>
          <w:rFonts w:ascii="Verdana" w:hAnsi="Verdana" w:cs="Cambria Math"/>
          <w:sz w:val="20"/>
          <w:szCs w:val="20"/>
        </w:rPr>
      </w:pPr>
    </w:p>
    <w:p w14:paraId="185C2C9C" w14:textId="77777777" w:rsidR="00233C4A" w:rsidRPr="005E4A4C" w:rsidRDefault="00233C4A" w:rsidP="00233C4A">
      <w:pPr>
        <w:pStyle w:val="PargrafodaLista"/>
        <w:numPr>
          <w:ilvl w:val="0"/>
          <w:numId w:val="46"/>
        </w:numPr>
        <w:autoSpaceDE w:val="0"/>
        <w:autoSpaceDN w:val="0"/>
        <w:adjustRightInd w:val="0"/>
        <w:contextualSpacing/>
        <w:rPr>
          <w:rFonts w:ascii="Verdana" w:hAnsi="Verdana" w:cs="Cambria Math"/>
          <w:sz w:val="20"/>
          <w:szCs w:val="20"/>
        </w:rPr>
      </w:pPr>
      <w:proofErr w:type="gramStart"/>
      <w:r w:rsidRPr="005E4A4C">
        <w:rPr>
          <w:rFonts w:ascii="Verdana" w:hAnsi="Verdana" w:cs="Cambria Math"/>
          <w:sz w:val="20"/>
          <w:szCs w:val="20"/>
        </w:rPr>
        <w:t>sejam</w:t>
      </w:r>
      <w:proofErr w:type="gramEnd"/>
      <w:r w:rsidRPr="005E4A4C">
        <w:rPr>
          <w:rFonts w:ascii="Verdana" w:hAnsi="Verdana" w:cs="Cambria Math"/>
          <w:sz w:val="20"/>
          <w:szCs w:val="20"/>
        </w:rPr>
        <w:t xml:space="preserve"> alcançadas pelo disposto no § 3º do art. 10 da Lei nº 13.182, de 3 de novembro de 2015 (Itumbiara);</w:t>
      </w:r>
    </w:p>
    <w:p w14:paraId="23281BD7" w14:textId="77777777" w:rsidR="00233C4A" w:rsidRPr="005E4A4C" w:rsidRDefault="00233C4A" w:rsidP="00233C4A">
      <w:pPr>
        <w:pStyle w:val="PargrafodaLista"/>
        <w:autoSpaceDE w:val="0"/>
        <w:autoSpaceDN w:val="0"/>
        <w:adjustRightInd w:val="0"/>
        <w:ind w:left="720"/>
        <w:contextualSpacing/>
        <w:rPr>
          <w:rFonts w:ascii="Verdana" w:hAnsi="Verdana" w:cs="Cambria Math"/>
          <w:sz w:val="20"/>
          <w:szCs w:val="20"/>
        </w:rPr>
      </w:pPr>
    </w:p>
    <w:p w14:paraId="54C0BF4D" w14:textId="77777777" w:rsidR="00233C4A" w:rsidRPr="005E4A4C" w:rsidRDefault="00233C4A" w:rsidP="00233C4A">
      <w:pPr>
        <w:pStyle w:val="PargrafodaLista"/>
        <w:numPr>
          <w:ilvl w:val="0"/>
          <w:numId w:val="46"/>
        </w:numPr>
        <w:autoSpaceDE w:val="0"/>
        <w:autoSpaceDN w:val="0"/>
        <w:adjustRightInd w:val="0"/>
        <w:contextualSpacing/>
        <w:rPr>
          <w:rFonts w:ascii="Verdana" w:hAnsi="Verdana" w:cs="Cambria Math"/>
          <w:sz w:val="20"/>
          <w:szCs w:val="20"/>
        </w:rPr>
      </w:pPr>
      <w:proofErr w:type="gramStart"/>
      <w:r w:rsidRPr="005E4A4C">
        <w:rPr>
          <w:rFonts w:ascii="Verdana" w:hAnsi="Verdana" w:cs="Cambria Math"/>
          <w:sz w:val="20"/>
          <w:szCs w:val="20"/>
        </w:rPr>
        <w:t>tenham</w:t>
      </w:r>
      <w:proofErr w:type="gramEnd"/>
      <w:r w:rsidRPr="005E4A4C">
        <w:rPr>
          <w:rFonts w:ascii="Verdana" w:hAnsi="Verdana" w:cs="Cambria Math"/>
          <w:sz w:val="20"/>
          <w:szCs w:val="20"/>
        </w:rPr>
        <w:t xml:space="preserve"> sido outorgadas por meio do Contrato de Concessão nº 007/2004-A</w:t>
      </w:r>
      <w:r>
        <w:rPr>
          <w:rFonts w:ascii="Verdana" w:hAnsi="Verdana" w:cs="Cambria Math"/>
          <w:sz w:val="20"/>
          <w:szCs w:val="20"/>
        </w:rPr>
        <w:t>neel</w:t>
      </w:r>
      <w:r w:rsidRPr="005E4A4C">
        <w:rPr>
          <w:rFonts w:ascii="Verdana" w:hAnsi="Verdana" w:cs="Cambria Math"/>
          <w:sz w:val="20"/>
          <w:szCs w:val="20"/>
        </w:rPr>
        <w:t xml:space="preserve">-Eletronorte </w:t>
      </w:r>
    </w:p>
    <w:p w14:paraId="0177CFA8" w14:textId="77777777" w:rsidR="00233C4A" w:rsidRPr="005E4A4C" w:rsidRDefault="00233C4A" w:rsidP="00233C4A">
      <w:pPr>
        <w:pStyle w:val="PargrafodaLista"/>
        <w:autoSpaceDE w:val="0"/>
        <w:autoSpaceDN w:val="0"/>
        <w:adjustRightInd w:val="0"/>
        <w:ind w:left="720"/>
        <w:contextualSpacing/>
        <w:rPr>
          <w:rFonts w:ascii="Verdana" w:hAnsi="Verdana" w:cs="Cambria Math"/>
          <w:sz w:val="20"/>
          <w:szCs w:val="20"/>
        </w:rPr>
      </w:pPr>
      <w:r w:rsidRPr="005E4A4C">
        <w:rPr>
          <w:rFonts w:ascii="Verdana" w:hAnsi="Verdana" w:cs="Cambria Math"/>
          <w:sz w:val="20"/>
          <w:szCs w:val="20"/>
        </w:rPr>
        <w:t xml:space="preserve">(Tucuruí e </w:t>
      </w:r>
      <w:proofErr w:type="spellStart"/>
      <w:r w:rsidRPr="005E4A4C">
        <w:rPr>
          <w:rFonts w:ascii="Verdana" w:hAnsi="Verdana" w:cs="Cambria Math"/>
          <w:sz w:val="20"/>
          <w:szCs w:val="20"/>
        </w:rPr>
        <w:t>Curuá</w:t>
      </w:r>
      <w:proofErr w:type="spellEnd"/>
      <w:r w:rsidRPr="005E4A4C">
        <w:rPr>
          <w:rFonts w:ascii="Verdana" w:hAnsi="Verdana" w:cs="Cambria Math"/>
          <w:sz w:val="20"/>
          <w:szCs w:val="20"/>
        </w:rPr>
        <w:t>-Una); e</w:t>
      </w:r>
    </w:p>
    <w:p w14:paraId="6C661BF9" w14:textId="77777777" w:rsidR="00233C4A" w:rsidRPr="005E4A4C" w:rsidRDefault="00233C4A" w:rsidP="00233C4A">
      <w:pPr>
        <w:pStyle w:val="PargrafodaLista"/>
        <w:autoSpaceDE w:val="0"/>
        <w:autoSpaceDN w:val="0"/>
        <w:adjustRightInd w:val="0"/>
        <w:ind w:left="720"/>
        <w:contextualSpacing/>
        <w:rPr>
          <w:rFonts w:ascii="Verdana" w:hAnsi="Verdana" w:cs="Cambria Math"/>
          <w:sz w:val="20"/>
          <w:szCs w:val="20"/>
        </w:rPr>
      </w:pPr>
    </w:p>
    <w:p w14:paraId="244C054A" w14:textId="77777777" w:rsidR="00233C4A" w:rsidRPr="005E4A4C" w:rsidRDefault="00233C4A" w:rsidP="00233C4A">
      <w:pPr>
        <w:pStyle w:val="PargrafodaLista"/>
        <w:numPr>
          <w:ilvl w:val="0"/>
          <w:numId w:val="46"/>
        </w:numPr>
        <w:autoSpaceDE w:val="0"/>
        <w:autoSpaceDN w:val="0"/>
        <w:adjustRightInd w:val="0"/>
        <w:contextualSpacing/>
        <w:rPr>
          <w:rFonts w:ascii="Verdana" w:hAnsi="Verdana" w:cs="Cambria Math"/>
          <w:sz w:val="20"/>
          <w:szCs w:val="20"/>
        </w:rPr>
      </w:pPr>
      <w:proofErr w:type="gramStart"/>
      <w:r w:rsidRPr="005E4A4C">
        <w:rPr>
          <w:rFonts w:ascii="Verdana" w:hAnsi="Verdana" w:cs="Cambria Math"/>
          <w:sz w:val="20"/>
          <w:szCs w:val="20"/>
        </w:rPr>
        <w:t>tenham</w:t>
      </w:r>
      <w:proofErr w:type="gramEnd"/>
      <w:r w:rsidRPr="005E4A4C">
        <w:rPr>
          <w:rFonts w:ascii="Verdana" w:hAnsi="Verdana" w:cs="Cambria Math"/>
          <w:sz w:val="20"/>
          <w:szCs w:val="20"/>
        </w:rPr>
        <w:t xml:space="preserve"> sido outorgadas por meio do Contrato de Concessão nº 004/2004-A</w:t>
      </w:r>
      <w:r>
        <w:rPr>
          <w:rFonts w:ascii="Verdana" w:hAnsi="Verdana" w:cs="Cambria Math"/>
          <w:sz w:val="20"/>
          <w:szCs w:val="20"/>
        </w:rPr>
        <w:t>neel</w:t>
      </w:r>
      <w:r w:rsidRPr="005E4A4C">
        <w:rPr>
          <w:rFonts w:ascii="Verdana" w:hAnsi="Verdana" w:cs="Cambria Math"/>
          <w:sz w:val="20"/>
          <w:szCs w:val="20"/>
        </w:rPr>
        <w:t>-Furnas, especificamente para a Usina Hidrelétrica - UHE Mascarenhas de Moraes.</w:t>
      </w:r>
    </w:p>
    <w:p w14:paraId="1373A135" w14:textId="77777777" w:rsidR="00233C4A" w:rsidRPr="005E4A4C" w:rsidRDefault="00233C4A" w:rsidP="00233C4A">
      <w:pPr>
        <w:rPr>
          <w:rFonts w:ascii="Verdana" w:hAnsi="Verdana" w:cs="Cambria Math"/>
          <w:color w:val="000000"/>
          <w:sz w:val="20"/>
          <w:szCs w:val="20"/>
        </w:rPr>
      </w:pPr>
    </w:p>
    <w:p w14:paraId="55FC2001" w14:textId="77777777" w:rsidR="00233C4A" w:rsidRPr="005E4A4C" w:rsidRDefault="00233C4A" w:rsidP="00233C4A">
      <w:pPr>
        <w:rPr>
          <w:rFonts w:ascii="Verdana" w:hAnsi="Verdana" w:cs="Cambria Math"/>
          <w:color w:val="000000"/>
          <w:sz w:val="20"/>
          <w:szCs w:val="20"/>
        </w:rPr>
      </w:pPr>
      <w:r w:rsidRPr="005E4A4C">
        <w:rPr>
          <w:rFonts w:ascii="Verdana" w:hAnsi="Verdana" w:cs="Cambria Math"/>
          <w:color w:val="000000"/>
          <w:sz w:val="20"/>
          <w:szCs w:val="20"/>
        </w:rPr>
        <w:t>A desestatização também está condicionada à reestruturação societária para manter sob o controle, direto ou indireto da União, empresas, instalações e participações, detidas ou gerenciadas pela Eletrobras, especificamente Eletrobras Termonuclear S.A - Eletronuclear e Itaipu Binacional.</w:t>
      </w:r>
    </w:p>
    <w:p w14:paraId="4464B794" w14:textId="77777777" w:rsidR="00233C4A" w:rsidRPr="005E4A4C" w:rsidRDefault="00233C4A" w:rsidP="00233C4A">
      <w:pPr>
        <w:widowControl w:val="0"/>
        <w:autoSpaceDE w:val="0"/>
        <w:autoSpaceDN w:val="0"/>
        <w:jc w:val="left"/>
        <w:rPr>
          <w:rFonts w:ascii="Verdana" w:hAnsi="Verdana" w:cs="Cambria Math"/>
          <w:color w:val="000000"/>
          <w:sz w:val="20"/>
          <w:szCs w:val="20"/>
        </w:rPr>
      </w:pPr>
    </w:p>
    <w:p w14:paraId="66E39436" w14:textId="77777777" w:rsidR="00233C4A" w:rsidRPr="005E4A4C" w:rsidRDefault="00233C4A" w:rsidP="00233C4A">
      <w:pPr>
        <w:widowControl w:val="0"/>
        <w:autoSpaceDE w:val="0"/>
        <w:autoSpaceDN w:val="0"/>
        <w:rPr>
          <w:rFonts w:ascii="Verdana" w:hAnsi="Verdana" w:cs="Cambria Math"/>
          <w:color w:val="000000"/>
          <w:sz w:val="20"/>
          <w:szCs w:val="20"/>
        </w:rPr>
      </w:pPr>
      <w:r w:rsidRPr="005E4A4C">
        <w:rPr>
          <w:rFonts w:ascii="Verdana" w:hAnsi="Verdana" w:cs="Cambria Math"/>
          <w:color w:val="000000"/>
          <w:sz w:val="20"/>
          <w:szCs w:val="20"/>
        </w:rPr>
        <w:t>Em dezembro de 2021, por meio da Resolução nº 30/2021, que alterou a Resolução nº 15/2021, o Conselho Nacional de Política Energética - CNPE</w:t>
      </w:r>
      <w:r w:rsidRPr="005E4A4C" w:rsidDel="00577B0F">
        <w:rPr>
          <w:rFonts w:ascii="Verdana" w:hAnsi="Verdana" w:cs="Cambria Math"/>
          <w:color w:val="000000"/>
          <w:sz w:val="20"/>
          <w:szCs w:val="20"/>
        </w:rPr>
        <w:t xml:space="preserve"> </w:t>
      </w:r>
      <w:r w:rsidRPr="005E4A4C">
        <w:rPr>
          <w:rFonts w:ascii="Verdana" w:hAnsi="Verdana" w:cs="Cambria Math"/>
          <w:color w:val="000000"/>
          <w:sz w:val="20"/>
          <w:szCs w:val="20"/>
        </w:rPr>
        <w:t xml:space="preserve">determinou o valor do benefício econômico dos novos contratos de concessão de geração de energia elétrica em R$ 67.052.502 para 22 usinas hidrelétricas da Eletrobras atingidas pela Lei nº 14.182/2021. </w:t>
      </w:r>
    </w:p>
    <w:p w14:paraId="43B9C797" w14:textId="77777777" w:rsidR="00233C4A" w:rsidRPr="005E4A4C" w:rsidRDefault="00233C4A" w:rsidP="00233C4A">
      <w:pPr>
        <w:widowControl w:val="0"/>
        <w:autoSpaceDE w:val="0"/>
        <w:autoSpaceDN w:val="0"/>
        <w:rPr>
          <w:rFonts w:ascii="Verdana" w:hAnsi="Verdana" w:cs="Cambria Math"/>
          <w:color w:val="000000"/>
          <w:sz w:val="20"/>
          <w:szCs w:val="20"/>
        </w:rPr>
      </w:pPr>
    </w:p>
    <w:p w14:paraId="492ABBE1" w14:textId="77777777" w:rsidR="00233C4A" w:rsidRPr="005E4A4C" w:rsidRDefault="00233C4A" w:rsidP="00233C4A">
      <w:pPr>
        <w:widowControl w:val="0"/>
        <w:autoSpaceDE w:val="0"/>
        <w:autoSpaceDN w:val="0"/>
        <w:rPr>
          <w:rFonts w:ascii="Verdana" w:hAnsi="Verdana" w:cs="Cambria Math"/>
          <w:sz w:val="20"/>
          <w:szCs w:val="20"/>
        </w:rPr>
      </w:pPr>
      <w:r w:rsidRPr="005E4A4C">
        <w:rPr>
          <w:rFonts w:ascii="Verdana" w:hAnsi="Verdana" w:cs="Cambria Math"/>
          <w:sz w:val="20"/>
          <w:szCs w:val="20"/>
        </w:rPr>
        <w:t>Sendo concluído o processo de desestatização, do montante de R$ 67.052.502 serão deduzidos os créditos de R$ 2.906.499, relativos ao reembolso pelas despesas comprovadas com aquisição de combustível, incorridas até 30 de junho de 2017, pelas concessionárias que foram controladas pela Eletrobras e titulares das concessões de que trata o art. 4º-A da Lei nº 12.111/2009, que tenham sido comprovadas, porém não reembolsadas, por força das exigências de eficiência econômica e energética de que trata o § 12 do art. 3º da referida Lei.</w:t>
      </w:r>
    </w:p>
    <w:p w14:paraId="07768048" w14:textId="77777777" w:rsidR="00233C4A" w:rsidRPr="005E4A4C" w:rsidRDefault="00233C4A" w:rsidP="00233C4A">
      <w:pPr>
        <w:widowControl w:val="0"/>
        <w:autoSpaceDE w:val="0"/>
        <w:autoSpaceDN w:val="0"/>
        <w:rPr>
          <w:rFonts w:ascii="Verdana" w:hAnsi="Verdana" w:cs="Cambria Math"/>
          <w:color w:val="000000"/>
          <w:sz w:val="20"/>
          <w:szCs w:val="20"/>
        </w:rPr>
      </w:pPr>
    </w:p>
    <w:p w14:paraId="6823FFF4" w14:textId="77777777" w:rsidR="00233C4A" w:rsidRPr="005E4A4C" w:rsidRDefault="00233C4A" w:rsidP="00233C4A">
      <w:pPr>
        <w:pStyle w:val="Textodecomentrio"/>
        <w:rPr>
          <w:rFonts w:ascii="Verdana" w:hAnsi="Verdana"/>
        </w:rPr>
      </w:pPr>
      <w:r w:rsidRPr="00191187">
        <w:rPr>
          <w:rFonts w:ascii="Verdana" w:hAnsi="Verdana" w:cs="Cambria Math"/>
        </w:rPr>
        <w:t>Em relação ao saldo a pagar de benefício econômico, após a dedução acima mencionada, a Eletrobras dará como contraprestação o seguinte:</w:t>
      </w:r>
    </w:p>
    <w:p w14:paraId="481F1D84" w14:textId="77777777" w:rsidR="00233C4A" w:rsidRPr="005E4A4C" w:rsidRDefault="00233C4A" w:rsidP="00233C4A">
      <w:pPr>
        <w:widowControl w:val="0"/>
        <w:autoSpaceDE w:val="0"/>
        <w:autoSpaceDN w:val="0"/>
        <w:rPr>
          <w:rFonts w:ascii="Verdana" w:hAnsi="Verdana" w:cs="Cambria Math"/>
          <w:color w:val="000000"/>
          <w:sz w:val="20"/>
          <w:szCs w:val="20"/>
        </w:rPr>
      </w:pPr>
    </w:p>
    <w:p w14:paraId="6CBC1DAD" w14:textId="77777777" w:rsidR="00233C4A" w:rsidRPr="005E4A4C" w:rsidRDefault="00233C4A" w:rsidP="00233C4A">
      <w:pPr>
        <w:pStyle w:val="PargrafodaLista"/>
        <w:widowControl w:val="0"/>
        <w:numPr>
          <w:ilvl w:val="0"/>
          <w:numId w:val="44"/>
        </w:numPr>
        <w:autoSpaceDE w:val="0"/>
        <w:autoSpaceDN w:val="0"/>
        <w:contextualSpacing/>
        <w:rPr>
          <w:rFonts w:ascii="Verdana" w:hAnsi="Verdana" w:cs="Cambria Math"/>
          <w:sz w:val="20"/>
          <w:szCs w:val="20"/>
        </w:rPr>
      </w:pPr>
      <w:proofErr w:type="gramStart"/>
      <w:r w:rsidRPr="005E4A4C">
        <w:rPr>
          <w:rFonts w:ascii="Verdana" w:hAnsi="Verdana" w:cs="Cambria Math"/>
          <w:sz w:val="20"/>
          <w:szCs w:val="20"/>
        </w:rPr>
        <w:t>pagamento</w:t>
      </w:r>
      <w:proofErr w:type="gramEnd"/>
      <w:r w:rsidRPr="005E4A4C">
        <w:rPr>
          <w:rFonts w:ascii="Verdana" w:hAnsi="Verdana" w:cs="Cambria Math"/>
          <w:sz w:val="20"/>
          <w:szCs w:val="20"/>
        </w:rPr>
        <w:t xml:space="preserve"> de R$ 25.379.080 à União</w:t>
      </w:r>
      <w:r w:rsidRPr="005E4A4C">
        <w:rPr>
          <w:rFonts w:ascii="Verdana" w:hAnsi="Verdana" w:cs="Cambria Math"/>
          <w:color w:val="000000"/>
          <w:sz w:val="20"/>
          <w:szCs w:val="20"/>
        </w:rPr>
        <w:t>, a título de bonificação pelas outorgas das 22 usinas hidrelétricas mencionadas acima, das quais 17 sairão do atual regime de cotas, que só remunera operação e manutenção, para o de produção independente de energia.</w:t>
      </w:r>
    </w:p>
    <w:p w14:paraId="07CB760E" w14:textId="77777777" w:rsidR="00233C4A" w:rsidRPr="005E4A4C" w:rsidRDefault="00233C4A" w:rsidP="00233C4A">
      <w:pPr>
        <w:pStyle w:val="PargrafodaLista"/>
        <w:widowControl w:val="0"/>
        <w:autoSpaceDE w:val="0"/>
        <w:autoSpaceDN w:val="0"/>
        <w:ind w:left="720"/>
        <w:contextualSpacing/>
        <w:rPr>
          <w:rFonts w:ascii="Verdana" w:hAnsi="Verdana" w:cs="Cambria Math"/>
          <w:sz w:val="20"/>
          <w:szCs w:val="20"/>
        </w:rPr>
      </w:pPr>
    </w:p>
    <w:p w14:paraId="237CA279" w14:textId="77777777" w:rsidR="00233C4A" w:rsidRDefault="00233C4A" w:rsidP="00233C4A">
      <w:pPr>
        <w:pStyle w:val="PargrafodaLista"/>
        <w:widowControl w:val="0"/>
        <w:numPr>
          <w:ilvl w:val="0"/>
          <w:numId w:val="44"/>
        </w:numPr>
        <w:autoSpaceDE w:val="0"/>
        <w:autoSpaceDN w:val="0"/>
        <w:contextualSpacing/>
        <w:rPr>
          <w:rFonts w:ascii="Verdana" w:hAnsi="Verdana" w:cs="Cambria Math"/>
          <w:sz w:val="20"/>
          <w:szCs w:val="20"/>
        </w:rPr>
      </w:pPr>
      <w:proofErr w:type="gramStart"/>
      <w:r w:rsidRPr="0064082D">
        <w:rPr>
          <w:rFonts w:ascii="Verdana" w:hAnsi="Verdana" w:cs="Cambria Math"/>
          <w:sz w:val="20"/>
          <w:szCs w:val="20"/>
        </w:rPr>
        <w:t>pa</w:t>
      </w:r>
      <w:r w:rsidRPr="005E4A4C">
        <w:rPr>
          <w:rFonts w:ascii="Verdana" w:hAnsi="Verdana" w:cs="Cambria Math"/>
          <w:sz w:val="20"/>
          <w:szCs w:val="20"/>
        </w:rPr>
        <w:t>gamento</w:t>
      </w:r>
      <w:proofErr w:type="gramEnd"/>
      <w:r w:rsidRPr="005E4A4C">
        <w:rPr>
          <w:rFonts w:ascii="Verdana" w:hAnsi="Verdana" w:cs="Cambria Math"/>
          <w:sz w:val="20"/>
          <w:szCs w:val="20"/>
        </w:rPr>
        <w:t xml:space="preserve"> de R$ 71.082.282, correspondente ao valor presente de R$ 32.073.002 à Conta de Desenvolvimento Energético – CDE, pelo período de vinte e cinco anos, conforme o cronograma estabelecido na </w:t>
      </w:r>
      <w:r w:rsidRPr="0064082D">
        <w:rPr>
          <w:rFonts w:ascii="Verdana" w:hAnsi="Verdana" w:cs="Cambria Math"/>
          <w:sz w:val="20"/>
          <w:szCs w:val="20"/>
        </w:rPr>
        <w:t>Resolução CNPE nº 30/2021:</w:t>
      </w:r>
    </w:p>
    <w:p w14:paraId="07C410BF" w14:textId="77777777" w:rsidR="00191187" w:rsidRPr="005E4A4C" w:rsidRDefault="00191187" w:rsidP="00191187">
      <w:pPr>
        <w:pStyle w:val="PargrafodaLista"/>
        <w:widowControl w:val="0"/>
        <w:autoSpaceDE w:val="0"/>
        <w:autoSpaceDN w:val="0"/>
        <w:ind w:left="720"/>
        <w:contextualSpacing/>
        <w:rPr>
          <w:rFonts w:ascii="Verdana" w:hAnsi="Verdana" w:cs="Cambria Math"/>
          <w:sz w:val="20"/>
          <w:szCs w:val="20"/>
        </w:rPr>
      </w:pPr>
    </w:p>
    <w:p w14:paraId="07C320EB" w14:textId="77777777" w:rsidR="00191187" w:rsidRPr="005E4A4C" w:rsidRDefault="00191187" w:rsidP="00191187">
      <w:pPr>
        <w:pStyle w:val="PargrafodaLista"/>
        <w:widowControl w:val="0"/>
        <w:autoSpaceDE w:val="0"/>
        <w:autoSpaceDN w:val="0"/>
        <w:ind w:left="720"/>
        <w:contextualSpacing/>
        <w:jc w:val="center"/>
        <w:rPr>
          <w:rFonts w:ascii="Verdana" w:hAnsi="Verdana" w:cs="Cambria Math"/>
          <w:sz w:val="20"/>
          <w:szCs w:val="20"/>
        </w:rPr>
      </w:pPr>
      <w:r w:rsidRPr="005E4A4C">
        <w:rPr>
          <w:rFonts w:ascii="Verdana" w:hAnsi="Verdana" w:cs="Cambria Math"/>
          <w:sz w:val="20"/>
          <w:szCs w:val="20"/>
        </w:rPr>
        <w:t xml:space="preserve">  </w:t>
      </w:r>
      <w:r w:rsidRPr="005E4A4C">
        <w:rPr>
          <w:rFonts w:ascii="Verdana" w:hAnsi="Verdana"/>
          <w:noProof/>
          <w:sz w:val="20"/>
          <w:szCs w:val="20"/>
        </w:rPr>
        <w:drawing>
          <wp:inline distT="0" distB="0" distL="0" distR="0" wp14:anchorId="35B4D745" wp14:editId="75B33F3D">
            <wp:extent cx="3054350" cy="1760134"/>
            <wp:effectExtent l="0" t="0" r="0" b="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6442" cy="1761339"/>
                    </a:xfrm>
                    <a:prstGeom prst="rect">
                      <a:avLst/>
                    </a:prstGeom>
                    <a:noFill/>
                    <a:ln>
                      <a:noFill/>
                    </a:ln>
                  </pic:spPr>
                </pic:pic>
              </a:graphicData>
            </a:graphic>
          </wp:inline>
        </w:drawing>
      </w:r>
    </w:p>
    <w:p w14:paraId="63D28D51" w14:textId="77777777" w:rsidR="00191187" w:rsidRPr="005E4A4C" w:rsidRDefault="00191187" w:rsidP="00191187">
      <w:pPr>
        <w:widowControl w:val="0"/>
        <w:autoSpaceDE w:val="0"/>
        <w:autoSpaceDN w:val="0"/>
        <w:jc w:val="center"/>
        <w:rPr>
          <w:rFonts w:ascii="Verdana" w:hAnsi="Verdana" w:cs="Cambria Math"/>
          <w:sz w:val="20"/>
          <w:szCs w:val="20"/>
        </w:rPr>
      </w:pPr>
      <w:r w:rsidRPr="005E4A4C">
        <w:rPr>
          <w:rFonts w:ascii="Verdana" w:hAnsi="Verdana" w:cs="Cambria Math"/>
          <w:sz w:val="20"/>
          <w:szCs w:val="20"/>
        </w:rPr>
        <w:t xml:space="preserve"> </w:t>
      </w:r>
    </w:p>
    <w:p w14:paraId="68C6853C" w14:textId="77777777" w:rsidR="00233C4A" w:rsidRPr="0064082D" w:rsidRDefault="00233C4A" w:rsidP="00233C4A">
      <w:pPr>
        <w:pStyle w:val="PargrafodaLista"/>
        <w:widowControl w:val="0"/>
        <w:numPr>
          <w:ilvl w:val="0"/>
          <w:numId w:val="44"/>
        </w:numPr>
        <w:autoSpaceDE w:val="0"/>
        <w:autoSpaceDN w:val="0"/>
        <w:contextualSpacing/>
        <w:rPr>
          <w:rFonts w:ascii="Verdana" w:hAnsi="Verdana" w:cs="Cambria Math"/>
          <w:color w:val="000000"/>
          <w:sz w:val="20"/>
          <w:szCs w:val="20"/>
        </w:rPr>
      </w:pPr>
      <w:r w:rsidRPr="0064082D">
        <w:rPr>
          <w:rFonts w:ascii="Verdana" w:hAnsi="Verdana" w:cs="Cambria Math"/>
          <w:color w:val="000000"/>
          <w:sz w:val="20"/>
          <w:szCs w:val="20"/>
        </w:rPr>
        <w:t xml:space="preserve">aportes de recursos anuais, em 10 anos, atualizados pelo Índice de Preços para o Consumidor Amplo -  IPCA, ou por outro índice que vier a substituí-lo, para desenvolvimento de projetos que comporão: i) revitalização dos recursos hídricos das bacias hidrográficas na área de influência dos reservatórios das usinas hidrelétricas de Furnas, R$ 230.000; </w:t>
      </w:r>
      <w:proofErr w:type="spellStart"/>
      <w:r w:rsidRPr="0064082D">
        <w:rPr>
          <w:rFonts w:ascii="Verdana" w:hAnsi="Verdana" w:cs="Cambria Math"/>
          <w:color w:val="000000"/>
          <w:sz w:val="20"/>
          <w:szCs w:val="20"/>
        </w:rPr>
        <w:t>ii</w:t>
      </w:r>
      <w:proofErr w:type="spellEnd"/>
      <w:r w:rsidRPr="0064082D">
        <w:rPr>
          <w:rFonts w:ascii="Verdana" w:hAnsi="Verdana" w:cs="Cambria Math"/>
          <w:color w:val="000000"/>
          <w:sz w:val="20"/>
          <w:szCs w:val="20"/>
        </w:rPr>
        <w:t xml:space="preserve">) redução estrutural de custos de geração de energia na Amazônia Legal e navegabilidade dos Rios Madeira e Tocantins, R$ 295.000; e </w:t>
      </w:r>
      <w:proofErr w:type="spellStart"/>
      <w:r w:rsidRPr="0064082D">
        <w:rPr>
          <w:rFonts w:ascii="Verdana" w:hAnsi="Verdana" w:cs="Cambria Math"/>
          <w:color w:val="000000"/>
          <w:sz w:val="20"/>
          <w:szCs w:val="20"/>
        </w:rPr>
        <w:t>iii</w:t>
      </w:r>
      <w:proofErr w:type="spellEnd"/>
      <w:r w:rsidRPr="0064082D">
        <w:rPr>
          <w:rFonts w:ascii="Verdana" w:hAnsi="Verdana" w:cs="Cambria Math"/>
          <w:color w:val="000000"/>
          <w:sz w:val="20"/>
          <w:szCs w:val="20"/>
        </w:rPr>
        <w:t>) revitalização das Bacias do Rio São Francisco e do Rio Parnaíba, R$ 350.000, totalizando o montante anual de R$ 875.000.</w:t>
      </w:r>
    </w:p>
    <w:p w14:paraId="22F2487C" w14:textId="77777777" w:rsidR="00233C4A" w:rsidRPr="0064082D" w:rsidRDefault="00233C4A" w:rsidP="00233C4A">
      <w:pPr>
        <w:widowControl w:val="0"/>
        <w:autoSpaceDE w:val="0"/>
        <w:autoSpaceDN w:val="0"/>
        <w:contextualSpacing/>
        <w:rPr>
          <w:rFonts w:ascii="Verdana" w:hAnsi="Verdana" w:cs="Cambria Math"/>
          <w:color w:val="000000"/>
          <w:sz w:val="20"/>
          <w:szCs w:val="20"/>
        </w:rPr>
      </w:pPr>
    </w:p>
    <w:p w14:paraId="43D36FEC" w14:textId="77777777" w:rsidR="00233C4A" w:rsidRDefault="00233C4A" w:rsidP="00233C4A">
      <w:pPr>
        <w:widowControl w:val="0"/>
        <w:autoSpaceDE w:val="0"/>
        <w:autoSpaceDN w:val="0"/>
        <w:contextualSpacing/>
        <w:rPr>
          <w:rFonts w:ascii="Verdana" w:hAnsi="Verdana" w:cs="Cambria Math"/>
          <w:sz w:val="20"/>
          <w:szCs w:val="20"/>
        </w:rPr>
      </w:pPr>
      <w:r w:rsidRPr="0064082D">
        <w:rPr>
          <w:rFonts w:ascii="Verdana" w:hAnsi="Verdana" w:cs="Cambria Math"/>
          <w:color w:val="000000"/>
          <w:sz w:val="20"/>
          <w:szCs w:val="20"/>
        </w:rPr>
        <w:t xml:space="preserve">As contraprestações supracitadas se tornarão obrigação efetiva </w:t>
      </w:r>
      <w:r w:rsidRPr="0064082D">
        <w:rPr>
          <w:rFonts w:ascii="Verdana" w:hAnsi="Verdana" w:cs="Cambria Math"/>
          <w:sz w:val="20"/>
          <w:szCs w:val="20"/>
        </w:rPr>
        <w:t>quando for concluído o processo de desestatização.</w:t>
      </w:r>
    </w:p>
    <w:p w14:paraId="21799763" w14:textId="77777777" w:rsidR="00233C4A" w:rsidRDefault="00233C4A" w:rsidP="00233C4A">
      <w:pPr>
        <w:widowControl w:val="0"/>
        <w:autoSpaceDE w:val="0"/>
        <w:autoSpaceDN w:val="0"/>
        <w:contextualSpacing/>
        <w:rPr>
          <w:rFonts w:ascii="Verdana" w:hAnsi="Verdana" w:cs="Cambria Math"/>
          <w:sz w:val="20"/>
          <w:szCs w:val="20"/>
        </w:rPr>
      </w:pPr>
    </w:p>
    <w:p w14:paraId="45469C98" w14:textId="77777777" w:rsidR="00233C4A" w:rsidRPr="005E4A4C" w:rsidRDefault="00233C4A" w:rsidP="00233C4A">
      <w:pPr>
        <w:pStyle w:val="yiv6459758197msolistparagraph"/>
        <w:shd w:val="clear" w:color="auto" w:fill="FFFFFF"/>
        <w:spacing w:before="0" w:beforeAutospacing="0" w:after="0" w:afterAutospacing="0"/>
        <w:jc w:val="both"/>
        <w:rPr>
          <w:rFonts w:ascii="Verdana" w:hAnsi="Verdana" w:cs="Arial"/>
          <w:b/>
          <w:color w:val="000000" w:themeColor="text1"/>
          <w:sz w:val="20"/>
          <w:szCs w:val="20"/>
          <w:u w:val="single"/>
        </w:rPr>
      </w:pPr>
      <w:r w:rsidRPr="005E4A4C">
        <w:rPr>
          <w:rFonts w:ascii="Verdana" w:hAnsi="Verdana" w:cs="Arial"/>
          <w:bCs/>
          <w:color w:val="0070C0"/>
          <w:sz w:val="20"/>
          <w:szCs w:val="20"/>
        </w:rPr>
        <w:t>COVID-19</w:t>
      </w:r>
    </w:p>
    <w:p w14:paraId="40F25B25" w14:textId="77777777" w:rsidR="00233C4A" w:rsidRPr="005E4A4C" w:rsidRDefault="00233C4A" w:rsidP="00233C4A">
      <w:pPr>
        <w:pStyle w:val="yiv6459758197msolistparagraph"/>
        <w:shd w:val="clear" w:color="auto" w:fill="FFFFFF"/>
        <w:spacing w:before="0" w:beforeAutospacing="0" w:after="0" w:afterAutospacing="0"/>
        <w:jc w:val="both"/>
        <w:rPr>
          <w:rFonts w:ascii="Verdana" w:hAnsi="Verdana" w:cs="Arial"/>
          <w:b/>
          <w:color w:val="000000" w:themeColor="text1"/>
          <w:sz w:val="20"/>
          <w:szCs w:val="20"/>
          <w:u w:val="single"/>
        </w:rPr>
      </w:pPr>
    </w:p>
    <w:p w14:paraId="2C9F71CF" w14:textId="77777777" w:rsidR="00233C4A" w:rsidRPr="005E4A4C" w:rsidRDefault="00233C4A" w:rsidP="00233C4A">
      <w:pPr>
        <w:autoSpaceDE w:val="0"/>
        <w:autoSpaceDN w:val="0"/>
        <w:rPr>
          <w:rFonts w:ascii="Verdana" w:hAnsi="Verdana" w:cs="Arial"/>
          <w:color w:val="000000"/>
          <w:sz w:val="20"/>
          <w:szCs w:val="20"/>
        </w:rPr>
      </w:pPr>
      <w:r w:rsidRPr="005E4A4C">
        <w:rPr>
          <w:rFonts w:ascii="Verdana" w:hAnsi="Verdana" w:cs="Arial"/>
          <w:color w:val="000000"/>
          <w:sz w:val="20"/>
          <w:szCs w:val="20"/>
        </w:rPr>
        <w:t xml:space="preserve">Em março de 2020, a Organização Mundial da Saúde - OMS caracterizou a propagação da COVID-19, doença causada pelo novo </w:t>
      </w:r>
      <w:proofErr w:type="spellStart"/>
      <w:r w:rsidRPr="005E4A4C">
        <w:rPr>
          <w:rFonts w:ascii="Verdana" w:hAnsi="Verdana" w:cs="Arial"/>
          <w:color w:val="000000"/>
          <w:sz w:val="20"/>
          <w:szCs w:val="20"/>
        </w:rPr>
        <w:t>coronavírus</w:t>
      </w:r>
      <w:proofErr w:type="spellEnd"/>
      <w:r w:rsidRPr="005E4A4C">
        <w:rPr>
          <w:rFonts w:ascii="Verdana" w:hAnsi="Verdana" w:cs="Arial"/>
          <w:color w:val="000000"/>
          <w:sz w:val="20"/>
          <w:szCs w:val="20"/>
        </w:rPr>
        <w:t xml:space="preserve">, como pandemia, fazendo com que os países adotassem abordagens que possibilitem a prevenção de infecções, a preservação da vida e a minimização dos impactos decorrentes da referida doença. </w:t>
      </w:r>
    </w:p>
    <w:p w14:paraId="7BDDE418" w14:textId="77777777" w:rsidR="00233C4A" w:rsidRPr="005E4A4C" w:rsidRDefault="00233C4A" w:rsidP="00233C4A">
      <w:pPr>
        <w:autoSpaceDE w:val="0"/>
        <w:autoSpaceDN w:val="0"/>
        <w:rPr>
          <w:rFonts w:ascii="Verdana" w:hAnsi="Verdana" w:cs="Arial"/>
          <w:color w:val="000000"/>
          <w:sz w:val="20"/>
          <w:szCs w:val="20"/>
        </w:rPr>
      </w:pPr>
    </w:p>
    <w:p w14:paraId="0A845B04" w14:textId="77777777" w:rsidR="00233C4A" w:rsidRPr="005E4A4C" w:rsidRDefault="00233C4A" w:rsidP="00233C4A">
      <w:pPr>
        <w:autoSpaceDE w:val="0"/>
        <w:autoSpaceDN w:val="0"/>
        <w:rPr>
          <w:rFonts w:ascii="Verdana" w:hAnsi="Verdana" w:cs="Arial"/>
          <w:color w:val="000000"/>
          <w:sz w:val="20"/>
          <w:szCs w:val="20"/>
        </w:rPr>
      </w:pPr>
      <w:r w:rsidRPr="005E4A4C">
        <w:rPr>
          <w:rFonts w:ascii="Verdana" w:hAnsi="Verdana" w:cs="Arial"/>
          <w:color w:val="000000"/>
          <w:sz w:val="20"/>
          <w:szCs w:val="20"/>
        </w:rPr>
        <w:t>Em decorrência da pandemia, foram tomadas medidas restritivas no sentido de determinar o distanciamento social e o fechamento de estabelecimentos comerciais, além da paralisação da indústria. Estas medidas resultaram em desaceleração da cadeia de suprimentos e significativo impacto na economia global.</w:t>
      </w:r>
    </w:p>
    <w:p w14:paraId="12A46A51" w14:textId="77777777" w:rsidR="00233C4A" w:rsidRPr="005E4A4C" w:rsidRDefault="00233C4A" w:rsidP="00233C4A">
      <w:pPr>
        <w:autoSpaceDE w:val="0"/>
        <w:autoSpaceDN w:val="0"/>
        <w:rPr>
          <w:rFonts w:ascii="Verdana" w:hAnsi="Verdana" w:cs="Arial"/>
          <w:color w:val="000000"/>
          <w:sz w:val="20"/>
          <w:szCs w:val="20"/>
        </w:rPr>
      </w:pPr>
    </w:p>
    <w:p w14:paraId="488F724D" w14:textId="77777777" w:rsidR="00233C4A" w:rsidRPr="005E4A4C" w:rsidRDefault="00233C4A" w:rsidP="00233C4A">
      <w:pPr>
        <w:autoSpaceDE w:val="0"/>
        <w:autoSpaceDN w:val="0"/>
        <w:rPr>
          <w:rFonts w:ascii="Verdana" w:hAnsi="Verdana" w:cs="Arial"/>
          <w:color w:val="000000"/>
          <w:sz w:val="20"/>
          <w:szCs w:val="20"/>
        </w:rPr>
      </w:pPr>
      <w:r w:rsidRPr="005E4A4C">
        <w:rPr>
          <w:rFonts w:ascii="Verdana" w:hAnsi="Verdana" w:cs="Arial"/>
          <w:color w:val="000000"/>
          <w:sz w:val="20"/>
          <w:szCs w:val="20"/>
        </w:rPr>
        <w:t>A Companhia vem seguindo as recomendações do Ministério da Saúde, do Governo do Estado do Rio de Janeiro e das cidades onde se encontram suas unidades administrativas e operacionais, no que se refere à operação e vem adotando todas as medidas para manter a normalidade de suas atividades, dado o setor estratégico em que está inserida.</w:t>
      </w:r>
    </w:p>
    <w:p w14:paraId="4220DBC0" w14:textId="77777777" w:rsidR="00233C4A" w:rsidRPr="005E4A4C" w:rsidRDefault="00233C4A" w:rsidP="00233C4A">
      <w:pPr>
        <w:autoSpaceDE w:val="0"/>
        <w:autoSpaceDN w:val="0"/>
        <w:rPr>
          <w:rFonts w:ascii="Verdana" w:hAnsi="Verdana" w:cs="Arial"/>
          <w:color w:val="000000"/>
          <w:sz w:val="20"/>
          <w:szCs w:val="20"/>
        </w:rPr>
      </w:pPr>
    </w:p>
    <w:p w14:paraId="019B1E2F" w14:textId="77777777" w:rsidR="00233C4A" w:rsidRPr="005E4A4C" w:rsidRDefault="00233C4A" w:rsidP="00233C4A">
      <w:pPr>
        <w:autoSpaceDE w:val="0"/>
        <w:autoSpaceDN w:val="0"/>
        <w:rPr>
          <w:rFonts w:ascii="Verdana" w:hAnsi="Verdana" w:cs="Arial"/>
          <w:color w:val="000000"/>
          <w:sz w:val="20"/>
          <w:szCs w:val="20"/>
        </w:rPr>
      </w:pPr>
      <w:r w:rsidRPr="005E4A4C">
        <w:rPr>
          <w:rFonts w:ascii="Verdana" w:hAnsi="Verdana" w:cs="Arial"/>
          <w:color w:val="000000"/>
          <w:sz w:val="20"/>
          <w:szCs w:val="20"/>
        </w:rPr>
        <w:t>A Companhia mantém acompanhamento diligente das suas operações, tendo aprimorado os protocolos originais de operação e ações emergenciais a serem adotadas e não observou impactos relevantes no desempenho operacional relacionados à pandemia da COVID-19 em suas demonstrações financeiras, estando suas atividades autorizadas pelos órgãos federativos, visto a condição de atividade essencial às atividades do país.</w:t>
      </w:r>
    </w:p>
    <w:p w14:paraId="36E1A4DA" w14:textId="77777777" w:rsidR="00233C4A" w:rsidRPr="005E4A4C" w:rsidRDefault="00233C4A" w:rsidP="00233C4A">
      <w:pPr>
        <w:autoSpaceDE w:val="0"/>
        <w:autoSpaceDN w:val="0"/>
        <w:rPr>
          <w:rFonts w:ascii="Verdana" w:hAnsi="Verdana" w:cs="Arial"/>
          <w:color w:val="000000"/>
          <w:sz w:val="20"/>
          <w:szCs w:val="20"/>
        </w:rPr>
      </w:pPr>
    </w:p>
    <w:p w14:paraId="097E0662" w14:textId="77777777" w:rsidR="00233C4A" w:rsidRPr="005E4A4C" w:rsidRDefault="00233C4A" w:rsidP="00233C4A">
      <w:pPr>
        <w:autoSpaceDE w:val="0"/>
        <w:autoSpaceDN w:val="0"/>
        <w:rPr>
          <w:rFonts w:ascii="Verdana" w:hAnsi="Verdana" w:cs="Arial"/>
          <w:color w:val="000000"/>
          <w:sz w:val="20"/>
          <w:szCs w:val="20"/>
        </w:rPr>
      </w:pPr>
      <w:r w:rsidRPr="005E4A4C">
        <w:rPr>
          <w:rFonts w:ascii="Verdana" w:hAnsi="Verdana" w:cs="Arial"/>
          <w:color w:val="000000"/>
          <w:sz w:val="20"/>
          <w:szCs w:val="20"/>
        </w:rPr>
        <w:t xml:space="preserve">Adicionalmente, considerando que não haja o agravamento da pandemia e ocorra a retomada da atividade econômica aos níveis anteriores, a Companhia não estima efeitos significativos em seu resultado que possam comprometer a capacidade operacional e a implantação de seus projetos. </w:t>
      </w:r>
    </w:p>
    <w:p w14:paraId="42C78B9C" w14:textId="77777777" w:rsidR="00233C4A" w:rsidRPr="005E4A4C" w:rsidRDefault="00233C4A" w:rsidP="00233C4A">
      <w:pPr>
        <w:autoSpaceDE w:val="0"/>
        <w:autoSpaceDN w:val="0"/>
        <w:rPr>
          <w:rFonts w:ascii="Verdana" w:hAnsi="Verdana" w:cs="Arial"/>
          <w:color w:val="000000"/>
          <w:sz w:val="20"/>
          <w:szCs w:val="20"/>
        </w:rPr>
      </w:pPr>
    </w:p>
    <w:p w14:paraId="7C43A760" w14:textId="77777777" w:rsidR="00233C4A" w:rsidRDefault="00233C4A" w:rsidP="00233C4A">
      <w:pPr>
        <w:autoSpaceDE w:val="0"/>
        <w:autoSpaceDN w:val="0"/>
        <w:rPr>
          <w:rFonts w:ascii="Verdana" w:hAnsi="Verdana" w:cs="Arial"/>
          <w:color w:val="000000"/>
          <w:sz w:val="20"/>
          <w:szCs w:val="20"/>
        </w:rPr>
      </w:pPr>
      <w:r w:rsidRPr="005E4A4C">
        <w:rPr>
          <w:rFonts w:ascii="Verdana" w:hAnsi="Verdana" w:cs="Arial"/>
          <w:color w:val="000000"/>
          <w:sz w:val="20"/>
          <w:szCs w:val="20"/>
        </w:rPr>
        <w:t>A ELETRONUCLEAR mantém o acompanhamento da receita de Geração com o planejado e até o momento não houve evidências de perdas financeiras.</w:t>
      </w:r>
    </w:p>
    <w:p w14:paraId="4A79078F" w14:textId="77777777" w:rsidR="00233C4A" w:rsidRDefault="00233C4A" w:rsidP="00233C4A">
      <w:pPr>
        <w:rPr>
          <w:rFonts w:ascii="Verdana" w:hAnsi="Verdana" w:cs="Arial"/>
          <w:b/>
          <w:color w:val="0070C0"/>
          <w:sz w:val="20"/>
          <w:szCs w:val="20"/>
        </w:rPr>
      </w:pPr>
    </w:p>
    <w:p w14:paraId="19436218" w14:textId="77777777" w:rsidR="00233C4A" w:rsidRDefault="00233C4A" w:rsidP="00233C4A">
      <w:pPr>
        <w:rPr>
          <w:rFonts w:ascii="Verdana" w:hAnsi="Verdana" w:cs="Arial"/>
          <w:b/>
          <w:color w:val="0070C0"/>
          <w:sz w:val="20"/>
          <w:szCs w:val="20"/>
        </w:rPr>
      </w:pPr>
    </w:p>
    <w:p w14:paraId="4916E05A" w14:textId="77777777" w:rsidR="00233C4A" w:rsidRPr="005E4A4C" w:rsidRDefault="00233C4A" w:rsidP="00233C4A">
      <w:pPr>
        <w:tabs>
          <w:tab w:val="left" w:pos="567"/>
          <w:tab w:val="left" w:pos="1134"/>
          <w:tab w:val="left" w:pos="1701"/>
          <w:tab w:val="left" w:pos="2268"/>
          <w:tab w:val="left" w:pos="2835"/>
        </w:tabs>
        <w:outlineLvl w:val="0"/>
        <w:rPr>
          <w:rFonts w:ascii="Verdana" w:hAnsi="Verdana"/>
          <w:b/>
          <w:color w:val="0D63B5"/>
          <w:sz w:val="20"/>
          <w:szCs w:val="20"/>
        </w:rPr>
      </w:pPr>
      <w:r w:rsidRPr="005E4A4C">
        <w:rPr>
          <w:rFonts w:ascii="Verdana" w:hAnsi="Verdana"/>
          <w:b/>
          <w:color w:val="0D63B5"/>
          <w:sz w:val="20"/>
          <w:szCs w:val="20"/>
        </w:rPr>
        <w:t xml:space="preserve">NOTA 2 </w:t>
      </w:r>
      <w:r w:rsidRPr="005E4A4C">
        <w:rPr>
          <w:rFonts w:ascii="Verdana" w:hAnsi="Verdana" w:cs="Verdana"/>
          <w:b/>
          <w:color w:val="0D63B5"/>
          <w:sz w:val="20"/>
          <w:szCs w:val="20"/>
        </w:rPr>
        <w:t>–</w:t>
      </w:r>
      <w:r w:rsidRPr="005E4A4C">
        <w:rPr>
          <w:rFonts w:ascii="Verdana" w:hAnsi="Verdana"/>
          <w:b/>
          <w:color w:val="0D63B5"/>
          <w:sz w:val="20"/>
          <w:szCs w:val="20"/>
        </w:rPr>
        <w:t xml:space="preserve"> DESTAQUES DE 2021</w:t>
      </w:r>
    </w:p>
    <w:p w14:paraId="0DA9A7ED" w14:textId="77777777" w:rsidR="00233C4A" w:rsidRPr="005E4A4C" w:rsidRDefault="00233C4A" w:rsidP="00233C4A">
      <w:pPr>
        <w:pStyle w:val="PargrafodaLista"/>
        <w:ind w:left="720"/>
        <w:rPr>
          <w:rFonts w:ascii="Verdana" w:hAnsi="Verdana"/>
          <w:color w:val="0D63B5"/>
          <w:sz w:val="20"/>
        </w:rPr>
      </w:pPr>
    </w:p>
    <w:p w14:paraId="409BF0A9" w14:textId="77777777" w:rsidR="00233C4A" w:rsidRPr="005E4A4C" w:rsidRDefault="00233C4A" w:rsidP="00233C4A">
      <w:pPr>
        <w:pStyle w:val="PargrafodaLista"/>
        <w:ind w:left="720"/>
        <w:rPr>
          <w:rFonts w:ascii="Verdana" w:hAnsi="Verdana"/>
          <w:color w:val="0D63B5"/>
          <w:sz w:val="20"/>
          <w:szCs w:val="20"/>
        </w:rPr>
      </w:pPr>
    </w:p>
    <w:p w14:paraId="396C5AC3" w14:textId="77777777" w:rsidR="00233C4A" w:rsidRPr="005E4A4C" w:rsidRDefault="00233C4A" w:rsidP="00233C4A">
      <w:pPr>
        <w:pStyle w:val="PargrafodaLista"/>
        <w:numPr>
          <w:ilvl w:val="1"/>
          <w:numId w:val="9"/>
        </w:numPr>
        <w:rPr>
          <w:rFonts w:ascii="Verdana" w:hAnsi="Verdana"/>
          <w:color w:val="0D63B5"/>
          <w:sz w:val="20"/>
          <w:szCs w:val="20"/>
        </w:rPr>
      </w:pPr>
      <w:r w:rsidRPr="005E4A4C">
        <w:rPr>
          <w:rFonts w:ascii="Verdana" w:hAnsi="Verdana"/>
          <w:color w:val="0D63B5"/>
          <w:sz w:val="20"/>
          <w:szCs w:val="20"/>
        </w:rPr>
        <w:t>Desempenho da Geração</w:t>
      </w:r>
    </w:p>
    <w:p w14:paraId="0CE2BCBD" w14:textId="77777777" w:rsidR="00233C4A" w:rsidRPr="005E4A4C" w:rsidRDefault="00233C4A" w:rsidP="00233C4A">
      <w:pPr>
        <w:pStyle w:val="PargrafodaLista"/>
        <w:ind w:left="720"/>
        <w:rPr>
          <w:rFonts w:ascii="Verdana" w:hAnsi="Verdana"/>
          <w:color w:val="0D63B5"/>
          <w:sz w:val="20"/>
          <w:szCs w:val="20"/>
        </w:rPr>
      </w:pPr>
    </w:p>
    <w:p w14:paraId="716F6697" w14:textId="77777777" w:rsidR="00233C4A" w:rsidRDefault="00233C4A" w:rsidP="006277AB">
      <w:pPr>
        <w:pStyle w:val="PargrafodaLista"/>
        <w:ind w:left="0"/>
        <w:rPr>
          <w:rFonts w:ascii="Verdana" w:hAnsi="Verdana"/>
          <w:sz w:val="20"/>
          <w:szCs w:val="20"/>
        </w:rPr>
      </w:pPr>
      <w:r w:rsidRPr="00A7192B">
        <w:rPr>
          <w:rFonts w:ascii="Verdana" w:hAnsi="Verdana"/>
          <w:sz w:val="20"/>
          <w:szCs w:val="20"/>
        </w:rPr>
        <w:t xml:space="preserve">A </w:t>
      </w:r>
      <w:r>
        <w:rPr>
          <w:rFonts w:ascii="Verdana" w:hAnsi="Verdana"/>
          <w:sz w:val="20"/>
          <w:szCs w:val="20"/>
        </w:rPr>
        <w:t>Usina Angra 1</w:t>
      </w:r>
      <w:r w:rsidRPr="00A7192B">
        <w:rPr>
          <w:rFonts w:ascii="Verdana" w:hAnsi="Verdana"/>
          <w:sz w:val="20"/>
          <w:szCs w:val="20"/>
        </w:rPr>
        <w:t xml:space="preserve"> operou durante 334 dias em 2021 sincronizada a</w:t>
      </w:r>
      <w:r w:rsidRPr="0071642F">
        <w:rPr>
          <w:rFonts w:ascii="Verdana" w:hAnsi="Verdana"/>
          <w:sz w:val="20"/>
          <w:szCs w:val="20"/>
        </w:rPr>
        <w:t xml:space="preserve">o Sistema Interligado </w:t>
      </w:r>
      <w:proofErr w:type="gramStart"/>
      <w:r w:rsidRPr="0071642F">
        <w:rPr>
          <w:rFonts w:ascii="Verdana" w:hAnsi="Verdana"/>
          <w:sz w:val="20"/>
          <w:szCs w:val="20"/>
        </w:rPr>
        <w:t>Nacional  -</w:t>
      </w:r>
      <w:proofErr w:type="gramEnd"/>
      <w:r w:rsidRPr="0071642F">
        <w:rPr>
          <w:rFonts w:ascii="Verdana" w:hAnsi="Verdana"/>
          <w:sz w:val="20"/>
          <w:szCs w:val="20"/>
        </w:rPr>
        <w:t xml:space="preserve"> SIN</w:t>
      </w:r>
      <w:r w:rsidRPr="00A7192B">
        <w:rPr>
          <w:rFonts w:ascii="Verdana" w:hAnsi="Verdana"/>
          <w:sz w:val="20"/>
          <w:szCs w:val="20"/>
        </w:rPr>
        <w:t xml:space="preserve"> produzindo um total </w:t>
      </w:r>
      <w:r>
        <w:rPr>
          <w:rFonts w:ascii="Verdana" w:hAnsi="Verdana"/>
          <w:sz w:val="20"/>
          <w:szCs w:val="20"/>
        </w:rPr>
        <w:t xml:space="preserve">de </w:t>
      </w:r>
      <w:r w:rsidRPr="0071642F">
        <w:rPr>
          <w:rFonts w:ascii="Verdana" w:hAnsi="Verdana"/>
          <w:sz w:val="20"/>
          <w:szCs w:val="20"/>
        </w:rPr>
        <w:t xml:space="preserve">5.131.493,6 </w:t>
      </w:r>
      <w:proofErr w:type="spellStart"/>
      <w:r w:rsidRPr="0071642F">
        <w:rPr>
          <w:rFonts w:ascii="Verdana" w:hAnsi="Verdana"/>
          <w:sz w:val="20"/>
          <w:szCs w:val="20"/>
        </w:rPr>
        <w:t>MWh</w:t>
      </w:r>
      <w:proofErr w:type="spellEnd"/>
      <w:r w:rsidRPr="0071642F">
        <w:rPr>
          <w:rFonts w:ascii="Verdana" w:hAnsi="Verdana"/>
          <w:sz w:val="20"/>
          <w:szCs w:val="20"/>
        </w:rPr>
        <w:t xml:space="preserve"> </w:t>
      </w:r>
      <w:r w:rsidRPr="00A7192B">
        <w:rPr>
          <w:rFonts w:ascii="Verdana" w:hAnsi="Verdana"/>
          <w:sz w:val="20"/>
          <w:szCs w:val="20"/>
        </w:rPr>
        <w:t xml:space="preserve">de </w:t>
      </w:r>
      <w:r>
        <w:rPr>
          <w:rFonts w:ascii="Verdana" w:hAnsi="Verdana"/>
          <w:sz w:val="20"/>
          <w:szCs w:val="20"/>
        </w:rPr>
        <w:t>e</w:t>
      </w:r>
      <w:r w:rsidRPr="00A7192B">
        <w:rPr>
          <w:rFonts w:ascii="Verdana" w:hAnsi="Verdana"/>
          <w:sz w:val="20"/>
          <w:szCs w:val="20"/>
        </w:rPr>
        <w:t xml:space="preserve">nergia </w:t>
      </w:r>
      <w:r>
        <w:rPr>
          <w:rFonts w:ascii="Verdana" w:hAnsi="Verdana"/>
          <w:sz w:val="20"/>
          <w:szCs w:val="20"/>
        </w:rPr>
        <w:t>e</w:t>
      </w:r>
      <w:r w:rsidRPr="00A7192B">
        <w:rPr>
          <w:rFonts w:ascii="Verdana" w:hAnsi="Verdana"/>
          <w:sz w:val="20"/>
          <w:szCs w:val="20"/>
        </w:rPr>
        <w:t>létrica</w:t>
      </w:r>
      <w:r>
        <w:rPr>
          <w:rFonts w:ascii="Verdana" w:hAnsi="Verdana"/>
          <w:sz w:val="20"/>
          <w:szCs w:val="20"/>
        </w:rPr>
        <w:t xml:space="preserve"> b</w:t>
      </w:r>
      <w:r w:rsidRPr="00A7192B">
        <w:rPr>
          <w:rFonts w:ascii="Verdana" w:hAnsi="Verdana"/>
          <w:sz w:val="20"/>
          <w:szCs w:val="20"/>
        </w:rPr>
        <w:t>ruta</w:t>
      </w:r>
      <w:r>
        <w:rPr>
          <w:rFonts w:ascii="Verdana" w:hAnsi="Verdana"/>
          <w:sz w:val="20"/>
          <w:szCs w:val="20"/>
        </w:rPr>
        <w:t xml:space="preserve"> no ano</w:t>
      </w:r>
      <w:r w:rsidRPr="0071642F">
        <w:rPr>
          <w:rFonts w:ascii="Verdana" w:hAnsi="Verdana"/>
          <w:sz w:val="20"/>
          <w:szCs w:val="20"/>
        </w:rPr>
        <w:t xml:space="preserve">, assim como a terceira melhor geração bruta de sua história desde o início de sua </w:t>
      </w:r>
      <w:proofErr w:type="spellStart"/>
      <w:r w:rsidRPr="0071642F">
        <w:rPr>
          <w:rFonts w:ascii="Verdana" w:hAnsi="Verdana"/>
          <w:sz w:val="20"/>
          <w:szCs w:val="20"/>
        </w:rPr>
        <w:t>operação.</w:t>
      </w:r>
      <w:r>
        <w:rPr>
          <w:rFonts w:ascii="Verdana" w:hAnsi="Verdana"/>
          <w:sz w:val="20"/>
          <w:szCs w:val="20"/>
        </w:rPr>
        <w:t>N</w:t>
      </w:r>
      <w:r w:rsidRPr="00A7192B">
        <w:rPr>
          <w:rFonts w:ascii="Verdana" w:hAnsi="Verdana"/>
          <w:sz w:val="20"/>
          <w:szCs w:val="20"/>
        </w:rPr>
        <w:t>ão</w:t>
      </w:r>
      <w:proofErr w:type="spellEnd"/>
      <w:r w:rsidRPr="00A7192B">
        <w:rPr>
          <w:rFonts w:ascii="Verdana" w:hAnsi="Verdana"/>
          <w:sz w:val="20"/>
          <w:szCs w:val="20"/>
        </w:rPr>
        <w:t xml:space="preserve"> ocorreram desarmes não programados da unidade</w:t>
      </w:r>
      <w:r>
        <w:rPr>
          <w:rFonts w:ascii="Verdana" w:hAnsi="Verdana"/>
          <w:sz w:val="20"/>
          <w:szCs w:val="20"/>
        </w:rPr>
        <w:t>.</w:t>
      </w:r>
    </w:p>
    <w:p w14:paraId="59BF9714" w14:textId="77777777" w:rsidR="00233C4A" w:rsidRDefault="00233C4A" w:rsidP="006277AB">
      <w:pPr>
        <w:pStyle w:val="PargrafodaLista"/>
        <w:ind w:left="0"/>
        <w:rPr>
          <w:rFonts w:ascii="Verdana" w:hAnsi="Verdana"/>
          <w:sz w:val="20"/>
          <w:szCs w:val="20"/>
        </w:rPr>
      </w:pPr>
    </w:p>
    <w:p w14:paraId="2613CD95" w14:textId="77777777" w:rsidR="00233C4A" w:rsidRDefault="00233C4A" w:rsidP="006277AB">
      <w:pPr>
        <w:pStyle w:val="PargrafodaLista"/>
        <w:ind w:left="0"/>
        <w:rPr>
          <w:rFonts w:ascii="Verdana" w:hAnsi="Verdana"/>
          <w:sz w:val="20"/>
          <w:szCs w:val="20"/>
        </w:rPr>
      </w:pPr>
      <w:r>
        <w:rPr>
          <w:rFonts w:ascii="Verdana" w:hAnsi="Verdana"/>
          <w:sz w:val="20"/>
          <w:szCs w:val="20"/>
        </w:rPr>
        <w:t xml:space="preserve">A Usina </w:t>
      </w:r>
      <w:r w:rsidRPr="0071642F">
        <w:rPr>
          <w:rFonts w:ascii="Verdana" w:hAnsi="Verdana"/>
          <w:sz w:val="20"/>
          <w:szCs w:val="20"/>
        </w:rPr>
        <w:t>Angra 2</w:t>
      </w:r>
      <w:r w:rsidRPr="00A7192B">
        <w:rPr>
          <w:rFonts w:ascii="Verdana" w:hAnsi="Verdana"/>
          <w:sz w:val="20"/>
          <w:szCs w:val="20"/>
        </w:rPr>
        <w:t xml:space="preserve"> operou durante 312,4 dias em 2021 sincronizada ao Sistema Interligado Nacional </w:t>
      </w:r>
      <w:r>
        <w:rPr>
          <w:rFonts w:ascii="Verdana" w:hAnsi="Verdana"/>
          <w:sz w:val="20"/>
          <w:szCs w:val="20"/>
        </w:rPr>
        <w:t xml:space="preserve">- </w:t>
      </w:r>
      <w:r w:rsidRPr="0071642F">
        <w:rPr>
          <w:rFonts w:ascii="Verdana" w:hAnsi="Verdana"/>
          <w:sz w:val="20"/>
          <w:szCs w:val="20"/>
        </w:rPr>
        <w:t>SIN</w:t>
      </w:r>
      <w:r w:rsidRPr="00A7192B">
        <w:rPr>
          <w:rFonts w:ascii="Verdana" w:hAnsi="Verdana"/>
          <w:sz w:val="20"/>
          <w:szCs w:val="20"/>
        </w:rPr>
        <w:t xml:space="preserve"> produzi</w:t>
      </w:r>
      <w:r>
        <w:rPr>
          <w:rFonts w:ascii="Verdana" w:hAnsi="Verdana"/>
          <w:sz w:val="20"/>
          <w:szCs w:val="20"/>
        </w:rPr>
        <w:t>ndo</w:t>
      </w:r>
      <w:r w:rsidRPr="00A7192B">
        <w:rPr>
          <w:rFonts w:ascii="Verdana" w:hAnsi="Verdana"/>
          <w:sz w:val="20"/>
          <w:szCs w:val="20"/>
        </w:rPr>
        <w:t xml:space="preserve"> 9.572.685,56 </w:t>
      </w:r>
      <w:proofErr w:type="spellStart"/>
      <w:r w:rsidRPr="00A7192B">
        <w:rPr>
          <w:rFonts w:ascii="Verdana" w:hAnsi="Verdana"/>
          <w:sz w:val="20"/>
          <w:szCs w:val="20"/>
        </w:rPr>
        <w:t>MWh</w:t>
      </w:r>
      <w:proofErr w:type="spellEnd"/>
      <w:r w:rsidRPr="00A7192B">
        <w:rPr>
          <w:rFonts w:ascii="Verdana" w:hAnsi="Verdana"/>
          <w:sz w:val="20"/>
          <w:szCs w:val="20"/>
        </w:rPr>
        <w:t xml:space="preserve"> de </w:t>
      </w:r>
      <w:proofErr w:type="gramStart"/>
      <w:r>
        <w:rPr>
          <w:rFonts w:ascii="Verdana" w:hAnsi="Verdana"/>
          <w:sz w:val="20"/>
          <w:szCs w:val="20"/>
        </w:rPr>
        <w:t>e</w:t>
      </w:r>
      <w:r w:rsidRPr="00A7192B">
        <w:rPr>
          <w:rFonts w:ascii="Verdana" w:hAnsi="Verdana"/>
          <w:sz w:val="20"/>
          <w:szCs w:val="20"/>
        </w:rPr>
        <w:t>nergia</w:t>
      </w:r>
      <w:r>
        <w:rPr>
          <w:rFonts w:ascii="Verdana" w:hAnsi="Verdana"/>
          <w:sz w:val="20"/>
          <w:szCs w:val="20"/>
        </w:rPr>
        <w:t xml:space="preserve">  elétrica</w:t>
      </w:r>
      <w:proofErr w:type="gramEnd"/>
      <w:r>
        <w:rPr>
          <w:rFonts w:ascii="Verdana" w:hAnsi="Verdana"/>
          <w:sz w:val="20"/>
          <w:szCs w:val="20"/>
        </w:rPr>
        <w:t xml:space="preserve"> b</w:t>
      </w:r>
      <w:r w:rsidRPr="00A7192B">
        <w:rPr>
          <w:rFonts w:ascii="Verdana" w:hAnsi="Verdana"/>
          <w:sz w:val="20"/>
          <w:szCs w:val="20"/>
        </w:rPr>
        <w:t>ruta</w:t>
      </w:r>
      <w:r>
        <w:rPr>
          <w:rFonts w:ascii="Verdana" w:hAnsi="Verdana"/>
          <w:sz w:val="20"/>
          <w:szCs w:val="20"/>
        </w:rPr>
        <w:t xml:space="preserve"> no ano</w:t>
      </w:r>
      <w:r w:rsidRPr="00A7192B">
        <w:rPr>
          <w:rFonts w:ascii="Verdana" w:hAnsi="Verdana"/>
          <w:sz w:val="20"/>
          <w:szCs w:val="20"/>
        </w:rPr>
        <w:t>. Não houve desarme de Reator em Angra 2 no ano, dessa maneira, a Usina completou o segundo ciclo seguido (ciclos 16 e 17) sem desarme de Reator.</w:t>
      </w:r>
    </w:p>
    <w:p w14:paraId="23EE87E7" w14:textId="77777777" w:rsidR="00233C4A" w:rsidRDefault="00233C4A" w:rsidP="00233C4A">
      <w:pPr>
        <w:pStyle w:val="PargrafodaLista"/>
        <w:ind w:left="720"/>
        <w:rPr>
          <w:rFonts w:ascii="Verdana" w:hAnsi="Verdana"/>
          <w:sz w:val="20"/>
          <w:szCs w:val="20"/>
        </w:rPr>
      </w:pPr>
    </w:p>
    <w:p w14:paraId="10E05D12" w14:textId="77777777" w:rsidR="00233C4A" w:rsidRPr="005E4A4C" w:rsidRDefault="00233C4A" w:rsidP="00233C4A">
      <w:pPr>
        <w:pStyle w:val="PargrafodaLista"/>
        <w:numPr>
          <w:ilvl w:val="1"/>
          <w:numId w:val="9"/>
        </w:numPr>
        <w:rPr>
          <w:rFonts w:ascii="Verdana" w:hAnsi="Verdana"/>
          <w:color w:val="0D63B5"/>
          <w:sz w:val="20"/>
          <w:szCs w:val="20"/>
        </w:rPr>
      </w:pPr>
      <w:r>
        <w:rPr>
          <w:rFonts w:ascii="Verdana" w:hAnsi="Verdana"/>
          <w:color w:val="0D63B5"/>
          <w:sz w:val="20"/>
          <w:szCs w:val="20"/>
        </w:rPr>
        <w:t>Receita Operacional</w:t>
      </w:r>
    </w:p>
    <w:p w14:paraId="0A5F3F34" w14:textId="77777777" w:rsidR="00233C4A" w:rsidRPr="005E4A4C" w:rsidRDefault="00233C4A" w:rsidP="00233C4A">
      <w:pPr>
        <w:pStyle w:val="PargrafodaLista"/>
        <w:ind w:left="720"/>
        <w:rPr>
          <w:rFonts w:ascii="Verdana" w:hAnsi="Verdana"/>
          <w:color w:val="0D63B5"/>
          <w:sz w:val="20"/>
          <w:szCs w:val="20"/>
        </w:rPr>
      </w:pPr>
    </w:p>
    <w:p w14:paraId="03086232" w14:textId="77777777" w:rsidR="00233C4A" w:rsidRDefault="00233C4A" w:rsidP="006277AB">
      <w:pPr>
        <w:rPr>
          <w:rFonts w:ascii="Verdana" w:hAnsi="Verdana"/>
          <w:sz w:val="20"/>
          <w:szCs w:val="20"/>
        </w:rPr>
      </w:pPr>
      <w:r>
        <w:rPr>
          <w:rFonts w:ascii="Verdana" w:hAnsi="Verdana"/>
          <w:sz w:val="20"/>
          <w:szCs w:val="20"/>
        </w:rPr>
        <w:t>A</w:t>
      </w:r>
      <w:r w:rsidRPr="00A7192B">
        <w:rPr>
          <w:rFonts w:ascii="Verdana" w:hAnsi="Verdana"/>
          <w:sz w:val="20"/>
          <w:szCs w:val="20"/>
        </w:rPr>
        <w:t xml:space="preserve"> A</w:t>
      </w:r>
      <w:r>
        <w:rPr>
          <w:rFonts w:ascii="Verdana" w:hAnsi="Verdana"/>
          <w:sz w:val="20"/>
          <w:szCs w:val="20"/>
        </w:rPr>
        <w:t>neel</w:t>
      </w:r>
      <w:r w:rsidRPr="00A7192B">
        <w:rPr>
          <w:rFonts w:ascii="Verdana" w:hAnsi="Verdana"/>
          <w:sz w:val="20"/>
          <w:szCs w:val="20"/>
        </w:rPr>
        <w:t xml:space="preserve">, por meio do Despacho nº 3.155, de 13 de outubro de 2021, autorizou que o </w:t>
      </w:r>
      <w:r>
        <w:rPr>
          <w:rFonts w:ascii="Verdana" w:hAnsi="Verdana"/>
          <w:sz w:val="20"/>
          <w:szCs w:val="20"/>
        </w:rPr>
        <w:t xml:space="preserve"> Operador Nacional do Sistema Elétrico - </w:t>
      </w:r>
      <w:r w:rsidRPr="00A7192B">
        <w:rPr>
          <w:rFonts w:ascii="Verdana" w:hAnsi="Verdana"/>
          <w:sz w:val="20"/>
          <w:szCs w:val="20"/>
        </w:rPr>
        <w:t>ONS desconsider</w:t>
      </w:r>
      <w:r>
        <w:rPr>
          <w:rFonts w:ascii="Verdana" w:hAnsi="Verdana"/>
          <w:sz w:val="20"/>
          <w:szCs w:val="20"/>
        </w:rPr>
        <w:t>asse</w:t>
      </w:r>
      <w:r w:rsidRPr="00A7192B">
        <w:rPr>
          <w:rFonts w:ascii="Verdana" w:hAnsi="Verdana"/>
          <w:sz w:val="20"/>
          <w:szCs w:val="20"/>
        </w:rPr>
        <w:t xml:space="preserve"> as indisponibilidades ou restrições operativas identificadas nos ativos de geração, comprovadamente associadas única e exclusivamente à pandemia de Covid-19</w:t>
      </w:r>
      <w:r>
        <w:rPr>
          <w:rFonts w:ascii="Verdana" w:hAnsi="Verdana"/>
          <w:sz w:val="20"/>
          <w:szCs w:val="20"/>
        </w:rPr>
        <w:t xml:space="preserve">; o que implicou em não penalidade (registro de </w:t>
      </w:r>
      <w:proofErr w:type="spellStart"/>
      <w:r>
        <w:rPr>
          <w:rFonts w:ascii="Verdana" w:hAnsi="Verdana"/>
          <w:sz w:val="20"/>
          <w:szCs w:val="20"/>
        </w:rPr>
        <w:t>ressacirmento</w:t>
      </w:r>
      <w:proofErr w:type="spellEnd"/>
      <w:r>
        <w:rPr>
          <w:rFonts w:ascii="Verdana" w:hAnsi="Verdana"/>
          <w:sz w:val="20"/>
          <w:szCs w:val="20"/>
        </w:rPr>
        <w:t xml:space="preserve">) referente aos 14 dias de indisponibilidade da Usina Angra 2 ocorridos pela necessidade de execução de serviços de manutenção que não foram realizadas em 2020 em função das restrições de circulação de pessoas impostas pela pandemia de Covid-19 .  </w:t>
      </w:r>
    </w:p>
    <w:p w14:paraId="73ABC365" w14:textId="77777777" w:rsidR="00233C4A" w:rsidRPr="005E4A4C" w:rsidRDefault="00233C4A" w:rsidP="00233C4A">
      <w:pPr>
        <w:pStyle w:val="PargrafodaLista"/>
        <w:ind w:left="720"/>
        <w:rPr>
          <w:rFonts w:ascii="Verdana" w:hAnsi="Verdana"/>
          <w:sz w:val="20"/>
          <w:szCs w:val="20"/>
        </w:rPr>
      </w:pPr>
    </w:p>
    <w:p w14:paraId="1F73F27B" w14:textId="77777777" w:rsidR="00233C4A" w:rsidRPr="005E4A4C" w:rsidRDefault="00233C4A" w:rsidP="00233C4A">
      <w:pPr>
        <w:pStyle w:val="PargrafodaLista"/>
        <w:numPr>
          <w:ilvl w:val="1"/>
          <w:numId w:val="9"/>
        </w:numPr>
        <w:rPr>
          <w:rFonts w:ascii="Verdana" w:hAnsi="Verdana"/>
          <w:color w:val="0D63B5"/>
          <w:sz w:val="20"/>
          <w:szCs w:val="20"/>
        </w:rPr>
      </w:pPr>
      <w:r w:rsidRPr="003B73E2">
        <w:rPr>
          <w:rFonts w:ascii="Verdana" w:hAnsi="Verdana"/>
          <w:color w:val="0D63B5"/>
          <w:sz w:val="20"/>
          <w:szCs w:val="20"/>
        </w:rPr>
        <w:lastRenderedPageBreak/>
        <w:t>Unidade de Armazenamento Complementar a Seco</w:t>
      </w:r>
    </w:p>
    <w:p w14:paraId="3E2A1BBF" w14:textId="77777777" w:rsidR="00233C4A" w:rsidRPr="00432341" w:rsidRDefault="00233C4A" w:rsidP="00233C4A">
      <w:pPr>
        <w:pStyle w:val="PargrafodaLista"/>
        <w:ind w:left="709"/>
        <w:rPr>
          <w:rFonts w:ascii="Verdana" w:hAnsi="Verdana" w:cs="Calibri"/>
          <w:color w:val="000000"/>
          <w:sz w:val="20"/>
          <w:szCs w:val="20"/>
          <w:highlight w:val="yellow"/>
        </w:rPr>
      </w:pPr>
    </w:p>
    <w:p w14:paraId="707737AA" w14:textId="77777777" w:rsidR="00233C4A" w:rsidRPr="005E4A4C" w:rsidRDefault="00233C4A" w:rsidP="006277AB">
      <w:pPr>
        <w:pStyle w:val="PargrafodaLista"/>
        <w:ind w:left="0"/>
        <w:rPr>
          <w:rFonts w:ascii="Verdana" w:hAnsi="Verdana"/>
          <w:sz w:val="20"/>
          <w:szCs w:val="20"/>
        </w:rPr>
      </w:pPr>
      <w:r w:rsidRPr="005E4A4C">
        <w:rPr>
          <w:rFonts w:ascii="Verdana" w:hAnsi="Verdana"/>
          <w:sz w:val="20"/>
          <w:szCs w:val="20"/>
        </w:rPr>
        <w:t xml:space="preserve">Este ano de 2021 ficou marcado com o início da implementação da Unidade de Armazenamento Complementar a Seco - UAS, com a transferência de nove (9) módulos de armazenamento dos </w:t>
      </w:r>
      <w:proofErr w:type="spellStart"/>
      <w:r w:rsidRPr="00F96238">
        <w:rPr>
          <w:rFonts w:ascii="Verdana" w:hAnsi="Verdana"/>
          <w:i/>
          <w:iCs/>
          <w:sz w:val="20"/>
          <w:szCs w:val="20"/>
        </w:rPr>
        <w:t>canisters</w:t>
      </w:r>
      <w:proofErr w:type="spellEnd"/>
      <w:r w:rsidRPr="00F96238">
        <w:rPr>
          <w:rFonts w:ascii="Verdana" w:hAnsi="Verdana"/>
          <w:i/>
          <w:iCs/>
          <w:sz w:val="20"/>
          <w:szCs w:val="20"/>
        </w:rPr>
        <w:t xml:space="preserve"> (</w:t>
      </w:r>
      <w:proofErr w:type="spellStart"/>
      <w:r w:rsidRPr="00F96238">
        <w:rPr>
          <w:rFonts w:ascii="Verdana" w:hAnsi="Verdana"/>
          <w:i/>
          <w:iCs/>
          <w:sz w:val="20"/>
          <w:szCs w:val="20"/>
        </w:rPr>
        <w:t>Hi-storms</w:t>
      </w:r>
      <w:proofErr w:type="spellEnd"/>
      <w:r w:rsidRPr="00F96238">
        <w:rPr>
          <w:rFonts w:ascii="Verdana" w:hAnsi="Verdana"/>
          <w:i/>
          <w:iCs/>
          <w:sz w:val="20"/>
          <w:szCs w:val="20"/>
        </w:rPr>
        <w:t>)</w:t>
      </w:r>
      <w:r w:rsidRPr="005E4A4C">
        <w:rPr>
          <w:rFonts w:ascii="Verdana" w:hAnsi="Verdana"/>
          <w:sz w:val="20"/>
          <w:szCs w:val="20"/>
        </w:rPr>
        <w:t>, carregados com um total de 288 Elementos Combustíveis Irradiados de Angra 2.</w:t>
      </w:r>
    </w:p>
    <w:p w14:paraId="064BAAA8" w14:textId="77777777" w:rsidR="00233C4A" w:rsidRPr="00586B9A" w:rsidRDefault="00233C4A" w:rsidP="00233C4A">
      <w:pPr>
        <w:pStyle w:val="PargrafodaLista"/>
        <w:ind w:left="709"/>
        <w:rPr>
          <w:rFonts w:ascii="Verdana" w:hAnsi="Verdana" w:cs="Calibri"/>
          <w:color w:val="FF0000"/>
          <w:sz w:val="20"/>
          <w:szCs w:val="20"/>
          <w:highlight w:val="yellow"/>
        </w:rPr>
      </w:pPr>
    </w:p>
    <w:p w14:paraId="1FDE97CB" w14:textId="77777777" w:rsidR="00233C4A" w:rsidRPr="005E4A4C" w:rsidRDefault="00233C4A" w:rsidP="00233C4A">
      <w:pPr>
        <w:pStyle w:val="PargrafodaLista"/>
        <w:numPr>
          <w:ilvl w:val="1"/>
          <w:numId w:val="9"/>
        </w:numPr>
        <w:rPr>
          <w:rFonts w:ascii="Verdana" w:hAnsi="Verdana"/>
          <w:color w:val="0D63B5"/>
          <w:sz w:val="20"/>
          <w:szCs w:val="20"/>
        </w:rPr>
      </w:pPr>
      <w:r>
        <w:rPr>
          <w:rFonts w:ascii="Verdana" w:hAnsi="Verdana"/>
          <w:color w:val="0D63B5"/>
          <w:sz w:val="20"/>
          <w:szCs w:val="20"/>
        </w:rPr>
        <w:t>Baixa de Elementos de Combustíveis Nucleares</w:t>
      </w:r>
    </w:p>
    <w:p w14:paraId="39721965" w14:textId="77777777" w:rsidR="00233C4A" w:rsidRPr="00432341" w:rsidRDefault="00233C4A" w:rsidP="00233C4A">
      <w:pPr>
        <w:pStyle w:val="PargrafodaLista"/>
        <w:ind w:left="709"/>
        <w:rPr>
          <w:rFonts w:ascii="Verdana" w:hAnsi="Verdana" w:cs="Calibri"/>
          <w:color w:val="000000"/>
          <w:sz w:val="20"/>
          <w:szCs w:val="20"/>
          <w:highlight w:val="yellow"/>
        </w:rPr>
      </w:pPr>
    </w:p>
    <w:p w14:paraId="6944F894" w14:textId="77777777" w:rsidR="00233C4A" w:rsidRPr="005E4A4C" w:rsidRDefault="00233C4A" w:rsidP="006277AB">
      <w:pPr>
        <w:pStyle w:val="PargrafodaLista"/>
        <w:ind w:left="0"/>
        <w:rPr>
          <w:rFonts w:ascii="Verdana" w:hAnsi="Verdana"/>
          <w:sz w:val="20"/>
          <w:szCs w:val="20"/>
        </w:rPr>
      </w:pPr>
      <w:r w:rsidRPr="00566BF0">
        <w:rPr>
          <w:rFonts w:ascii="Verdana" w:eastAsiaTheme="minorHAnsi" w:hAnsi="Verdana" w:cs="Verdana"/>
          <w:color w:val="000000"/>
          <w:sz w:val="20"/>
          <w:szCs w:val="20"/>
          <w:lang w:eastAsia="en-US"/>
        </w:rPr>
        <w:t xml:space="preserve">Em dezembro de 2021, foi efetuado </w:t>
      </w:r>
      <w:r>
        <w:rPr>
          <w:rFonts w:ascii="Verdana" w:eastAsiaTheme="minorHAnsi" w:hAnsi="Verdana" w:cs="Verdana"/>
          <w:color w:val="000000"/>
          <w:sz w:val="20"/>
          <w:szCs w:val="20"/>
          <w:lang w:eastAsia="en-US"/>
        </w:rPr>
        <w:t>o registro</w:t>
      </w:r>
      <w:r w:rsidRPr="00566BF0">
        <w:rPr>
          <w:rFonts w:ascii="Verdana" w:eastAsiaTheme="minorHAnsi" w:hAnsi="Verdana" w:cs="Verdana"/>
          <w:color w:val="000000"/>
          <w:sz w:val="20"/>
          <w:szCs w:val="20"/>
          <w:lang w:eastAsia="en-US"/>
        </w:rPr>
        <w:t xml:space="preserve"> da baixa contábil </w:t>
      </w:r>
      <w:r>
        <w:rPr>
          <w:rFonts w:ascii="Verdana" w:eastAsiaTheme="minorHAnsi" w:hAnsi="Verdana" w:cs="Verdana"/>
          <w:color w:val="000000"/>
          <w:sz w:val="20"/>
          <w:szCs w:val="20"/>
          <w:lang w:eastAsia="en-US"/>
        </w:rPr>
        <w:t>n</w:t>
      </w:r>
      <w:r w:rsidRPr="00566BF0">
        <w:rPr>
          <w:rFonts w:ascii="Verdana" w:eastAsiaTheme="minorHAnsi" w:hAnsi="Verdana" w:cs="Verdana"/>
          <w:color w:val="000000"/>
          <w:sz w:val="20"/>
          <w:szCs w:val="20"/>
          <w:lang w:eastAsia="en-US"/>
        </w:rPr>
        <w:t xml:space="preserve">o montante </w:t>
      </w:r>
      <w:r>
        <w:rPr>
          <w:rFonts w:ascii="Verdana" w:eastAsiaTheme="minorHAnsi" w:hAnsi="Verdana" w:cs="Verdana"/>
          <w:color w:val="000000"/>
          <w:sz w:val="20"/>
          <w:szCs w:val="20"/>
          <w:lang w:eastAsia="en-US"/>
        </w:rPr>
        <w:t xml:space="preserve">total </w:t>
      </w:r>
      <w:r w:rsidRPr="00566BF0">
        <w:rPr>
          <w:rFonts w:ascii="Verdana" w:eastAsiaTheme="minorHAnsi" w:hAnsi="Verdana" w:cs="Verdana"/>
          <w:color w:val="000000"/>
          <w:sz w:val="20"/>
          <w:szCs w:val="20"/>
          <w:lang w:eastAsia="en-US"/>
        </w:rPr>
        <w:t>de R$ 252.354</w:t>
      </w:r>
      <w:r>
        <w:rPr>
          <w:rFonts w:ascii="Verdana" w:eastAsiaTheme="minorHAnsi" w:hAnsi="Verdana" w:cs="Verdana"/>
          <w:color w:val="000000"/>
          <w:sz w:val="20"/>
          <w:szCs w:val="20"/>
          <w:lang w:eastAsia="en-US"/>
        </w:rPr>
        <w:t xml:space="preserve"> referente aos</w:t>
      </w:r>
      <w:r w:rsidRPr="00566BF0">
        <w:rPr>
          <w:rFonts w:ascii="Verdana" w:eastAsiaTheme="minorHAnsi" w:hAnsi="Verdana" w:cs="Verdana"/>
          <w:color w:val="000000"/>
          <w:sz w:val="20"/>
          <w:szCs w:val="20"/>
          <w:lang w:eastAsia="en-US"/>
        </w:rPr>
        <w:t xml:space="preserve"> elementos combustíveis J027</w:t>
      </w:r>
      <w:r>
        <w:rPr>
          <w:rFonts w:ascii="Verdana" w:eastAsiaTheme="minorHAnsi" w:hAnsi="Verdana" w:cs="Verdana"/>
          <w:color w:val="000000"/>
          <w:sz w:val="20"/>
          <w:szCs w:val="20"/>
          <w:lang w:eastAsia="en-US"/>
        </w:rPr>
        <w:t xml:space="preserve"> e </w:t>
      </w:r>
      <w:r w:rsidRPr="00566BF0">
        <w:rPr>
          <w:rFonts w:ascii="Verdana" w:eastAsiaTheme="minorHAnsi" w:hAnsi="Verdana" w:cs="Verdana"/>
          <w:color w:val="000000"/>
          <w:sz w:val="20"/>
          <w:szCs w:val="20"/>
          <w:lang w:eastAsia="en-US"/>
        </w:rPr>
        <w:t>H036</w:t>
      </w:r>
      <w:r>
        <w:rPr>
          <w:rFonts w:ascii="Verdana" w:eastAsiaTheme="minorHAnsi" w:hAnsi="Verdana" w:cs="Verdana"/>
          <w:color w:val="000000"/>
          <w:sz w:val="20"/>
          <w:szCs w:val="20"/>
          <w:lang w:eastAsia="en-US"/>
        </w:rPr>
        <w:t xml:space="preserve">; e partes dos </w:t>
      </w:r>
      <w:r w:rsidRPr="00566BF0">
        <w:rPr>
          <w:rFonts w:ascii="Verdana" w:eastAsiaTheme="minorHAnsi" w:hAnsi="Verdana" w:cs="Verdana"/>
          <w:color w:val="000000"/>
          <w:sz w:val="20"/>
          <w:szCs w:val="20"/>
          <w:lang w:eastAsia="en-US"/>
        </w:rPr>
        <w:t xml:space="preserve">lotes R e S de Angra 2, após </w:t>
      </w:r>
      <w:r>
        <w:rPr>
          <w:rFonts w:ascii="Verdana" w:eastAsiaTheme="minorHAnsi" w:hAnsi="Verdana" w:cs="Verdana"/>
          <w:color w:val="000000"/>
          <w:sz w:val="20"/>
          <w:szCs w:val="20"/>
          <w:lang w:eastAsia="en-US"/>
        </w:rPr>
        <w:t xml:space="preserve">avaliação técnica </w:t>
      </w:r>
      <w:r w:rsidRPr="00566BF0">
        <w:rPr>
          <w:rFonts w:ascii="Verdana" w:eastAsiaTheme="minorHAnsi" w:hAnsi="Verdana" w:cs="Verdana"/>
          <w:color w:val="000000"/>
          <w:sz w:val="20"/>
          <w:szCs w:val="20"/>
          <w:lang w:eastAsia="en-US"/>
        </w:rPr>
        <w:t>indicar que não hav</w:t>
      </w:r>
      <w:r>
        <w:rPr>
          <w:rFonts w:ascii="Verdana" w:eastAsiaTheme="minorHAnsi" w:hAnsi="Verdana" w:cs="Verdana"/>
          <w:color w:val="000000"/>
          <w:sz w:val="20"/>
          <w:szCs w:val="20"/>
          <w:lang w:eastAsia="en-US"/>
        </w:rPr>
        <w:t>eria perspectiva de utilização.</w:t>
      </w:r>
    </w:p>
    <w:p w14:paraId="16012B26" w14:textId="77777777" w:rsidR="00233C4A" w:rsidRDefault="00233C4A" w:rsidP="00233C4A">
      <w:pPr>
        <w:rPr>
          <w:rFonts w:ascii="Verdana" w:eastAsiaTheme="minorHAnsi" w:hAnsi="Verdana"/>
          <w:color w:val="FF0000"/>
          <w:sz w:val="20"/>
          <w:szCs w:val="20"/>
          <w:highlight w:val="yellow"/>
        </w:rPr>
      </w:pPr>
    </w:p>
    <w:p w14:paraId="630C7FBC" w14:textId="6631CE1E" w:rsidR="00233C4A" w:rsidRDefault="00233C4A" w:rsidP="00233C4A">
      <w:pPr>
        <w:tabs>
          <w:tab w:val="left" w:pos="567"/>
          <w:tab w:val="left" w:pos="1134"/>
          <w:tab w:val="left" w:pos="1701"/>
          <w:tab w:val="left" w:pos="2268"/>
          <w:tab w:val="left" w:pos="2835"/>
        </w:tabs>
        <w:outlineLvl w:val="0"/>
        <w:rPr>
          <w:rFonts w:ascii="Verdana" w:hAnsi="Verdana"/>
          <w:b/>
          <w:color w:val="0D63B5"/>
          <w:sz w:val="20"/>
          <w:szCs w:val="20"/>
        </w:rPr>
      </w:pPr>
    </w:p>
    <w:p w14:paraId="1FBD36AF" w14:textId="77777777" w:rsidR="002E5C89" w:rsidRPr="00160DA6" w:rsidRDefault="002E5C89" w:rsidP="00233C4A">
      <w:pPr>
        <w:tabs>
          <w:tab w:val="left" w:pos="567"/>
          <w:tab w:val="left" w:pos="1134"/>
          <w:tab w:val="left" w:pos="1701"/>
          <w:tab w:val="left" w:pos="2268"/>
          <w:tab w:val="left" w:pos="2835"/>
        </w:tabs>
        <w:outlineLvl w:val="0"/>
        <w:rPr>
          <w:rFonts w:ascii="Verdana" w:hAnsi="Verdana"/>
          <w:b/>
          <w:color w:val="0D63B5"/>
          <w:sz w:val="20"/>
          <w:szCs w:val="20"/>
        </w:rPr>
      </w:pPr>
    </w:p>
    <w:p w14:paraId="718D30DA" w14:textId="77777777" w:rsidR="00233C4A" w:rsidRPr="008E79B0" w:rsidRDefault="00233C4A" w:rsidP="00233C4A">
      <w:pPr>
        <w:tabs>
          <w:tab w:val="left" w:pos="567"/>
          <w:tab w:val="left" w:pos="1134"/>
          <w:tab w:val="left" w:pos="1701"/>
          <w:tab w:val="left" w:pos="2268"/>
          <w:tab w:val="left" w:pos="2835"/>
        </w:tabs>
        <w:outlineLvl w:val="0"/>
        <w:rPr>
          <w:rFonts w:ascii="Verdana" w:hAnsi="Verdana"/>
          <w:b/>
          <w:color w:val="0D63B5"/>
          <w:sz w:val="20"/>
          <w:szCs w:val="20"/>
        </w:rPr>
      </w:pPr>
      <w:r w:rsidRPr="008E79B0">
        <w:rPr>
          <w:rFonts w:ascii="Verdana" w:hAnsi="Verdana"/>
          <w:b/>
          <w:color w:val="0D63B5"/>
          <w:sz w:val="20"/>
          <w:szCs w:val="20"/>
        </w:rPr>
        <w:t xml:space="preserve">NOTA 3 – AUTORIZAÇÕES PARA CONSTRUÇÃO E </w:t>
      </w:r>
      <w:proofErr w:type="gramStart"/>
      <w:r w:rsidRPr="008E79B0">
        <w:rPr>
          <w:rFonts w:ascii="Verdana" w:hAnsi="Verdana"/>
          <w:b/>
          <w:color w:val="0D63B5"/>
          <w:sz w:val="20"/>
          <w:szCs w:val="20"/>
        </w:rPr>
        <w:t>OPERAÇÃO  DAS</w:t>
      </w:r>
      <w:proofErr w:type="gramEnd"/>
      <w:r w:rsidRPr="008E79B0">
        <w:rPr>
          <w:rFonts w:ascii="Verdana" w:hAnsi="Verdana"/>
          <w:b/>
          <w:color w:val="0D63B5"/>
          <w:sz w:val="20"/>
          <w:szCs w:val="20"/>
        </w:rPr>
        <w:t xml:space="preserve"> USINAS</w:t>
      </w:r>
    </w:p>
    <w:p w14:paraId="50980811" w14:textId="77777777" w:rsidR="00233C4A" w:rsidRDefault="00233C4A" w:rsidP="00233C4A">
      <w:pPr>
        <w:autoSpaceDE w:val="0"/>
        <w:autoSpaceDN w:val="0"/>
        <w:adjustRightInd w:val="0"/>
        <w:rPr>
          <w:rFonts w:ascii="Verdana" w:hAnsi="Verdana" w:cs="Arial"/>
          <w:sz w:val="20"/>
          <w:szCs w:val="22"/>
        </w:rPr>
      </w:pPr>
    </w:p>
    <w:p w14:paraId="737A4B2A" w14:textId="77777777" w:rsidR="00233C4A" w:rsidRPr="008E79B0" w:rsidRDefault="00233C4A" w:rsidP="00233C4A">
      <w:pPr>
        <w:autoSpaceDE w:val="0"/>
        <w:autoSpaceDN w:val="0"/>
        <w:adjustRightInd w:val="0"/>
        <w:rPr>
          <w:rFonts w:ascii="Verdana" w:hAnsi="Verdana" w:cs="Arial"/>
          <w:sz w:val="20"/>
          <w:szCs w:val="22"/>
        </w:rPr>
      </w:pPr>
    </w:p>
    <w:p w14:paraId="35A2860A" w14:textId="77777777" w:rsidR="00233C4A" w:rsidRDefault="00233C4A" w:rsidP="00233C4A">
      <w:pPr>
        <w:rPr>
          <w:rFonts w:ascii="Verdana" w:hAnsi="Verdana" w:cs="Arial"/>
          <w:sz w:val="20"/>
          <w:szCs w:val="20"/>
        </w:rPr>
      </w:pPr>
      <w:r w:rsidRPr="008E79B0">
        <w:rPr>
          <w:rFonts w:ascii="Verdana" w:hAnsi="Verdana" w:cs="Arial"/>
          <w:sz w:val="20"/>
          <w:szCs w:val="20"/>
        </w:rPr>
        <w:t>A seguir, detalhes sobre as autorizações para construção e operação das usinas componentes da Central Nuclear:</w:t>
      </w:r>
    </w:p>
    <w:p w14:paraId="4138BA82" w14:textId="77777777" w:rsidR="001F1B3E" w:rsidRPr="008E79B0" w:rsidRDefault="001F1B3E" w:rsidP="00740EB5">
      <w:pPr>
        <w:rPr>
          <w:rFonts w:ascii="Verdana" w:hAnsi="Verdana" w:cs="Arial"/>
          <w:sz w:val="20"/>
          <w:szCs w:val="20"/>
        </w:rPr>
      </w:pPr>
    </w:p>
    <w:p w14:paraId="3857D84E" w14:textId="77777777" w:rsidR="00740EB5" w:rsidRPr="008E79B0" w:rsidRDefault="00AF252B" w:rsidP="00740EB5">
      <w:pPr>
        <w:rPr>
          <w:rFonts w:ascii="Verdana" w:hAnsi="Verdana" w:cs="Arial"/>
          <w:sz w:val="20"/>
          <w:szCs w:val="20"/>
        </w:rPr>
      </w:pPr>
      <w:r w:rsidRPr="00AF252B">
        <w:rPr>
          <w:noProof/>
        </w:rPr>
        <w:drawing>
          <wp:inline distT="0" distB="0" distL="0" distR="0" wp14:anchorId="4B655FD8" wp14:editId="53271396">
            <wp:extent cx="6652895" cy="1338354"/>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52895" cy="1338354"/>
                    </a:xfrm>
                    <a:prstGeom prst="rect">
                      <a:avLst/>
                    </a:prstGeom>
                    <a:noFill/>
                    <a:ln>
                      <a:noFill/>
                    </a:ln>
                  </pic:spPr>
                </pic:pic>
              </a:graphicData>
            </a:graphic>
          </wp:inline>
        </w:drawing>
      </w:r>
    </w:p>
    <w:p w14:paraId="1D120254" w14:textId="77777777" w:rsidR="00740EB5" w:rsidRPr="008E79B0" w:rsidRDefault="00740EB5" w:rsidP="00740EB5">
      <w:pPr>
        <w:rPr>
          <w:rFonts w:ascii="Verdana" w:hAnsi="Verdana" w:cs="Arial"/>
          <w:sz w:val="20"/>
          <w:szCs w:val="20"/>
        </w:rPr>
      </w:pPr>
    </w:p>
    <w:p w14:paraId="2B9BE00F" w14:textId="77777777" w:rsidR="00233C4A" w:rsidRPr="008E79B0" w:rsidRDefault="00233C4A" w:rsidP="00233C4A">
      <w:pPr>
        <w:rPr>
          <w:rFonts w:ascii="Verdana" w:hAnsi="Verdana" w:cs="Arial"/>
          <w:sz w:val="20"/>
          <w:szCs w:val="20"/>
        </w:rPr>
      </w:pPr>
      <w:r w:rsidRPr="008E79B0">
        <w:rPr>
          <w:rFonts w:ascii="Verdana" w:hAnsi="Verdana" w:cs="Arial"/>
          <w:sz w:val="20"/>
          <w:szCs w:val="20"/>
        </w:rPr>
        <w:t>A energia elétrica gerada pela Companhia, a partir de 1º de janeiro de 2013, foi rateada entre todas as concessionárias, permissionárias ou autorizadas de serviço público de distribuição no Sistema Interligado Nacional – SIN, de acordo com a metodologia estabelecida na Resolução Normativa nº 530, editada em 21 de dezembro de 2012 pela Aneel, para o cálculo das cotas-partes anuais referentes à energia das centrais de geração Angra 1 e Angra 2 e as condições para a comercialização dessa energia na forma do art.11, da Lei nº 12.111/2009.</w:t>
      </w:r>
    </w:p>
    <w:p w14:paraId="15EF69B5" w14:textId="77777777" w:rsidR="00233C4A" w:rsidRPr="008E79B0" w:rsidRDefault="00233C4A" w:rsidP="00233C4A">
      <w:pPr>
        <w:ind w:left="360" w:hanging="360"/>
        <w:rPr>
          <w:rFonts w:ascii="Verdana" w:hAnsi="Verdana" w:cs="Arial"/>
          <w:i/>
          <w:sz w:val="20"/>
          <w:szCs w:val="20"/>
        </w:rPr>
      </w:pPr>
    </w:p>
    <w:p w14:paraId="1CB6F875" w14:textId="77777777" w:rsidR="00233C4A" w:rsidRPr="008E79B0" w:rsidRDefault="00233C4A" w:rsidP="00233C4A">
      <w:pPr>
        <w:tabs>
          <w:tab w:val="left" w:pos="142"/>
        </w:tabs>
        <w:rPr>
          <w:rFonts w:ascii="Verdana" w:hAnsi="Verdana" w:cs="Arial"/>
          <w:sz w:val="20"/>
          <w:szCs w:val="20"/>
        </w:rPr>
      </w:pPr>
      <w:r w:rsidRPr="008E79B0">
        <w:rPr>
          <w:rFonts w:ascii="Verdana" w:hAnsi="Verdana" w:cs="Arial"/>
          <w:sz w:val="20"/>
          <w:szCs w:val="20"/>
        </w:rPr>
        <w:t>Essas cotas-partes representam o percentual da energia proveniente das usinas, a ser alocado à cada distribuidora, calculado pela razão entre o seu mercado faturado dos consumidores e a soma dos mercados faturados dos consumidores cativos de todas as distribuidoras do Sistema Interligado Nacional - SIN.</w:t>
      </w:r>
    </w:p>
    <w:p w14:paraId="326660B8" w14:textId="77777777" w:rsidR="00233C4A" w:rsidRPr="008E79B0" w:rsidRDefault="00233C4A" w:rsidP="00233C4A">
      <w:pPr>
        <w:tabs>
          <w:tab w:val="left" w:pos="142"/>
        </w:tabs>
        <w:rPr>
          <w:rFonts w:ascii="Verdana" w:hAnsi="Verdana" w:cs="Arial"/>
          <w:sz w:val="20"/>
          <w:szCs w:val="20"/>
        </w:rPr>
      </w:pPr>
    </w:p>
    <w:p w14:paraId="1C993FDF" w14:textId="77777777" w:rsidR="00233C4A" w:rsidRPr="008E79B0" w:rsidRDefault="00233C4A" w:rsidP="00233C4A">
      <w:pPr>
        <w:tabs>
          <w:tab w:val="left" w:pos="142"/>
        </w:tabs>
        <w:rPr>
          <w:rFonts w:ascii="Verdana" w:hAnsi="Verdana" w:cs="Arial"/>
          <w:sz w:val="20"/>
          <w:szCs w:val="20"/>
        </w:rPr>
      </w:pPr>
      <w:r w:rsidRPr="008E79B0">
        <w:rPr>
          <w:rFonts w:ascii="Verdana" w:hAnsi="Verdana" w:cs="Arial"/>
          <w:sz w:val="20"/>
          <w:szCs w:val="20"/>
        </w:rPr>
        <w:t>A Aneel estabeleceu as cotas-partes anuais referentes à geração para os anos de 202</w:t>
      </w:r>
      <w:r>
        <w:rPr>
          <w:rFonts w:ascii="Verdana" w:hAnsi="Verdana" w:cs="Arial"/>
          <w:sz w:val="20"/>
          <w:szCs w:val="20"/>
        </w:rPr>
        <w:t>2</w:t>
      </w:r>
      <w:r w:rsidRPr="008E79B0">
        <w:rPr>
          <w:rFonts w:ascii="Verdana" w:hAnsi="Verdana" w:cs="Arial"/>
          <w:sz w:val="20"/>
          <w:szCs w:val="20"/>
        </w:rPr>
        <w:t xml:space="preserve"> a 202</w:t>
      </w:r>
      <w:r>
        <w:rPr>
          <w:rFonts w:ascii="Verdana" w:hAnsi="Verdana" w:cs="Arial"/>
          <w:sz w:val="20"/>
          <w:szCs w:val="20"/>
        </w:rPr>
        <w:t>9</w:t>
      </w:r>
      <w:r w:rsidRPr="008E79B0">
        <w:rPr>
          <w:rFonts w:ascii="Verdana" w:hAnsi="Verdana" w:cs="Arial"/>
          <w:sz w:val="20"/>
          <w:szCs w:val="20"/>
        </w:rPr>
        <w:t>, bem como os montantes de energia a serem alocadas às distribuidoras do SIN em 202</w:t>
      </w:r>
      <w:r>
        <w:rPr>
          <w:rFonts w:ascii="Verdana" w:hAnsi="Verdana" w:cs="Arial"/>
          <w:sz w:val="20"/>
          <w:szCs w:val="20"/>
        </w:rPr>
        <w:t>2</w:t>
      </w:r>
      <w:r w:rsidRPr="008E79B0">
        <w:rPr>
          <w:rFonts w:ascii="Verdana" w:hAnsi="Verdana" w:cs="Arial"/>
          <w:sz w:val="20"/>
          <w:szCs w:val="20"/>
        </w:rPr>
        <w:t>, através das Resoluções Homologatórias:</w:t>
      </w:r>
    </w:p>
    <w:p w14:paraId="3E341D5C" w14:textId="77777777" w:rsidR="00233C4A" w:rsidRPr="008E79B0" w:rsidRDefault="00233C4A" w:rsidP="00233C4A">
      <w:pPr>
        <w:tabs>
          <w:tab w:val="left" w:pos="142"/>
        </w:tabs>
        <w:rPr>
          <w:rFonts w:ascii="Verdana" w:hAnsi="Verdana" w:cs="Arial"/>
          <w:sz w:val="20"/>
          <w:szCs w:val="20"/>
        </w:rPr>
      </w:pPr>
    </w:p>
    <w:p w14:paraId="705739F8" w14:textId="77777777" w:rsidR="00233C4A" w:rsidRPr="008E79B0" w:rsidRDefault="00233C4A" w:rsidP="00233C4A">
      <w:pPr>
        <w:tabs>
          <w:tab w:val="left" w:pos="142"/>
        </w:tabs>
        <w:rPr>
          <w:rFonts w:ascii="Verdana" w:hAnsi="Verdana" w:cs="Arial"/>
          <w:sz w:val="20"/>
          <w:szCs w:val="20"/>
        </w:rPr>
      </w:pPr>
      <w:r w:rsidRPr="008E79B0">
        <w:rPr>
          <w:rFonts w:ascii="Verdana" w:hAnsi="Verdana" w:cs="Arial"/>
          <w:sz w:val="20"/>
          <w:szCs w:val="20"/>
        </w:rPr>
        <w:t>- 2.179/2016 de 29 de novembro de 2016 (cotas-partes de 2022)</w:t>
      </w:r>
    </w:p>
    <w:p w14:paraId="5D57E058" w14:textId="77777777" w:rsidR="00233C4A" w:rsidRPr="008E79B0" w:rsidRDefault="00233C4A" w:rsidP="00233C4A">
      <w:pPr>
        <w:tabs>
          <w:tab w:val="left" w:pos="142"/>
        </w:tabs>
        <w:rPr>
          <w:rFonts w:ascii="Verdana" w:hAnsi="Verdana" w:cs="Arial"/>
          <w:sz w:val="20"/>
          <w:szCs w:val="20"/>
        </w:rPr>
      </w:pPr>
      <w:r w:rsidRPr="008E79B0">
        <w:rPr>
          <w:rFonts w:ascii="Verdana" w:hAnsi="Verdana" w:cs="Arial"/>
          <w:sz w:val="20"/>
          <w:szCs w:val="20"/>
        </w:rPr>
        <w:t>- 2.354/2017 de 05 de dezembro de 2017 (cotas-partes de 2023)</w:t>
      </w:r>
    </w:p>
    <w:p w14:paraId="0F46768D" w14:textId="77777777" w:rsidR="00233C4A" w:rsidRPr="008E79B0" w:rsidRDefault="00233C4A" w:rsidP="00233C4A">
      <w:pPr>
        <w:tabs>
          <w:tab w:val="left" w:pos="142"/>
        </w:tabs>
        <w:rPr>
          <w:rFonts w:ascii="Verdana" w:hAnsi="Verdana" w:cs="Arial"/>
          <w:sz w:val="20"/>
          <w:szCs w:val="20"/>
        </w:rPr>
      </w:pPr>
      <w:r w:rsidRPr="008E79B0">
        <w:rPr>
          <w:rFonts w:ascii="Verdana" w:hAnsi="Verdana" w:cs="Arial"/>
          <w:sz w:val="20"/>
          <w:szCs w:val="20"/>
        </w:rPr>
        <w:t>- 2.499/2018 de 18 de dezembro de 2018 (cotas-partes de 2024 a 2026)</w:t>
      </w:r>
    </w:p>
    <w:p w14:paraId="1D3EA5E3" w14:textId="77777777" w:rsidR="00233C4A" w:rsidRPr="008E79B0" w:rsidRDefault="00233C4A" w:rsidP="00233C4A">
      <w:pPr>
        <w:tabs>
          <w:tab w:val="left" w:pos="142"/>
        </w:tabs>
        <w:rPr>
          <w:rFonts w:ascii="Verdana" w:hAnsi="Verdana" w:cs="Arial"/>
          <w:sz w:val="20"/>
          <w:szCs w:val="20"/>
        </w:rPr>
      </w:pPr>
      <w:r w:rsidRPr="008E79B0">
        <w:rPr>
          <w:rFonts w:ascii="Verdana" w:hAnsi="Verdana" w:cs="Arial"/>
          <w:sz w:val="20"/>
          <w:szCs w:val="20"/>
        </w:rPr>
        <w:t>- 2.643/2019 de 26 de novembro de 2019 (cotas-partes de 2027)</w:t>
      </w:r>
    </w:p>
    <w:p w14:paraId="076EC4D1" w14:textId="77777777" w:rsidR="00233C4A" w:rsidRDefault="00233C4A" w:rsidP="00233C4A">
      <w:pPr>
        <w:tabs>
          <w:tab w:val="left" w:pos="142"/>
        </w:tabs>
        <w:rPr>
          <w:rFonts w:ascii="Verdana" w:hAnsi="Verdana" w:cs="Arial"/>
          <w:sz w:val="20"/>
          <w:szCs w:val="20"/>
        </w:rPr>
      </w:pPr>
      <w:r w:rsidRPr="008E79B0">
        <w:rPr>
          <w:rFonts w:ascii="Verdana" w:hAnsi="Verdana" w:cs="Arial"/>
          <w:sz w:val="20"/>
          <w:szCs w:val="20"/>
        </w:rPr>
        <w:t>- 2.805/2020 de 24 de novembro de 2020 (cotas-partes de 2028)</w:t>
      </w:r>
    </w:p>
    <w:p w14:paraId="3F81471D" w14:textId="41B24250" w:rsidR="00233C4A" w:rsidRDefault="00233C4A" w:rsidP="00233C4A">
      <w:pPr>
        <w:tabs>
          <w:tab w:val="left" w:pos="142"/>
        </w:tabs>
        <w:rPr>
          <w:rFonts w:ascii="Verdana" w:hAnsi="Verdana" w:cs="Arial"/>
          <w:sz w:val="20"/>
          <w:szCs w:val="20"/>
        </w:rPr>
      </w:pPr>
      <w:r>
        <w:rPr>
          <w:rFonts w:ascii="Verdana" w:hAnsi="Verdana" w:cs="Arial"/>
          <w:sz w:val="20"/>
          <w:szCs w:val="20"/>
        </w:rPr>
        <w:t xml:space="preserve">- </w:t>
      </w:r>
      <w:r w:rsidRPr="008E79B0">
        <w:rPr>
          <w:rFonts w:ascii="Verdana" w:hAnsi="Verdana" w:cs="Arial"/>
          <w:sz w:val="20"/>
          <w:szCs w:val="20"/>
        </w:rPr>
        <w:t>2.</w:t>
      </w:r>
      <w:r>
        <w:rPr>
          <w:rFonts w:ascii="Verdana" w:hAnsi="Verdana" w:cs="Arial"/>
          <w:sz w:val="20"/>
          <w:szCs w:val="20"/>
        </w:rPr>
        <w:t>998</w:t>
      </w:r>
      <w:r w:rsidRPr="008E79B0">
        <w:rPr>
          <w:rFonts w:ascii="Verdana" w:hAnsi="Verdana" w:cs="Arial"/>
          <w:sz w:val="20"/>
          <w:szCs w:val="20"/>
        </w:rPr>
        <w:t>/202</w:t>
      </w:r>
      <w:r>
        <w:rPr>
          <w:rFonts w:ascii="Verdana" w:hAnsi="Verdana" w:cs="Arial"/>
          <w:sz w:val="20"/>
          <w:szCs w:val="20"/>
        </w:rPr>
        <w:t>1 de 1</w:t>
      </w:r>
      <w:r w:rsidRPr="008E79B0">
        <w:rPr>
          <w:rFonts w:ascii="Verdana" w:hAnsi="Verdana" w:cs="Arial"/>
          <w:sz w:val="20"/>
          <w:szCs w:val="20"/>
        </w:rPr>
        <w:t>4 de novembro de 202</w:t>
      </w:r>
      <w:r>
        <w:rPr>
          <w:rFonts w:ascii="Verdana" w:hAnsi="Verdana" w:cs="Arial"/>
          <w:sz w:val="20"/>
          <w:szCs w:val="20"/>
        </w:rPr>
        <w:t>1</w:t>
      </w:r>
      <w:r w:rsidRPr="008E79B0">
        <w:rPr>
          <w:rFonts w:ascii="Verdana" w:hAnsi="Verdana" w:cs="Arial"/>
          <w:sz w:val="20"/>
          <w:szCs w:val="20"/>
        </w:rPr>
        <w:t xml:space="preserve"> (cotas-partes de 202</w:t>
      </w:r>
      <w:r>
        <w:rPr>
          <w:rFonts w:ascii="Verdana" w:hAnsi="Verdana" w:cs="Arial"/>
          <w:sz w:val="20"/>
          <w:szCs w:val="20"/>
        </w:rPr>
        <w:t>9</w:t>
      </w:r>
      <w:r w:rsidRPr="008E79B0">
        <w:rPr>
          <w:rFonts w:ascii="Verdana" w:hAnsi="Verdana" w:cs="Arial"/>
          <w:sz w:val="20"/>
          <w:szCs w:val="20"/>
        </w:rPr>
        <w:t>)</w:t>
      </w:r>
    </w:p>
    <w:p w14:paraId="6EA6E01C" w14:textId="237515E5" w:rsidR="00AA1AC9" w:rsidRDefault="00AA1AC9" w:rsidP="00233C4A">
      <w:pPr>
        <w:tabs>
          <w:tab w:val="left" w:pos="142"/>
        </w:tabs>
        <w:rPr>
          <w:rFonts w:ascii="Verdana" w:hAnsi="Verdana" w:cs="Arial"/>
          <w:sz w:val="20"/>
          <w:szCs w:val="20"/>
        </w:rPr>
      </w:pPr>
    </w:p>
    <w:p w14:paraId="5DD5B6AD" w14:textId="6BCF0275" w:rsidR="00AA1AC9" w:rsidRDefault="00AA1AC9" w:rsidP="00233C4A">
      <w:pPr>
        <w:tabs>
          <w:tab w:val="left" w:pos="142"/>
        </w:tabs>
        <w:rPr>
          <w:rFonts w:ascii="Verdana" w:hAnsi="Verdana" w:cs="Arial"/>
          <w:sz w:val="20"/>
          <w:szCs w:val="20"/>
        </w:rPr>
      </w:pPr>
    </w:p>
    <w:p w14:paraId="7F9E3451" w14:textId="1994EE16" w:rsidR="00AA1AC9" w:rsidRDefault="00AA1AC9" w:rsidP="00233C4A">
      <w:pPr>
        <w:tabs>
          <w:tab w:val="left" w:pos="142"/>
        </w:tabs>
        <w:rPr>
          <w:rFonts w:ascii="Verdana" w:hAnsi="Verdana" w:cs="Arial"/>
          <w:sz w:val="20"/>
          <w:szCs w:val="20"/>
        </w:rPr>
      </w:pPr>
    </w:p>
    <w:p w14:paraId="017E7519" w14:textId="34878369" w:rsidR="000C25F5" w:rsidRDefault="000C25F5" w:rsidP="00233C4A">
      <w:pPr>
        <w:tabs>
          <w:tab w:val="left" w:pos="142"/>
        </w:tabs>
        <w:rPr>
          <w:rFonts w:ascii="Verdana" w:hAnsi="Verdana" w:cs="Arial"/>
          <w:sz w:val="20"/>
          <w:szCs w:val="20"/>
        </w:rPr>
      </w:pPr>
    </w:p>
    <w:p w14:paraId="4DC922DE" w14:textId="77777777" w:rsidR="000C25F5" w:rsidRPr="008E79B0" w:rsidRDefault="000C25F5" w:rsidP="00233C4A">
      <w:pPr>
        <w:tabs>
          <w:tab w:val="left" w:pos="142"/>
        </w:tabs>
        <w:rPr>
          <w:rFonts w:ascii="Verdana" w:hAnsi="Verdana" w:cs="Arial"/>
          <w:sz w:val="20"/>
          <w:szCs w:val="20"/>
        </w:rPr>
      </w:pPr>
    </w:p>
    <w:p w14:paraId="07FE27B9" w14:textId="77777777" w:rsidR="00233C4A" w:rsidRPr="00A1650C" w:rsidRDefault="00233C4A" w:rsidP="00233C4A">
      <w:pPr>
        <w:tabs>
          <w:tab w:val="left" w:pos="567"/>
          <w:tab w:val="left" w:pos="1134"/>
          <w:tab w:val="left" w:pos="1701"/>
          <w:tab w:val="left" w:pos="2268"/>
          <w:tab w:val="left" w:pos="2835"/>
        </w:tabs>
        <w:outlineLvl w:val="0"/>
        <w:rPr>
          <w:rFonts w:ascii="Verdana" w:hAnsi="Verdana"/>
          <w:b/>
          <w:color w:val="0D63B5"/>
          <w:sz w:val="20"/>
          <w:szCs w:val="20"/>
        </w:rPr>
      </w:pPr>
      <w:r w:rsidRPr="00A1650C">
        <w:rPr>
          <w:rFonts w:ascii="Verdana" w:hAnsi="Verdana"/>
          <w:b/>
          <w:color w:val="0D63B5"/>
          <w:sz w:val="20"/>
          <w:szCs w:val="20"/>
        </w:rPr>
        <w:lastRenderedPageBreak/>
        <w:t>NOTA 4 – BASE DE ELABORAÇÃO E APRESENTAÇÃO DAS DEMONSTRAÇÕES FINANCEIRAS</w:t>
      </w:r>
    </w:p>
    <w:p w14:paraId="3C469150" w14:textId="77777777" w:rsidR="00233C4A" w:rsidRPr="00A1650C" w:rsidRDefault="00233C4A" w:rsidP="00233C4A">
      <w:pPr>
        <w:rPr>
          <w:rFonts w:ascii="Verdana" w:hAnsi="Verdana"/>
          <w:sz w:val="20"/>
          <w:szCs w:val="20"/>
        </w:rPr>
      </w:pPr>
    </w:p>
    <w:p w14:paraId="7A41913C" w14:textId="77777777" w:rsidR="00233C4A" w:rsidRPr="00A1650C" w:rsidRDefault="00233C4A" w:rsidP="00233C4A">
      <w:pPr>
        <w:rPr>
          <w:rFonts w:ascii="Verdana" w:hAnsi="Verdana"/>
          <w:color w:val="0D63B5"/>
          <w:sz w:val="20"/>
          <w:szCs w:val="20"/>
          <w:bdr w:val="nil"/>
        </w:rPr>
      </w:pPr>
    </w:p>
    <w:p w14:paraId="406DAF92" w14:textId="77777777" w:rsidR="00233C4A" w:rsidRPr="00A1650C" w:rsidRDefault="00233C4A" w:rsidP="00233C4A">
      <w:pPr>
        <w:rPr>
          <w:rFonts w:ascii="Verdana" w:hAnsi="Verdana"/>
          <w:vanish/>
          <w:color w:val="0D63B5"/>
          <w:sz w:val="20"/>
          <w:szCs w:val="20"/>
          <w:bdr w:val="nil"/>
        </w:rPr>
      </w:pPr>
      <w:r w:rsidRPr="00A1650C">
        <w:rPr>
          <w:rFonts w:ascii="Verdana" w:hAnsi="Verdana"/>
          <w:color w:val="0D63B5"/>
          <w:sz w:val="20"/>
          <w:szCs w:val="20"/>
          <w:bdr w:val="nil"/>
        </w:rPr>
        <w:t>4.1</w:t>
      </w:r>
    </w:p>
    <w:p w14:paraId="4AF548C8" w14:textId="77777777" w:rsidR="00233C4A" w:rsidRPr="00A1650C" w:rsidRDefault="00233C4A" w:rsidP="00233C4A">
      <w:pPr>
        <w:pStyle w:val="PargrafodaLista"/>
        <w:numPr>
          <w:ilvl w:val="0"/>
          <w:numId w:val="6"/>
        </w:numPr>
        <w:rPr>
          <w:rFonts w:ascii="Verdana" w:hAnsi="Verdana"/>
          <w:vanish/>
          <w:color w:val="0D63B5"/>
          <w:sz w:val="20"/>
          <w:szCs w:val="20"/>
          <w:bdr w:val="nil"/>
        </w:rPr>
      </w:pPr>
    </w:p>
    <w:p w14:paraId="3EF60B34" w14:textId="77777777" w:rsidR="00233C4A" w:rsidRPr="00A1650C" w:rsidRDefault="00233C4A" w:rsidP="00233C4A">
      <w:pPr>
        <w:pStyle w:val="PargrafodaLista"/>
        <w:numPr>
          <w:ilvl w:val="0"/>
          <w:numId w:val="6"/>
        </w:numPr>
        <w:rPr>
          <w:rFonts w:ascii="Verdana" w:hAnsi="Verdana"/>
          <w:vanish/>
          <w:color w:val="0D63B5"/>
          <w:sz w:val="20"/>
          <w:szCs w:val="20"/>
          <w:bdr w:val="nil"/>
        </w:rPr>
      </w:pPr>
    </w:p>
    <w:p w14:paraId="0018AEF9" w14:textId="77777777" w:rsidR="00233C4A" w:rsidRPr="00A1650C" w:rsidRDefault="00233C4A" w:rsidP="00233C4A">
      <w:pPr>
        <w:pStyle w:val="PargrafodaLista"/>
        <w:numPr>
          <w:ilvl w:val="0"/>
          <w:numId w:val="6"/>
        </w:numPr>
        <w:rPr>
          <w:rFonts w:ascii="Verdana" w:hAnsi="Verdana"/>
          <w:vanish/>
          <w:color w:val="0D63B5"/>
          <w:sz w:val="20"/>
          <w:szCs w:val="20"/>
          <w:bdr w:val="nil"/>
        </w:rPr>
      </w:pPr>
    </w:p>
    <w:p w14:paraId="4DFD3B35" w14:textId="77777777" w:rsidR="00233C4A" w:rsidRPr="00A1650C" w:rsidRDefault="00233C4A" w:rsidP="00233C4A">
      <w:pPr>
        <w:pStyle w:val="PargrafodaLista"/>
        <w:numPr>
          <w:ilvl w:val="1"/>
          <w:numId w:val="6"/>
        </w:numPr>
        <w:ind w:left="426"/>
        <w:rPr>
          <w:rFonts w:ascii="Verdana" w:hAnsi="Verdana"/>
          <w:color w:val="0D63B5"/>
          <w:sz w:val="20"/>
          <w:szCs w:val="20"/>
          <w:bdr w:val="nil"/>
        </w:rPr>
      </w:pPr>
      <w:r w:rsidRPr="00A1650C">
        <w:rPr>
          <w:rFonts w:ascii="Verdana" w:hAnsi="Verdana"/>
          <w:color w:val="0D63B5"/>
          <w:sz w:val="20"/>
          <w:szCs w:val="20"/>
          <w:bdr w:val="nil"/>
        </w:rPr>
        <w:t>– Declaração de conformidade</w:t>
      </w:r>
    </w:p>
    <w:p w14:paraId="06D5354D" w14:textId="77777777" w:rsidR="00233C4A" w:rsidRPr="00A1650C" w:rsidRDefault="00233C4A" w:rsidP="00233C4A">
      <w:pPr>
        <w:pStyle w:val="PargrafodaLista"/>
        <w:ind w:left="426"/>
        <w:rPr>
          <w:rFonts w:ascii="Verdana" w:hAnsi="Verdana"/>
          <w:color w:val="0D63B5"/>
          <w:sz w:val="20"/>
          <w:szCs w:val="20"/>
          <w:bdr w:val="nil"/>
        </w:rPr>
      </w:pPr>
    </w:p>
    <w:p w14:paraId="3C6A924E" w14:textId="77777777" w:rsidR="00233C4A" w:rsidRPr="003B33CB" w:rsidRDefault="00233C4A" w:rsidP="00233C4A">
      <w:pPr>
        <w:rPr>
          <w:rFonts w:ascii="Verdana" w:hAnsi="Verdana"/>
          <w:sz w:val="20"/>
          <w:szCs w:val="20"/>
          <w:bdr w:val="nil"/>
        </w:rPr>
      </w:pPr>
      <w:r w:rsidRPr="00A332E7">
        <w:rPr>
          <w:rFonts w:ascii="Verdana" w:hAnsi="Verdana"/>
          <w:sz w:val="20"/>
          <w:szCs w:val="20"/>
          <w:bdr w:val="nil"/>
        </w:rPr>
        <w:t xml:space="preserve">As demonstrações financeiras da Companhia </w:t>
      </w:r>
      <w:r w:rsidRPr="00A1650C">
        <w:rPr>
          <w:rFonts w:ascii="Verdana" w:hAnsi="Verdana"/>
          <w:sz w:val="20"/>
          <w:szCs w:val="20"/>
          <w:bdr w:val="nil"/>
        </w:rPr>
        <w:t>são</w:t>
      </w:r>
      <w:r w:rsidRPr="00A332E7">
        <w:rPr>
          <w:rFonts w:ascii="Verdana" w:hAnsi="Verdana"/>
          <w:sz w:val="20"/>
          <w:szCs w:val="20"/>
          <w:bdr w:val="nil"/>
        </w:rPr>
        <w:t xml:space="preserve"> preparadas de acordo com as práticas contábeis adotadas no Brasil e com as Normas Internacionais de Relatório Financeiro </w:t>
      </w:r>
      <w:r>
        <w:rPr>
          <w:rFonts w:ascii="Verdana" w:hAnsi="Verdana"/>
          <w:sz w:val="20"/>
          <w:szCs w:val="20"/>
          <w:bdr w:val="nil"/>
        </w:rPr>
        <w:t>-</w:t>
      </w:r>
      <w:proofErr w:type="spellStart"/>
      <w:r w:rsidRPr="00A332E7">
        <w:rPr>
          <w:rFonts w:ascii="Verdana" w:hAnsi="Verdana"/>
          <w:sz w:val="20"/>
          <w:szCs w:val="20"/>
          <w:bdr w:val="nil"/>
        </w:rPr>
        <w:t>IFRSs</w:t>
      </w:r>
      <w:proofErr w:type="spellEnd"/>
      <w:r w:rsidRPr="00A332E7">
        <w:rPr>
          <w:rFonts w:ascii="Verdana" w:hAnsi="Verdana"/>
          <w:sz w:val="20"/>
          <w:szCs w:val="20"/>
          <w:bdr w:val="nil"/>
        </w:rPr>
        <w:t xml:space="preserve"> emitidas pelo </w:t>
      </w:r>
      <w:proofErr w:type="spellStart"/>
      <w:r w:rsidRPr="00A332E7">
        <w:rPr>
          <w:rFonts w:ascii="Verdana" w:hAnsi="Verdana"/>
          <w:i/>
          <w:sz w:val="20"/>
          <w:szCs w:val="20"/>
          <w:bdr w:val="nil"/>
        </w:rPr>
        <w:t>International</w:t>
      </w:r>
      <w:proofErr w:type="spellEnd"/>
      <w:r w:rsidRPr="00A332E7">
        <w:rPr>
          <w:rFonts w:ascii="Verdana" w:hAnsi="Verdana"/>
          <w:i/>
          <w:sz w:val="20"/>
          <w:szCs w:val="20"/>
          <w:bdr w:val="nil"/>
        </w:rPr>
        <w:t xml:space="preserve"> </w:t>
      </w:r>
      <w:proofErr w:type="spellStart"/>
      <w:r w:rsidRPr="00A332E7">
        <w:rPr>
          <w:rFonts w:ascii="Verdana" w:hAnsi="Verdana"/>
          <w:i/>
          <w:sz w:val="20"/>
          <w:szCs w:val="20"/>
          <w:bdr w:val="nil"/>
        </w:rPr>
        <w:t>Accounting</w:t>
      </w:r>
      <w:proofErr w:type="spellEnd"/>
      <w:r w:rsidRPr="00A332E7">
        <w:rPr>
          <w:rFonts w:ascii="Verdana" w:hAnsi="Verdana"/>
          <w:i/>
          <w:sz w:val="20"/>
          <w:szCs w:val="20"/>
          <w:bdr w:val="nil"/>
        </w:rPr>
        <w:t xml:space="preserve"> Standards </w:t>
      </w:r>
      <w:proofErr w:type="spellStart"/>
      <w:r w:rsidRPr="00A332E7">
        <w:rPr>
          <w:rFonts w:ascii="Verdana" w:hAnsi="Verdana"/>
          <w:i/>
          <w:sz w:val="20"/>
          <w:szCs w:val="20"/>
          <w:bdr w:val="nil"/>
        </w:rPr>
        <w:t>Board</w:t>
      </w:r>
      <w:proofErr w:type="spellEnd"/>
      <w:r w:rsidRPr="00A332E7">
        <w:rPr>
          <w:rFonts w:ascii="Verdana" w:hAnsi="Verdana"/>
          <w:sz w:val="20"/>
          <w:szCs w:val="20"/>
          <w:bdr w:val="nil"/>
        </w:rPr>
        <w:t xml:space="preserve"> </w:t>
      </w:r>
      <w:r>
        <w:rPr>
          <w:rFonts w:ascii="Verdana" w:hAnsi="Verdana"/>
          <w:sz w:val="20"/>
          <w:szCs w:val="20"/>
          <w:bdr w:val="nil"/>
        </w:rPr>
        <w:t xml:space="preserve">- </w:t>
      </w:r>
      <w:r w:rsidRPr="00A332E7">
        <w:rPr>
          <w:rFonts w:ascii="Verdana" w:hAnsi="Verdana"/>
          <w:sz w:val="20"/>
          <w:szCs w:val="20"/>
          <w:bdr w:val="nil"/>
        </w:rPr>
        <w:t xml:space="preserve">IASB. As práticas contábeis adotadas no Brasil compreendem os pronunciamentos, interpretações e orientações expedidos pelo Comitê de Pronunciamentos Contábeis </w:t>
      </w:r>
      <w:r>
        <w:rPr>
          <w:rFonts w:ascii="Verdana" w:hAnsi="Verdana"/>
          <w:sz w:val="20"/>
          <w:szCs w:val="20"/>
          <w:bdr w:val="nil"/>
        </w:rPr>
        <w:t xml:space="preserve">- </w:t>
      </w:r>
      <w:r w:rsidRPr="00A332E7">
        <w:rPr>
          <w:rFonts w:ascii="Verdana" w:hAnsi="Verdana"/>
          <w:sz w:val="20"/>
          <w:szCs w:val="20"/>
          <w:bdr w:val="nil"/>
        </w:rPr>
        <w:t xml:space="preserve">CPC, aprovados pelo Conselho Federal de Contabilidade </w:t>
      </w:r>
      <w:r>
        <w:rPr>
          <w:rFonts w:ascii="Verdana" w:hAnsi="Verdana"/>
          <w:sz w:val="20"/>
          <w:szCs w:val="20"/>
          <w:bdr w:val="nil"/>
        </w:rPr>
        <w:t xml:space="preserve">- </w:t>
      </w:r>
      <w:r w:rsidRPr="00A332E7">
        <w:rPr>
          <w:rFonts w:ascii="Verdana" w:hAnsi="Verdana"/>
          <w:sz w:val="20"/>
          <w:szCs w:val="20"/>
          <w:bdr w:val="nil"/>
        </w:rPr>
        <w:t xml:space="preserve">CFC e pela </w:t>
      </w:r>
      <w:r>
        <w:rPr>
          <w:rFonts w:ascii="Verdana" w:hAnsi="Verdana"/>
          <w:sz w:val="20"/>
          <w:szCs w:val="20"/>
          <w:bdr w:val="nil"/>
        </w:rPr>
        <w:t xml:space="preserve">Comissão de Valores Mobiliários - </w:t>
      </w:r>
      <w:r w:rsidRPr="00A332E7">
        <w:rPr>
          <w:rFonts w:ascii="Verdana" w:hAnsi="Verdana"/>
          <w:sz w:val="20"/>
          <w:szCs w:val="20"/>
          <w:bdr w:val="nil"/>
        </w:rPr>
        <w:t>CVM, e as disposições contidas na legislação societária brasileira. Todas as informações relevantes próprias das demonstrações financeiras, e apenas essas informações, estão sendo evidenciadas e correspondem às utilizadas na gestão da Administração da Companhia.</w:t>
      </w:r>
    </w:p>
    <w:p w14:paraId="227D5932" w14:textId="77777777" w:rsidR="00233C4A" w:rsidRPr="003B33CB" w:rsidRDefault="00233C4A" w:rsidP="00233C4A">
      <w:pPr>
        <w:rPr>
          <w:rFonts w:ascii="Verdana" w:hAnsi="Verdana"/>
          <w:sz w:val="20"/>
          <w:szCs w:val="20"/>
          <w:bdr w:val="nil"/>
        </w:rPr>
      </w:pPr>
    </w:p>
    <w:p w14:paraId="3DD39194" w14:textId="77777777" w:rsidR="00233C4A" w:rsidRPr="006600E5" w:rsidRDefault="00233C4A" w:rsidP="00233C4A">
      <w:pPr>
        <w:pStyle w:val="PargrafodaLista"/>
        <w:numPr>
          <w:ilvl w:val="1"/>
          <w:numId w:val="6"/>
        </w:numPr>
        <w:ind w:left="426"/>
        <w:rPr>
          <w:rFonts w:ascii="Verdana" w:hAnsi="Verdana"/>
          <w:color w:val="0D63B5"/>
          <w:sz w:val="20"/>
          <w:szCs w:val="20"/>
          <w:bdr w:val="nil"/>
        </w:rPr>
      </w:pPr>
      <w:r w:rsidRPr="006600E5">
        <w:rPr>
          <w:rFonts w:ascii="Verdana" w:hAnsi="Verdana"/>
          <w:color w:val="0D63B5"/>
          <w:sz w:val="20"/>
          <w:szCs w:val="20"/>
          <w:bdr w:val="nil"/>
        </w:rPr>
        <w:t>– Base de preparação e mensuração</w:t>
      </w:r>
    </w:p>
    <w:p w14:paraId="7884C05E" w14:textId="77777777" w:rsidR="00233C4A" w:rsidRPr="00FC1464" w:rsidRDefault="00233C4A" w:rsidP="00233C4A">
      <w:pPr>
        <w:rPr>
          <w:rFonts w:ascii="Verdana" w:hAnsi="Verdana"/>
          <w:sz w:val="20"/>
          <w:szCs w:val="20"/>
          <w:highlight w:val="green"/>
          <w:bdr w:val="nil"/>
        </w:rPr>
      </w:pPr>
    </w:p>
    <w:p w14:paraId="17D4BBAE" w14:textId="77777777" w:rsidR="00233C4A" w:rsidRPr="00FC1464" w:rsidRDefault="00233C4A" w:rsidP="00233C4A">
      <w:pPr>
        <w:rPr>
          <w:rFonts w:ascii="Verdana" w:hAnsi="Verdana"/>
          <w:sz w:val="20"/>
          <w:szCs w:val="20"/>
          <w:highlight w:val="cyan"/>
          <w:bdr w:val="nil"/>
        </w:rPr>
      </w:pPr>
      <w:r w:rsidRPr="00A332E7">
        <w:rPr>
          <w:rFonts w:ascii="Verdana" w:hAnsi="Verdana"/>
          <w:sz w:val="20"/>
          <w:szCs w:val="20"/>
          <w:bdr w:val="nil"/>
        </w:rPr>
        <w:t xml:space="preserve">A preparação das demonstrações financeiras requer o uso de certas estimativas contábeis críticas e, também, o exercício de julgamento por parte da Administração da Companhia, no processo de aplicação das práticas contábeis, as quais são apresentadas nas respectivas notas explicativas que tratam dos temas de suas aplicações. Aquelas transações, divulgações ou saldos que requerem maior nível de julgamento, que possuem maior complexidade e para as quais premissas e estimativas são significativas, estão divulgadas na Nota </w:t>
      </w:r>
      <w:r w:rsidRPr="00436EAA">
        <w:rPr>
          <w:rFonts w:ascii="Verdana" w:hAnsi="Verdana"/>
          <w:sz w:val="20"/>
          <w:szCs w:val="20"/>
          <w:bdr w:val="nil"/>
        </w:rPr>
        <w:t xml:space="preserve">5. </w:t>
      </w:r>
    </w:p>
    <w:p w14:paraId="5730BA7B" w14:textId="77777777" w:rsidR="00233C4A" w:rsidRDefault="00233C4A" w:rsidP="00233C4A">
      <w:pPr>
        <w:rPr>
          <w:rFonts w:ascii="Verdana" w:hAnsi="Verdana"/>
          <w:sz w:val="20"/>
          <w:szCs w:val="20"/>
          <w:highlight w:val="green"/>
          <w:bdr w:val="nil"/>
        </w:rPr>
      </w:pPr>
    </w:p>
    <w:p w14:paraId="036EEA56" w14:textId="77777777" w:rsidR="00233C4A" w:rsidRDefault="00233C4A" w:rsidP="00233C4A">
      <w:pPr>
        <w:rPr>
          <w:rFonts w:ascii="Verdana" w:hAnsi="Verdana"/>
          <w:sz w:val="20"/>
          <w:szCs w:val="20"/>
          <w:bdr w:val="nil"/>
        </w:rPr>
      </w:pPr>
      <w:r w:rsidRPr="00A332E7">
        <w:rPr>
          <w:rFonts w:ascii="Verdana" w:hAnsi="Verdana"/>
          <w:sz w:val="20"/>
          <w:szCs w:val="20"/>
          <w:bdr w:val="nil"/>
        </w:rPr>
        <w:t xml:space="preserve">As demonstrações financeiras foram elaboradas com base no custo histórico, exceto por determinados instrumentos financeiros mensurados pelos seus valores justos. O custo histórico geralmente é baseado no valor justo das contraprestações pagas na data das transações </w:t>
      </w:r>
      <w:r w:rsidRPr="00A332E7">
        <w:rPr>
          <w:rFonts w:ascii="Verdana" w:hAnsi="Verdana"/>
          <w:sz w:val="20"/>
          <w:szCs w:val="20"/>
        </w:rPr>
        <w:t>e o valor justo é o preço que seria recebido pela venda de um ativo ou pago pela transferência de um passivo em uma transação organizada entre participantes do mercado na data de mensuração, independentemente de esse preço ser diretamente observável ou estimado usando outra técnica de avaliação</w:t>
      </w:r>
      <w:r w:rsidRPr="00A332E7">
        <w:rPr>
          <w:rFonts w:ascii="Verdana" w:hAnsi="Verdana"/>
          <w:sz w:val="20"/>
          <w:szCs w:val="20"/>
          <w:bdr w:val="nil"/>
        </w:rPr>
        <w:t>.</w:t>
      </w:r>
    </w:p>
    <w:p w14:paraId="6B365503" w14:textId="77777777" w:rsidR="00233C4A" w:rsidRDefault="00233C4A" w:rsidP="00233C4A">
      <w:pPr>
        <w:rPr>
          <w:rFonts w:ascii="Verdana" w:hAnsi="Verdana"/>
          <w:sz w:val="20"/>
          <w:szCs w:val="20"/>
          <w:bdr w:val="nil"/>
        </w:rPr>
      </w:pPr>
    </w:p>
    <w:p w14:paraId="1E684B01" w14:textId="77777777" w:rsidR="00233C4A" w:rsidRPr="006600E5" w:rsidRDefault="00233C4A" w:rsidP="00233C4A">
      <w:pPr>
        <w:pStyle w:val="PargrafodaLista"/>
        <w:numPr>
          <w:ilvl w:val="1"/>
          <w:numId w:val="6"/>
        </w:numPr>
        <w:ind w:left="426"/>
        <w:rPr>
          <w:rFonts w:ascii="Verdana" w:hAnsi="Verdana"/>
          <w:sz w:val="20"/>
          <w:szCs w:val="20"/>
          <w:bdr w:val="nil"/>
        </w:rPr>
      </w:pPr>
      <w:r w:rsidRPr="006600E5">
        <w:rPr>
          <w:rFonts w:ascii="Verdana" w:hAnsi="Verdana"/>
          <w:color w:val="0D63B5"/>
          <w:sz w:val="20"/>
          <w:szCs w:val="20"/>
          <w:bdr w:val="nil"/>
        </w:rPr>
        <w:t xml:space="preserve">- Moeda funcional e de apresentação das demonstrações financeiras </w:t>
      </w:r>
    </w:p>
    <w:p w14:paraId="22122308" w14:textId="77777777" w:rsidR="00233C4A" w:rsidRPr="005F7C90" w:rsidRDefault="00233C4A" w:rsidP="00233C4A">
      <w:pPr>
        <w:rPr>
          <w:rFonts w:ascii="Verdana" w:hAnsi="Verdana"/>
          <w:sz w:val="20"/>
          <w:szCs w:val="20"/>
          <w:highlight w:val="green"/>
          <w:bdr w:val="nil"/>
        </w:rPr>
      </w:pPr>
    </w:p>
    <w:p w14:paraId="2CD6B031" w14:textId="77777777" w:rsidR="00233C4A" w:rsidRDefault="00233C4A" w:rsidP="00233C4A">
      <w:pPr>
        <w:rPr>
          <w:rFonts w:ascii="Verdana" w:hAnsi="Verdana"/>
          <w:sz w:val="20"/>
          <w:szCs w:val="20"/>
          <w:bdr w:val="nil"/>
        </w:rPr>
      </w:pPr>
      <w:r w:rsidRPr="00A332E7">
        <w:rPr>
          <w:rFonts w:ascii="Verdana" w:hAnsi="Verdana"/>
          <w:sz w:val="20"/>
          <w:szCs w:val="20"/>
          <w:bdr w:val="nil"/>
        </w:rPr>
        <w:t xml:space="preserve">Essas </w:t>
      </w:r>
      <w:r w:rsidRPr="00A332E7">
        <w:rPr>
          <w:rFonts w:ascii="Verdana" w:hAnsi="Verdana"/>
          <w:sz w:val="20"/>
          <w:szCs w:val="20"/>
        </w:rPr>
        <w:t>demonstrações financeiras</w:t>
      </w:r>
      <w:r w:rsidRPr="00A332E7">
        <w:rPr>
          <w:rFonts w:ascii="Verdana" w:hAnsi="Verdana"/>
          <w:sz w:val="20"/>
          <w:szCs w:val="20"/>
          <w:bdr w:val="nil"/>
        </w:rPr>
        <w:t xml:space="preserve"> são apresentadas em Real, que é a moeda funcional da </w:t>
      </w:r>
      <w:r>
        <w:rPr>
          <w:rFonts w:ascii="Verdana" w:hAnsi="Verdana"/>
          <w:sz w:val="20"/>
          <w:szCs w:val="20"/>
          <w:bdr w:val="nil"/>
        </w:rPr>
        <w:t>ELETRONUCLEAR</w:t>
      </w:r>
      <w:r w:rsidRPr="00A332E7">
        <w:rPr>
          <w:rFonts w:ascii="Verdana" w:hAnsi="Verdana"/>
          <w:sz w:val="20"/>
          <w:szCs w:val="20"/>
          <w:bdr w:val="nil"/>
        </w:rPr>
        <w:t xml:space="preserve">. As </w:t>
      </w:r>
      <w:r w:rsidRPr="00A332E7">
        <w:rPr>
          <w:rFonts w:ascii="Verdana" w:hAnsi="Verdana"/>
          <w:sz w:val="20"/>
          <w:szCs w:val="20"/>
        </w:rPr>
        <w:t>demonstrações financeiras</w:t>
      </w:r>
      <w:r w:rsidRPr="00A332E7">
        <w:rPr>
          <w:rFonts w:ascii="Verdana" w:hAnsi="Verdana"/>
          <w:sz w:val="20"/>
          <w:szCs w:val="20"/>
          <w:bdr w:val="nil"/>
        </w:rPr>
        <w:t xml:space="preserve"> são apresentadas em milhares de reais arredondadas para o número mais próximo, exceto quando indicado de outra forma.</w:t>
      </w:r>
    </w:p>
    <w:p w14:paraId="71AF4B5F" w14:textId="77777777" w:rsidR="00233C4A" w:rsidRPr="00BF3DDA" w:rsidRDefault="00233C4A" w:rsidP="00233C4A">
      <w:pPr>
        <w:rPr>
          <w:rFonts w:ascii="Verdana" w:hAnsi="Verdana"/>
          <w:sz w:val="20"/>
          <w:szCs w:val="20"/>
          <w:bdr w:val="nil"/>
        </w:rPr>
      </w:pPr>
    </w:p>
    <w:p w14:paraId="6CEB8168" w14:textId="77777777" w:rsidR="00233C4A" w:rsidRPr="00436EAA" w:rsidRDefault="00233C4A" w:rsidP="00233C4A">
      <w:pPr>
        <w:pStyle w:val="PargrafodaLista"/>
        <w:numPr>
          <w:ilvl w:val="1"/>
          <w:numId w:val="6"/>
        </w:numPr>
        <w:ind w:left="426"/>
        <w:rPr>
          <w:rFonts w:ascii="Verdana" w:hAnsi="Verdana"/>
          <w:color w:val="0D63B5"/>
          <w:sz w:val="20"/>
          <w:szCs w:val="20"/>
          <w:bdr w:val="nil"/>
        </w:rPr>
      </w:pPr>
      <w:r w:rsidRPr="00436EAA">
        <w:rPr>
          <w:rFonts w:ascii="Verdana" w:hAnsi="Verdana"/>
          <w:color w:val="0D63B5"/>
          <w:sz w:val="20"/>
          <w:szCs w:val="20"/>
          <w:bdr w:val="nil"/>
        </w:rPr>
        <w:t>– Principais políticas contábeis</w:t>
      </w:r>
    </w:p>
    <w:p w14:paraId="21D06367" w14:textId="77777777" w:rsidR="00233C4A" w:rsidRPr="00436EAA" w:rsidRDefault="00233C4A" w:rsidP="00233C4A">
      <w:pPr>
        <w:rPr>
          <w:rFonts w:ascii="Verdana" w:hAnsi="Verdana"/>
          <w:color w:val="0D63B5"/>
          <w:sz w:val="20"/>
          <w:szCs w:val="20"/>
          <w:bdr w:val="nil"/>
        </w:rPr>
      </w:pPr>
    </w:p>
    <w:p w14:paraId="52821A31" w14:textId="77777777" w:rsidR="00233C4A" w:rsidRDefault="00233C4A" w:rsidP="00233C4A">
      <w:pPr>
        <w:rPr>
          <w:rFonts w:ascii="Verdana" w:hAnsi="Verdana"/>
          <w:sz w:val="20"/>
          <w:szCs w:val="20"/>
        </w:rPr>
      </w:pPr>
      <w:r w:rsidRPr="00436EAA">
        <w:rPr>
          <w:rFonts w:ascii="Verdana" w:hAnsi="Verdana"/>
          <w:sz w:val="20"/>
          <w:szCs w:val="20"/>
        </w:rPr>
        <w:t>As principais políticas contábeis aplicadas na preparação destas demonstrações financeiras estão apresentadas nas respectivas notas explicativas. Essas políticas vêm sendo aplicadas de modo consistente em todos os exercícios apresentados, com exceção da implementação das novas normas, interpretação e orientações relacionadas a seguir.</w:t>
      </w:r>
    </w:p>
    <w:p w14:paraId="254685B8" w14:textId="77777777" w:rsidR="00233C4A" w:rsidRDefault="00233C4A" w:rsidP="00233C4A">
      <w:pPr>
        <w:rPr>
          <w:rFonts w:ascii="Verdana" w:hAnsi="Verdana"/>
          <w:sz w:val="20"/>
          <w:szCs w:val="20"/>
        </w:rPr>
      </w:pPr>
    </w:p>
    <w:p w14:paraId="0673CB03" w14:textId="77777777" w:rsidR="00233C4A" w:rsidRPr="007939AA" w:rsidRDefault="00233C4A" w:rsidP="00233C4A">
      <w:pPr>
        <w:ind w:left="720" w:hanging="720"/>
        <w:rPr>
          <w:rFonts w:ascii="Verdana" w:hAnsi="Verdana"/>
          <w:color w:val="0D63B5"/>
          <w:sz w:val="20"/>
          <w:szCs w:val="20"/>
          <w:bdr w:val="nil"/>
        </w:rPr>
      </w:pPr>
      <w:r w:rsidRPr="007939AA">
        <w:rPr>
          <w:rFonts w:ascii="Verdana" w:hAnsi="Verdana"/>
          <w:color w:val="0D63B5"/>
          <w:sz w:val="20"/>
          <w:szCs w:val="20"/>
          <w:bdr w:val="nil"/>
        </w:rPr>
        <w:t>4.4.1 - Adoção de novas normas e interpretações</w:t>
      </w:r>
    </w:p>
    <w:p w14:paraId="233FE186" w14:textId="77777777" w:rsidR="00233C4A" w:rsidRPr="007939AA" w:rsidRDefault="00233C4A" w:rsidP="00233C4A">
      <w:pPr>
        <w:pStyle w:val="PargrafodaLista"/>
        <w:ind w:left="1224"/>
        <w:rPr>
          <w:rFonts w:ascii="Verdana" w:hAnsi="Verdana"/>
          <w:color w:val="0D63B5"/>
          <w:sz w:val="20"/>
          <w:szCs w:val="20"/>
          <w:bdr w:val="nil"/>
        </w:rPr>
      </w:pPr>
    </w:p>
    <w:p w14:paraId="56D6F2F4" w14:textId="0C3CFF98" w:rsidR="007939AA" w:rsidRDefault="00233C4A" w:rsidP="007939AA">
      <w:pPr>
        <w:pStyle w:val="PargrafodaLista"/>
        <w:ind w:left="0"/>
        <w:rPr>
          <w:rFonts w:ascii="Verdana" w:hAnsi="Verdana"/>
          <w:sz w:val="20"/>
          <w:szCs w:val="20"/>
          <w:bdr w:val="nil"/>
        </w:rPr>
      </w:pPr>
      <w:r w:rsidRPr="003B33CB">
        <w:rPr>
          <w:rFonts w:ascii="Verdana" w:hAnsi="Verdana"/>
          <w:sz w:val="20"/>
          <w:szCs w:val="20"/>
          <w:bdr w:val="nil"/>
        </w:rPr>
        <w:t xml:space="preserve">A Companhia não identificou impactos quanto às aplicações das alterações e novas interpretações às </w:t>
      </w:r>
      <w:proofErr w:type="spellStart"/>
      <w:r w:rsidRPr="003B33CB">
        <w:rPr>
          <w:rFonts w:ascii="Verdana" w:hAnsi="Verdana"/>
          <w:sz w:val="20"/>
          <w:szCs w:val="20"/>
          <w:bdr w:val="nil"/>
        </w:rPr>
        <w:t>IFRSs</w:t>
      </w:r>
      <w:proofErr w:type="spellEnd"/>
      <w:r w:rsidRPr="003B33CB">
        <w:rPr>
          <w:rFonts w:ascii="Verdana" w:hAnsi="Verdana"/>
          <w:sz w:val="20"/>
          <w:szCs w:val="20"/>
          <w:bdr w:val="nil"/>
        </w:rPr>
        <w:t xml:space="preserve"> e aos </w:t>
      </w:r>
      <w:proofErr w:type="spellStart"/>
      <w:r w:rsidRPr="003B33CB">
        <w:rPr>
          <w:rFonts w:ascii="Verdana" w:hAnsi="Verdana"/>
          <w:sz w:val="20"/>
          <w:szCs w:val="20"/>
          <w:bdr w:val="nil"/>
        </w:rPr>
        <w:t>CPCs</w:t>
      </w:r>
      <w:proofErr w:type="spellEnd"/>
      <w:r w:rsidRPr="003B33CB">
        <w:rPr>
          <w:rFonts w:ascii="Verdana" w:hAnsi="Verdana"/>
          <w:sz w:val="20"/>
          <w:szCs w:val="20"/>
          <w:bdr w:val="nil"/>
        </w:rPr>
        <w:t xml:space="preserve"> emitidos pelo IASB e pelo CPC,</w:t>
      </w:r>
      <w:r>
        <w:rPr>
          <w:rFonts w:ascii="Verdana" w:hAnsi="Verdana"/>
          <w:sz w:val="20"/>
          <w:szCs w:val="20"/>
          <w:bdr w:val="nil"/>
        </w:rPr>
        <w:t xml:space="preserve"> vigentes a partir de 1º janeiro de 2021,</w:t>
      </w:r>
      <w:r w:rsidRPr="003B33CB">
        <w:rPr>
          <w:rFonts w:ascii="Verdana" w:hAnsi="Verdana"/>
          <w:sz w:val="20"/>
          <w:szCs w:val="20"/>
          <w:bdr w:val="nil"/>
        </w:rPr>
        <w:t xml:space="preserve"> divulgados a seguir:</w:t>
      </w:r>
    </w:p>
    <w:p w14:paraId="0F337005" w14:textId="4788A891" w:rsidR="007939AA" w:rsidRDefault="00A75049" w:rsidP="007939AA">
      <w:pPr>
        <w:adjustRightInd w:val="0"/>
        <w:rPr>
          <w:rFonts w:ascii="Verdana" w:eastAsiaTheme="minorHAnsi" w:hAnsi="Verdana" w:cs="Verdana"/>
          <w:color w:val="000000"/>
          <w:sz w:val="20"/>
          <w:szCs w:val="20"/>
          <w:lang w:eastAsia="en-US"/>
        </w:rPr>
      </w:pPr>
      <w:r w:rsidRPr="00A75049">
        <w:rPr>
          <w:rFonts w:eastAsiaTheme="minorHAnsi"/>
          <w:noProof/>
        </w:rPr>
        <w:lastRenderedPageBreak/>
        <w:drawing>
          <wp:inline distT="0" distB="0" distL="0" distR="0" wp14:anchorId="52F0F2CF" wp14:editId="45BD5B17">
            <wp:extent cx="6652895" cy="1785281"/>
            <wp:effectExtent l="0" t="0" r="0" b="5715"/>
            <wp:docPr id="1618300550" name="Imagem 1618300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52895" cy="1785281"/>
                    </a:xfrm>
                    <a:prstGeom prst="rect">
                      <a:avLst/>
                    </a:prstGeom>
                    <a:noFill/>
                    <a:ln>
                      <a:noFill/>
                    </a:ln>
                  </pic:spPr>
                </pic:pic>
              </a:graphicData>
            </a:graphic>
          </wp:inline>
        </w:drawing>
      </w:r>
    </w:p>
    <w:p w14:paraId="435D24DE" w14:textId="77777777" w:rsidR="007939AA" w:rsidRDefault="007939AA" w:rsidP="007939AA">
      <w:pPr>
        <w:ind w:left="720" w:hanging="720"/>
        <w:rPr>
          <w:rFonts w:ascii="Verdana" w:hAnsi="Verdana"/>
          <w:color w:val="0D63B5"/>
          <w:sz w:val="20"/>
          <w:szCs w:val="20"/>
          <w:bdr w:val="nil"/>
        </w:rPr>
      </w:pPr>
    </w:p>
    <w:p w14:paraId="675C2333" w14:textId="77777777" w:rsidR="0042344A" w:rsidRDefault="0042344A" w:rsidP="00666997">
      <w:pPr>
        <w:adjustRightInd w:val="0"/>
        <w:rPr>
          <w:rFonts w:ascii="Verdana" w:eastAsiaTheme="minorHAnsi" w:hAnsi="Verdana" w:cs="Verdana"/>
          <w:color w:val="000000"/>
          <w:sz w:val="20"/>
          <w:szCs w:val="20"/>
          <w:lang w:eastAsia="en-US"/>
        </w:rPr>
      </w:pPr>
    </w:p>
    <w:p w14:paraId="48642EAE" w14:textId="77777777" w:rsidR="002517C1" w:rsidRPr="007939AA" w:rsidRDefault="002517C1" w:rsidP="002517C1">
      <w:pPr>
        <w:ind w:left="720" w:hanging="720"/>
        <w:rPr>
          <w:rFonts w:ascii="Verdana" w:hAnsi="Verdana"/>
          <w:color w:val="0D63B5"/>
          <w:sz w:val="20"/>
          <w:szCs w:val="20"/>
          <w:bdr w:val="nil"/>
        </w:rPr>
      </w:pPr>
      <w:r w:rsidRPr="007939AA">
        <w:rPr>
          <w:rFonts w:ascii="Verdana" w:hAnsi="Verdana"/>
          <w:color w:val="0D63B5"/>
          <w:sz w:val="20"/>
          <w:szCs w:val="20"/>
          <w:bdr w:val="nil"/>
        </w:rPr>
        <w:t>4.4.2- Novas normas e interpretações ainda não vigentes</w:t>
      </w:r>
    </w:p>
    <w:p w14:paraId="465FB781" w14:textId="77777777" w:rsidR="002517C1" w:rsidRPr="007939AA" w:rsidRDefault="002517C1" w:rsidP="002517C1">
      <w:pPr>
        <w:rPr>
          <w:rFonts w:ascii="Verdana" w:hAnsi="Verdana"/>
          <w:color w:val="0D63B5"/>
          <w:sz w:val="20"/>
          <w:szCs w:val="20"/>
          <w:bdr w:val="nil"/>
        </w:rPr>
      </w:pPr>
    </w:p>
    <w:p w14:paraId="610FB816" w14:textId="77777777" w:rsidR="002517C1" w:rsidRPr="003B33CB" w:rsidRDefault="002517C1" w:rsidP="002517C1">
      <w:pPr>
        <w:autoSpaceDE w:val="0"/>
        <w:autoSpaceDN w:val="0"/>
        <w:adjustRightInd w:val="0"/>
        <w:rPr>
          <w:rFonts w:ascii="Verdana" w:eastAsiaTheme="minorHAnsi" w:hAnsi="Verdana" w:cs="Verdana"/>
          <w:sz w:val="20"/>
          <w:szCs w:val="20"/>
          <w:lang w:eastAsia="en-US"/>
        </w:rPr>
      </w:pPr>
      <w:r w:rsidRPr="004E5A71">
        <w:rPr>
          <w:rFonts w:ascii="Verdana" w:eastAsiaTheme="minorHAnsi" w:hAnsi="Verdana" w:cs="Verdana"/>
          <w:sz w:val="20"/>
          <w:szCs w:val="20"/>
          <w:lang w:eastAsia="en-US"/>
        </w:rPr>
        <w:t>A partir de 1º janeiro de 2022, estarão vigentes os seguintes pronunciamentos, os quais a Companhia não realizou a adoção antecipada e está acompanhando as discussões. Até o momento a Companhia não espera impactos significativos quando da adoção destas normas.</w:t>
      </w:r>
    </w:p>
    <w:p w14:paraId="6F4166F1" w14:textId="77777777" w:rsidR="0042344A" w:rsidRDefault="0042344A" w:rsidP="0042344A">
      <w:pPr>
        <w:autoSpaceDE w:val="0"/>
        <w:autoSpaceDN w:val="0"/>
        <w:adjustRightInd w:val="0"/>
        <w:rPr>
          <w:rFonts w:eastAsiaTheme="minorHAnsi" w:cs="Verdana"/>
          <w:sz w:val="20"/>
          <w:szCs w:val="20"/>
          <w:lang w:eastAsia="en-US"/>
        </w:rPr>
      </w:pPr>
    </w:p>
    <w:p w14:paraId="3B171859" w14:textId="77777777" w:rsidR="0042344A" w:rsidRDefault="004E5A71" w:rsidP="0042344A">
      <w:pPr>
        <w:autoSpaceDE w:val="0"/>
        <w:autoSpaceDN w:val="0"/>
        <w:adjustRightInd w:val="0"/>
        <w:jc w:val="center"/>
        <w:rPr>
          <w:rFonts w:eastAsiaTheme="minorHAnsi" w:cs="Verdana"/>
          <w:sz w:val="20"/>
          <w:szCs w:val="20"/>
          <w:lang w:eastAsia="en-US"/>
        </w:rPr>
      </w:pPr>
      <w:r w:rsidRPr="004E5A71">
        <w:rPr>
          <w:rFonts w:eastAsiaTheme="minorHAnsi"/>
          <w:noProof/>
        </w:rPr>
        <w:drawing>
          <wp:inline distT="0" distB="0" distL="0" distR="0" wp14:anchorId="181ADB90" wp14:editId="1B57F49F">
            <wp:extent cx="6652895" cy="2683220"/>
            <wp:effectExtent l="0" t="0" r="0" b="317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52895" cy="2683220"/>
                    </a:xfrm>
                    <a:prstGeom prst="rect">
                      <a:avLst/>
                    </a:prstGeom>
                    <a:noFill/>
                    <a:ln>
                      <a:noFill/>
                    </a:ln>
                  </pic:spPr>
                </pic:pic>
              </a:graphicData>
            </a:graphic>
          </wp:inline>
        </w:drawing>
      </w:r>
    </w:p>
    <w:p w14:paraId="000DDE49" w14:textId="77777777" w:rsidR="007B0214" w:rsidRDefault="007B0214" w:rsidP="00666997">
      <w:pPr>
        <w:autoSpaceDE w:val="0"/>
        <w:autoSpaceDN w:val="0"/>
        <w:adjustRightInd w:val="0"/>
        <w:rPr>
          <w:rFonts w:eastAsiaTheme="minorHAnsi" w:cs="Verdana"/>
          <w:sz w:val="20"/>
          <w:szCs w:val="20"/>
          <w:lang w:eastAsia="en-US"/>
        </w:rPr>
      </w:pPr>
    </w:p>
    <w:p w14:paraId="5E95B369" w14:textId="77777777" w:rsidR="002517C1" w:rsidRPr="00CD1892" w:rsidRDefault="002517C1" w:rsidP="002517C1">
      <w:pPr>
        <w:ind w:left="720" w:hanging="720"/>
        <w:rPr>
          <w:rFonts w:ascii="Verdana" w:hAnsi="Verdana"/>
          <w:color w:val="0D63B5"/>
          <w:sz w:val="20"/>
          <w:szCs w:val="20"/>
          <w:bdr w:val="nil"/>
        </w:rPr>
      </w:pPr>
      <w:r>
        <w:rPr>
          <w:rFonts w:ascii="Verdana" w:hAnsi="Verdana"/>
          <w:color w:val="0D63B5"/>
          <w:sz w:val="20"/>
          <w:szCs w:val="20"/>
          <w:bdr w:val="nil"/>
        </w:rPr>
        <w:t>4.5</w:t>
      </w:r>
      <w:r w:rsidRPr="00CD1892">
        <w:rPr>
          <w:rFonts w:ascii="Verdana" w:hAnsi="Verdana"/>
          <w:color w:val="0D63B5"/>
          <w:sz w:val="20"/>
          <w:szCs w:val="20"/>
          <w:bdr w:val="nil"/>
        </w:rPr>
        <w:t>-</w:t>
      </w:r>
      <w:r>
        <w:rPr>
          <w:rFonts w:ascii="Verdana" w:hAnsi="Verdana"/>
          <w:color w:val="0D63B5"/>
          <w:sz w:val="20"/>
          <w:szCs w:val="20"/>
          <w:bdr w:val="nil"/>
        </w:rPr>
        <w:t xml:space="preserve"> </w:t>
      </w:r>
      <w:r w:rsidRPr="00CD1892">
        <w:rPr>
          <w:rFonts w:ascii="Verdana" w:hAnsi="Verdana"/>
          <w:color w:val="0D63B5"/>
          <w:sz w:val="20"/>
          <w:szCs w:val="20"/>
          <w:bdr w:val="nil"/>
        </w:rPr>
        <w:t xml:space="preserve">Demonstração do valor adicionado – DVA </w:t>
      </w:r>
    </w:p>
    <w:p w14:paraId="3010A06E" w14:textId="77777777" w:rsidR="002517C1" w:rsidRPr="00CD1892" w:rsidRDefault="002517C1" w:rsidP="002517C1">
      <w:pPr>
        <w:widowControl w:val="0"/>
        <w:autoSpaceDE w:val="0"/>
        <w:autoSpaceDN w:val="0"/>
        <w:rPr>
          <w:rFonts w:ascii="Verdana" w:hAnsi="Verdana"/>
          <w:sz w:val="20"/>
          <w:szCs w:val="20"/>
          <w:bdr w:val="nil"/>
        </w:rPr>
      </w:pPr>
    </w:p>
    <w:p w14:paraId="08E77B46" w14:textId="77777777" w:rsidR="002517C1" w:rsidRPr="001523C4" w:rsidRDefault="002517C1" w:rsidP="002517C1">
      <w:pPr>
        <w:widowControl w:val="0"/>
        <w:autoSpaceDE w:val="0"/>
        <w:autoSpaceDN w:val="0"/>
        <w:rPr>
          <w:rFonts w:ascii="Verdana" w:hAnsi="Verdana"/>
          <w:sz w:val="20"/>
          <w:szCs w:val="20"/>
          <w:bdr w:val="nil"/>
        </w:rPr>
      </w:pPr>
      <w:r w:rsidRPr="00CD1892">
        <w:rPr>
          <w:rFonts w:ascii="Verdana" w:hAnsi="Verdana"/>
          <w:sz w:val="20"/>
          <w:szCs w:val="20"/>
          <w:bdr w:val="nil"/>
        </w:rPr>
        <w:t xml:space="preserve">A legislação societária brasileira exige para as companhias abertas </w:t>
      </w:r>
      <w:r>
        <w:rPr>
          <w:rFonts w:ascii="Verdana" w:hAnsi="Verdana"/>
          <w:sz w:val="20"/>
          <w:szCs w:val="20"/>
          <w:bdr w:val="nil"/>
        </w:rPr>
        <w:t>a</w:t>
      </w:r>
      <w:r w:rsidRPr="00CD1892">
        <w:rPr>
          <w:rFonts w:ascii="Verdana" w:hAnsi="Verdana"/>
          <w:sz w:val="20"/>
          <w:szCs w:val="20"/>
          <w:bdr w:val="nil"/>
        </w:rPr>
        <w:t xml:space="preserve"> elaboração da Demonstração do</w:t>
      </w:r>
      <w:r w:rsidRPr="001523C4">
        <w:rPr>
          <w:rFonts w:ascii="Verdana" w:hAnsi="Verdana"/>
          <w:sz w:val="20"/>
          <w:szCs w:val="20"/>
          <w:bdr w:val="nil"/>
        </w:rPr>
        <w:t xml:space="preserve"> Valor Adicionado – DVA e sua divulgação como parte integrante do conjunto das demonstrações financeiras. Essas demonstrações foram preparadas de acordo com o CPC 09 - Demonstração do Valor Adicionado, aprovado pela Deliberação CVM 557/08. O IFRS não exige a apresentação desta demonstração.</w:t>
      </w:r>
    </w:p>
    <w:p w14:paraId="3370E1B4" w14:textId="77777777" w:rsidR="002517C1" w:rsidRPr="001523C4" w:rsidRDefault="002517C1" w:rsidP="002517C1">
      <w:pPr>
        <w:widowControl w:val="0"/>
        <w:autoSpaceDE w:val="0"/>
        <w:autoSpaceDN w:val="0"/>
        <w:rPr>
          <w:rFonts w:ascii="Verdana" w:hAnsi="Verdana"/>
          <w:sz w:val="20"/>
          <w:szCs w:val="20"/>
          <w:bdr w:val="nil"/>
        </w:rPr>
      </w:pPr>
    </w:p>
    <w:p w14:paraId="0C8F95DA" w14:textId="505F7003" w:rsidR="002517C1" w:rsidRDefault="002517C1" w:rsidP="002517C1">
      <w:pPr>
        <w:widowControl w:val="0"/>
        <w:autoSpaceDE w:val="0"/>
        <w:autoSpaceDN w:val="0"/>
        <w:rPr>
          <w:rFonts w:ascii="Verdana" w:hAnsi="Verdana"/>
          <w:sz w:val="20"/>
          <w:szCs w:val="20"/>
          <w:bdr w:val="nil"/>
        </w:rPr>
      </w:pPr>
      <w:r w:rsidRPr="001523C4">
        <w:rPr>
          <w:rFonts w:ascii="Verdana" w:hAnsi="Verdana"/>
          <w:sz w:val="20"/>
          <w:szCs w:val="20"/>
          <w:bdr w:val="nil"/>
        </w:rPr>
        <w:t xml:space="preserve">Esta demonstração tem como objetivo apresentar informações relativas à riqueza criada pela Companhia e a forma como tais riquezas foram distribuídas. </w:t>
      </w:r>
    </w:p>
    <w:p w14:paraId="7858FA3A" w14:textId="77777777" w:rsidR="00604B46" w:rsidRPr="001523C4" w:rsidRDefault="00604B46" w:rsidP="002517C1">
      <w:pPr>
        <w:widowControl w:val="0"/>
        <w:autoSpaceDE w:val="0"/>
        <w:autoSpaceDN w:val="0"/>
        <w:rPr>
          <w:rFonts w:ascii="Verdana" w:hAnsi="Verdana"/>
          <w:sz w:val="20"/>
          <w:szCs w:val="20"/>
          <w:bdr w:val="nil"/>
        </w:rPr>
      </w:pPr>
    </w:p>
    <w:p w14:paraId="6558EB0D" w14:textId="4285C3FD" w:rsidR="000A6DB8" w:rsidRDefault="000A6DB8" w:rsidP="002517C1">
      <w:pPr>
        <w:pStyle w:val="Ttulo1"/>
        <w:spacing w:before="0"/>
        <w:jc w:val="left"/>
        <w:rPr>
          <w:color w:val="0D63B5"/>
          <w:u w:val="none"/>
          <w:lang w:val="pt-BR"/>
        </w:rPr>
      </w:pPr>
    </w:p>
    <w:p w14:paraId="20BC9788" w14:textId="6E9C43ED" w:rsidR="00E158CF" w:rsidRDefault="00E158CF" w:rsidP="002517C1">
      <w:pPr>
        <w:pStyle w:val="Ttulo1"/>
        <w:spacing w:before="0"/>
        <w:jc w:val="left"/>
        <w:rPr>
          <w:color w:val="0D63B5"/>
          <w:u w:val="none"/>
          <w:lang w:val="pt-BR"/>
        </w:rPr>
      </w:pPr>
    </w:p>
    <w:p w14:paraId="7BE6DD18" w14:textId="3F64F1B1" w:rsidR="00E158CF" w:rsidRDefault="00E158CF" w:rsidP="002517C1">
      <w:pPr>
        <w:pStyle w:val="Ttulo1"/>
        <w:spacing w:before="0"/>
        <w:jc w:val="left"/>
        <w:rPr>
          <w:color w:val="0D63B5"/>
          <w:u w:val="none"/>
          <w:lang w:val="pt-BR"/>
        </w:rPr>
      </w:pPr>
    </w:p>
    <w:p w14:paraId="1E98E8A5" w14:textId="742AD011" w:rsidR="00E158CF" w:rsidRDefault="00E158CF" w:rsidP="002517C1">
      <w:pPr>
        <w:pStyle w:val="Ttulo1"/>
        <w:spacing w:before="0"/>
        <w:jc w:val="left"/>
        <w:rPr>
          <w:color w:val="0D63B5"/>
          <w:u w:val="none"/>
          <w:lang w:val="pt-BR"/>
        </w:rPr>
      </w:pPr>
    </w:p>
    <w:p w14:paraId="297D1915" w14:textId="155070FC" w:rsidR="00E158CF" w:rsidRDefault="00E158CF" w:rsidP="002517C1">
      <w:pPr>
        <w:pStyle w:val="Ttulo1"/>
        <w:spacing w:before="0"/>
        <w:jc w:val="left"/>
        <w:rPr>
          <w:color w:val="0D63B5"/>
          <w:u w:val="none"/>
          <w:lang w:val="pt-BR"/>
        </w:rPr>
      </w:pPr>
    </w:p>
    <w:p w14:paraId="4A0B2C1E" w14:textId="20D82885" w:rsidR="00E158CF" w:rsidRDefault="00E158CF" w:rsidP="002517C1">
      <w:pPr>
        <w:pStyle w:val="Ttulo1"/>
        <w:spacing w:before="0"/>
        <w:jc w:val="left"/>
        <w:rPr>
          <w:color w:val="0D63B5"/>
          <w:u w:val="none"/>
          <w:lang w:val="pt-BR"/>
        </w:rPr>
      </w:pPr>
    </w:p>
    <w:p w14:paraId="1F974930" w14:textId="77777777" w:rsidR="00E158CF" w:rsidRDefault="00E158CF" w:rsidP="002517C1">
      <w:pPr>
        <w:pStyle w:val="Ttulo1"/>
        <w:spacing w:before="0"/>
        <w:jc w:val="left"/>
        <w:rPr>
          <w:color w:val="0D63B5"/>
          <w:u w:val="none"/>
          <w:lang w:val="pt-BR"/>
        </w:rPr>
      </w:pPr>
    </w:p>
    <w:p w14:paraId="428FE48A" w14:textId="0253D682" w:rsidR="002517C1" w:rsidRPr="001523C4" w:rsidRDefault="002517C1" w:rsidP="002517C1">
      <w:pPr>
        <w:pStyle w:val="Ttulo1"/>
        <w:spacing w:before="0"/>
        <w:jc w:val="left"/>
        <w:rPr>
          <w:color w:val="0D63B5"/>
          <w:u w:val="none"/>
          <w:lang w:val="pt-BR"/>
        </w:rPr>
      </w:pPr>
      <w:r w:rsidRPr="001523C4">
        <w:rPr>
          <w:color w:val="0D63B5"/>
          <w:u w:val="none"/>
          <w:lang w:val="pt-BR"/>
        </w:rPr>
        <w:lastRenderedPageBreak/>
        <w:t>NOTA 5 – ESTIMATIVAS E JULGAMENTOS CONTÁBEIS</w:t>
      </w:r>
      <w:r w:rsidRPr="001523C4" w:rsidDel="00B34FB5">
        <w:rPr>
          <w:color w:val="0D63B5"/>
          <w:u w:val="none"/>
          <w:lang w:val="pt-BR"/>
        </w:rPr>
        <w:t xml:space="preserve"> </w:t>
      </w:r>
    </w:p>
    <w:p w14:paraId="0CC35998" w14:textId="77777777" w:rsidR="002517C1" w:rsidRPr="001523C4" w:rsidRDefault="002517C1" w:rsidP="002517C1">
      <w:pPr>
        <w:pStyle w:val="Corpodetexto"/>
        <w:spacing w:before="1"/>
        <w:rPr>
          <w:lang w:val="pt-BR"/>
        </w:rPr>
      </w:pPr>
    </w:p>
    <w:p w14:paraId="3D50E07B" w14:textId="77777777" w:rsidR="002517C1" w:rsidRPr="005D3E62" w:rsidRDefault="002517C1" w:rsidP="002517C1">
      <w:pPr>
        <w:pStyle w:val="Corpodetexto"/>
        <w:spacing w:before="1"/>
        <w:rPr>
          <w:rFonts w:ascii="Verdana" w:hAnsi="Verdana"/>
          <w:lang w:val="pt-BR"/>
        </w:rPr>
      </w:pPr>
      <w:r w:rsidRPr="005D3E62">
        <w:rPr>
          <w:rFonts w:ascii="Verdana" w:hAnsi="Verdana"/>
          <w:lang w:val="pt-BR"/>
        </w:rPr>
        <w:t>Na aplicação das políticas contábeis, a Administração da Companhia deve fazer julgamentos e elaborar estimativas a respeito dos valores contábeis de receitas, despesas, ativos e passivos, bem como as divulgações nas notas</w:t>
      </w:r>
      <w:r w:rsidRPr="005D3E62">
        <w:rPr>
          <w:rFonts w:ascii="Verdana" w:hAnsi="Verdana"/>
          <w:spacing w:val="-9"/>
          <w:lang w:val="pt-BR"/>
        </w:rPr>
        <w:t xml:space="preserve"> </w:t>
      </w:r>
      <w:r w:rsidRPr="005D3E62">
        <w:rPr>
          <w:rFonts w:ascii="Verdana" w:hAnsi="Verdana"/>
          <w:lang w:val="pt-BR"/>
        </w:rPr>
        <w:t>explicativas.</w:t>
      </w:r>
    </w:p>
    <w:p w14:paraId="62C0945D" w14:textId="77777777" w:rsidR="002517C1" w:rsidRPr="00FE28A7" w:rsidRDefault="002517C1" w:rsidP="002517C1">
      <w:pPr>
        <w:pStyle w:val="Corpodetexto"/>
        <w:spacing w:before="1"/>
        <w:rPr>
          <w:rFonts w:ascii="Verdana" w:hAnsi="Verdana"/>
          <w:highlight w:val="green"/>
          <w:lang w:val="pt-BR"/>
        </w:rPr>
      </w:pPr>
    </w:p>
    <w:p w14:paraId="1108B125" w14:textId="77777777" w:rsidR="002517C1" w:rsidRPr="00FA0F78" w:rsidRDefault="002517C1" w:rsidP="002517C1">
      <w:pPr>
        <w:pStyle w:val="Corpodetexto"/>
        <w:spacing w:before="1"/>
        <w:rPr>
          <w:rFonts w:ascii="Verdana" w:hAnsi="Verdana"/>
          <w:highlight w:val="cyan"/>
          <w:lang w:val="pt-BR"/>
        </w:rPr>
      </w:pPr>
      <w:r w:rsidRPr="005D3E62">
        <w:rPr>
          <w:rFonts w:ascii="Verdana" w:hAnsi="Verdana"/>
          <w:lang w:val="pt-BR"/>
        </w:rPr>
        <w:t>As estimativas e as respectivas premissas estão baseadas na experiência histórica e em outros fatores considerados relevantes. As estimativas e premissas subjacentes são revisadas continuamente. Os efeitos decorrentes das revisões feitas às estimativas contábeis são reconhecidos no período em que as estimativas são revistas, se a revisão afetar apenas este período, ou também em períodos posteriores</w:t>
      </w:r>
      <w:r>
        <w:rPr>
          <w:rFonts w:ascii="Verdana" w:hAnsi="Verdana"/>
          <w:lang w:val="pt-BR"/>
        </w:rPr>
        <w:t>,</w:t>
      </w:r>
      <w:r w:rsidRPr="005D3E62">
        <w:rPr>
          <w:rFonts w:ascii="Verdana" w:hAnsi="Verdana"/>
          <w:lang w:val="pt-BR"/>
        </w:rPr>
        <w:t xml:space="preserve"> se a revisão afetar tanto o período presente como períodos futuros.</w:t>
      </w:r>
    </w:p>
    <w:p w14:paraId="15808780" w14:textId="77777777" w:rsidR="002517C1" w:rsidRPr="00FE28A7" w:rsidRDefault="002517C1" w:rsidP="002517C1">
      <w:pPr>
        <w:pStyle w:val="Corpodetexto"/>
        <w:spacing w:before="1"/>
        <w:rPr>
          <w:rFonts w:ascii="Verdana" w:hAnsi="Verdana"/>
          <w:highlight w:val="green"/>
          <w:lang w:val="pt-BR"/>
        </w:rPr>
      </w:pPr>
    </w:p>
    <w:p w14:paraId="7EDAEFAB" w14:textId="77777777" w:rsidR="002517C1" w:rsidRPr="005D3E62" w:rsidRDefault="002517C1" w:rsidP="002517C1">
      <w:pPr>
        <w:pStyle w:val="Corpodetexto"/>
        <w:spacing w:before="1"/>
        <w:rPr>
          <w:rFonts w:ascii="Verdana" w:hAnsi="Verdana"/>
          <w:lang w:val="pt-BR"/>
        </w:rPr>
      </w:pPr>
      <w:r w:rsidRPr="005D3E62">
        <w:rPr>
          <w:rFonts w:ascii="Verdana" w:hAnsi="Verdana"/>
          <w:lang w:val="pt-BR"/>
        </w:rPr>
        <w:t>Ainda que estas estimativas e premissas sejam permanentemente monitoradas e revistas pela Administração da Companhia, a materialização sobre o valor contábil de receitas, despesas, ativos e passivos são inerentemente incertas, por decorrer do uso de julgamento. Como consequência, a Companhia pode sofrer efeitos em decorrência de imprecisão nestas estimativas e julgamentos que sejam substanciais em períodos futuros, que podem ter efeito material adverso na sua condição financeira, no resultado de suas atividades e/ou nos seus fluxos de caixa.</w:t>
      </w:r>
    </w:p>
    <w:p w14:paraId="30297FD6" w14:textId="77777777" w:rsidR="002517C1" w:rsidRDefault="002517C1" w:rsidP="002517C1">
      <w:pPr>
        <w:pStyle w:val="Corpodetexto"/>
        <w:spacing w:before="1"/>
        <w:rPr>
          <w:rFonts w:ascii="Verdana" w:hAnsi="Verdana"/>
          <w:lang w:val="pt-BR"/>
        </w:rPr>
      </w:pPr>
    </w:p>
    <w:p w14:paraId="431A1360" w14:textId="77777777" w:rsidR="002517C1" w:rsidRPr="001523C4" w:rsidRDefault="002517C1" w:rsidP="002517C1">
      <w:pPr>
        <w:pStyle w:val="Corpodetexto"/>
        <w:spacing w:before="1"/>
        <w:rPr>
          <w:rFonts w:ascii="Verdana" w:hAnsi="Verdana"/>
          <w:lang w:val="pt-BR"/>
        </w:rPr>
      </w:pPr>
      <w:r w:rsidRPr="005D3E62">
        <w:rPr>
          <w:rFonts w:ascii="Verdana" w:hAnsi="Verdana"/>
          <w:lang w:val="pt-BR"/>
        </w:rPr>
        <w:t>A seguir, são apresentadas as principais premissas das estimativas contábeis avaliadas como as mais críticas pela Administração da Companhia, a respeito do futuro e outras principais origens da incerteza utilizadas que podem levar a ajustes significativos nos valores contábeis dos ativos e passivos nos próximos exercícios:</w:t>
      </w:r>
    </w:p>
    <w:p w14:paraId="1DD379DE" w14:textId="77777777" w:rsidR="002517C1" w:rsidRPr="001523C4" w:rsidRDefault="002517C1" w:rsidP="002517C1">
      <w:pPr>
        <w:pStyle w:val="Corpodetexto"/>
        <w:spacing w:before="1"/>
        <w:rPr>
          <w:rFonts w:ascii="Verdana" w:hAnsi="Verdana"/>
          <w:lang w:val="pt-BR"/>
        </w:rPr>
      </w:pPr>
    </w:p>
    <w:p w14:paraId="54F6F97D" w14:textId="77777777" w:rsidR="002517C1" w:rsidRPr="00F61881" w:rsidRDefault="002517C1" w:rsidP="002517C1">
      <w:pPr>
        <w:pStyle w:val="Corpodetexto"/>
        <w:spacing w:before="1"/>
        <w:rPr>
          <w:rFonts w:ascii="Verdana" w:hAnsi="Verdana"/>
          <w:color w:val="0D63B5"/>
          <w:lang w:val="pt-BR"/>
        </w:rPr>
      </w:pPr>
      <w:r w:rsidRPr="00F61881">
        <w:rPr>
          <w:rFonts w:ascii="Verdana" w:hAnsi="Verdana"/>
          <w:color w:val="0D63B5"/>
          <w:lang w:val="pt-BR"/>
        </w:rPr>
        <w:t xml:space="preserve">5.1 - </w:t>
      </w:r>
      <w:r w:rsidRPr="00F61881">
        <w:rPr>
          <w:rFonts w:ascii="Verdana" w:hAnsi="Verdana"/>
          <w:color w:val="0D63B5"/>
          <w:lang w:val="pt-BR"/>
        </w:rPr>
        <w:tab/>
        <w:t>Provisão para redução do valor recuperável de ativos de longa duração</w:t>
      </w:r>
      <w:r>
        <w:rPr>
          <w:rFonts w:ascii="Verdana" w:hAnsi="Verdana"/>
          <w:color w:val="0D63B5"/>
          <w:lang w:val="pt-BR"/>
        </w:rPr>
        <w:t xml:space="preserve"> </w:t>
      </w:r>
    </w:p>
    <w:p w14:paraId="21CE00F6" w14:textId="77777777" w:rsidR="002517C1" w:rsidRPr="00F61881" w:rsidRDefault="002517C1" w:rsidP="002517C1">
      <w:pPr>
        <w:pStyle w:val="Corpodetexto"/>
        <w:spacing w:before="1"/>
        <w:rPr>
          <w:rFonts w:ascii="Verdana" w:hAnsi="Verdana"/>
          <w:lang w:val="pt-BR"/>
        </w:rPr>
      </w:pPr>
    </w:p>
    <w:p w14:paraId="77079AF5" w14:textId="77777777" w:rsidR="002517C1" w:rsidRPr="00F61881" w:rsidRDefault="002517C1" w:rsidP="002517C1">
      <w:pPr>
        <w:pStyle w:val="Corpodetexto"/>
        <w:spacing w:before="1"/>
        <w:rPr>
          <w:rFonts w:ascii="Verdana" w:hAnsi="Verdana"/>
          <w:lang w:val="pt-BR"/>
        </w:rPr>
      </w:pPr>
      <w:r w:rsidRPr="00F61881">
        <w:rPr>
          <w:rFonts w:ascii="Verdana" w:hAnsi="Verdana"/>
          <w:lang w:val="pt-BR"/>
        </w:rPr>
        <w:t>A Administração da Companhia considera premissas e dados técnicos para elaboração do teste de determinação de recuperação de ativos. Nesta prática são aplicadas premissas, baseadas na experiência histórica na gestão do ativo, conjunto de ativos ou unidade geradora de caixa, e práticas de avaliação comumente utilizadas no mercado. Tais premissas podem, eventualmente, não se verificarem no futuro, inclusive quanto à vida útil econômica estimada. Atualmente, a vida útil adotada pela Companhia está de acordo com as práticas determinadas pela A</w:t>
      </w:r>
      <w:r>
        <w:rPr>
          <w:rFonts w:ascii="Verdana" w:hAnsi="Verdana"/>
          <w:lang w:val="pt-BR"/>
        </w:rPr>
        <w:t>neel</w:t>
      </w:r>
      <w:r w:rsidRPr="00F61881">
        <w:rPr>
          <w:rFonts w:ascii="Verdana" w:hAnsi="Verdana"/>
          <w:lang w:val="pt-BR"/>
        </w:rPr>
        <w:t xml:space="preserve">, aplicáveis sobre os ativos vinculados à concessão do serviço público de energia elétrica, que podem variar em decorrência da análise periódica do prazo de vida útil econômica de bens em vigor. </w:t>
      </w:r>
    </w:p>
    <w:p w14:paraId="79D08EAE" w14:textId="77777777" w:rsidR="002517C1" w:rsidRPr="00F61881" w:rsidRDefault="002517C1" w:rsidP="002517C1">
      <w:pPr>
        <w:pStyle w:val="Corpodetexto"/>
        <w:spacing w:before="1"/>
        <w:rPr>
          <w:rFonts w:ascii="Verdana" w:hAnsi="Verdana"/>
          <w:lang w:val="pt-BR"/>
        </w:rPr>
      </w:pPr>
    </w:p>
    <w:p w14:paraId="50FE95C8" w14:textId="77777777" w:rsidR="002517C1" w:rsidRDefault="002517C1" w:rsidP="002517C1">
      <w:pPr>
        <w:pStyle w:val="Corpodetexto"/>
        <w:spacing w:before="1"/>
        <w:rPr>
          <w:rFonts w:ascii="Verdana" w:hAnsi="Verdana"/>
          <w:lang w:val="pt-BR"/>
        </w:rPr>
      </w:pPr>
      <w:r w:rsidRPr="00F61881">
        <w:rPr>
          <w:rFonts w:ascii="Verdana" w:hAnsi="Verdana"/>
          <w:lang w:val="pt-BR"/>
        </w:rPr>
        <w:t>Diversos eventos incertos também compõem as premissas utilizadas pela Companhia, dentre elas: as tarifas futuras para venda de energia elétrica; data de entrada em operação de empreendimentos em construção; a taxa de crescimento da atividade econômica no país</w:t>
      </w:r>
      <w:r>
        <w:rPr>
          <w:rFonts w:ascii="Verdana" w:hAnsi="Verdana"/>
          <w:lang w:val="pt-BR"/>
        </w:rPr>
        <w:t>.</w:t>
      </w:r>
    </w:p>
    <w:p w14:paraId="435629C3" w14:textId="77777777" w:rsidR="002517C1" w:rsidRDefault="002517C1" w:rsidP="002517C1">
      <w:pPr>
        <w:pStyle w:val="Corpodetexto"/>
        <w:spacing w:before="1"/>
        <w:rPr>
          <w:rFonts w:ascii="Verdana" w:hAnsi="Verdana"/>
          <w:lang w:val="pt-BR"/>
        </w:rPr>
      </w:pPr>
    </w:p>
    <w:p w14:paraId="5B8D0205" w14:textId="77777777" w:rsidR="002517C1" w:rsidRPr="001523C4" w:rsidRDefault="002517C1" w:rsidP="002517C1">
      <w:pPr>
        <w:pStyle w:val="Corpodetexto"/>
        <w:spacing w:before="1"/>
        <w:rPr>
          <w:rFonts w:ascii="Verdana" w:hAnsi="Verdana"/>
          <w:color w:val="0D63B5"/>
          <w:lang w:val="pt-BR"/>
        </w:rPr>
      </w:pPr>
      <w:r w:rsidRPr="001523C4">
        <w:rPr>
          <w:rFonts w:ascii="Verdana" w:hAnsi="Verdana"/>
          <w:color w:val="0D63B5"/>
          <w:lang w:val="pt-BR"/>
        </w:rPr>
        <w:t>5.</w:t>
      </w:r>
      <w:r>
        <w:rPr>
          <w:rFonts w:ascii="Verdana" w:hAnsi="Verdana"/>
          <w:color w:val="0D63B5"/>
          <w:lang w:val="pt-BR"/>
        </w:rPr>
        <w:t>2</w:t>
      </w:r>
      <w:r w:rsidRPr="001523C4">
        <w:rPr>
          <w:rFonts w:ascii="Verdana" w:hAnsi="Verdana"/>
          <w:color w:val="0D63B5"/>
          <w:lang w:val="pt-BR"/>
        </w:rPr>
        <w:t xml:space="preserve"> -</w:t>
      </w:r>
      <w:r w:rsidRPr="001523C4">
        <w:rPr>
          <w:rFonts w:ascii="Verdana" w:hAnsi="Verdana"/>
          <w:color w:val="0D63B5"/>
          <w:lang w:val="pt-BR"/>
        </w:rPr>
        <w:tab/>
        <w:t xml:space="preserve">Provisão para desmobilização de ativos </w:t>
      </w:r>
    </w:p>
    <w:p w14:paraId="4B934E09" w14:textId="77777777" w:rsidR="002517C1" w:rsidRDefault="002517C1" w:rsidP="002517C1">
      <w:pPr>
        <w:pStyle w:val="Corpodetexto"/>
        <w:spacing w:before="1"/>
        <w:rPr>
          <w:rFonts w:ascii="Verdana" w:hAnsi="Verdana"/>
          <w:lang w:val="pt-BR"/>
        </w:rPr>
      </w:pPr>
    </w:p>
    <w:p w14:paraId="6D258F66" w14:textId="77777777" w:rsidR="002517C1" w:rsidRPr="001523C4" w:rsidRDefault="002517C1" w:rsidP="002517C1">
      <w:pPr>
        <w:pStyle w:val="Corpodetexto"/>
        <w:spacing w:before="1"/>
        <w:rPr>
          <w:rFonts w:ascii="Verdana" w:hAnsi="Verdana"/>
          <w:lang w:val="pt-BR"/>
        </w:rPr>
      </w:pPr>
      <w:r w:rsidRPr="005D3E62">
        <w:rPr>
          <w:rFonts w:ascii="Verdana" w:hAnsi="Verdana"/>
          <w:lang w:val="pt-BR"/>
        </w:rPr>
        <w:t xml:space="preserve">A Companhia reconhece provisão para obrigações com a desativação de ativos relativos às suas usinas termonucleares. Para determinar o valor da provisão, premissas e estimativas são feitas em relação às taxas de desconto, ao custo estimado para a desativação e remoção de todas as usinas dos locais e à época esperada dos referidos custos </w:t>
      </w:r>
      <w:r>
        <w:rPr>
          <w:rFonts w:ascii="Verdana" w:hAnsi="Verdana"/>
          <w:lang w:val="pt-BR"/>
        </w:rPr>
        <w:t>(</w:t>
      </w:r>
      <w:r w:rsidRPr="005D3E62">
        <w:rPr>
          <w:rFonts w:ascii="Verdana" w:hAnsi="Verdana"/>
          <w:lang w:val="pt-BR"/>
        </w:rPr>
        <w:t>nota</w:t>
      </w:r>
      <w:r>
        <w:rPr>
          <w:rFonts w:ascii="Verdana" w:hAnsi="Verdana"/>
          <w:lang w:val="pt-BR"/>
        </w:rPr>
        <w:t xml:space="preserve"> 27). </w:t>
      </w:r>
      <w:r w:rsidRPr="005D3E62">
        <w:rPr>
          <w:rFonts w:ascii="Verdana" w:hAnsi="Verdana"/>
          <w:lang w:val="pt-BR"/>
        </w:rPr>
        <w:t>A estimativa dos custos é baseada nos requerimentos legais, regulatórios e ambientais para a desativação e remoção de todas as usinas em conjunto assim como os preços de produtos e serviços a serem utilizados no final da vida útil.</w:t>
      </w:r>
    </w:p>
    <w:p w14:paraId="5B871891" w14:textId="77777777" w:rsidR="00771FA9" w:rsidRPr="001523C4" w:rsidRDefault="00771FA9" w:rsidP="002517C1">
      <w:pPr>
        <w:pStyle w:val="Corpodetexto"/>
        <w:spacing w:before="1"/>
        <w:rPr>
          <w:rFonts w:ascii="Verdana" w:hAnsi="Verdana"/>
          <w:lang w:val="pt-BR"/>
        </w:rPr>
      </w:pPr>
    </w:p>
    <w:p w14:paraId="322AD9EC" w14:textId="77777777" w:rsidR="002517C1" w:rsidRPr="001523C4" w:rsidRDefault="002517C1" w:rsidP="002517C1">
      <w:pPr>
        <w:pStyle w:val="Corpodetexto"/>
        <w:spacing w:before="1"/>
        <w:rPr>
          <w:rFonts w:ascii="Verdana" w:hAnsi="Verdana"/>
          <w:color w:val="0D63B5"/>
          <w:lang w:val="pt-BR"/>
        </w:rPr>
      </w:pPr>
      <w:r w:rsidRPr="001523C4">
        <w:rPr>
          <w:rFonts w:ascii="Verdana" w:hAnsi="Verdana"/>
          <w:color w:val="0D63B5"/>
          <w:lang w:val="pt-BR"/>
        </w:rPr>
        <w:t>5.</w:t>
      </w:r>
      <w:r>
        <w:rPr>
          <w:rFonts w:ascii="Verdana" w:hAnsi="Verdana"/>
          <w:color w:val="0D63B5"/>
          <w:lang w:val="pt-BR"/>
        </w:rPr>
        <w:t>3</w:t>
      </w:r>
      <w:r w:rsidRPr="001523C4">
        <w:rPr>
          <w:rFonts w:ascii="Verdana" w:hAnsi="Verdana"/>
          <w:color w:val="0D63B5"/>
          <w:lang w:val="pt-BR"/>
        </w:rPr>
        <w:t xml:space="preserve"> -</w:t>
      </w:r>
      <w:r w:rsidRPr="001523C4">
        <w:rPr>
          <w:rFonts w:ascii="Verdana" w:hAnsi="Verdana"/>
          <w:color w:val="0D63B5"/>
          <w:lang w:val="pt-BR"/>
        </w:rPr>
        <w:tab/>
        <w:t>Obrigações atuariais</w:t>
      </w:r>
    </w:p>
    <w:p w14:paraId="30F70156" w14:textId="77777777" w:rsidR="002517C1" w:rsidRPr="001523C4" w:rsidRDefault="002517C1" w:rsidP="002517C1">
      <w:pPr>
        <w:pStyle w:val="Corpodetexto"/>
        <w:spacing w:before="1"/>
        <w:rPr>
          <w:rFonts w:ascii="Verdana" w:hAnsi="Verdana"/>
          <w:lang w:val="pt-BR"/>
        </w:rPr>
      </w:pPr>
    </w:p>
    <w:p w14:paraId="0EFB087A" w14:textId="3441CC4A" w:rsidR="002517C1" w:rsidRDefault="002517C1" w:rsidP="002517C1">
      <w:pPr>
        <w:pStyle w:val="Corpodetexto"/>
        <w:spacing w:before="1"/>
        <w:rPr>
          <w:rFonts w:ascii="Verdana" w:hAnsi="Verdana"/>
          <w:lang w:val="pt-BR"/>
        </w:rPr>
      </w:pPr>
      <w:r w:rsidRPr="005D3E62">
        <w:rPr>
          <w:rFonts w:ascii="Verdana" w:hAnsi="Verdana"/>
          <w:lang w:val="pt-BR"/>
        </w:rPr>
        <w:t xml:space="preserve">As obrigações atuariais registradas são determinadas por cálculos atuariais elaborados por atuários independentes com base na expectativa de vida do participante, idade média de aposentadoria e inflação. </w:t>
      </w:r>
      <w:r w:rsidRPr="005644E6">
        <w:rPr>
          <w:rFonts w:ascii="Verdana" w:hAnsi="Verdana"/>
          <w:lang w:val="pt-BR"/>
        </w:rPr>
        <w:t xml:space="preserve">Contudo, os resultados reais </w:t>
      </w:r>
      <w:r w:rsidRPr="00255E5C">
        <w:rPr>
          <w:rFonts w:ascii="Verdana" w:hAnsi="Verdana"/>
          <w:lang w:val="pt-BR"/>
        </w:rPr>
        <w:t xml:space="preserve">futuros dos benefícios podem ser diferentes daqueles existentes e registrados contabilmente </w:t>
      </w:r>
      <w:r>
        <w:rPr>
          <w:rFonts w:ascii="Verdana" w:hAnsi="Verdana"/>
          <w:lang w:val="pt-BR"/>
        </w:rPr>
        <w:t>(</w:t>
      </w:r>
      <w:r w:rsidRPr="00255E5C">
        <w:rPr>
          <w:rFonts w:ascii="Verdana" w:hAnsi="Verdana"/>
          <w:lang w:val="pt-BR"/>
        </w:rPr>
        <w:t>nota 24</w:t>
      </w:r>
      <w:r>
        <w:rPr>
          <w:rFonts w:ascii="Verdana" w:hAnsi="Verdana"/>
          <w:lang w:val="pt-BR"/>
        </w:rPr>
        <w:t>)</w:t>
      </w:r>
      <w:r w:rsidRPr="00255E5C">
        <w:rPr>
          <w:rFonts w:ascii="Verdana" w:hAnsi="Verdana"/>
          <w:lang w:val="pt-BR"/>
        </w:rPr>
        <w:t>.</w:t>
      </w:r>
    </w:p>
    <w:p w14:paraId="5B46FA23" w14:textId="77777777" w:rsidR="00E158CF" w:rsidRDefault="00E158CF" w:rsidP="002517C1">
      <w:pPr>
        <w:pStyle w:val="Corpodetexto"/>
        <w:spacing w:before="1"/>
        <w:rPr>
          <w:rFonts w:ascii="Verdana" w:hAnsi="Verdana"/>
          <w:lang w:val="pt-BR"/>
        </w:rPr>
      </w:pPr>
    </w:p>
    <w:p w14:paraId="1F45540F" w14:textId="77777777" w:rsidR="002517C1" w:rsidRPr="001523C4" w:rsidRDefault="002517C1" w:rsidP="002517C1">
      <w:pPr>
        <w:pStyle w:val="Corpodetexto"/>
        <w:spacing w:before="1"/>
        <w:rPr>
          <w:rFonts w:ascii="Verdana" w:hAnsi="Verdana"/>
          <w:lang w:val="pt-BR"/>
        </w:rPr>
      </w:pPr>
    </w:p>
    <w:p w14:paraId="41B6865C" w14:textId="77777777" w:rsidR="002517C1" w:rsidRPr="001523C4" w:rsidRDefault="002517C1" w:rsidP="002517C1">
      <w:pPr>
        <w:pStyle w:val="Corpodetexto"/>
        <w:spacing w:before="1"/>
        <w:rPr>
          <w:rFonts w:ascii="Verdana" w:hAnsi="Verdana"/>
          <w:color w:val="0D63B5"/>
          <w:lang w:val="pt-BR"/>
        </w:rPr>
      </w:pPr>
      <w:r w:rsidRPr="001523C4">
        <w:rPr>
          <w:rFonts w:ascii="Verdana" w:hAnsi="Verdana"/>
          <w:color w:val="0D63B5"/>
          <w:lang w:val="pt-BR"/>
        </w:rPr>
        <w:lastRenderedPageBreak/>
        <w:t>5.</w:t>
      </w:r>
      <w:r>
        <w:rPr>
          <w:rFonts w:ascii="Verdana" w:hAnsi="Verdana"/>
          <w:color w:val="0D63B5"/>
          <w:lang w:val="pt-BR"/>
        </w:rPr>
        <w:t>4</w:t>
      </w:r>
      <w:r w:rsidRPr="001523C4">
        <w:rPr>
          <w:rFonts w:ascii="Verdana" w:hAnsi="Verdana"/>
          <w:color w:val="0D63B5"/>
          <w:lang w:val="pt-BR"/>
        </w:rPr>
        <w:t xml:space="preserve"> -</w:t>
      </w:r>
      <w:r w:rsidRPr="001523C4">
        <w:rPr>
          <w:rFonts w:ascii="Verdana" w:hAnsi="Verdana"/>
          <w:color w:val="0D63B5"/>
          <w:lang w:val="pt-BR"/>
        </w:rPr>
        <w:tab/>
        <w:t>Provisões e passivos contingentes</w:t>
      </w:r>
    </w:p>
    <w:p w14:paraId="124D5922" w14:textId="77777777" w:rsidR="002517C1" w:rsidRDefault="002517C1" w:rsidP="002517C1">
      <w:pPr>
        <w:pStyle w:val="Corpodetexto"/>
        <w:spacing w:before="1"/>
        <w:rPr>
          <w:rFonts w:ascii="Verdana" w:hAnsi="Verdana"/>
          <w:lang w:val="pt-BR"/>
        </w:rPr>
      </w:pPr>
    </w:p>
    <w:p w14:paraId="3C611B6F" w14:textId="77777777" w:rsidR="002517C1" w:rsidRDefault="002517C1" w:rsidP="002517C1">
      <w:pPr>
        <w:pStyle w:val="Corpodetexto"/>
        <w:spacing w:before="1"/>
        <w:rPr>
          <w:rFonts w:ascii="Verdana" w:hAnsi="Verdana"/>
          <w:lang w:val="pt-BR"/>
        </w:rPr>
      </w:pPr>
      <w:r w:rsidRPr="005D3E62">
        <w:rPr>
          <w:rFonts w:ascii="Verdana" w:hAnsi="Verdana"/>
          <w:lang w:val="pt-BR"/>
        </w:rPr>
        <w:t xml:space="preserve">As provisões para riscos trabalhistas, tributários e cíveis são reconhecidas quando há obrigações presentes (legais ou presumidas) resultantes de eventos passados, cuja liquidação seja provável e que seja possível estimarem os valores de forma confiável, com base na avaliação da Administração e dos assessores jurídicos internos e externos. Os valores provisionados são registrados com base nas estimativas dos custos dos desfechos das referidas contingências. Riscos contingentes com expectativa de perda possível são divulgados pela Administração, não sendo constituída provisão. Essa avaliação é suportada pelo julgamento da Administração, juntamente com seus assessores jurídicos, considerando as jurisprudências, as decisões em instâncias iniciais e superiores, o histórico de eventuais acordos e decisões, a experiência da administração e dos assessores jurídicos, bem como outros aspectos aplicáveis </w:t>
      </w:r>
      <w:r>
        <w:rPr>
          <w:rFonts w:ascii="Verdana" w:hAnsi="Verdana"/>
          <w:lang w:val="pt-BR"/>
        </w:rPr>
        <w:t>(</w:t>
      </w:r>
      <w:r w:rsidRPr="00F62551">
        <w:rPr>
          <w:rFonts w:ascii="Verdana" w:hAnsi="Verdana"/>
          <w:lang w:val="pt-BR"/>
        </w:rPr>
        <w:t>nota</w:t>
      </w:r>
      <w:r>
        <w:rPr>
          <w:rFonts w:ascii="Verdana" w:hAnsi="Verdana"/>
          <w:lang w:val="pt-BR"/>
        </w:rPr>
        <w:t xml:space="preserve"> 26).</w:t>
      </w:r>
    </w:p>
    <w:p w14:paraId="11B20F34" w14:textId="77777777" w:rsidR="002517C1" w:rsidRDefault="002517C1" w:rsidP="002517C1">
      <w:pPr>
        <w:pStyle w:val="Corpodetexto"/>
        <w:spacing w:before="1"/>
        <w:rPr>
          <w:rFonts w:ascii="Verdana" w:hAnsi="Verdana"/>
          <w:lang w:val="pt-BR"/>
        </w:rPr>
      </w:pPr>
    </w:p>
    <w:p w14:paraId="76FDF137" w14:textId="77777777" w:rsidR="002517C1" w:rsidRPr="001523C4" w:rsidRDefault="002517C1" w:rsidP="002517C1">
      <w:pPr>
        <w:pStyle w:val="Corpodetexto"/>
        <w:spacing w:before="1"/>
        <w:rPr>
          <w:rFonts w:ascii="Verdana" w:hAnsi="Verdana"/>
          <w:color w:val="0D63B5"/>
          <w:lang w:val="pt-BR"/>
        </w:rPr>
      </w:pPr>
      <w:r w:rsidRPr="001523C4">
        <w:rPr>
          <w:rFonts w:ascii="Verdana" w:hAnsi="Verdana"/>
          <w:color w:val="0D63B5"/>
          <w:lang w:val="pt-BR"/>
        </w:rPr>
        <w:t>5.</w:t>
      </w:r>
      <w:r>
        <w:rPr>
          <w:rFonts w:ascii="Verdana" w:hAnsi="Verdana"/>
          <w:color w:val="0D63B5"/>
          <w:lang w:val="pt-BR"/>
        </w:rPr>
        <w:t>5</w:t>
      </w:r>
      <w:r w:rsidRPr="001523C4">
        <w:rPr>
          <w:rFonts w:ascii="Verdana" w:hAnsi="Verdana"/>
          <w:color w:val="0D63B5"/>
          <w:lang w:val="pt-BR"/>
        </w:rPr>
        <w:t xml:space="preserve"> -</w:t>
      </w:r>
      <w:r w:rsidRPr="001523C4">
        <w:rPr>
          <w:rFonts w:ascii="Verdana" w:hAnsi="Verdana"/>
          <w:color w:val="0D63B5"/>
          <w:lang w:val="pt-BR"/>
        </w:rPr>
        <w:tab/>
        <w:t xml:space="preserve">Provisão para Perda Estimada em Créditos de Liquidação Duvidosa </w:t>
      </w:r>
    </w:p>
    <w:p w14:paraId="071BB515" w14:textId="77777777" w:rsidR="002517C1" w:rsidRDefault="002517C1" w:rsidP="002517C1">
      <w:pPr>
        <w:pStyle w:val="Corpodetexto"/>
        <w:spacing w:before="1"/>
        <w:rPr>
          <w:rFonts w:ascii="Verdana" w:hAnsi="Verdana"/>
          <w:lang w:val="pt-BR"/>
        </w:rPr>
      </w:pPr>
    </w:p>
    <w:p w14:paraId="4CFEA1E6" w14:textId="77777777" w:rsidR="002517C1" w:rsidRDefault="002517C1" w:rsidP="002517C1">
      <w:pPr>
        <w:pStyle w:val="Corpodetexto"/>
        <w:spacing w:before="1"/>
        <w:rPr>
          <w:rFonts w:ascii="Verdana" w:hAnsi="Verdana"/>
          <w:lang w:val="pt-BR"/>
        </w:rPr>
      </w:pPr>
      <w:r w:rsidRPr="008D2573">
        <w:rPr>
          <w:rFonts w:ascii="Verdana" w:hAnsi="Verdana"/>
          <w:lang w:val="pt-BR"/>
        </w:rPr>
        <w:t>A Companhia adotou a abordagem simplificada e calcula a perda esperada, com base na expectativa de risco de inadimplência que ocorre ao longo da vida útil do instrumento financeiro de acordo com o IFRS 9</w:t>
      </w:r>
      <w:r>
        <w:rPr>
          <w:rFonts w:ascii="Verdana" w:hAnsi="Verdana"/>
          <w:lang w:val="pt-BR"/>
        </w:rPr>
        <w:t>.</w:t>
      </w:r>
    </w:p>
    <w:p w14:paraId="5F95C207" w14:textId="77777777" w:rsidR="002517C1" w:rsidRPr="008D2573" w:rsidRDefault="002517C1" w:rsidP="002517C1">
      <w:pPr>
        <w:pStyle w:val="Corpodetexto"/>
        <w:spacing w:before="1"/>
        <w:rPr>
          <w:rFonts w:ascii="Verdana" w:hAnsi="Verdana"/>
          <w:lang w:val="pt-BR"/>
        </w:rPr>
      </w:pPr>
    </w:p>
    <w:p w14:paraId="0F417FB5" w14:textId="77777777" w:rsidR="002517C1" w:rsidRPr="001523C4" w:rsidRDefault="002517C1" w:rsidP="002517C1">
      <w:pPr>
        <w:pStyle w:val="Corpodetexto"/>
        <w:spacing w:before="1"/>
        <w:rPr>
          <w:rFonts w:ascii="Verdana" w:hAnsi="Verdana"/>
          <w:lang w:val="pt-BR"/>
        </w:rPr>
      </w:pPr>
      <w:r w:rsidRPr="008D2573">
        <w:rPr>
          <w:rFonts w:ascii="Verdana" w:hAnsi="Verdana"/>
          <w:lang w:val="pt-BR"/>
        </w:rPr>
        <w:t>Considera-se um ativo financeiro inadimplente quando: (i) é improvável que o credor pague integralmente suas obrigações de crédito com a Companhia sem recorrer a ações como a garantia (se houver); ou (</w:t>
      </w:r>
      <w:proofErr w:type="spellStart"/>
      <w:r w:rsidRPr="008D2573">
        <w:rPr>
          <w:rFonts w:ascii="Verdana" w:hAnsi="Verdana"/>
          <w:lang w:val="pt-BR"/>
        </w:rPr>
        <w:t>ii</w:t>
      </w:r>
      <w:proofErr w:type="spellEnd"/>
      <w:r w:rsidRPr="008D2573">
        <w:rPr>
          <w:rFonts w:ascii="Verdana" w:hAnsi="Verdana"/>
          <w:lang w:val="pt-BR"/>
        </w:rPr>
        <w:t>) o ativo financeiro expirou de acordo com as regras atuais.</w:t>
      </w:r>
    </w:p>
    <w:p w14:paraId="76687A1D" w14:textId="77777777" w:rsidR="002517C1" w:rsidRPr="001523C4" w:rsidRDefault="002517C1" w:rsidP="002517C1">
      <w:pPr>
        <w:pStyle w:val="Corpodetexto"/>
        <w:spacing w:before="1"/>
        <w:rPr>
          <w:rFonts w:ascii="Verdana" w:hAnsi="Verdana"/>
          <w:lang w:val="pt-BR"/>
        </w:rPr>
      </w:pPr>
    </w:p>
    <w:p w14:paraId="2121A246" w14:textId="77777777" w:rsidR="002517C1" w:rsidRDefault="002517C1" w:rsidP="002517C1">
      <w:pPr>
        <w:pStyle w:val="Corpodetexto"/>
        <w:spacing w:before="1"/>
        <w:rPr>
          <w:rFonts w:ascii="Verdana" w:hAnsi="Verdana"/>
          <w:color w:val="0D63B5"/>
          <w:lang w:val="pt-BR"/>
        </w:rPr>
      </w:pPr>
      <w:r w:rsidRPr="001523C4">
        <w:rPr>
          <w:rFonts w:ascii="Verdana" w:hAnsi="Verdana"/>
          <w:color w:val="0D63B5"/>
          <w:lang w:val="pt-BR"/>
        </w:rPr>
        <w:t>5.</w:t>
      </w:r>
      <w:r>
        <w:rPr>
          <w:rFonts w:ascii="Verdana" w:hAnsi="Verdana"/>
          <w:color w:val="0D63B5"/>
          <w:lang w:val="pt-BR"/>
        </w:rPr>
        <w:t>6</w:t>
      </w:r>
      <w:r w:rsidRPr="001523C4">
        <w:rPr>
          <w:rFonts w:ascii="Verdana" w:hAnsi="Verdana"/>
          <w:color w:val="0D63B5"/>
          <w:lang w:val="pt-BR"/>
        </w:rPr>
        <w:t xml:space="preserve"> -</w:t>
      </w:r>
      <w:r w:rsidRPr="001523C4">
        <w:rPr>
          <w:rFonts w:ascii="Verdana" w:hAnsi="Verdana"/>
          <w:color w:val="0D63B5"/>
          <w:lang w:val="pt-BR"/>
        </w:rPr>
        <w:tab/>
        <w:t>Avaliação de instrumentos financeiros</w:t>
      </w:r>
    </w:p>
    <w:p w14:paraId="225B1519" w14:textId="77777777" w:rsidR="002517C1" w:rsidRPr="001523C4" w:rsidRDefault="002517C1" w:rsidP="002517C1">
      <w:pPr>
        <w:pStyle w:val="Corpodetexto"/>
        <w:spacing w:before="1"/>
        <w:rPr>
          <w:rFonts w:ascii="Verdana" w:hAnsi="Verdana"/>
          <w:color w:val="0D63B5"/>
          <w:lang w:val="pt-BR"/>
        </w:rPr>
      </w:pPr>
    </w:p>
    <w:p w14:paraId="1B45265E" w14:textId="77777777" w:rsidR="002517C1" w:rsidRPr="00A103C1" w:rsidRDefault="002517C1" w:rsidP="002517C1">
      <w:pPr>
        <w:rPr>
          <w:rFonts w:ascii="Verdana" w:hAnsi="Verdana"/>
        </w:rPr>
      </w:pPr>
      <w:r w:rsidRPr="00A103C1">
        <w:rPr>
          <w:rFonts w:ascii="Verdana" w:hAnsi="Verdana"/>
          <w:sz w:val="20"/>
          <w:szCs w:val="20"/>
        </w:rPr>
        <w:t xml:space="preserve">A Companhia classifica seus instrumentos financeiros sob as seguintes categorias: custo amortizado e valor justo por meio de resultado. A classificação depende do modelo de negócio no qual o instrumento financeiro é mantido e nas características de fluxo de caixa contratual. Os valores justos dos instrumentos </w:t>
      </w:r>
      <w:r>
        <w:rPr>
          <w:rFonts w:ascii="Verdana" w:hAnsi="Verdana"/>
          <w:sz w:val="20"/>
          <w:szCs w:val="20"/>
        </w:rPr>
        <w:t>financeiros</w:t>
      </w:r>
      <w:r w:rsidRPr="00A103C1">
        <w:rPr>
          <w:rFonts w:ascii="Verdana" w:hAnsi="Verdana"/>
          <w:sz w:val="20"/>
          <w:szCs w:val="20"/>
        </w:rPr>
        <w:t xml:space="preserve"> são determinados com base em preços de mercado </w:t>
      </w:r>
      <w:r>
        <w:rPr>
          <w:rFonts w:ascii="Verdana" w:hAnsi="Verdana"/>
          <w:sz w:val="20"/>
          <w:szCs w:val="20"/>
        </w:rPr>
        <w:t xml:space="preserve">ou técnicas de avaliação, conforme demonstrado na </w:t>
      </w:r>
      <w:r w:rsidRPr="00A103C1">
        <w:rPr>
          <w:rFonts w:ascii="Verdana" w:hAnsi="Verdana"/>
          <w:sz w:val="20"/>
          <w:szCs w:val="20"/>
        </w:rPr>
        <w:t xml:space="preserve">nota 35.2. </w:t>
      </w:r>
    </w:p>
    <w:p w14:paraId="403C4DB5" w14:textId="77777777" w:rsidR="002517C1" w:rsidRPr="001523C4" w:rsidRDefault="002517C1" w:rsidP="002517C1">
      <w:pPr>
        <w:pStyle w:val="PargrafodaLista"/>
        <w:widowControl w:val="0"/>
        <w:autoSpaceDE w:val="0"/>
        <w:autoSpaceDN w:val="0"/>
        <w:ind w:left="360"/>
        <w:rPr>
          <w:rFonts w:ascii="Verdana" w:hAnsi="Verdana"/>
          <w:sz w:val="20"/>
          <w:szCs w:val="20"/>
        </w:rPr>
      </w:pPr>
    </w:p>
    <w:p w14:paraId="647DF849" w14:textId="77777777" w:rsidR="002517C1" w:rsidRPr="00CC5D40" w:rsidRDefault="002517C1" w:rsidP="002517C1">
      <w:pPr>
        <w:autoSpaceDE w:val="0"/>
        <w:autoSpaceDN w:val="0"/>
        <w:adjustRightInd w:val="0"/>
        <w:rPr>
          <w:rFonts w:ascii="Verdana" w:hAnsi="Verdana"/>
          <w:color w:val="0D63B5"/>
          <w:sz w:val="20"/>
          <w:szCs w:val="20"/>
        </w:rPr>
      </w:pPr>
      <w:bookmarkStart w:id="12" w:name="_Hlk93921151"/>
      <w:r w:rsidRPr="00CC5D40">
        <w:rPr>
          <w:rFonts w:ascii="Verdana" w:hAnsi="Verdana"/>
          <w:color w:val="0D63B5"/>
          <w:sz w:val="20"/>
          <w:szCs w:val="20"/>
        </w:rPr>
        <w:t xml:space="preserve">5.7 - Estimativa da taxa incremental de arrendamentos </w:t>
      </w:r>
    </w:p>
    <w:p w14:paraId="4FAAF910" w14:textId="77777777" w:rsidR="002517C1" w:rsidRPr="00CC5D40" w:rsidRDefault="002517C1" w:rsidP="002517C1">
      <w:pPr>
        <w:autoSpaceDE w:val="0"/>
        <w:autoSpaceDN w:val="0"/>
        <w:adjustRightInd w:val="0"/>
        <w:rPr>
          <w:rFonts w:ascii="Verdana" w:hAnsi="Verdana"/>
          <w:sz w:val="20"/>
          <w:szCs w:val="20"/>
        </w:rPr>
      </w:pPr>
    </w:p>
    <w:p w14:paraId="6D21ADE8" w14:textId="77777777" w:rsidR="002517C1" w:rsidRPr="001523C4" w:rsidRDefault="002517C1" w:rsidP="002517C1">
      <w:pPr>
        <w:autoSpaceDE w:val="0"/>
        <w:autoSpaceDN w:val="0"/>
        <w:adjustRightInd w:val="0"/>
        <w:rPr>
          <w:rFonts w:ascii="Verdana" w:hAnsi="Verdana"/>
          <w:sz w:val="20"/>
          <w:szCs w:val="20"/>
        </w:rPr>
      </w:pPr>
      <w:r w:rsidRPr="00CC5D40">
        <w:rPr>
          <w:rFonts w:ascii="Verdana" w:hAnsi="Verdana"/>
          <w:sz w:val="20"/>
          <w:szCs w:val="20"/>
        </w:rPr>
        <w:t xml:space="preserve">Os arrendamentos vigentes não possuem sua taxa de juros implícita prontamente identificável, motivo pelo qual a Companhia considera a taxa incremental sobre empréstimos para mensurar os passivos de arrendamento. A taxa incremental é a taxa de juros que a Companhia teria que pagar ao tomar empréstimos, por prazo semelhante, para obter os recursos necessários para a aquisição de ativos com valores similares ao ativo de direito de uso em ambiente econômico similar. A Companhia obtém as taxas específicas que abrangem o prazo remanescente de cada contrato. Como não é possível determinar a taxa de juros implícita no arrendamento, a Companhia estima o custo de financiamento do arrendatário para determinação da taxa de desconto dos arrendamentos </w:t>
      </w:r>
      <w:r>
        <w:rPr>
          <w:rFonts w:ascii="Verdana" w:hAnsi="Verdana"/>
          <w:sz w:val="20"/>
          <w:szCs w:val="20"/>
        </w:rPr>
        <w:t>(</w:t>
      </w:r>
      <w:r w:rsidRPr="00CC5D40">
        <w:rPr>
          <w:rFonts w:ascii="Verdana" w:hAnsi="Verdana"/>
          <w:sz w:val="20"/>
          <w:szCs w:val="20"/>
        </w:rPr>
        <w:t>nota 29</w:t>
      </w:r>
      <w:r>
        <w:rPr>
          <w:rFonts w:ascii="Verdana" w:hAnsi="Verdana"/>
          <w:sz w:val="20"/>
          <w:szCs w:val="20"/>
        </w:rPr>
        <w:t>).</w:t>
      </w:r>
    </w:p>
    <w:bookmarkEnd w:id="12"/>
    <w:p w14:paraId="47C55526" w14:textId="77777777" w:rsidR="009427F3" w:rsidRDefault="009427F3" w:rsidP="002517C1">
      <w:pPr>
        <w:widowControl w:val="0"/>
        <w:autoSpaceDE w:val="0"/>
        <w:autoSpaceDN w:val="0"/>
        <w:rPr>
          <w:rFonts w:ascii="Verdana" w:hAnsi="Verdana"/>
          <w:sz w:val="20"/>
          <w:szCs w:val="20"/>
        </w:rPr>
      </w:pPr>
    </w:p>
    <w:p w14:paraId="5DC9089D" w14:textId="77777777" w:rsidR="002517C1" w:rsidRPr="00CC5D40" w:rsidRDefault="002517C1" w:rsidP="002517C1">
      <w:pPr>
        <w:autoSpaceDE w:val="0"/>
        <w:autoSpaceDN w:val="0"/>
        <w:adjustRightInd w:val="0"/>
        <w:rPr>
          <w:rFonts w:ascii="Verdana" w:hAnsi="Verdana"/>
          <w:i/>
          <w:color w:val="0D63B5"/>
          <w:sz w:val="20"/>
          <w:szCs w:val="20"/>
        </w:rPr>
      </w:pPr>
      <w:r w:rsidRPr="00CC5D40">
        <w:rPr>
          <w:rFonts w:ascii="Verdana" w:hAnsi="Verdana"/>
          <w:color w:val="0D63B5"/>
          <w:sz w:val="20"/>
          <w:szCs w:val="20"/>
        </w:rPr>
        <w:t>5</w:t>
      </w:r>
      <w:bookmarkStart w:id="13" w:name="_Hlk94112462"/>
      <w:r w:rsidRPr="00CC5D40">
        <w:rPr>
          <w:rFonts w:ascii="Verdana" w:hAnsi="Verdana"/>
          <w:color w:val="0D63B5"/>
          <w:sz w:val="20"/>
          <w:szCs w:val="20"/>
        </w:rPr>
        <w:t xml:space="preserve">.8 – Determinação da vida útil dos ativos </w:t>
      </w:r>
    </w:p>
    <w:p w14:paraId="045C44D5" w14:textId="77777777" w:rsidR="002517C1" w:rsidRPr="00CC5D40" w:rsidRDefault="002517C1" w:rsidP="002517C1">
      <w:pPr>
        <w:autoSpaceDE w:val="0"/>
        <w:autoSpaceDN w:val="0"/>
        <w:adjustRightInd w:val="0"/>
        <w:rPr>
          <w:rFonts w:ascii="Verdana" w:hAnsi="Verdana"/>
          <w:i/>
          <w:color w:val="0D63B5"/>
          <w:sz w:val="20"/>
          <w:szCs w:val="20"/>
        </w:rPr>
      </w:pPr>
    </w:p>
    <w:p w14:paraId="62C95207" w14:textId="77777777" w:rsidR="002517C1" w:rsidRPr="00CC5D40" w:rsidRDefault="002517C1" w:rsidP="002517C1">
      <w:pPr>
        <w:rPr>
          <w:rFonts w:ascii="Verdana" w:hAnsi="Verdana"/>
          <w:sz w:val="20"/>
          <w:szCs w:val="20"/>
          <w:bdr w:val="nil"/>
        </w:rPr>
      </w:pPr>
      <w:r w:rsidRPr="00CC5D40">
        <w:rPr>
          <w:rFonts w:ascii="Verdana" w:hAnsi="Verdana"/>
          <w:sz w:val="20"/>
          <w:szCs w:val="20"/>
          <w:bdr w:val="nil"/>
        </w:rPr>
        <w:t xml:space="preserve">A depreciação é reconhecida com base na vida útil estimada de cada ativo pelo método linear, de modo que o valor do custo menos o seu valor residual após sua vida útil </w:t>
      </w:r>
      <w:r>
        <w:rPr>
          <w:rFonts w:ascii="Verdana" w:hAnsi="Verdana"/>
          <w:sz w:val="20"/>
          <w:szCs w:val="20"/>
          <w:bdr w:val="nil"/>
        </w:rPr>
        <w:t>e</w:t>
      </w:r>
      <w:r w:rsidRPr="00CC5D40">
        <w:rPr>
          <w:rFonts w:ascii="Verdana" w:hAnsi="Verdana"/>
          <w:sz w:val="20"/>
          <w:szCs w:val="20"/>
          <w:bdr w:val="nil"/>
        </w:rPr>
        <w:t>s</w:t>
      </w:r>
      <w:r>
        <w:rPr>
          <w:rFonts w:ascii="Verdana" w:hAnsi="Verdana"/>
          <w:sz w:val="20"/>
          <w:szCs w:val="20"/>
          <w:bdr w:val="nil"/>
        </w:rPr>
        <w:t>t</w:t>
      </w:r>
      <w:r w:rsidRPr="00CC5D40">
        <w:rPr>
          <w:rFonts w:ascii="Verdana" w:hAnsi="Verdana"/>
          <w:sz w:val="20"/>
          <w:szCs w:val="20"/>
          <w:bdr w:val="nil"/>
        </w:rPr>
        <w:t>eja integralmente baixado. A Companhia considera que a vida útil estimada de cada ativo é semelhante às taxas de depreciação determinadas pela A</w:t>
      </w:r>
      <w:r>
        <w:rPr>
          <w:rFonts w:ascii="Verdana" w:hAnsi="Verdana"/>
          <w:sz w:val="20"/>
          <w:szCs w:val="20"/>
          <w:bdr w:val="nil"/>
        </w:rPr>
        <w:t>neel</w:t>
      </w:r>
      <w:r w:rsidRPr="00CC5D40">
        <w:rPr>
          <w:rFonts w:ascii="Verdana" w:hAnsi="Verdana"/>
          <w:sz w:val="20"/>
          <w:szCs w:val="20"/>
          <w:bdr w:val="nil"/>
        </w:rPr>
        <w:t xml:space="preserve">, as quais são tidas pelo mercado como aceitáveis por expressar adequadamente o tempo de vida útil dos bens. </w:t>
      </w:r>
    </w:p>
    <w:p w14:paraId="605CCEA7" w14:textId="77777777" w:rsidR="002517C1" w:rsidRPr="00CC5D40" w:rsidRDefault="002517C1" w:rsidP="002517C1">
      <w:pPr>
        <w:rPr>
          <w:rFonts w:ascii="Verdana" w:hAnsi="Verdana"/>
          <w:sz w:val="20"/>
          <w:szCs w:val="20"/>
          <w:bdr w:val="nil"/>
        </w:rPr>
      </w:pPr>
    </w:p>
    <w:p w14:paraId="6370BD06" w14:textId="77777777" w:rsidR="002517C1" w:rsidRPr="00CC5D40" w:rsidRDefault="002517C1" w:rsidP="002517C1">
      <w:pPr>
        <w:rPr>
          <w:rFonts w:ascii="Verdana" w:hAnsi="Verdana"/>
          <w:sz w:val="20"/>
          <w:szCs w:val="20"/>
          <w:bdr w:val="nil"/>
        </w:rPr>
      </w:pPr>
      <w:r w:rsidRPr="00CC5D40">
        <w:rPr>
          <w:rFonts w:ascii="Verdana" w:hAnsi="Verdana"/>
          <w:sz w:val="20"/>
          <w:szCs w:val="20"/>
          <w:bdr w:val="nil"/>
        </w:rPr>
        <w:t>A Companhia registra depreciação acelerada sobre o ativo cujo término de vida útil supera a data da licença de operação das Usinas.</w:t>
      </w:r>
    </w:p>
    <w:p w14:paraId="77107FA5" w14:textId="77777777" w:rsidR="002517C1" w:rsidRPr="00CC5D40" w:rsidRDefault="002517C1" w:rsidP="002517C1">
      <w:pPr>
        <w:rPr>
          <w:rFonts w:ascii="Verdana" w:hAnsi="Verdana"/>
          <w:sz w:val="20"/>
          <w:szCs w:val="20"/>
          <w:bdr w:val="nil"/>
        </w:rPr>
      </w:pPr>
    </w:p>
    <w:p w14:paraId="4EFDCF6E" w14:textId="77777777" w:rsidR="002517C1" w:rsidRDefault="002517C1" w:rsidP="002517C1">
      <w:pPr>
        <w:widowControl w:val="0"/>
        <w:autoSpaceDE w:val="0"/>
        <w:autoSpaceDN w:val="0"/>
        <w:rPr>
          <w:rFonts w:ascii="Verdana" w:hAnsi="Verdana"/>
          <w:sz w:val="20"/>
          <w:szCs w:val="20"/>
          <w:bdr w:val="nil"/>
        </w:rPr>
      </w:pPr>
      <w:r w:rsidRPr="00CC5D40">
        <w:rPr>
          <w:rFonts w:ascii="Verdana" w:hAnsi="Verdana"/>
          <w:sz w:val="20"/>
          <w:szCs w:val="20"/>
          <w:bdr w:val="nil"/>
        </w:rPr>
        <w:t>Ativos mantidos por meio de arrendamento financeiro são depreciados pela vida útil esperada da mesma forma que os ativos próprios ou por um período inferior, se aplicável, conforme termos do contrato de arrendamento em questão.</w:t>
      </w:r>
    </w:p>
    <w:bookmarkEnd w:id="13"/>
    <w:p w14:paraId="2AB0CDEF" w14:textId="77777777" w:rsidR="002517C1" w:rsidRDefault="002517C1" w:rsidP="002517C1">
      <w:pPr>
        <w:widowControl w:val="0"/>
        <w:autoSpaceDE w:val="0"/>
        <w:autoSpaceDN w:val="0"/>
        <w:rPr>
          <w:rFonts w:ascii="Verdana" w:hAnsi="Verdana"/>
          <w:sz w:val="20"/>
          <w:szCs w:val="20"/>
          <w:bdr w:val="nil"/>
        </w:rPr>
      </w:pPr>
    </w:p>
    <w:p w14:paraId="5BD9205D" w14:textId="77777777" w:rsidR="002517C1" w:rsidRDefault="002517C1" w:rsidP="002517C1">
      <w:pPr>
        <w:widowControl w:val="0"/>
        <w:autoSpaceDE w:val="0"/>
        <w:autoSpaceDN w:val="0"/>
        <w:rPr>
          <w:rFonts w:ascii="Verdana" w:hAnsi="Verdana"/>
          <w:color w:val="0D63B5"/>
          <w:sz w:val="20"/>
          <w:szCs w:val="20"/>
        </w:rPr>
      </w:pPr>
      <w:r w:rsidRPr="00470621">
        <w:rPr>
          <w:rFonts w:ascii="Verdana" w:hAnsi="Verdana"/>
          <w:color w:val="0D63B5"/>
          <w:sz w:val="20"/>
          <w:szCs w:val="20"/>
        </w:rPr>
        <w:lastRenderedPageBreak/>
        <w:t>5.</w:t>
      </w:r>
      <w:r>
        <w:rPr>
          <w:rFonts w:ascii="Verdana" w:hAnsi="Verdana"/>
          <w:color w:val="0D63B5"/>
          <w:sz w:val="20"/>
          <w:szCs w:val="20"/>
        </w:rPr>
        <w:t>9</w:t>
      </w:r>
      <w:r w:rsidRPr="00470621">
        <w:rPr>
          <w:rFonts w:ascii="Verdana" w:hAnsi="Verdana"/>
          <w:color w:val="0D63B5"/>
          <w:sz w:val="20"/>
          <w:szCs w:val="20"/>
        </w:rPr>
        <w:t xml:space="preserve"> </w:t>
      </w:r>
      <w:r>
        <w:rPr>
          <w:rFonts w:ascii="Verdana" w:hAnsi="Verdana"/>
          <w:color w:val="0D63B5"/>
          <w:sz w:val="20"/>
          <w:szCs w:val="20"/>
        </w:rPr>
        <w:t>–</w:t>
      </w:r>
      <w:r w:rsidRPr="00470621">
        <w:rPr>
          <w:rFonts w:ascii="Verdana" w:hAnsi="Verdana"/>
          <w:color w:val="0D63B5"/>
          <w:sz w:val="20"/>
          <w:szCs w:val="20"/>
        </w:rPr>
        <w:t xml:space="preserve"> C</w:t>
      </w:r>
      <w:r>
        <w:rPr>
          <w:rFonts w:ascii="Verdana" w:hAnsi="Verdana"/>
          <w:color w:val="0D63B5"/>
          <w:sz w:val="20"/>
          <w:szCs w:val="20"/>
        </w:rPr>
        <w:t>onsumo de Combustível Nuclear</w:t>
      </w:r>
    </w:p>
    <w:p w14:paraId="33BB881F" w14:textId="77777777" w:rsidR="002517C1" w:rsidRDefault="002517C1" w:rsidP="002517C1">
      <w:pPr>
        <w:widowControl w:val="0"/>
        <w:autoSpaceDE w:val="0"/>
        <w:autoSpaceDN w:val="0"/>
        <w:rPr>
          <w:rFonts w:ascii="Verdana" w:hAnsi="Verdana"/>
          <w:color w:val="0D63B5"/>
          <w:sz w:val="20"/>
          <w:szCs w:val="20"/>
        </w:rPr>
      </w:pPr>
    </w:p>
    <w:p w14:paraId="3C61DC29" w14:textId="77777777" w:rsidR="002517C1" w:rsidRDefault="002517C1" w:rsidP="002517C1">
      <w:pPr>
        <w:widowControl w:val="0"/>
        <w:autoSpaceDE w:val="0"/>
        <w:autoSpaceDN w:val="0"/>
        <w:rPr>
          <w:rFonts w:ascii="Verdana" w:hAnsi="Verdana"/>
          <w:b/>
          <w:color w:val="0D63B5"/>
          <w:sz w:val="20"/>
          <w:szCs w:val="20"/>
        </w:rPr>
      </w:pPr>
      <w:r>
        <w:rPr>
          <w:rFonts w:ascii="Verdana" w:hAnsi="Verdana"/>
          <w:sz w:val="20"/>
          <w:szCs w:val="20"/>
        </w:rPr>
        <w:t xml:space="preserve">A Companhia efetua um acompanhamento mensal do desempenho dos elementos combustíveis por meio do sistema Cadastro de Combustível Nuclear – CCN que proporcionaliza os custos de aquisição das recargas de combustíveis nucleares para cada elemento de combustível nuclear no momento da inclusão no sistema e </w:t>
      </w:r>
      <w:proofErr w:type="spellStart"/>
      <w:r>
        <w:rPr>
          <w:rFonts w:ascii="Verdana" w:hAnsi="Verdana"/>
          <w:sz w:val="20"/>
          <w:szCs w:val="20"/>
        </w:rPr>
        <w:t>cacula</w:t>
      </w:r>
      <w:proofErr w:type="spellEnd"/>
      <w:r>
        <w:rPr>
          <w:rFonts w:ascii="Verdana" w:hAnsi="Verdana"/>
          <w:sz w:val="20"/>
          <w:szCs w:val="20"/>
        </w:rPr>
        <w:t xml:space="preserve"> mensalmente o consumo de cada elemento. </w:t>
      </w:r>
      <w:proofErr w:type="gramStart"/>
      <w:r>
        <w:rPr>
          <w:rFonts w:ascii="Verdana" w:hAnsi="Verdana"/>
          <w:sz w:val="20"/>
          <w:szCs w:val="20"/>
        </w:rPr>
        <w:t>Este  consumo</w:t>
      </w:r>
      <w:proofErr w:type="gramEnd"/>
      <w:r>
        <w:rPr>
          <w:rFonts w:ascii="Verdana" w:hAnsi="Verdana"/>
          <w:sz w:val="20"/>
          <w:szCs w:val="20"/>
        </w:rPr>
        <w:t xml:space="preserve"> (amortização) é registrado contabilmente com base no relatório gerado pelo CCN que apresenta a queima (consumo)  mensal, a queima acumulada mensalmente e o saldo residual dos elementos combustíveis que compõem o núcleo do reator .</w:t>
      </w:r>
    </w:p>
    <w:p w14:paraId="1147F500" w14:textId="77777777" w:rsidR="002517C1" w:rsidRDefault="002517C1" w:rsidP="002517C1">
      <w:pPr>
        <w:widowControl w:val="0"/>
        <w:autoSpaceDE w:val="0"/>
        <w:autoSpaceDN w:val="0"/>
        <w:jc w:val="left"/>
        <w:rPr>
          <w:rFonts w:ascii="Verdana" w:hAnsi="Verdana"/>
          <w:b/>
          <w:color w:val="0D63B5"/>
          <w:sz w:val="20"/>
          <w:szCs w:val="20"/>
        </w:rPr>
      </w:pPr>
    </w:p>
    <w:p w14:paraId="108ECE41" w14:textId="77777777" w:rsidR="002517C1" w:rsidRDefault="002517C1" w:rsidP="002517C1">
      <w:pPr>
        <w:widowControl w:val="0"/>
        <w:autoSpaceDE w:val="0"/>
        <w:autoSpaceDN w:val="0"/>
        <w:jc w:val="left"/>
        <w:rPr>
          <w:rFonts w:ascii="Verdana" w:hAnsi="Verdana"/>
          <w:b/>
          <w:color w:val="0D63B5"/>
          <w:sz w:val="20"/>
          <w:szCs w:val="20"/>
        </w:rPr>
      </w:pPr>
    </w:p>
    <w:p w14:paraId="518B5181" w14:textId="77777777" w:rsidR="002517C1" w:rsidRPr="001523C4" w:rsidRDefault="002517C1" w:rsidP="002517C1">
      <w:pPr>
        <w:widowControl w:val="0"/>
        <w:autoSpaceDE w:val="0"/>
        <w:autoSpaceDN w:val="0"/>
        <w:jc w:val="left"/>
        <w:rPr>
          <w:rFonts w:ascii="Verdana" w:hAnsi="Verdana"/>
          <w:b/>
          <w:color w:val="0D63B5"/>
          <w:sz w:val="20"/>
          <w:szCs w:val="20"/>
        </w:rPr>
      </w:pPr>
    </w:p>
    <w:p w14:paraId="68C29D0D" w14:textId="77777777" w:rsidR="002517C1" w:rsidRDefault="002517C1" w:rsidP="002517C1">
      <w:pPr>
        <w:pStyle w:val="Ttulo1"/>
        <w:spacing w:before="0"/>
        <w:jc w:val="left"/>
        <w:rPr>
          <w:color w:val="0D63B5"/>
          <w:u w:val="none"/>
          <w:lang w:val="pt-BR"/>
        </w:rPr>
      </w:pPr>
      <w:r w:rsidRPr="00220BA7">
        <w:rPr>
          <w:color w:val="0D63B5"/>
          <w:u w:val="none"/>
          <w:lang w:val="pt-BR"/>
        </w:rPr>
        <w:t>NOTA 6 – CAIXA, EQUIVALENTES DE CAIXA</w:t>
      </w:r>
    </w:p>
    <w:p w14:paraId="25E29726" w14:textId="77777777" w:rsidR="00DA6216" w:rsidRDefault="00DA6216" w:rsidP="00CA1032">
      <w:pPr>
        <w:pStyle w:val="Corpodetexto2"/>
        <w:rPr>
          <w:rFonts w:ascii="Verdana" w:hAnsi="Verdana"/>
          <w:highlight w:val="green"/>
        </w:rPr>
      </w:pPr>
    </w:p>
    <w:p w14:paraId="00CD5531" w14:textId="77777777" w:rsidR="00114904" w:rsidRPr="00A51EB3" w:rsidRDefault="00114904" w:rsidP="00CA1032">
      <w:pPr>
        <w:pStyle w:val="Corpodetexto2"/>
        <w:rPr>
          <w:rFonts w:ascii="Verdana" w:hAnsi="Verdana"/>
          <w:highlight w:val="green"/>
        </w:rPr>
      </w:pPr>
    </w:p>
    <w:p w14:paraId="6049D7BF" w14:textId="77777777" w:rsidR="003A0BE8" w:rsidRPr="003A0BE8" w:rsidRDefault="00720115" w:rsidP="0085762F">
      <w:pPr>
        <w:pStyle w:val="Corpodetexto"/>
        <w:jc w:val="center"/>
        <w:rPr>
          <w:rFonts w:ascii="Verdana" w:hAnsi="Verdana"/>
          <w:lang w:val="pt-BR"/>
        </w:rPr>
      </w:pPr>
      <w:r w:rsidRPr="00720115">
        <w:rPr>
          <w:noProof/>
          <w:lang w:val="pt-BR"/>
        </w:rPr>
        <w:drawing>
          <wp:inline distT="0" distB="0" distL="0" distR="0" wp14:anchorId="1BA7E476" wp14:editId="4378F51B">
            <wp:extent cx="3816350" cy="556551"/>
            <wp:effectExtent l="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7765" cy="561132"/>
                    </a:xfrm>
                    <a:prstGeom prst="rect">
                      <a:avLst/>
                    </a:prstGeom>
                    <a:noFill/>
                    <a:ln>
                      <a:noFill/>
                    </a:ln>
                  </pic:spPr>
                </pic:pic>
              </a:graphicData>
            </a:graphic>
          </wp:inline>
        </w:drawing>
      </w:r>
    </w:p>
    <w:p w14:paraId="0BE694E8" w14:textId="77777777" w:rsidR="003734DA" w:rsidRPr="003A0BE8" w:rsidRDefault="003734DA" w:rsidP="0085762F">
      <w:pPr>
        <w:autoSpaceDE w:val="0"/>
        <w:autoSpaceDN w:val="0"/>
        <w:adjustRightInd w:val="0"/>
        <w:jc w:val="center"/>
        <w:rPr>
          <w:rFonts w:ascii="Verdana" w:hAnsi="Verdana"/>
          <w:sz w:val="20"/>
          <w:szCs w:val="20"/>
        </w:rPr>
      </w:pPr>
    </w:p>
    <w:p w14:paraId="27EB310B" w14:textId="77777777" w:rsidR="00C964B2" w:rsidRDefault="00C964B2">
      <w:pPr>
        <w:widowControl w:val="0"/>
        <w:autoSpaceDE w:val="0"/>
        <w:autoSpaceDN w:val="0"/>
        <w:jc w:val="left"/>
        <w:rPr>
          <w:rFonts w:ascii="Verdana" w:hAnsi="Verdana"/>
          <w:color w:val="0D63B5"/>
          <w:sz w:val="20"/>
          <w:szCs w:val="20"/>
          <w:highlight w:val="green"/>
        </w:rPr>
      </w:pPr>
    </w:p>
    <w:p w14:paraId="0E7735F1" w14:textId="77777777" w:rsidR="002517C1" w:rsidRPr="00562DC6" w:rsidRDefault="002517C1" w:rsidP="002517C1">
      <w:pPr>
        <w:widowControl w:val="0"/>
        <w:autoSpaceDE w:val="0"/>
        <w:autoSpaceDN w:val="0"/>
        <w:rPr>
          <w:rFonts w:ascii="Verdana" w:hAnsi="Verdana"/>
          <w:color w:val="0D63B5"/>
          <w:sz w:val="20"/>
          <w:szCs w:val="20"/>
        </w:rPr>
      </w:pPr>
      <w:bookmarkStart w:id="14" w:name="_Hlk94619832"/>
      <w:r w:rsidRPr="00562DC6">
        <w:rPr>
          <w:rFonts w:ascii="Verdana" w:hAnsi="Verdana"/>
          <w:color w:val="0D63B5"/>
          <w:sz w:val="20"/>
          <w:szCs w:val="20"/>
        </w:rPr>
        <w:t>Prática contábil</w:t>
      </w:r>
    </w:p>
    <w:p w14:paraId="0E5D1746" w14:textId="77777777" w:rsidR="002517C1" w:rsidRPr="00562DC6" w:rsidRDefault="002517C1" w:rsidP="002517C1">
      <w:pPr>
        <w:widowControl w:val="0"/>
        <w:autoSpaceDE w:val="0"/>
        <w:autoSpaceDN w:val="0"/>
        <w:rPr>
          <w:rFonts w:ascii="Verdana" w:hAnsi="Verdana"/>
          <w:sz w:val="20"/>
          <w:szCs w:val="20"/>
          <w:bdr w:val="nil"/>
        </w:rPr>
      </w:pPr>
    </w:p>
    <w:p w14:paraId="24529F2A" w14:textId="77777777" w:rsidR="002517C1" w:rsidRPr="00562DC6" w:rsidRDefault="002517C1" w:rsidP="002517C1">
      <w:pPr>
        <w:widowControl w:val="0"/>
        <w:autoSpaceDE w:val="0"/>
        <w:autoSpaceDN w:val="0"/>
        <w:rPr>
          <w:rFonts w:ascii="Verdana" w:hAnsi="Verdana"/>
          <w:sz w:val="20"/>
          <w:szCs w:val="20"/>
          <w:bdr w:val="nil"/>
        </w:rPr>
      </w:pPr>
      <w:r w:rsidRPr="00562DC6">
        <w:rPr>
          <w:rFonts w:ascii="Verdana" w:hAnsi="Verdana"/>
          <w:sz w:val="20"/>
          <w:szCs w:val="20"/>
          <w:bdr w:val="nil"/>
        </w:rPr>
        <w:t>Caixa e equivalentes de caixa incluem o caixa, os depósitos bancários e outros investimentos de curto prazo de alta liquidez com vencimentos originais de até três meses.</w:t>
      </w:r>
    </w:p>
    <w:p w14:paraId="10B0D3B8" w14:textId="77777777" w:rsidR="002517C1" w:rsidRPr="00562DC6" w:rsidRDefault="002517C1" w:rsidP="002517C1">
      <w:pPr>
        <w:widowControl w:val="0"/>
        <w:autoSpaceDE w:val="0"/>
        <w:autoSpaceDN w:val="0"/>
        <w:rPr>
          <w:rFonts w:ascii="Verdana" w:hAnsi="Verdana"/>
          <w:sz w:val="20"/>
          <w:szCs w:val="20"/>
          <w:bdr w:val="nil"/>
        </w:rPr>
      </w:pPr>
    </w:p>
    <w:p w14:paraId="6AB6FBEE" w14:textId="77777777" w:rsidR="002517C1" w:rsidRDefault="002517C1" w:rsidP="002517C1">
      <w:pPr>
        <w:pStyle w:val="Corpodetexto"/>
        <w:rPr>
          <w:rFonts w:ascii="Verdana" w:hAnsi="Verdana"/>
          <w:lang w:val="pt-BR"/>
        </w:rPr>
      </w:pPr>
      <w:r w:rsidRPr="00562DC6">
        <w:rPr>
          <w:rFonts w:ascii="Verdana" w:hAnsi="Verdana"/>
          <w:lang w:val="pt-BR"/>
        </w:rPr>
        <w:t>Os saldos considerados como equivalentes de caixa são aplicações financeiras de curto prazo, de liquidez imediata, prontamente conversíveis em um montante conhecido de caixa, sujeitos a um insignificante risco de mudança de valor e mantidos com a finalidade de atender a compromissos de caixa de curto prazo e à gestão de caixa da Companhia.</w:t>
      </w:r>
      <w:r w:rsidRPr="00BF3DDA">
        <w:rPr>
          <w:rFonts w:ascii="Verdana" w:hAnsi="Verdana"/>
          <w:lang w:val="pt-BR"/>
        </w:rPr>
        <w:t xml:space="preserve"> </w:t>
      </w:r>
    </w:p>
    <w:p w14:paraId="08EBBB3F" w14:textId="77777777" w:rsidR="002517C1" w:rsidRDefault="002517C1" w:rsidP="002517C1">
      <w:pPr>
        <w:pStyle w:val="Corpodetexto"/>
        <w:rPr>
          <w:rFonts w:ascii="Verdana" w:hAnsi="Verdana"/>
          <w:lang w:val="pt-BR"/>
        </w:rPr>
      </w:pPr>
    </w:p>
    <w:p w14:paraId="567B14EF" w14:textId="77777777" w:rsidR="002517C1" w:rsidRDefault="002517C1" w:rsidP="002517C1">
      <w:pPr>
        <w:tabs>
          <w:tab w:val="left" w:pos="567"/>
          <w:tab w:val="left" w:pos="1134"/>
          <w:tab w:val="left" w:pos="1701"/>
          <w:tab w:val="left" w:pos="2268"/>
          <w:tab w:val="left" w:pos="2835"/>
        </w:tabs>
        <w:outlineLvl w:val="0"/>
        <w:rPr>
          <w:rFonts w:ascii="Verdana" w:hAnsi="Verdana"/>
          <w:b/>
          <w:color w:val="0D63B5"/>
          <w:sz w:val="20"/>
          <w:szCs w:val="20"/>
        </w:rPr>
      </w:pPr>
    </w:p>
    <w:p w14:paraId="68EC1998" w14:textId="77777777" w:rsidR="002517C1" w:rsidRDefault="002517C1" w:rsidP="002517C1">
      <w:pPr>
        <w:tabs>
          <w:tab w:val="left" w:pos="567"/>
          <w:tab w:val="left" w:pos="1134"/>
          <w:tab w:val="left" w:pos="1701"/>
          <w:tab w:val="left" w:pos="2268"/>
          <w:tab w:val="left" w:pos="2835"/>
        </w:tabs>
        <w:outlineLvl w:val="0"/>
        <w:rPr>
          <w:rFonts w:ascii="Verdana" w:hAnsi="Verdana"/>
          <w:b/>
          <w:color w:val="0D63B5"/>
          <w:sz w:val="20"/>
          <w:szCs w:val="20"/>
        </w:rPr>
      </w:pPr>
    </w:p>
    <w:p w14:paraId="449ED8AD" w14:textId="77777777" w:rsidR="002517C1" w:rsidRPr="009B18CF" w:rsidRDefault="002517C1" w:rsidP="002517C1">
      <w:pPr>
        <w:tabs>
          <w:tab w:val="left" w:pos="567"/>
          <w:tab w:val="left" w:pos="1134"/>
          <w:tab w:val="left" w:pos="1701"/>
          <w:tab w:val="left" w:pos="2268"/>
          <w:tab w:val="left" w:pos="2835"/>
        </w:tabs>
        <w:outlineLvl w:val="0"/>
        <w:rPr>
          <w:rFonts w:ascii="Verdana" w:hAnsi="Verdana"/>
          <w:b/>
          <w:color w:val="0D63B5"/>
          <w:sz w:val="20"/>
          <w:szCs w:val="20"/>
        </w:rPr>
      </w:pPr>
      <w:r w:rsidRPr="009B18CF">
        <w:rPr>
          <w:rFonts w:ascii="Verdana" w:hAnsi="Verdana"/>
          <w:b/>
          <w:color w:val="0D63B5"/>
          <w:sz w:val="20"/>
          <w:szCs w:val="20"/>
        </w:rPr>
        <w:t xml:space="preserve">NOTA </w:t>
      </w:r>
      <w:r>
        <w:rPr>
          <w:rFonts w:ascii="Verdana" w:hAnsi="Verdana"/>
          <w:b/>
          <w:color w:val="0D63B5"/>
          <w:sz w:val="20"/>
          <w:szCs w:val="20"/>
        </w:rPr>
        <w:t>7</w:t>
      </w:r>
      <w:r w:rsidRPr="009B18CF">
        <w:rPr>
          <w:rFonts w:ascii="Verdana" w:hAnsi="Verdana"/>
          <w:b/>
          <w:color w:val="0D63B5"/>
          <w:sz w:val="20"/>
          <w:szCs w:val="20"/>
        </w:rPr>
        <w:t xml:space="preserve"> – TÍTULOS E VALORES MOBILIÁRIOS</w:t>
      </w:r>
      <w:r>
        <w:rPr>
          <w:rFonts w:ascii="Verdana" w:hAnsi="Verdana"/>
          <w:b/>
          <w:color w:val="0D63B5"/>
          <w:sz w:val="20"/>
          <w:szCs w:val="20"/>
        </w:rPr>
        <w:t xml:space="preserve"> - CIRCULANTE</w:t>
      </w:r>
    </w:p>
    <w:p w14:paraId="1CEB3360" w14:textId="77777777" w:rsidR="002517C1" w:rsidRPr="009B18CF" w:rsidRDefault="002517C1" w:rsidP="002517C1">
      <w:pPr>
        <w:rPr>
          <w:rFonts w:ascii="Verdana" w:hAnsi="Verdana"/>
          <w:sz w:val="20"/>
          <w:szCs w:val="20"/>
        </w:rPr>
      </w:pPr>
    </w:p>
    <w:p w14:paraId="061EAB24" w14:textId="77777777" w:rsidR="002517C1" w:rsidRDefault="002517C1" w:rsidP="002517C1">
      <w:pPr>
        <w:rPr>
          <w:rFonts w:ascii="Verdana" w:hAnsi="Verdana"/>
          <w:sz w:val="20"/>
          <w:szCs w:val="20"/>
        </w:rPr>
      </w:pPr>
    </w:p>
    <w:p w14:paraId="61983F92" w14:textId="77777777" w:rsidR="002517C1" w:rsidRDefault="002517C1" w:rsidP="002517C1">
      <w:pPr>
        <w:rPr>
          <w:rFonts w:ascii="Verdana" w:hAnsi="Verdana"/>
          <w:sz w:val="20"/>
          <w:szCs w:val="20"/>
        </w:rPr>
      </w:pPr>
      <w:r w:rsidRPr="000F195B">
        <w:rPr>
          <w:rFonts w:ascii="Verdana" w:hAnsi="Verdana"/>
          <w:sz w:val="20"/>
          <w:szCs w:val="20"/>
        </w:rPr>
        <w:t xml:space="preserve">A Resolução nº 3.284 do Banco Central do Brasil, estabelece que as aplicações das disponibilidades oriundas de receitas próprias das empresas públicas e das sociedades de economia mista, integrantes da Administração Federal Indireta, somente podem ser efetuadas em fundos de investimento </w:t>
      </w:r>
      <w:proofErr w:type="spellStart"/>
      <w:r w:rsidRPr="000F195B">
        <w:rPr>
          <w:rFonts w:ascii="Verdana" w:hAnsi="Verdana"/>
          <w:sz w:val="20"/>
          <w:szCs w:val="20"/>
        </w:rPr>
        <w:t>extramercado</w:t>
      </w:r>
      <w:proofErr w:type="spellEnd"/>
      <w:r w:rsidRPr="000F195B">
        <w:rPr>
          <w:rFonts w:ascii="Verdana" w:hAnsi="Verdana"/>
          <w:sz w:val="20"/>
          <w:szCs w:val="20"/>
        </w:rPr>
        <w:t xml:space="preserve"> administrados pela Caixa Econômica Federal </w:t>
      </w:r>
      <w:r>
        <w:rPr>
          <w:rFonts w:ascii="Verdana" w:hAnsi="Verdana"/>
          <w:sz w:val="20"/>
          <w:szCs w:val="20"/>
        </w:rPr>
        <w:t xml:space="preserve">– </w:t>
      </w:r>
      <w:r w:rsidRPr="000F195B">
        <w:rPr>
          <w:rFonts w:ascii="Verdana" w:hAnsi="Verdana"/>
          <w:sz w:val="20"/>
          <w:szCs w:val="20"/>
        </w:rPr>
        <w:t>CEF</w:t>
      </w:r>
      <w:r>
        <w:rPr>
          <w:rFonts w:ascii="Verdana" w:hAnsi="Verdana"/>
          <w:sz w:val="20"/>
          <w:szCs w:val="20"/>
        </w:rPr>
        <w:t xml:space="preserve"> e</w:t>
      </w:r>
      <w:r w:rsidRPr="000F195B">
        <w:rPr>
          <w:rFonts w:ascii="Verdana" w:hAnsi="Verdana"/>
          <w:sz w:val="20"/>
          <w:szCs w:val="20"/>
        </w:rPr>
        <w:t xml:space="preserve"> pelo Banco do Brasil S.A.  </w:t>
      </w:r>
      <w:proofErr w:type="gramStart"/>
      <w:r w:rsidRPr="000F195B">
        <w:rPr>
          <w:rFonts w:ascii="Verdana" w:hAnsi="Verdana"/>
          <w:sz w:val="20"/>
          <w:szCs w:val="20"/>
        </w:rPr>
        <w:t>ou</w:t>
      </w:r>
      <w:proofErr w:type="gramEnd"/>
      <w:r w:rsidRPr="000F195B">
        <w:rPr>
          <w:rFonts w:ascii="Verdana" w:hAnsi="Verdana"/>
          <w:sz w:val="20"/>
          <w:szCs w:val="20"/>
        </w:rPr>
        <w:t xml:space="preserve"> por instituição integrante do conglomerado financeiro por eles liderados.</w:t>
      </w:r>
    </w:p>
    <w:p w14:paraId="158379E7" w14:textId="233AC0DC" w:rsidR="0050265B" w:rsidRPr="000F195B" w:rsidRDefault="0050265B" w:rsidP="002C6E13">
      <w:pPr>
        <w:pStyle w:val="Corpodetexto"/>
        <w:jc w:val="center"/>
        <w:rPr>
          <w:rFonts w:ascii="Verdana" w:hAnsi="Verdana"/>
          <w:lang w:val="pt-BR"/>
        </w:rPr>
      </w:pPr>
    </w:p>
    <w:p w14:paraId="6FE86304" w14:textId="1746FA13" w:rsidR="00D729C2" w:rsidRPr="000F195B" w:rsidRDefault="005055FA" w:rsidP="00421D4E">
      <w:pPr>
        <w:pStyle w:val="Corpodetexto"/>
        <w:jc w:val="center"/>
        <w:rPr>
          <w:rFonts w:ascii="Verdana" w:hAnsi="Verdana"/>
          <w:lang w:val="pt-BR"/>
        </w:rPr>
      </w:pPr>
      <w:r w:rsidRPr="005055FA">
        <w:rPr>
          <w:noProof/>
          <w:lang w:val="pt-BR"/>
        </w:rPr>
        <w:drawing>
          <wp:inline distT="0" distB="0" distL="0" distR="0" wp14:anchorId="62F0B4A2" wp14:editId="40699711">
            <wp:extent cx="4165600" cy="1180254"/>
            <wp:effectExtent l="0" t="0" r="6350" b="127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73435" cy="1182474"/>
                    </a:xfrm>
                    <a:prstGeom prst="rect">
                      <a:avLst/>
                    </a:prstGeom>
                    <a:noFill/>
                    <a:ln>
                      <a:noFill/>
                    </a:ln>
                  </pic:spPr>
                </pic:pic>
              </a:graphicData>
            </a:graphic>
          </wp:inline>
        </w:drawing>
      </w:r>
    </w:p>
    <w:p w14:paraId="412B70F6" w14:textId="77777777" w:rsidR="00DC7CB9" w:rsidRPr="000F195B" w:rsidRDefault="00DC7CB9" w:rsidP="00F44F77">
      <w:pPr>
        <w:pStyle w:val="Corpodetexto"/>
        <w:rPr>
          <w:rFonts w:ascii="Verdana" w:hAnsi="Verdana"/>
          <w:lang w:val="pt-BR"/>
        </w:rPr>
      </w:pPr>
    </w:p>
    <w:bookmarkEnd w:id="14"/>
    <w:p w14:paraId="736C5626" w14:textId="77777777" w:rsidR="002517C1" w:rsidRPr="000F195B" w:rsidRDefault="002517C1" w:rsidP="002517C1">
      <w:pPr>
        <w:rPr>
          <w:rFonts w:ascii="Verdana" w:hAnsi="Verdana"/>
          <w:color w:val="000000"/>
          <w:sz w:val="20"/>
          <w:szCs w:val="20"/>
        </w:rPr>
      </w:pPr>
      <w:r w:rsidRPr="000F195B">
        <w:rPr>
          <w:rFonts w:ascii="Verdana" w:hAnsi="Verdana"/>
          <w:color w:val="000000"/>
          <w:sz w:val="20"/>
          <w:szCs w:val="20"/>
        </w:rPr>
        <w:t xml:space="preserve">Em 2021, houve aplicação em títulos e valores mobiliários de curto prazo no valor de </w:t>
      </w:r>
      <w:r w:rsidRPr="000F195B">
        <w:rPr>
          <w:rFonts w:ascii="Verdana" w:hAnsi="Verdana"/>
          <w:sz w:val="20"/>
          <w:szCs w:val="20"/>
        </w:rPr>
        <w:t>R$ 2.779.000</w:t>
      </w:r>
      <w:r w:rsidRPr="000F195B">
        <w:rPr>
          <w:rFonts w:ascii="Verdana" w:hAnsi="Verdana"/>
          <w:color w:val="000000"/>
          <w:sz w:val="20"/>
          <w:szCs w:val="20"/>
        </w:rPr>
        <w:t xml:space="preserve">, rendimento bruto de R$ </w:t>
      </w:r>
      <w:r>
        <w:rPr>
          <w:rFonts w:ascii="Verdana" w:hAnsi="Verdana"/>
          <w:color w:val="000000"/>
          <w:sz w:val="20"/>
          <w:szCs w:val="20"/>
        </w:rPr>
        <w:t>17.278</w:t>
      </w:r>
      <w:r w:rsidRPr="000F195B">
        <w:rPr>
          <w:rFonts w:ascii="Verdana" w:hAnsi="Verdana"/>
          <w:color w:val="000000"/>
          <w:sz w:val="20"/>
          <w:szCs w:val="20"/>
        </w:rPr>
        <w:t xml:space="preserve"> e resgate de recursos, incluso </w:t>
      </w:r>
      <w:r>
        <w:rPr>
          <w:rFonts w:ascii="Verdana" w:hAnsi="Verdana"/>
          <w:color w:val="000000"/>
          <w:sz w:val="20"/>
          <w:szCs w:val="20"/>
        </w:rPr>
        <w:t xml:space="preserve">Imposto de Renda Retido na Fonte - </w:t>
      </w:r>
      <w:r w:rsidRPr="000F195B">
        <w:rPr>
          <w:rFonts w:ascii="Verdana" w:hAnsi="Verdana"/>
          <w:color w:val="000000"/>
          <w:sz w:val="20"/>
          <w:szCs w:val="20"/>
        </w:rPr>
        <w:t>IRRF e pagamento de</w:t>
      </w:r>
      <w:r>
        <w:rPr>
          <w:rFonts w:ascii="Verdana" w:hAnsi="Verdana"/>
          <w:color w:val="000000"/>
          <w:sz w:val="20"/>
          <w:szCs w:val="20"/>
        </w:rPr>
        <w:t xml:space="preserve"> Imposto Operações Financeiras -</w:t>
      </w:r>
      <w:r w:rsidRPr="000F195B">
        <w:rPr>
          <w:rFonts w:ascii="Verdana" w:hAnsi="Verdana"/>
          <w:color w:val="000000"/>
          <w:sz w:val="20"/>
          <w:szCs w:val="20"/>
        </w:rPr>
        <w:t xml:space="preserve"> IOF, no montante de R$ 2.462.988.</w:t>
      </w:r>
    </w:p>
    <w:p w14:paraId="1E31F567" w14:textId="4151BD37" w:rsidR="002517C1" w:rsidRDefault="002517C1" w:rsidP="002517C1">
      <w:pPr>
        <w:pStyle w:val="Corpodetexto"/>
        <w:rPr>
          <w:rFonts w:ascii="Verdana" w:hAnsi="Verdana"/>
          <w:lang w:val="pt-BR"/>
        </w:rPr>
      </w:pPr>
    </w:p>
    <w:p w14:paraId="77D4CD7B" w14:textId="77777777" w:rsidR="00E158CF" w:rsidRPr="000F195B" w:rsidRDefault="00E158CF" w:rsidP="002517C1">
      <w:pPr>
        <w:pStyle w:val="Corpodetexto"/>
        <w:rPr>
          <w:rFonts w:ascii="Verdana" w:hAnsi="Verdana"/>
          <w:lang w:val="pt-BR"/>
        </w:rPr>
      </w:pPr>
    </w:p>
    <w:p w14:paraId="7DA04529" w14:textId="77777777" w:rsidR="002517C1" w:rsidRDefault="002517C1" w:rsidP="002517C1">
      <w:pPr>
        <w:widowControl w:val="0"/>
        <w:autoSpaceDE w:val="0"/>
        <w:autoSpaceDN w:val="0"/>
        <w:rPr>
          <w:rFonts w:ascii="Verdana" w:hAnsi="Verdana"/>
          <w:color w:val="0D63B5"/>
          <w:sz w:val="20"/>
          <w:szCs w:val="20"/>
        </w:rPr>
      </w:pPr>
    </w:p>
    <w:p w14:paraId="088A2072" w14:textId="77777777" w:rsidR="002517C1" w:rsidRPr="00C70072" w:rsidRDefault="002517C1" w:rsidP="002517C1">
      <w:pPr>
        <w:widowControl w:val="0"/>
        <w:autoSpaceDE w:val="0"/>
        <w:autoSpaceDN w:val="0"/>
        <w:rPr>
          <w:rFonts w:ascii="Verdana" w:hAnsi="Verdana"/>
          <w:color w:val="0D63B5"/>
        </w:rPr>
      </w:pPr>
      <w:r w:rsidRPr="00C70072">
        <w:rPr>
          <w:rFonts w:ascii="Verdana" w:hAnsi="Verdana"/>
          <w:color w:val="0D63B5"/>
          <w:sz w:val="20"/>
          <w:szCs w:val="20"/>
        </w:rPr>
        <w:lastRenderedPageBreak/>
        <w:t xml:space="preserve">Prática contábil </w:t>
      </w:r>
    </w:p>
    <w:p w14:paraId="360B7448" w14:textId="77777777" w:rsidR="002517C1" w:rsidRPr="00C70072" w:rsidRDefault="002517C1" w:rsidP="002517C1">
      <w:pPr>
        <w:pStyle w:val="Corpodetexto"/>
        <w:rPr>
          <w:rFonts w:ascii="Verdana" w:hAnsi="Verdana"/>
        </w:rPr>
      </w:pPr>
    </w:p>
    <w:p w14:paraId="7078B0D7" w14:textId="77777777" w:rsidR="002517C1" w:rsidRDefault="002517C1" w:rsidP="002517C1">
      <w:pPr>
        <w:pStyle w:val="Corpodetexto"/>
        <w:rPr>
          <w:rFonts w:ascii="Verdana" w:hAnsi="Verdana"/>
        </w:rPr>
      </w:pPr>
      <w:r w:rsidRPr="00C70072">
        <w:rPr>
          <w:rFonts w:ascii="Verdana" w:hAnsi="Verdana"/>
          <w:lang w:val="pt-BR"/>
        </w:rPr>
        <w:t xml:space="preserve">Tratam-se das aplicações financeiras destinadas à compra de ativo fixo e outras atividades de investimento. </w:t>
      </w:r>
      <w:r w:rsidRPr="00C70072">
        <w:rPr>
          <w:rFonts w:ascii="Verdana" w:hAnsi="Verdana"/>
        </w:rPr>
        <w:t>São inicialmente mensurados a valor justo e, posteriormente, pelo valor justo por meio do resultado.</w:t>
      </w:r>
      <w:r w:rsidRPr="0070675F">
        <w:rPr>
          <w:rFonts w:ascii="Verdana" w:hAnsi="Verdana"/>
        </w:rPr>
        <w:t xml:space="preserve"> </w:t>
      </w:r>
    </w:p>
    <w:p w14:paraId="61251B45" w14:textId="17C94E36" w:rsidR="002517C1" w:rsidRDefault="002517C1" w:rsidP="002517C1">
      <w:pPr>
        <w:pStyle w:val="Corpodetexto"/>
        <w:rPr>
          <w:rFonts w:ascii="Verdana" w:hAnsi="Verdana"/>
          <w:lang w:val="pt-BR"/>
        </w:rPr>
      </w:pPr>
    </w:p>
    <w:p w14:paraId="20CA1F72" w14:textId="77777777" w:rsidR="00E158CF" w:rsidRDefault="00E158CF" w:rsidP="002517C1">
      <w:pPr>
        <w:pStyle w:val="Corpodetexto"/>
        <w:rPr>
          <w:rFonts w:ascii="Verdana" w:hAnsi="Verdana"/>
          <w:lang w:val="pt-BR"/>
        </w:rPr>
      </w:pPr>
    </w:p>
    <w:p w14:paraId="34DB6CCC" w14:textId="77777777" w:rsidR="002517C1" w:rsidRDefault="002517C1" w:rsidP="002517C1">
      <w:pPr>
        <w:pStyle w:val="Ttulo1"/>
        <w:jc w:val="left"/>
        <w:rPr>
          <w:color w:val="0D63B5"/>
          <w:u w:val="none"/>
          <w:lang w:val="pt-BR"/>
        </w:rPr>
      </w:pPr>
      <w:r>
        <w:rPr>
          <w:color w:val="0D63B5"/>
          <w:u w:val="none"/>
          <w:lang w:val="pt-BR"/>
        </w:rPr>
        <w:t>N</w:t>
      </w:r>
      <w:r w:rsidRPr="00733E1E">
        <w:rPr>
          <w:color w:val="0D63B5"/>
          <w:u w:val="none"/>
          <w:lang w:val="pt-BR"/>
        </w:rPr>
        <w:t xml:space="preserve">OTA </w:t>
      </w:r>
      <w:r>
        <w:rPr>
          <w:color w:val="0D63B5"/>
          <w:u w:val="none"/>
          <w:lang w:val="pt-BR"/>
        </w:rPr>
        <w:t>8</w:t>
      </w:r>
      <w:r w:rsidRPr="00733E1E">
        <w:rPr>
          <w:color w:val="0D63B5"/>
          <w:u w:val="none"/>
          <w:lang w:val="pt-BR"/>
        </w:rPr>
        <w:t xml:space="preserve"> – CLIENTES</w:t>
      </w:r>
      <w:r>
        <w:rPr>
          <w:color w:val="0D63B5"/>
          <w:u w:val="none"/>
          <w:lang w:val="pt-BR"/>
        </w:rPr>
        <w:t xml:space="preserve"> </w:t>
      </w:r>
    </w:p>
    <w:p w14:paraId="4C00B41D" w14:textId="77777777" w:rsidR="00594878" w:rsidRDefault="00594878" w:rsidP="00594878">
      <w:pPr>
        <w:pStyle w:val="Ttulo1"/>
        <w:jc w:val="center"/>
        <w:rPr>
          <w:b w:val="0"/>
          <w:bCs/>
          <w:u w:val="none"/>
          <w:lang w:val="pt-BR"/>
        </w:rPr>
      </w:pPr>
      <w:r w:rsidRPr="00383093">
        <w:rPr>
          <w:noProof/>
          <w:lang w:val="pt-BR"/>
        </w:rPr>
        <w:drawing>
          <wp:inline distT="0" distB="0" distL="0" distR="0" wp14:anchorId="484AF2F0" wp14:editId="21E49E8C">
            <wp:extent cx="6590930" cy="1180465"/>
            <wp:effectExtent l="0" t="0" r="635" b="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75181" cy="1213465"/>
                    </a:xfrm>
                    <a:prstGeom prst="rect">
                      <a:avLst/>
                    </a:prstGeom>
                    <a:noFill/>
                    <a:ln>
                      <a:noFill/>
                    </a:ln>
                  </pic:spPr>
                </pic:pic>
              </a:graphicData>
            </a:graphic>
          </wp:inline>
        </w:drawing>
      </w:r>
    </w:p>
    <w:p w14:paraId="520A8C09" w14:textId="77777777" w:rsidR="00594878" w:rsidRPr="000D1130" w:rsidRDefault="00594878" w:rsidP="00CF0A98">
      <w:pPr>
        <w:ind w:left="1134" w:hanging="283"/>
        <w:jc w:val="right"/>
        <w:rPr>
          <w:rFonts w:ascii="Verdana" w:hAnsi="Verdana"/>
          <w:highlight w:val="green"/>
        </w:rPr>
      </w:pPr>
    </w:p>
    <w:p w14:paraId="6A00CD38" w14:textId="77777777" w:rsidR="002517C1" w:rsidRPr="0032752A" w:rsidRDefault="002517C1" w:rsidP="002517C1">
      <w:pPr>
        <w:pStyle w:val="PargrafodaLista"/>
        <w:numPr>
          <w:ilvl w:val="0"/>
          <w:numId w:val="24"/>
        </w:numPr>
        <w:spacing w:line="264" w:lineRule="auto"/>
        <w:ind w:left="284" w:hanging="284"/>
        <w:contextualSpacing/>
        <w:rPr>
          <w:rFonts w:ascii="Verdana" w:hAnsi="Verdana"/>
          <w:sz w:val="20"/>
          <w:szCs w:val="20"/>
        </w:rPr>
      </w:pPr>
      <w:r w:rsidRPr="0032752A">
        <w:rPr>
          <w:rFonts w:ascii="Verdana" w:hAnsi="Verdana" w:cs="Arial"/>
          <w:sz w:val="20"/>
          <w:szCs w:val="20"/>
        </w:rPr>
        <w:t>O faturamento da Companhia é realizado, mensalmente, com base na Resolução Normativa nº 530, editada em 21 de dezembro de 2012, pela Aneel, para todas as concessionárias, permissionárias ou autorizadas de serviço público de distribuição no Sistema Interligado Nacional – SIN. Em 31 de dezembro de 2021, não há histórico de inadimplência que justifique a constituição de Provisão para Créditos de Liquidação Duvidosa - PCLD</w:t>
      </w:r>
      <w:r>
        <w:rPr>
          <w:rFonts w:ascii="Verdana" w:hAnsi="Verdana"/>
          <w:sz w:val="20"/>
          <w:szCs w:val="20"/>
        </w:rPr>
        <w:t>.</w:t>
      </w:r>
    </w:p>
    <w:p w14:paraId="3BCDC951" w14:textId="77777777" w:rsidR="002517C1" w:rsidRDefault="002517C1" w:rsidP="002517C1">
      <w:pPr>
        <w:spacing w:line="264" w:lineRule="auto"/>
        <w:ind w:left="284" w:hanging="284"/>
        <w:contextualSpacing/>
        <w:rPr>
          <w:rFonts w:ascii="Verdana" w:hAnsi="Verdana"/>
          <w:sz w:val="20"/>
          <w:szCs w:val="20"/>
        </w:rPr>
      </w:pPr>
    </w:p>
    <w:p w14:paraId="60B0F873" w14:textId="77777777" w:rsidR="002517C1" w:rsidRPr="0060540D" w:rsidRDefault="002517C1" w:rsidP="002517C1">
      <w:pPr>
        <w:pStyle w:val="PargrafodaLista"/>
        <w:numPr>
          <w:ilvl w:val="0"/>
          <w:numId w:val="24"/>
        </w:numPr>
        <w:spacing w:line="264" w:lineRule="auto"/>
        <w:ind w:left="284" w:hanging="284"/>
        <w:contextualSpacing/>
        <w:rPr>
          <w:rFonts w:ascii="Verdana" w:hAnsi="Verdana"/>
          <w:sz w:val="20"/>
          <w:szCs w:val="20"/>
        </w:rPr>
      </w:pPr>
      <w:r w:rsidRPr="0032752A">
        <w:rPr>
          <w:rFonts w:ascii="Verdana" w:hAnsi="Verdana"/>
          <w:sz w:val="20"/>
          <w:szCs w:val="20"/>
        </w:rPr>
        <w:t xml:space="preserve">Em 31 de dezembro de 2021, há um saldo </w:t>
      </w:r>
      <w:proofErr w:type="gramStart"/>
      <w:r w:rsidRPr="0032752A">
        <w:rPr>
          <w:rFonts w:ascii="Verdana" w:hAnsi="Verdana"/>
          <w:sz w:val="20"/>
          <w:szCs w:val="20"/>
        </w:rPr>
        <w:t xml:space="preserve">de  </w:t>
      </w:r>
      <w:r>
        <w:rPr>
          <w:rFonts w:ascii="Verdana" w:hAnsi="Verdana"/>
          <w:sz w:val="20"/>
          <w:szCs w:val="20"/>
        </w:rPr>
        <w:t>R</w:t>
      </w:r>
      <w:proofErr w:type="gramEnd"/>
      <w:r>
        <w:rPr>
          <w:rFonts w:ascii="Verdana" w:hAnsi="Verdana"/>
          <w:sz w:val="20"/>
          <w:szCs w:val="20"/>
        </w:rPr>
        <w:t xml:space="preserve">$ </w:t>
      </w:r>
      <w:r w:rsidRPr="0032752A">
        <w:rPr>
          <w:rFonts w:ascii="Verdana" w:hAnsi="Verdana"/>
          <w:sz w:val="20"/>
          <w:szCs w:val="20"/>
        </w:rPr>
        <w:t>22.259 a ser ressarcido às distribuidoras em  janeiro de 2022, referente a</w:t>
      </w:r>
      <w:r>
        <w:rPr>
          <w:rFonts w:ascii="Verdana" w:hAnsi="Verdana"/>
          <w:sz w:val="20"/>
          <w:szCs w:val="20"/>
        </w:rPr>
        <w:t xml:space="preserve"> última parcela do</w:t>
      </w:r>
      <w:r w:rsidRPr="0032752A">
        <w:rPr>
          <w:rFonts w:ascii="Verdana" w:hAnsi="Verdana"/>
          <w:sz w:val="20"/>
          <w:szCs w:val="20"/>
        </w:rPr>
        <w:t xml:space="preserve"> </w:t>
      </w:r>
      <w:r>
        <w:rPr>
          <w:rFonts w:ascii="Verdana" w:hAnsi="Verdana"/>
          <w:sz w:val="20"/>
          <w:szCs w:val="20"/>
        </w:rPr>
        <w:t>ressarcimento</w:t>
      </w:r>
      <w:r w:rsidRPr="0032752A">
        <w:rPr>
          <w:rFonts w:ascii="Verdana" w:hAnsi="Verdana"/>
          <w:sz w:val="20"/>
          <w:szCs w:val="20"/>
        </w:rPr>
        <w:t xml:space="preserve"> apurado em 2020, apresentado no passivo circulante </w:t>
      </w:r>
      <w:r w:rsidRPr="0060540D">
        <w:rPr>
          <w:rFonts w:ascii="Verdana" w:hAnsi="Verdana"/>
          <w:sz w:val="20"/>
          <w:szCs w:val="20"/>
        </w:rPr>
        <w:t xml:space="preserve">(nota </w:t>
      </w:r>
      <w:r>
        <w:rPr>
          <w:rFonts w:ascii="Verdana" w:hAnsi="Verdana"/>
          <w:sz w:val="20"/>
          <w:szCs w:val="20"/>
        </w:rPr>
        <w:t>30</w:t>
      </w:r>
      <w:r w:rsidRPr="0060540D">
        <w:rPr>
          <w:rFonts w:ascii="Verdana" w:hAnsi="Verdana"/>
          <w:sz w:val="20"/>
          <w:szCs w:val="20"/>
        </w:rPr>
        <w:t>).</w:t>
      </w:r>
      <w:r>
        <w:rPr>
          <w:rFonts w:ascii="Verdana" w:hAnsi="Verdana"/>
          <w:sz w:val="20"/>
          <w:szCs w:val="20"/>
        </w:rPr>
        <w:t xml:space="preserve"> A Aneel, </w:t>
      </w:r>
      <w:r w:rsidRPr="005E4A4C">
        <w:rPr>
          <w:rFonts w:ascii="Verdana" w:hAnsi="Verdana"/>
          <w:sz w:val="20"/>
          <w:szCs w:val="20"/>
        </w:rPr>
        <w:t>por meio do Despacho nº 3.155, de 13 de outubro de 2021, autorizou que o ONS desconsidere as indisponibilidades ou restrições operativas identificadas nos ativos de geração, comprovadamente associadas</w:t>
      </w:r>
      <w:r>
        <w:rPr>
          <w:rFonts w:ascii="Verdana" w:hAnsi="Verdana"/>
          <w:sz w:val="20"/>
          <w:szCs w:val="20"/>
        </w:rPr>
        <w:t>,</w:t>
      </w:r>
      <w:r w:rsidRPr="005E4A4C">
        <w:rPr>
          <w:rFonts w:ascii="Verdana" w:hAnsi="Verdana"/>
          <w:sz w:val="20"/>
          <w:szCs w:val="20"/>
        </w:rPr>
        <w:t xml:space="preserve"> única e exclusivamente</w:t>
      </w:r>
      <w:r>
        <w:rPr>
          <w:rFonts w:ascii="Verdana" w:hAnsi="Verdana"/>
          <w:sz w:val="20"/>
          <w:szCs w:val="20"/>
        </w:rPr>
        <w:t>,</w:t>
      </w:r>
      <w:r w:rsidRPr="005E4A4C">
        <w:rPr>
          <w:rFonts w:ascii="Verdana" w:hAnsi="Verdana"/>
          <w:sz w:val="20"/>
          <w:szCs w:val="20"/>
        </w:rPr>
        <w:t xml:space="preserve"> à pandemia de Covid-19</w:t>
      </w:r>
      <w:r>
        <w:rPr>
          <w:rFonts w:ascii="Verdana" w:hAnsi="Verdana"/>
          <w:sz w:val="20"/>
          <w:szCs w:val="20"/>
        </w:rPr>
        <w:t>. Assim, não houve registro contábil de ressarcimento referente ao exercício de 2021.</w:t>
      </w:r>
    </w:p>
    <w:p w14:paraId="00382D52" w14:textId="77777777" w:rsidR="002517C1" w:rsidRDefault="002517C1" w:rsidP="002517C1">
      <w:pPr>
        <w:pStyle w:val="PargrafodaLista"/>
        <w:ind w:left="284"/>
        <w:rPr>
          <w:rFonts w:ascii="Verdana" w:hAnsi="Verdana"/>
          <w:sz w:val="20"/>
          <w:szCs w:val="20"/>
          <w:highlight w:val="green"/>
        </w:rPr>
      </w:pPr>
    </w:p>
    <w:p w14:paraId="062F5897" w14:textId="77777777" w:rsidR="002517C1" w:rsidRPr="00995E9B" w:rsidRDefault="002517C1" w:rsidP="002517C1">
      <w:pPr>
        <w:pStyle w:val="PargrafodaLista"/>
        <w:ind w:left="284"/>
        <w:rPr>
          <w:rFonts w:ascii="Verdana" w:hAnsi="Verdana"/>
          <w:sz w:val="20"/>
          <w:szCs w:val="20"/>
          <w:highlight w:val="green"/>
        </w:rPr>
      </w:pPr>
    </w:p>
    <w:p w14:paraId="61665C5E" w14:textId="77777777" w:rsidR="002517C1" w:rsidRDefault="002517C1" w:rsidP="002517C1">
      <w:pPr>
        <w:pStyle w:val="PargrafodaLista"/>
        <w:ind w:left="284"/>
        <w:rPr>
          <w:rFonts w:ascii="Verdana" w:hAnsi="Verdana"/>
          <w:sz w:val="20"/>
          <w:szCs w:val="20"/>
          <w:highlight w:val="green"/>
        </w:rPr>
      </w:pPr>
    </w:p>
    <w:p w14:paraId="2EF25D40" w14:textId="77777777" w:rsidR="002517C1" w:rsidRPr="00FB6394" w:rsidRDefault="002517C1" w:rsidP="002517C1">
      <w:pPr>
        <w:widowControl w:val="0"/>
        <w:autoSpaceDE w:val="0"/>
        <w:autoSpaceDN w:val="0"/>
        <w:rPr>
          <w:rFonts w:ascii="Verdana" w:hAnsi="Verdana"/>
          <w:sz w:val="20"/>
          <w:szCs w:val="20"/>
          <w:bdr w:val="nil"/>
        </w:rPr>
      </w:pPr>
      <w:r w:rsidRPr="00FB6394">
        <w:rPr>
          <w:rFonts w:ascii="Verdana" w:hAnsi="Verdana"/>
          <w:color w:val="0D63B5"/>
          <w:sz w:val="20"/>
          <w:szCs w:val="20"/>
        </w:rPr>
        <w:t>Prática contábil</w:t>
      </w:r>
      <w:r w:rsidRPr="00FB6394">
        <w:rPr>
          <w:rFonts w:ascii="Verdana" w:hAnsi="Verdana"/>
          <w:sz w:val="20"/>
          <w:szCs w:val="20"/>
          <w:bdr w:val="nil"/>
        </w:rPr>
        <w:t xml:space="preserve"> </w:t>
      </w:r>
    </w:p>
    <w:p w14:paraId="22F01E71" w14:textId="77777777" w:rsidR="002517C1" w:rsidRPr="000D1130" w:rsidRDefault="002517C1" w:rsidP="002517C1">
      <w:pPr>
        <w:widowControl w:val="0"/>
        <w:autoSpaceDE w:val="0"/>
        <w:autoSpaceDN w:val="0"/>
        <w:rPr>
          <w:rFonts w:ascii="Verdana" w:hAnsi="Verdana"/>
          <w:sz w:val="20"/>
          <w:szCs w:val="20"/>
          <w:highlight w:val="green"/>
          <w:bdr w:val="nil"/>
        </w:rPr>
      </w:pPr>
    </w:p>
    <w:p w14:paraId="70CCA5BF" w14:textId="77777777" w:rsidR="002517C1" w:rsidRPr="005E4A4C" w:rsidRDefault="002517C1" w:rsidP="002517C1">
      <w:pPr>
        <w:rPr>
          <w:rFonts w:ascii="Verdana" w:hAnsi="Verdana" w:cs="Arial"/>
          <w:sz w:val="20"/>
          <w:szCs w:val="20"/>
          <w:lang w:eastAsia="en-GB"/>
        </w:rPr>
      </w:pPr>
      <w:r w:rsidRPr="005E4A4C">
        <w:rPr>
          <w:rFonts w:ascii="Verdana" w:hAnsi="Verdana" w:cs="Arial"/>
          <w:sz w:val="20"/>
          <w:szCs w:val="20"/>
          <w:lang w:eastAsia="en-GB"/>
        </w:rPr>
        <w:t>As conta</w:t>
      </w:r>
      <w:r>
        <w:rPr>
          <w:rFonts w:ascii="Verdana" w:hAnsi="Verdana" w:cs="Arial"/>
          <w:sz w:val="20"/>
          <w:szCs w:val="20"/>
          <w:lang w:eastAsia="en-GB"/>
        </w:rPr>
        <w:t>s</w:t>
      </w:r>
      <w:r w:rsidRPr="005E4A4C">
        <w:rPr>
          <w:rFonts w:ascii="Verdana" w:hAnsi="Verdana" w:cs="Arial"/>
          <w:sz w:val="20"/>
          <w:szCs w:val="20"/>
          <w:lang w:eastAsia="en-GB"/>
        </w:rPr>
        <w:t xml:space="preserve"> de clientes corresponde</w:t>
      </w:r>
      <w:r>
        <w:rPr>
          <w:rFonts w:ascii="Verdana" w:hAnsi="Verdana" w:cs="Arial"/>
          <w:sz w:val="20"/>
          <w:szCs w:val="20"/>
          <w:lang w:eastAsia="en-GB"/>
        </w:rPr>
        <w:t>m</w:t>
      </w:r>
      <w:r w:rsidRPr="005E4A4C">
        <w:rPr>
          <w:rFonts w:ascii="Verdana" w:hAnsi="Verdana" w:cs="Arial"/>
          <w:sz w:val="20"/>
          <w:szCs w:val="20"/>
          <w:lang w:eastAsia="en-GB"/>
        </w:rPr>
        <w:t xml:space="preserve"> ao valor a receber d</w:t>
      </w:r>
      <w:r w:rsidRPr="005E4A4C">
        <w:rPr>
          <w:rFonts w:ascii="Verdana" w:hAnsi="Verdana" w:cs="Arial"/>
          <w:sz w:val="20"/>
          <w:szCs w:val="20"/>
        </w:rPr>
        <w:t>as concessionárias, permissionárias ou autorizadas de serviço público de distribuição no Sistema Interligado Nacional – SIN</w:t>
      </w:r>
      <w:r w:rsidRPr="005E4A4C">
        <w:rPr>
          <w:rFonts w:ascii="Verdana" w:hAnsi="Verdana" w:cs="Arial"/>
          <w:sz w:val="20"/>
          <w:szCs w:val="20"/>
          <w:lang w:eastAsia="en-GB"/>
        </w:rPr>
        <w:t xml:space="preserve">, pela venda de energia no decurso normal das atividades da Companhia. </w:t>
      </w:r>
    </w:p>
    <w:p w14:paraId="75FF8246" w14:textId="77777777" w:rsidR="002517C1" w:rsidRPr="00406C4E" w:rsidRDefault="002517C1" w:rsidP="002517C1">
      <w:pPr>
        <w:rPr>
          <w:rFonts w:ascii="Verdana" w:hAnsi="Verdana"/>
          <w:sz w:val="20"/>
          <w:szCs w:val="20"/>
          <w:bdr w:val="nil"/>
        </w:rPr>
      </w:pPr>
    </w:p>
    <w:p w14:paraId="6635BB3A" w14:textId="77777777" w:rsidR="002517C1" w:rsidRPr="00406C4E" w:rsidRDefault="002517C1" w:rsidP="002517C1">
      <w:pPr>
        <w:rPr>
          <w:rFonts w:ascii="Verdana" w:hAnsi="Verdana"/>
          <w:sz w:val="20"/>
          <w:szCs w:val="20"/>
        </w:rPr>
      </w:pPr>
      <w:r w:rsidRPr="00406C4E">
        <w:rPr>
          <w:rFonts w:ascii="Verdana" w:hAnsi="Verdana"/>
          <w:sz w:val="20"/>
          <w:szCs w:val="20"/>
          <w:bdr w:val="nil"/>
        </w:rPr>
        <w:t xml:space="preserve">As contas a receber de clientes são contabilizadas com base no regime de competência, </w:t>
      </w:r>
      <w:r>
        <w:rPr>
          <w:rFonts w:ascii="Verdana" w:hAnsi="Verdana"/>
          <w:sz w:val="20"/>
          <w:szCs w:val="20"/>
          <w:bdr w:val="nil"/>
        </w:rPr>
        <w:t>sendo</w:t>
      </w:r>
      <w:r w:rsidRPr="00406C4E">
        <w:rPr>
          <w:rFonts w:ascii="Verdana" w:hAnsi="Verdana"/>
          <w:sz w:val="20"/>
          <w:szCs w:val="20"/>
          <w:bdr w:val="nil"/>
        </w:rPr>
        <w:t xml:space="preserve"> reconhecidas inicialmente pelo valor justo e, subsequentemente, mensuradas pelo custo amortizado menos a provisão para créditos de liquidação duvidosa.</w:t>
      </w:r>
      <w:r w:rsidRPr="00406C4E">
        <w:rPr>
          <w:rFonts w:ascii="Verdana" w:hAnsi="Verdana"/>
          <w:sz w:val="20"/>
          <w:szCs w:val="20"/>
          <w:shd w:val="clear" w:color="auto" w:fill="FFFFFF"/>
        </w:rPr>
        <w:t xml:space="preserve"> Os valores são baixados da provisão e reconhecidos como perda</w:t>
      </w:r>
      <w:r w:rsidRPr="00406C4E">
        <w:rPr>
          <w:rFonts w:ascii="Verdana" w:hAnsi="Verdana"/>
          <w:sz w:val="20"/>
          <w:szCs w:val="20"/>
        </w:rPr>
        <w:t xml:space="preserve"> definitiva quando não há mais expectativa de recuperação dos recursos.</w:t>
      </w:r>
    </w:p>
    <w:p w14:paraId="365C8D64" w14:textId="77777777" w:rsidR="002517C1" w:rsidRPr="00406C4E" w:rsidRDefault="002517C1" w:rsidP="002517C1">
      <w:pPr>
        <w:widowControl w:val="0"/>
        <w:autoSpaceDE w:val="0"/>
        <w:autoSpaceDN w:val="0"/>
        <w:rPr>
          <w:rFonts w:ascii="Verdana" w:hAnsi="Verdana"/>
          <w:sz w:val="20"/>
          <w:szCs w:val="20"/>
          <w:bdr w:val="nil"/>
        </w:rPr>
      </w:pPr>
    </w:p>
    <w:p w14:paraId="17A90FB2" w14:textId="77777777" w:rsidR="002517C1" w:rsidRPr="00406C4E" w:rsidRDefault="002517C1" w:rsidP="002517C1">
      <w:pPr>
        <w:widowControl w:val="0"/>
        <w:autoSpaceDE w:val="0"/>
        <w:autoSpaceDN w:val="0"/>
        <w:rPr>
          <w:rFonts w:ascii="Verdana" w:hAnsi="Verdana"/>
          <w:sz w:val="20"/>
          <w:szCs w:val="20"/>
          <w:bdr w:val="nil"/>
        </w:rPr>
      </w:pPr>
      <w:r w:rsidRPr="00406C4E">
        <w:rPr>
          <w:rFonts w:ascii="Verdana" w:hAnsi="Verdana"/>
          <w:sz w:val="20"/>
          <w:szCs w:val="20"/>
          <w:bdr w:val="nil"/>
        </w:rPr>
        <w:t>As contas a receber são normalmente liquidadas no vencimento.</w:t>
      </w:r>
    </w:p>
    <w:p w14:paraId="05F260DC" w14:textId="77777777" w:rsidR="005055FA" w:rsidRDefault="005055FA" w:rsidP="00594878">
      <w:pPr>
        <w:widowControl w:val="0"/>
        <w:autoSpaceDE w:val="0"/>
        <w:autoSpaceDN w:val="0"/>
        <w:rPr>
          <w:rFonts w:ascii="Verdana" w:hAnsi="Verdana"/>
          <w:sz w:val="20"/>
          <w:highlight w:val="green"/>
        </w:rPr>
      </w:pPr>
    </w:p>
    <w:p w14:paraId="34A414B3" w14:textId="088066E6" w:rsidR="00421D4E" w:rsidRDefault="00421D4E" w:rsidP="00594878">
      <w:pPr>
        <w:widowControl w:val="0"/>
        <w:autoSpaceDE w:val="0"/>
        <w:autoSpaceDN w:val="0"/>
        <w:rPr>
          <w:rFonts w:ascii="Verdana" w:hAnsi="Verdana"/>
          <w:sz w:val="20"/>
          <w:highlight w:val="green"/>
        </w:rPr>
      </w:pPr>
    </w:p>
    <w:p w14:paraId="40F84279" w14:textId="2D52A027" w:rsidR="00E158CF" w:rsidRDefault="00E158CF" w:rsidP="00594878">
      <w:pPr>
        <w:widowControl w:val="0"/>
        <w:autoSpaceDE w:val="0"/>
        <w:autoSpaceDN w:val="0"/>
        <w:rPr>
          <w:rFonts w:ascii="Verdana" w:hAnsi="Verdana"/>
          <w:sz w:val="20"/>
          <w:highlight w:val="green"/>
        </w:rPr>
      </w:pPr>
    </w:p>
    <w:p w14:paraId="55D6C8B7" w14:textId="7529FD49" w:rsidR="00E158CF" w:rsidRDefault="00E158CF" w:rsidP="00594878">
      <w:pPr>
        <w:widowControl w:val="0"/>
        <w:autoSpaceDE w:val="0"/>
        <w:autoSpaceDN w:val="0"/>
        <w:rPr>
          <w:rFonts w:ascii="Verdana" w:hAnsi="Verdana"/>
          <w:sz w:val="20"/>
          <w:highlight w:val="green"/>
        </w:rPr>
      </w:pPr>
    </w:p>
    <w:p w14:paraId="66E6E063" w14:textId="59C7B844" w:rsidR="00E158CF" w:rsidRDefault="00E158CF" w:rsidP="00594878">
      <w:pPr>
        <w:widowControl w:val="0"/>
        <w:autoSpaceDE w:val="0"/>
        <w:autoSpaceDN w:val="0"/>
        <w:rPr>
          <w:rFonts w:ascii="Verdana" w:hAnsi="Verdana"/>
          <w:sz w:val="20"/>
          <w:highlight w:val="green"/>
        </w:rPr>
      </w:pPr>
    </w:p>
    <w:p w14:paraId="5DF5011D" w14:textId="46E9E7E3" w:rsidR="00E158CF" w:rsidRDefault="00E158CF" w:rsidP="00594878">
      <w:pPr>
        <w:widowControl w:val="0"/>
        <w:autoSpaceDE w:val="0"/>
        <w:autoSpaceDN w:val="0"/>
        <w:rPr>
          <w:rFonts w:ascii="Verdana" w:hAnsi="Verdana"/>
          <w:sz w:val="20"/>
          <w:highlight w:val="green"/>
        </w:rPr>
      </w:pPr>
    </w:p>
    <w:p w14:paraId="1671BA9F" w14:textId="40E2B7DB" w:rsidR="00E158CF" w:rsidRDefault="00E158CF" w:rsidP="00594878">
      <w:pPr>
        <w:widowControl w:val="0"/>
        <w:autoSpaceDE w:val="0"/>
        <w:autoSpaceDN w:val="0"/>
        <w:rPr>
          <w:rFonts w:ascii="Verdana" w:hAnsi="Verdana"/>
          <w:sz w:val="20"/>
          <w:highlight w:val="green"/>
        </w:rPr>
      </w:pPr>
    </w:p>
    <w:p w14:paraId="54B433F5" w14:textId="77777777" w:rsidR="00E158CF" w:rsidRDefault="00E158CF" w:rsidP="00594878">
      <w:pPr>
        <w:widowControl w:val="0"/>
        <w:autoSpaceDE w:val="0"/>
        <w:autoSpaceDN w:val="0"/>
        <w:rPr>
          <w:rFonts w:ascii="Verdana" w:hAnsi="Verdana"/>
          <w:sz w:val="20"/>
          <w:highlight w:val="green"/>
        </w:rPr>
      </w:pPr>
    </w:p>
    <w:p w14:paraId="1D045396" w14:textId="77777777" w:rsidR="00421D4E" w:rsidRDefault="00421D4E" w:rsidP="00594878">
      <w:pPr>
        <w:widowControl w:val="0"/>
        <w:autoSpaceDE w:val="0"/>
        <w:autoSpaceDN w:val="0"/>
        <w:rPr>
          <w:rFonts w:ascii="Verdana" w:hAnsi="Verdana"/>
          <w:sz w:val="20"/>
          <w:highlight w:val="green"/>
        </w:rPr>
      </w:pPr>
    </w:p>
    <w:p w14:paraId="4BD97F2B" w14:textId="6B362F1C" w:rsidR="00274553" w:rsidRPr="005E1CC8" w:rsidRDefault="00274553" w:rsidP="00274553">
      <w:pPr>
        <w:tabs>
          <w:tab w:val="left" w:pos="567"/>
          <w:tab w:val="left" w:pos="1134"/>
          <w:tab w:val="left" w:pos="1701"/>
          <w:tab w:val="left" w:pos="2268"/>
          <w:tab w:val="left" w:pos="2835"/>
        </w:tabs>
        <w:outlineLvl w:val="0"/>
        <w:rPr>
          <w:rFonts w:ascii="Verdana" w:hAnsi="Verdana"/>
          <w:b/>
          <w:color w:val="0D63B5"/>
          <w:sz w:val="20"/>
          <w:szCs w:val="20"/>
        </w:rPr>
      </w:pPr>
      <w:r w:rsidRPr="005E1CC8">
        <w:rPr>
          <w:rFonts w:ascii="Verdana" w:hAnsi="Verdana"/>
          <w:b/>
          <w:color w:val="0D63B5"/>
          <w:sz w:val="20"/>
          <w:szCs w:val="20"/>
        </w:rPr>
        <w:lastRenderedPageBreak/>
        <w:t xml:space="preserve">NOTA 9 – TRIBUTOS </w:t>
      </w:r>
      <w:r w:rsidR="005C4E86" w:rsidRPr="005E1CC8">
        <w:rPr>
          <w:rFonts w:ascii="Verdana" w:hAnsi="Verdana"/>
          <w:b/>
          <w:color w:val="0D63B5"/>
          <w:sz w:val="20"/>
          <w:szCs w:val="20"/>
        </w:rPr>
        <w:t>E CONTRIBUIÇ</w:t>
      </w:r>
      <w:r w:rsidR="00B64F6A">
        <w:rPr>
          <w:rFonts w:ascii="Verdana" w:hAnsi="Verdana"/>
          <w:b/>
          <w:color w:val="0D63B5"/>
          <w:sz w:val="20"/>
          <w:szCs w:val="20"/>
        </w:rPr>
        <w:t>Õ</w:t>
      </w:r>
      <w:r w:rsidR="005C4E86" w:rsidRPr="005E1CC8">
        <w:rPr>
          <w:rFonts w:ascii="Verdana" w:hAnsi="Verdana"/>
          <w:b/>
          <w:color w:val="0D63B5"/>
          <w:sz w:val="20"/>
          <w:szCs w:val="20"/>
        </w:rPr>
        <w:t>ES A COMPENSAR</w:t>
      </w:r>
      <w:r w:rsidRPr="005E1CC8">
        <w:rPr>
          <w:rFonts w:ascii="Verdana" w:hAnsi="Verdana"/>
          <w:b/>
          <w:color w:val="0D63B5"/>
          <w:sz w:val="20"/>
          <w:szCs w:val="20"/>
        </w:rPr>
        <w:t xml:space="preserve"> </w:t>
      </w:r>
    </w:p>
    <w:p w14:paraId="71F065EA" w14:textId="77777777" w:rsidR="005E1CC8" w:rsidRDefault="005E1CC8" w:rsidP="00274553">
      <w:pPr>
        <w:tabs>
          <w:tab w:val="left" w:pos="567"/>
          <w:tab w:val="left" w:pos="1134"/>
          <w:tab w:val="left" w:pos="1701"/>
          <w:tab w:val="left" w:pos="2268"/>
          <w:tab w:val="left" w:pos="2835"/>
        </w:tabs>
        <w:outlineLvl w:val="0"/>
        <w:rPr>
          <w:rFonts w:ascii="Verdana" w:hAnsi="Verdana"/>
          <w:b/>
          <w:color w:val="0D63B5"/>
          <w:sz w:val="20"/>
          <w:szCs w:val="20"/>
        </w:rPr>
      </w:pPr>
    </w:p>
    <w:p w14:paraId="2E82C549" w14:textId="77777777" w:rsidR="005E1CC8" w:rsidRDefault="009234CD" w:rsidP="005E4A4C">
      <w:pPr>
        <w:tabs>
          <w:tab w:val="left" w:pos="567"/>
          <w:tab w:val="left" w:pos="1134"/>
          <w:tab w:val="left" w:pos="1701"/>
          <w:tab w:val="left" w:pos="2268"/>
          <w:tab w:val="left" w:pos="2835"/>
        </w:tabs>
        <w:jc w:val="center"/>
        <w:outlineLvl w:val="0"/>
        <w:rPr>
          <w:rFonts w:ascii="Verdana" w:hAnsi="Verdana"/>
          <w:b/>
          <w:color w:val="0D63B5"/>
          <w:sz w:val="20"/>
          <w:szCs w:val="20"/>
        </w:rPr>
      </w:pPr>
      <w:r>
        <w:rPr>
          <w:rFonts w:ascii="Verdana" w:hAnsi="Verdana"/>
          <w:b/>
          <w:noProof/>
          <w:color w:val="0D63B5"/>
          <w:sz w:val="20"/>
          <w:szCs w:val="20"/>
        </w:rPr>
        <w:drawing>
          <wp:inline distT="0" distB="0" distL="0" distR="0" wp14:anchorId="4021E6BB" wp14:editId="1ED54A29">
            <wp:extent cx="5499100" cy="1304925"/>
            <wp:effectExtent l="0" t="0" r="635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9100" cy="1304925"/>
                    </a:xfrm>
                    <a:prstGeom prst="rect">
                      <a:avLst/>
                    </a:prstGeom>
                    <a:noFill/>
                  </pic:spPr>
                </pic:pic>
              </a:graphicData>
            </a:graphic>
          </wp:inline>
        </w:drawing>
      </w:r>
    </w:p>
    <w:p w14:paraId="69D73DFC" w14:textId="77777777" w:rsidR="00274553" w:rsidRPr="005E4A4C" w:rsidRDefault="00274553" w:rsidP="005E1CC8">
      <w:pPr>
        <w:pStyle w:val="Corpodetexto"/>
        <w:rPr>
          <w:rFonts w:ascii="Verdana" w:hAnsi="Verdana"/>
          <w:lang w:val="pt-BR"/>
        </w:rPr>
      </w:pPr>
    </w:p>
    <w:p w14:paraId="0171DCCB" w14:textId="4622F560" w:rsidR="00A70831" w:rsidRPr="005E4A4C" w:rsidRDefault="009234CD" w:rsidP="005E1CC8">
      <w:pPr>
        <w:widowControl w:val="0"/>
        <w:autoSpaceDE w:val="0"/>
        <w:autoSpaceDN w:val="0"/>
        <w:rPr>
          <w:rFonts w:ascii="Verdana" w:hAnsi="Verdana"/>
          <w:sz w:val="20"/>
          <w:szCs w:val="20"/>
        </w:rPr>
      </w:pPr>
      <w:r w:rsidRPr="005E4A4C">
        <w:rPr>
          <w:rFonts w:ascii="Verdana" w:hAnsi="Verdana"/>
          <w:sz w:val="20"/>
          <w:szCs w:val="20"/>
        </w:rPr>
        <w:t>a</w:t>
      </w:r>
      <w:r w:rsidR="00A70831" w:rsidRPr="005E4A4C">
        <w:rPr>
          <w:rFonts w:ascii="Verdana" w:hAnsi="Verdana"/>
          <w:sz w:val="20"/>
          <w:szCs w:val="20"/>
        </w:rPr>
        <w:t>) Solicitação de restituição</w:t>
      </w:r>
      <w:r w:rsidR="00635BAA" w:rsidRPr="005E4A4C">
        <w:rPr>
          <w:rFonts w:ascii="Verdana" w:hAnsi="Verdana"/>
          <w:sz w:val="20"/>
          <w:szCs w:val="20"/>
        </w:rPr>
        <w:t xml:space="preserve"> </w:t>
      </w:r>
      <w:r w:rsidR="00A70831" w:rsidRPr="005E4A4C">
        <w:rPr>
          <w:rFonts w:ascii="Verdana" w:hAnsi="Verdana"/>
          <w:sz w:val="20"/>
          <w:szCs w:val="20"/>
        </w:rPr>
        <w:t>de PIS/</w:t>
      </w:r>
      <w:proofErr w:type="spellStart"/>
      <w:r w:rsidR="00A70831" w:rsidRPr="005E4A4C">
        <w:rPr>
          <w:rFonts w:ascii="Verdana" w:hAnsi="Verdana"/>
          <w:sz w:val="20"/>
          <w:szCs w:val="20"/>
        </w:rPr>
        <w:t>C</w:t>
      </w:r>
      <w:r w:rsidR="00B64F6A">
        <w:rPr>
          <w:rFonts w:ascii="Verdana" w:hAnsi="Verdana"/>
          <w:sz w:val="20"/>
          <w:szCs w:val="20"/>
        </w:rPr>
        <w:t>ofins</w:t>
      </w:r>
      <w:proofErr w:type="spellEnd"/>
      <w:r w:rsidR="00A70831" w:rsidRPr="005E4A4C">
        <w:rPr>
          <w:rFonts w:ascii="Verdana" w:hAnsi="Verdana"/>
          <w:sz w:val="20"/>
          <w:szCs w:val="20"/>
        </w:rPr>
        <w:t xml:space="preserve"> recolhidos a maior</w:t>
      </w:r>
    </w:p>
    <w:p w14:paraId="08300EF9" w14:textId="77777777" w:rsidR="00F266A9" w:rsidRDefault="00F266A9" w:rsidP="005E1CC8">
      <w:pPr>
        <w:widowControl w:val="0"/>
        <w:autoSpaceDE w:val="0"/>
        <w:autoSpaceDN w:val="0"/>
        <w:rPr>
          <w:rFonts w:ascii="Verdana" w:hAnsi="Verdana"/>
          <w:b/>
          <w:color w:val="0D63B5"/>
          <w:sz w:val="20"/>
          <w:szCs w:val="20"/>
          <w:highlight w:val="green"/>
        </w:rPr>
      </w:pPr>
    </w:p>
    <w:p w14:paraId="36BB14EA" w14:textId="77777777" w:rsidR="00A52B4B" w:rsidRDefault="00A52B4B" w:rsidP="005E1CC8">
      <w:pPr>
        <w:widowControl w:val="0"/>
        <w:autoSpaceDE w:val="0"/>
        <w:autoSpaceDN w:val="0"/>
        <w:rPr>
          <w:rFonts w:ascii="Verdana" w:hAnsi="Verdana"/>
          <w:b/>
          <w:color w:val="0D63B5"/>
          <w:sz w:val="20"/>
          <w:szCs w:val="20"/>
          <w:highlight w:val="green"/>
        </w:rPr>
      </w:pPr>
    </w:p>
    <w:p w14:paraId="421E2BAA" w14:textId="77777777" w:rsidR="0084183C" w:rsidRPr="00340DEA" w:rsidRDefault="0084183C" w:rsidP="005E1CC8">
      <w:pPr>
        <w:widowControl w:val="0"/>
        <w:autoSpaceDE w:val="0"/>
        <w:autoSpaceDN w:val="0"/>
        <w:rPr>
          <w:rFonts w:ascii="Verdana" w:hAnsi="Verdana"/>
          <w:b/>
          <w:color w:val="0D63B5"/>
          <w:sz w:val="20"/>
          <w:szCs w:val="20"/>
          <w:highlight w:val="green"/>
        </w:rPr>
      </w:pPr>
    </w:p>
    <w:p w14:paraId="1A7DE20A" w14:textId="77777777" w:rsidR="00274553" w:rsidRPr="00B079B8" w:rsidRDefault="00274553" w:rsidP="00274553">
      <w:pPr>
        <w:tabs>
          <w:tab w:val="left" w:pos="567"/>
          <w:tab w:val="left" w:pos="1134"/>
          <w:tab w:val="left" w:pos="1701"/>
          <w:tab w:val="left" w:pos="2268"/>
          <w:tab w:val="left" w:pos="2835"/>
        </w:tabs>
        <w:outlineLvl w:val="0"/>
        <w:rPr>
          <w:rFonts w:ascii="Verdana" w:hAnsi="Verdana"/>
          <w:b/>
          <w:color w:val="0D63B5"/>
          <w:sz w:val="20"/>
          <w:szCs w:val="20"/>
        </w:rPr>
      </w:pPr>
      <w:r w:rsidRPr="00B079B8">
        <w:rPr>
          <w:rFonts w:ascii="Verdana" w:hAnsi="Verdana"/>
          <w:b/>
          <w:color w:val="0D63B5"/>
          <w:sz w:val="20"/>
          <w:szCs w:val="20"/>
        </w:rPr>
        <w:t xml:space="preserve">NOTA 10 – IMPOSTO DE RENDA E CONTRIBUIÇÃO SOCIAL </w:t>
      </w:r>
      <w:r w:rsidR="001B6864" w:rsidRPr="00B079B8">
        <w:rPr>
          <w:rFonts w:ascii="Verdana" w:hAnsi="Verdana"/>
          <w:b/>
          <w:color w:val="0D63B5"/>
          <w:sz w:val="20"/>
          <w:szCs w:val="20"/>
        </w:rPr>
        <w:t xml:space="preserve">ATIVO </w:t>
      </w:r>
    </w:p>
    <w:p w14:paraId="6A5565D5" w14:textId="77777777" w:rsidR="00274553" w:rsidRPr="00B079B8" w:rsidRDefault="00274553" w:rsidP="00274553">
      <w:pPr>
        <w:pStyle w:val="Corpodetexto"/>
        <w:rPr>
          <w:rFonts w:ascii="Verdana" w:hAnsi="Verdana"/>
          <w:color w:val="0D63B5"/>
          <w:lang w:val="pt-BR"/>
        </w:rPr>
      </w:pPr>
    </w:p>
    <w:p w14:paraId="2C890010" w14:textId="3AC275D9" w:rsidR="00B079B8" w:rsidRDefault="00274553" w:rsidP="00B524F7">
      <w:pPr>
        <w:pStyle w:val="Corpodetexto"/>
        <w:rPr>
          <w:rFonts w:ascii="Verdana" w:hAnsi="Verdana"/>
          <w:color w:val="0D63B5"/>
          <w:lang w:val="pt-BR"/>
        </w:rPr>
      </w:pPr>
      <w:r w:rsidRPr="00B079B8">
        <w:rPr>
          <w:rFonts w:ascii="Verdana" w:hAnsi="Verdana"/>
          <w:color w:val="0D63B5"/>
          <w:lang w:val="pt-BR"/>
        </w:rPr>
        <w:t>10.1 - Imposto de renda e contribuição social corrente</w:t>
      </w:r>
    </w:p>
    <w:p w14:paraId="1ED42654" w14:textId="77777777" w:rsidR="00B079B8" w:rsidRPr="00B079B8" w:rsidRDefault="00B079B8" w:rsidP="00274553">
      <w:pPr>
        <w:pStyle w:val="Corpodetexto"/>
        <w:rPr>
          <w:rFonts w:ascii="Verdana" w:hAnsi="Verdana"/>
          <w:color w:val="0D63B5"/>
          <w:lang w:val="pt-BR"/>
        </w:rPr>
      </w:pPr>
    </w:p>
    <w:p w14:paraId="4BCF270D" w14:textId="77777777" w:rsidR="00274553" w:rsidRPr="00B079B8" w:rsidRDefault="00977788" w:rsidP="00274553">
      <w:pPr>
        <w:widowControl w:val="0"/>
        <w:tabs>
          <w:tab w:val="left" w:pos="5529"/>
        </w:tabs>
        <w:autoSpaceDE w:val="0"/>
        <w:autoSpaceDN w:val="0"/>
        <w:jc w:val="center"/>
        <w:rPr>
          <w:noProof/>
        </w:rPr>
      </w:pPr>
      <w:r w:rsidRPr="00977788">
        <w:rPr>
          <w:noProof/>
        </w:rPr>
        <w:drawing>
          <wp:inline distT="0" distB="0" distL="0" distR="0" wp14:anchorId="5AD48902" wp14:editId="7E93A8BA">
            <wp:extent cx="5149850" cy="958850"/>
            <wp:effectExtent l="0" t="0" r="0" b="0"/>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9850" cy="958850"/>
                    </a:xfrm>
                    <a:prstGeom prst="rect">
                      <a:avLst/>
                    </a:prstGeom>
                    <a:noFill/>
                    <a:ln>
                      <a:noFill/>
                    </a:ln>
                  </pic:spPr>
                </pic:pic>
              </a:graphicData>
            </a:graphic>
          </wp:inline>
        </w:drawing>
      </w:r>
      <w:r w:rsidRPr="00977788" w:rsidDel="009234CD">
        <w:t xml:space="preserve"> </w:t>
      </w:r>
    </w:p>
    <w:p w14:paraId="651A02F3" w14:textId="77777777" w:rsidR="001C03AA" w:rsidRDefault="001C03AA" w:rsidP="001C03AA">
      <w:pPr>
        <w:widowControl w:val="0"/>
        <w:autoSpaceDE w:val="0"/>
        <w:autoSpaceDN w:val="0"/>
        <w:rPr>
          <w:rFonts w:ascii="Verdana" w:hAnsi="Verdana"/>
          <w:color w:val="0D63B5"/>
          <w:sz w:val="20"/>
          <w:szCs w:val="20"/>
        </w:rPr>
      </w:pPr>
    </w:p>
    <w:p w14:paraId="013CF597" w14:textId="77777777" w:rsidR="002517C1" w:rsidRPr="00FE5B0B" w:rsidRDefault="002517C1" w:rsidP="00B524F7">
      <w:pPr>
        <w:pStyle w:val="PargrafodaLista"/>
        <w:widowControl w:val="0"/>
        <w:numPr>
          <w:ilvl w:val="0"/>
          <w:numId w:val="40"/>
        </w:numPr>
        <w:autoSpaceDE w:val="0"/>
        <w:autoSpaceDN w:val="0"/>
        <w:ind w:left="284" w:hanging="284"/>
        <w:rPr>
          <w:rFonts w:ascii="Verdana" w:hAnsi="Verdana"/>
          <w:sz w:val="20"/>
          <w:szCs w:val="20"/>
        </w:rPr>
      </w:pPr>
      <w:r w:rsidRPr="00FE5B0B">
        <w:rPr>
          <w:rFonts w:ascii="Verdana" w:hAnsi="Verdana"/>
          <w:sz w:val="20"/>
          <w:szCs w:val="20"/>
        </w:rPr>
        <w:t>Saldo de antecipações de IRPJ/CSLL. Houve redução da base tributável em função do registro da baixa de elementos combustíveis ocorrida no final do exercício.</w:t>
      </w:r>
    </w:p>
    <w:p w14:paraId="1AA649DF" w14:textId="45C16549" w:rsidR="002517C1" w:rsidRDefault="002517C1" w:rsidP="00B524F7">
      <w:pPr>
        <w:pStyle w:val="PargrafodaLista"/>
        <w:widowControl w:val="0"/>
        <w:numPr>
          <w:ilvl w:val="0"/>
          <w:numId w:val="40"/>
        </w:numPr>
        <w:autoSpaceDE w:val="0"/>
        <w:autoSpaceDN w:val="0"/>
        <w:ind w:left="284" w:hanging="284"/>
        <w:rPr>
          <w:rFonts w:ascii="Verdana" w:hAnsi="Verdana"/>
          <w:sz w:val="20"/>
          <w:szCs w:val="20"/>
        </w:rPr>
      </w:pPr>
      <w:r w:rsidRPr="00FE5B0B">
        <w:rPr>
          <w:rFonts w:ascii="Verdana" w:hAnsi="Verdana"/>
          <w:sz w:val="20"/>
          <w:szCs w:val="20"/>
        </w:rPr>
        <w:t>Antecipações de IRPJ/CSLL de exercícios anteriores não puderam ser compensadas em função do registro de baixa de elementos combustíveis que reduziram a base tributável no final do exercício.</w:t>
      </w:r>
    </w:p>
    <w:p w14:paraId="5A17303B" w14:textId="77777777" w:rsidR="001C03AA" w:rsidRPr="005E4A4C" w:rsidRDefault="001C03AA" w:rsidP="00F52A01">
      <w:pPr>
        <w:pStyle w:val="PargrafodaLista"/>
        <w:widowControl w:val="0"/>
        <w:autoSpaceDE w:val="0"/>
        <w:autoSpaceDN w:val="0"/>
        <w:ind w:left="720"/>
        <w:rPr>
          <w:rFonts w:ascii="Verdana" w:hAnsi="Verdana"/>
          <w:color w:val="0D63B5"/>
          <w:sz w:val="20"/>
          <w:szCs w:val="20"/>
        </w:rPr>
      </w:pPr>
    </w:p>
    <w:p w14:paraId="46A23B59" w14:textId="77777777" w:rsidR="00274553" w:rsidRPr="00FA4F81" w:rsidRDefault="00274553" w:rsidP="00274553">
      <w:pPr>
        <w:widowControl w:val="0"/>
        <w:autoSpaceDE w:val="0"/>
        <w:autoSpaceDN w:val="0"/>
        <w:rPr>
          <w:rFonts w:ascii="Verdana" w:hAnsi="Verdana"/>
          <w:color w:val="0D63B5"/>
          <w:sz w:val="20"/>
          <w:szCs w:val="20"/>
        </w:rPr>
      </w:pPr>
      <w:r w:rsidRPr="00FA4F81">
        <w:rPr>
          <w:rFonts w:ascii="Verdana" w:hAnsi="Verdana"/>
          <w:color w:val="0D63B5"/>
          <w:sz w:val="20"/>
          <w:szCs w:val="20"/>
        </w:rPr>
        <w:t>10.</w:t>
      </w:r>
      <w:r w:rsidR="00FA4F81">
        <w:rPr>
          <w:rFonts w:ascii="Verdana" w:hAnsi="Verdana"/>
          <w:color w:val="0D63B5"/>
          <w:sz w:val="20"/>
          <w:szCs w:val="20"/>
        </w:rPr>
        <w:t>2</w:t>
      </w:r>
      <w:r w:rsidRPr="00FA4F81">
        <w:rPr>
          <w:rFonts w:ascii="Verdana" w:hAnsi="Verdana"/>
          <w:color w:val="0D63B5"/>
          <w:sz w:val="20"/>
          <w:szCs w:val="20"/>
        </w:rPr>
        <w:t xml:space="preserve"> - Composição do imposto de renda e contribuição social diferidos</w:t>
      </w:r>
    </w:p>
    <w:p w14:paraId="16A34CCA" w14:textId="77777777" w:rsidR="00274553" w:rsidRDefault="00274553" w:rsidP="00274553">
      <w:pPr>
        <w:rPr>
          <w:rFonts w:ascii="Verdana" w:hAnsi="Verdana"/>
          <w:color w:val="0D63B5"/>
          <w:sz w:val="20"/>
          <w:szCs w:val="20"/>
          <w:highlight w:val="green"/>
        </w:rPr>
      </w:pPr>
    </w:p>
    <w:p w14:paraId="11C59888" w14:textId="77777777" w:rsidR="00B92C6D" w:rsidRPr="00340DEA" w:rsidRDefault="009C3031" w:rsidP="00B92C6D">
      <w:pPr>
        <w:jc w:val="center"/>
        <w:rPr>
          <w:rFonts w:ascii="Verdana" w:hAnsi="Verdana"/>
          <w:color w:val="0D63B5"/>
          <w:sz w:val="20"/>
          <w:szCs w:val="20"/>
          <w:highlight w:val="green"/>
        </w:rPr>
      </w:pPr>
      <w:r w:rsidRPr="00F52A01">
        <w:rPr>
          <w:noProof/>
        </w:rPr>
        <w:drawing>
          <wp:inline distT="0" distB="0" distL="0" distR="0" wp14:anchorId="5BD935EF" wp14:editId="2082BC80">
            <wp:extent cx="5999062" cy="3180578"/>
            <wp:effectExtent l="0" t="0" r="1905" b="127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03505" cy="3182933"/>
                    </a:xfrm>
                    <a:prstGeom prst="rect">
                      <a:avLst/>
                    </a:prstGeom>
                    <a:noFill/>
                    <a:ln>
                      <a:noFill/>
                    </a:ln>
                  </pic:spPr>
                </pic:pic>
              </a:graphicData>
            </a:graphic>
          </wp:inline>
        </w:drawing>
      </w:r>
    </w:p>
    <w:p w14:paraId="64796741" w14:textId="77777777" w:rsidR="00274553" w:rsidRPr="00340DEA" w:rsidRDefault="00274553" w:rsidP="00274553">
      <w:pPr>
        <w:widowControl w:val="0"/>
        <w:autoSpaceDE w:val="0"/>
        <w:autoSpaceDN w:val="0"/>
        <w:jc w:val="center"/>
        <w:rPr>
          <w:rFonts w:ascii="Verdana" w:hAnsi="Verdana"/>
          <w:sz w:val="20"/>
          <w:szCs w:val="20"/>
          <w:highlight w:val="green"/>
        </w:rPr>
      </w:pPr>
      <w:r w:rsidRPr="00340DEA">
        <w:rPr>
          <w:rFonts w:ascii="Verdana" w:hAnsi="Verdana"/>
          <w:sz w:val="20"/>
          <w:szCs w:val="20"/>
          <w:highlight w:val="green"/>
        </w:rPr>
        <w:t xml:space="preserve">  </w:t>
      </w:r>
    </w:p>
    <w:p w14:paraId="207B1E41" w14:textId="77777777" w:rsidR="00274553" w:rsidRPr="00340DEA" w:rsidRDefault="00274553" w:rsidP="00274553">
      <w:pPr>
        <w:widowControl w:val="0"/>
        <w:autoSpaceDE w:val="0"/>
        <w:autoSpaceDN w:val="0"/>
        <w:jc w:val="center"/>
        <w:rPr>
          <w:rFonts w:ascii="Verdana" w:hAnsi="Verdana"/>
          <w:highlight w:val="green"/>
        </w:rPr>
      </w:pPr>
    </w:p>
    <w:p w14:paraId="5B85EB53" w14:textId="77777777" w:rsidR="002517C1" w:rsidRPr="00D118DF" w:rsidRDefault="002517C1" w:rsidP="002517C1">
      <w:pPr>
        <w:rPr>
          <w:rFonts w:ascii="Verdana" w:hAnsi="Verdana" w:cs="Arial"/>
          <w:color w:val="FF0000"/>
          <w:sz w:val="20"/>
          <w:szCs w:val="20"/>
        </w:rPr>
      </w:pPr>
      <w:r w:rsidRPr="00D118DF">
        <w:rPr>
          <w:rFonts w:ascii="Verdana" w:hAnsi="Verdana" w:cs="Arial"/>
          <w:color w:val="000000"/>
          <w:sz w:val="20"/>
          <w:szCs w:val="20"/>
        </w:rPr>
        <w:lastRenderedPageBreak/>
        <w:t>A ELETRONUCLEAR não apresenta perspectiva de lucro tributável futuro e, desta forma, os créditos tributários diferidos de diferenças temporárias e outros resultados abrangentes não são registrados nas demonstrações financeiras, os quais somam o valor de R$ 2.511.611 em 31 de dezembro de 2021 (R$ 2.190.281 em 31 de dezembro de 2020).</w:t>
      </w:r>
      <w:r w:rsidRPr="00D118DF">
        <w:rPr>
          <w:rFonts w:ascii="Verdana" w:hAnsi="Verdana" w:cs="Arial"/>
          <w:color w:val="FF0000"/>
          <w:sz w:val="20"/>
          <w:szCs w:val="20"/>
        </w:rPr>
        <w:t xml:space="preserve"> </w:t>
      </w:r>
    </w:p>
    <w:p w14:paraId="3BA1C624" w14:textId="77777777" w:rsidR="002517C1" w:rsidRPr="00D118DF" w:rsidRDefault="002517C1" w:rsidP="002517C1">
      <w:pPr>
        <w:rPr>
          <w:rFonts w:ascii="Verdana" w:hAnsi="Verdana" w:cs="Arial"/>
          <w:color w:val="FF0000"/>
          <w:sz w:val="20"/>
          <w:szCs w:val="20"/>
        </w:rPr>
      </w:pPr>
    </w:p>
    <w:p w14:paraId="483B17A3" w14:textId="77777777" w:rsidR="002517C1" w:rsidRPr="00D118DF" w:rsidRDefault="002517C1" w:rsidP="002517C1">
      <w:pPr>
        <w:rPr>
          <w:rFonts w:ascii="Verdana" w:hAnsi="Verdana" w:cs="Arial"/>
          <w:color w:val="000000"/>
          <w:sz w:val="20"/>
          <w:szCs w:val="20"/>
        </w:rPr>
      </w:pPr>
      <w:r w:rsidRPr="00D118DF">
        <w:rPr>
          <w:rFonts w:ascii="Verdana" w:hAnsi="Verdana" w:cs="Arial"/>
          <w:color w:val="000000"/>
          <w:sz w:val="20"/>
          <w:szCs w:val="20"/>
        </w:rPr>
        <w:t>Pela legislação tributária em vigor, o prejuízo fiscal e a base negativa da contribuição social sobre o lucro líquido - CSLL são compensáveis com lucros tributáveis futuros, até o limite de 30% do resultado tributável do exercício, sem prazo de prescrição.</w:t>
      </w:r>
    </w:p>
    <w:p w14:paraId="1E06A9C6" w14:textId="77777777" w:rsidR="002517C1" w:rsidRPr="00D118DF" w:rsidRDefault="002517C1" w:rsidP="002517C1">
      <w:pPr>
        <w:rPr>
          <w:rFonts w:ascii="Verdana" w:hAnsi="Verdana" w:cs="Arial"/>
          <w:color w:val="000000"/>
          <w:sz w:val="20"/>
          <w:szCs w:val="20"/>
        </w:rPr>
      </w:pPr>
    </w:p>
    <w:p w14:paraId="00ABD771" w14:textId="77777777" w:rsidR="002517C1" w:rsidRPr="00D118DF" w:rsidRDefault="002517C1" w:rsidP="002517C1">
      <w:pPr>
        <w:rPr>
          <w:rFonts w:ascii="Verdana" w:hAnsi="Verdana" w:cs="Arial"/>
          <w:color w:val="000000"/>
          <w:sz w:val="20"/>
          <w:szCs w:val="20"/>
        </w:rPr>
      </w:pPr>
      <w:r w:rsidRPr="00D118DF">
        <w:rPr>
          <w:rFonts w:ascii="Verdana" w:hAnsi="Verdana" w:cs="Arial"/>
          <w:color w:val="000000"/>
          <w:sz w:val="20"/>
          <w:szCs w:val="20"/>
        </w:rPr>
        <w:t>A Companhia não reconhece impostos diferidos ativos, por não apresentar um histórico de resultados positivos seguidos nos cinco últimos anos e não ter expectativa de reverter a situação em curto prazo.</w:t>
      </w:r>
    </w:p>
    <w:p w14:paraId="5B74BA9A" w14:textId="77777777" w:rsidR="002517C1" w:rsidRPr="00D118DF" w:rsidRDefault="002517C1" w:rsidP="002517C1">
      <w:pPr>
        <w:rPr>
          <w:rFonts w:ascii="Verdana" w:hAnsi="Verdana" w:cs="Arial"/>
          <w:color w:val="000000"/>
          <w:sz w:val="20"/>
          <w:szCs w:val="20"/>
        </w:rPr>
      </w:pPr>
    </w:p>
    <w:p w14:paraId="0F80C765" w14:textId="2DC79373" w:rsidR="00013B31" w:rsidRPr="00BE602B" w:rsidRDefault="002517C1" w:rsidP="002517C1">
      <w:pPr>
        <w:rPr>
          <w:rFonts w:ascii="Verdana" w:hAnsi="Verdana" w:cs="Arial"/>
          <w:color w:val="000000"/>
          <w:sz w:val="20"/>
          <w:szCs w:val="20"/>
        </w:rPr>
      </w:pPr>
      <w:r w:rsidRPr="00D118DF">
        <w:rPr>
          <w:rFonts w:ascii="Verdana" w:hAnsi="Verdana" w:cs="Arial"/>
          <w:color w:val="000000"/>
          <w:sz w:val="20"/>
          <w:szCs w:val="20"/>
        </w:rPr>
        <w:t>O cálculo da taxa efetiva de imposto de renda e contribuição social encontram-se detalhados na nota 10.3 a seguir.</w:t>
      </w:r>
    </w:p>
    <w:p w14:paraId="5A6E365F" w14:textId="77777777" w:rsidR="00FA4F81" w:rsidRDefault="00FA4F81" w:rsidP="00274553">
      <w:pPr>
        <w:widowControl w:val="0"/>
        <w:autoSpaceDE w:val="0"/>
        <w:autoSpaceDN w:val="0"/>
        <w:jc w:val="center"/>
        <w:rPr>
          <w:rFonts w:ascii="Verdana" w:hAnsi="Verdana"/>
          <w:highlight w:val="green"/>
        </w:rPr>
      </w:pPr>
    </w:p>
    <w:p w14:paraId="240B22D3" w14:textId="3C6AB26F" w:rsidR="00657472" w:rsidRPr="00976DA3" w:rsidRDefault="00274553" w:rsidP="00274553">
      <w:pPr>
        <w:rPr>
          <w:rFonts w:ascii="Verdana" w:hAnsi="Verdana"/>
          <w:color w:val="0D63B5"/>
          <w:sz w:val="20"/>
          <w:szCs w:val="20"/>
        </w:rPr>
      </w:pPr>
      <w:r w:rsidRPr="00976DA3">
        <w:rPr>
          <w:rFonts w:ascii="Verdana" w:hAnsi="Verdana"/>
          <w:color w:val="0D63B5"/>
          <w:sz w:val="20"/>
          <w:szCs w:val="20"/>
        </w:rPr>
        <w:t>10.</w:t>
      </w:r>
      <w:r w:rsidR="00FA4F81" w:rsidRPr="00976DA3">
        <w:rPr>
          <w:rFonts w:ascii="Verdana" w:hAnsi="Verdana"/>
          <w:color w:val="0D63B5"/>
          <w:sz w:val="20"/>
          <w:szCs w:val="20"/>
        </w:rPr>
        <w:t>3</w:t>
      </w:r>
      <w:r w:rsidRPr="00976DA3">
        <w:rPr>
          <w:rFonts w:ascii="Verdana" w:hAnsi="Verdana"/>
          <w:color w:val="0D63B5"/>
          <w:sz w:val="20"/>
          <w:szCs w:val="20"/>
        </w:rPr>
        <w:t xml:space="preserve"> </w:t>
      </w:r>
      <w:r w:rsidR="00362659">
        <w:rPr>
          <w:rFonts w:ascii="Verdana" w:hAnsi="Verdana"/>
          <w:color w:val="0D63B5"/>
          <w:sz w:val="20"/>
          <w:szCs w:val="20"/>
        </w:rPr>
        <w:t>D</w:t>
      </w:r>
      <w:r w:rsidRPr="00976DA3">
        <w:rPr>
          <w:rFonts w:ascii="Verdana" w:hAnsi="Verdana"/>
          <w:color w:val="0D63B5"/>
          <w:sz w:val="20"/>
          <w:szCs w:val="20"/>
        </w:rPr>
        <w:t>espesa com imposto de renda e contribuição social</w:t>
      </w:r>
    </w:p>
    <w:p w14:paraId="5A43C53A" w14:textId="77777777" w:rsidR="00FA4F81" w:rsidRPr="00976DA3" w:rsidRDefault="00FA4F81" w:rsidP="00274553">
      <w:pPr>
        <w:rPr>
          <w:rFonts w:ascii="Verdana" w:hAnsi="Verdana"/>
          <w:color w:val="0D63B5"/>
          <w:sz w:val="20"/>
          <w:szCs w:val="20"/>
        </w:rPr>
      </w:pPr>
    </w:p>
    <w:p w14:paraId="74F23455" w14:textId="77777777" w:rsidR="00274553" w:rsidRPr="00657472" w:rsidRDefault="0061535C" w:rsidP="00657472">
      <w:pPr>
        <w:jc w:val="center"/>
        <w:rPr>
          <w:rFonts w:ascii="Verdana" w:hAnsi="Verdana"/>
        </w:rPr>
      </w:pPr>
      <w:r w:rsidRPr="005E4A4C" w:rsidDel="0061535C">
        <w:t xml:space="preserve"> </w:t>
      </w:r>
      <w:r w:rsidR="00976DA3" w:rsidRPr="005E4A4C">
        <w:rPr>
          <w:noProof/>
        </w:rPr>
        <w:drawing>
          <wp:inline distT="0" distB="0" distL="0" distR="0" wp14:anchorId="778DDA20" wp14:editId="04EBF3FF">
            <wp:extent cx="6052840" cy="3162300"/>
            <wp:effectExtent l="0" t="0" r="5080" b="0"/>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54161" cy="3162990"/>
                    </a:xfrm>
                    <a:prstGeom prst="rect">
                      <a:avLst/>
                    </a:prstGeom>
                    <a:noFill/>
                    <a:ln>
                      <a:noFill/>
                    </a:ln>
                  </pic:spPr>
                </pic:pic>
              </a:graphicData>
            </a:graphic>
          </wp:inline>
        </w:drawing>
      </w:r>
      <w:r w:rsidR="00976DA3" w:rsidRPr="005E4A4C" w:rsidDel="0061535C">
        <w:t xml:space="preserve"> </w:t>
      </w:r>
    </w:p>
    <w:p w14:paraId="0ACEA129" w14:textId="77777777" w:rsidR="00274553" w:rsidRPr="00B92C6D" w:rsidRDefault="00274553" w:rsidP="00274553">
      <w:pPr>
        <w:jc w:val="center"/>
        <w:rPr>
          <w:rFonts w:ascii="Verdana" w:hAnsi="Verdana"/>
          <w:color w:val="0D63B5"/>
          <w:sz w:val="20"/>
          <w:szCs w:val="20"/>
        </w:rPr>
      </w:pPr>
    </w:p>
    <w:p w14:paraId="3409542C" w14:textId="77777777" w:rsidR="00274553" w:rsidRPr="00A35111" w:rsidRDefault="00274553" w:rsidP="00274553">
      <w:pPr>
        <w:pStyle w:val="PargrafodaLista"/>
        <w:tabs>
          <w:tab w:val="left" w:pos="284"/>
        </w:tabs>
        <w:ind w:left="0"/>
        <w:jc w:val="center"/>
        <w:rPr>
          <w:rFonts w:ascii="Verdana" w:hAnsi="Verdana"/>
          <w:sz w:val="20"/>
          <w:szCs w:val="20"/>
        </w:rPr>
      </w:pPr>
    </w:p>
    <w:p w14:paraId="64EEF140" w14:textId="77777777" w:rsidR="00274553" w:rsidRPr="009329CA" w:rsidRDefault="00274553" w:rsidP="00274553">
      <w:pPr>
        <w:rPr>
          <w:rFonts w:ascii="Verdana" w:hAnsi="Verdana"/>
          <w:color w:val="0D63B5"/>
          <w:sz w:val="20"/>
          <w:szCs w:val="20"/>
          <w:bdr w:val="nil"/>
        </w:rPr>
      </w:pPr>
      <w:r w:rsidRPr="009329CA">
        <w:rPr>
          <w:rFonts w:ascii="Verdana" w:hAnsi="Verdana"/>
          <w:color w:val="0D63B5"/>
          <w:sz w:val="20"/>
          <w:szCs w:val="20"/>
          <w:bdr w:val="nil"/>
        </w:rPr>
        <w:t>Prática Contábil</w:t>
      </w:r>
    </w:p>
    <w:p w14:paraId="3DAA1937" w14:textId="77777777" w:rsidR="00274553" w:rsidRPr="009329CA" w:rsidRDefault="00274553" w:rsidP="00274553">
      <w:pPr>
        <w:rPr>
          <w:rFonts w:ascii="Verdana" w:hAnsi="Verdana"/>
          <w:color w:val="0D63B5"/>
          <w:sz w:val="20"/>
          <w:szCs w:val="20"/>
          <w:bdr w:val="nil"/>
        </w:rPr>
      </w:pPr>
    </w:p>
    <w:p w14:paraId="729941EC" w14:textId="77777777" w:rsidR="002517C1" w:rsidRPr="002A439E" w:rsidRDefault="002517C1" w:rsidP="002517C1">
      <w:pPr>
        <w:rPr>
          <w:rFonts w:ascii="Verdana" w:hAnsi="Verdana"/>
          <w:sz w:val="20"/>
          <w:szCs w:val="20"/>
          <w:bdr w:val="nil"/>
        </w:rPr>
      </w:pPr>
      <w:r w:rsidRPr="002A439E">
        <w:rPr>
          <w:rFonts w:ascii="Verdana" w:hAnsi="Verdana"/>
          <w:sz w:val="20"/>
          <w:szCs w:val="20"/>
          <w:bdr w:val="nil"/>
        </w:rPr>
        <w:t>As despesas de Imposto de Renda e Contribuição Social do exercício compreendem os impostos corrente e diferido. Os impostos sobre a renda são reconhecidos na demonstração do resultado, exceto na proporção em que estiverem relacionados com itens reconhecidos diretamente no patrimônio líquido ou no resultado abrangente. Nesse caso, o imposto também é reconhecido no patrimônio líquido ou no resultado abrangente.</w:t>
      </w:r>
    </w:p>
    <w:p w14:paraId="7C82F7B6" w14:textId="77777777" w:rsidR="002517C1" w:rsidRPr="002A439E" w:rsidRDefault="002517C1" w:rsidP="002517C1">
      <w:pPr>
        <w:rPr>
          <w:rFonts w:ascii="Verdana" w:hAnsi="Verdana"/>
          <w:sz w:val="20"/>
          <w:szCs w:val="20"/>
          <w:bdr w:val="nil"/>
        </w:rPr>
      </w:pPr>
    </w:p>
    <w:p w14:paraId="4766006C" w14:textId="77777777" w:rsidR="002517C1" w:rsidRPr="002A439E" w:rsidRDefault="002517C1" w:rsidP="002517C1">
      <w:pPr>
        <w:rPr>
          <w:rFonts w:ascii="Verdana" w:hAnsi="Verdana"/>
          <w:sz w:val="20"/>
          <w:szCs w:val="20"/>
          <w:bdr w:val="nil"/>
        </w:rPr>
      </w:pPr>
      <w:r w:rsidRPr="002A439E">
        <w:rPr>
          <w:rFonts w:ascii="Verdana" w:hAnsi="Verdana"/>
          <w:sz w:val="20"/>
          <w:szCs w:val="20"/>
          <w:bdr w:val="nil"/>
        </w:rPr>
        <w:t>O encargo de Imposto de renda e a Contribuição Social corrente e diferido</w:t>
      </w:r>
      <w:r>
        <w:rPr>
          <w:rFonts w:ascii="Verdana" w:hAnsi="Verdana"/>
          <w:sz w:val="20"/>
          <w:szCs w:val="20"/>
          <w:bdr w:val="nil"/>
        </w:rPr>
        <w:t xml:space="preserve"> são</w:t>
      </w:r>
      <w:r w:rsidRPr="002A439E">
        <w:rPr>
          <w:rFonts w:ascii="Verdana" w:hAnsi="Verdana"/>
          <w:sz w:val="20"/>
          <w:szCs w:val="20"/>
          <w:bdr w:val="nil"/>
        </w:rPr>
        <w:t xml:space="preserve"> calculados com base nas alíquotas de 15%, acrescidas do adicional de IRPJ de 10% sobre o lucro tributável para imposto de renda e 9% sobre o lucro tributável para contribuição social sobre o lucro líquido, considerando-se a compensação de prejuízos fiscais e base negativa de contribuição social, limitada a 30% do lucro tributável do exercício.</w:t>
      </w:r>
    </w:p>
    <w:p w14:paraId="2F2AFA17" w14:textId="77777777" w:rsidR="002517C1" w:rsidRPr="002A439E" w:rsidRDefault="002517C1" w:rsidP="002517C1">
      <w:pPr>
        <w:rPr>
          <w:rFonts w:ascii="Verdana" w:hAnsi="Verdana"/>
          <w:sz w:val="20"/>
          <w:szCs w:val="20"/>
          <w:bdr w:val="nil"/>
        </w:rPr>
      </w:pPr>
    </w:p>
    <w:p w14:paraId="1EC90971" w14:textId="77777777" w:rsidR="002517C1" w:rsidRPr="002A439E" w:rsidRDefault="002517C1" w:rsidP="002517C1">
      <w:pPr>
        <w:rPr>
          <w:rFonts w:ascii="Verdana" w:hAnsi="Verdana"/>
          <w:sz w:val="20"/>
          <w:szCs w:val="20"/>
          <w:bdr w:val="nil"/>
        </w:rPr>
      </w:pPr>
      <w:r w:rsidRPr="002A439E">
        <w:rPr>
          <w:rFonts w:ascii="Verdana" w:hAnsi="Verdana"/>
          <w:sz w:val="20"/>
          <w:szCs w:val="20"/>
          <w:bdr w:val="nil"/>
        </w:rPr>
        <w:t xml:space="preserve">O Imposto de Renda e a Contribuição Social diferidos são reconhecidos usando-se o método do passivo sobre as diferenças temporárias decorrentes de diferenças ente as bases fiscais dos ativos e passivos e </w:t>
      </w:r>
      <w:r w:rsidRPr="002A439E">
        <w:rPr>
          <w:rFonts w:ascii="Verdana" w:hAnsi="Verdana"/>
          <w:sz w:val="20"/>
          <w:szCs w:val="20"/>
          <w:bdr w:val="nil"/>
        </w:rPr>
        <w:lastRenderedPageBreak/>
        <w:t>seus valores contábeis nas demonstrações financeiras. Entretanto, o Imposto de Renda e a Contribuição Social diferidos não são contabilizados se resultar do reconhecimento inicial de um ativo.</w:t>
      </w:r>
    </w:p>
    <w:p w14:paraId="217BF9A9" w14:textId="77777777" w:rsidR="002517C1" w:rsidRPr="002A439E" w:rsidRDefault="002517C1" w:rsidP="002517C1">
      <w:pPr>
        <w:rPr>
          <w:rFonts w:ascii="Verdana" w:hAnsi="Verdana"/>
          <w:sz w:val="20"/>
          <w:szCs w:val="20"/>
          <w:bdr w:val="nil"/>
        </w:rPr>
      </w:pPr>
    </w:p>
    <w:p w14:paraId="2C25986B" w14:textId="77777777" w:rsidR="002517C1" w:rsidRPr="002A439E" w:rsidRDefault="002517C1" w:rsidP="002517C1">
      <w:pPr>
        <w:rPr>
          <w:rFonts w:ascii="Verdana" w:hAnsi="Verdana"/>
          <w:sz w:val="20"/>
          <w:szCs w:val="20"/>
          <w:bdr w:val="nil"/>
        </w:rPr>
      </w:pPr>
      <w:r w:rsidRPr="002A439E">
        <w:rPr>
          <w:rFonts w:ascii="Verdana" w:hAnsi="Verdana"/>
          <w:sz w:val="20"/>
          <w:szCs w:val="20"/>
          <w:bdr w:val="nil"/>
        </w:rPr>
        <w:t>O Imposto de Renda e a Contribuição Social diferidos ativo são reconhecidos somente na proporção da probabilidade de que lucro tributável futuro esteja sendo disponível e contra o qual as diferenças temporárias possam ser usadas.</w:t>
      </w:r>
    </w:p>
    <w:p w14:paraId="39551A69" w14:textId="77777777" w:rsidR="002517C1" w:rsidRPr="002A439E" w:rsidRDefault="002517C1" w:rsidP="002517C1">
      <w:pPr>
        <w:rPr>
          <w:rFonts w:ascii="Verdana" w:hAnsi="Verdana"/>
          <w:sz w:val="20"/>
          <w:szCs w:val="20"/>
          <w:bdr w:val="nil"/>
        </w:rPr>
      </w:pPr>
    </w:p>
    <w:p w14:paraId="10E30A4F" w14:textId="77777777" w:rsidR="002517C1" w:rsidRDefault="002517C1" w:rsidP="002517C1">
      <w:pPr>
        <w:widowControl w:val="0"/>
        <w:autoSpaceDE w:val="0"/>
        <w:autoSpaceDN w:val="0"/>
        <w:rPr>
          <w:rFonts w:ascii="Verdana" w:hAnsi="Verdana"/>
          <w:sz w:val="20"/>
          <w:szCs w:val="20"/>
          <w:bdr w:val="nil"/>
        </w:rPr>
      </w:pPr>
      <w:r w:rsidRPr="002A439E">
        <w:rPr>
          <w:rFonts w:ascii="Verdana" w:hAnsi="Verdana"/>
          <w:sz w:val="20"/>
          <w:szCs w:val="20"/>
          <w:bdr w:val="nil"/>
        </w:rPr>
        <w:t>Os impostos de renda diferidos ativos e passivos são apresentados pelo líquido no balanço, quando há o direito legal e a intenção de compensá-los quando da apuração dos tributos correntes, em geral relacionado</w:t>
      </w:r>
      <w:r>
        <w:rPr>
          <w:rFonts w:ascii="Verdana" w:hAnsi="Verdana"/>
          <w:sz w:val="20"/>
          <w:szCs w:val="20"/>
          <w:bdr w:val="nil"/>
        </w:rPr>
        <w:t>s</w:t>
      </w:r>
      <w:r w:rsidRPr="002A439E">
        <w:rPr>
          <w:rFonts w:ascii="Verdana" w:hAnsi="Verdana"/>
          <w:sz w:val="20"/>
          <w:szCs w:val="20"/>
          <w:bdr w:val="nil"/>
        </w:rPr>
        <w:t xml:space="preserve"> com a mesma autoridade fiscal.</w:t>
      </w:r>
    </w:p>
    <w:p w14:paraId="40D0337E" w14:textId="77777777" w:rsidR="00934016" w:rsidRDefault="00934016" w:rsidP="00274553">
      <w:pPr>
        <w:widowControl w:val="0"/>
        <w:autoSpaceDE w:val="0"/>
        <w:autoSpaceDN w:val="0"/>
        <w:rPr>
          <w:rFonts w:ascii="Verdana" w:hAnsi="Verdana"/>
          <w:sz w:val="20"/>
          <w:szCs w:val="20"/>
          <w:bdr w:val="nil"/>
        </w:rPr>
      </w:pPr>
    </w:p>
    <w:p w14:paraId="0E544E88" w14:textId="11B675EE" w:rsidR="00934016" w:rsidRDefault="00934016" w:rsidP="00274553">
      <w:pPr>
        <w:widowControl w:val="0"/>
        <w:autoSpaceDE w:val="0"/>
        <w:autoSpaceDN w:val="0"/>
        <w:rPr>
          <w:rFonts w:ascii="Verdana" w:hAnsi="Verdana"/>
          <w:sz w:val="20"/>
          <w:szCs w:val="20"/>
          <w:bdr w:val="nil"/>
        </w:rPr>
      </w:pPr>
    </w:p>
    <w:p w14:paraId="53555E25" w14:textId="77777777" w:rsidR="00446EE2" w:rsidRPr="0070675F" w:rsidRDefault="00446EE2" w:rsidP="00274553">
      <w:pPr>
        <w:widowControl w:val="0"/>
        <w:autoSpaceDE w:val="0"/>
        <w:autoSpaceDN w:val="0"/>
        <w:rPr>
          <w:rFonts w:ascii="Verdana" w:hAnsi="Verdana"/>
          <w:sz w:val="20"/>
          <w:szCs w:val="20"/>
          <w:bdr w:val="nil"/>
        </w:rPr>
      </w:pPr>
    </w:p>
    <w:p w14:paraId="0D0987C3" w14:textId="77777777" w:rsidR="00BB4B4A" w:rsidRPr="00C534F4" w:rsidRDefault="00BB4B4A" w:rsidP="00BB4B4A">
      <w:pPr>
        <w:tabs>
          <w:tab w:val="left" w:pos="567"/>
          <w:tab w:val="left" w:pos="1134"/>
          <w:tab w:val="left" w:pos="1701"/>
          <w:tab w:val="left" w:pos="2268"/>
          <w:tab w:val="left" w:pos="2835"/>
        </w:tabs>
        <w:outlineLvl w:val="0"/>
        <w:rPr>
          <w:rStyle w:val="Ttulo5Char"/>
          <w:rFonts w:ascii="Verdana" w:hAnsi="Verdana"/>
          <w:color w:val="0D63B5"/>
          <w:sz w:val="20"/>
          <w:szCs w:val="20"/>
        </w:rPr>
      </w:pPr>
      <w:bookmarkStart w:id="15" w:name="_Hlk94183763"/>
      <w:r w:rsidRPr="00C534F4">
        <w:rPr>
          <w:rStyle w:val="Ttulo5Char"/>
          <w:rFonts w:ascii="Verdana" w:hAnsi="Verdana"/>
          <w:color w:val="0D63B5"/>
          <w:sz w:val="20"/>
          <w:szCs w:val="20"/>
        </w:rPr>
        <w:t xml:space="preserve">NOTA 11 – ESTOQUE DE COMBUSTÍVEL NUCLEAR </w:t>
      </w:r>
    </w:p>
    <w:p w14:paraId="41AA00E8" w14:textId="77777777" w:rsidR="00BB4B4A" w:rsidRPr="00494F09" w:rsidRDefault="00BB4B4A" w:rsidP="00BB4B4A">
      <w:pPr>
        <w:rPr>
          <w:rFonts w:ascii="Verdana" w:hAnsi="Verdana"/>
          <w:color w:val="000000"/>
          <w:sz w:val="20"/>
          <w:szCs w:val="20"/>
          <w:highlight w:val="green"/>
        </w:rPr>
      </w:pPr>
    </w:p>
    <w:p w14:paraId="059BAECA" w14:textId="77777777" w:rsidR="002517C1" w:rsidRPr="00FD016C" w:rsidRDefault="002517C1" w:rsidP="002517C1">
      <w:pPr>
        <w:rPr>
          <w:rFonts w:ascii="Verdana" w:hAnsi="Verdana" w:cs="Arial"/>
          <w:snapToGrid w:val="0"/>
          <w:sz w:val="20"/>
          <w:szCs w:val="20"/>
        </w:rPr>
      </w:pPr>
      <w:r w:rsidRPr="00FD016C">
        <w:rPr>
          <w:rFonts w:ascii="Verdana" w:hAnsi="Verdana" w:cs="Arial"/>
          <w:snapToGrid w:val="0"/>
          <w:sz w:val="20"/>
          <w:szCs w:val="20"/>
        </w:rPr>
        <w:t xml:space="preserve">O combustível nuclear utilizado nas Usinas nucleares Angra 1 e Angra 2 é constituído de elementos fabricados com componentes metálicos e pastilhas de urânio em seu interior. </w:t>
      </w:r>
    </w:p>
    <w:p w14:paraId="408D2F29" w14:textId="77777777" w:rsidR="002517C1" w:rsidRPr="00FD016C" w:rsidRDefault="002517C1" w:rsidP="002517C1">
      <w:pPr>
        <w:rPr>
          <w:rFonts w:ascii="Verdana" w:hAnsi="Verdana" w:cs="Arial"/>
          <w:snapToGrid w:val="0"/>
          <w:sz w:val="20"/>
          <w:szCs w:val="20"/>
        </w:rPr>
      </w:pPr>
    </w:p>
    <w:p w14:paraId="0356FF15" w14:textId="77777777" w:rsidR="002517C1" w:rsidRPr="00FD016C" w:rsidRDefault="002517C1" w:rsidP="002517C1">
      <w:pPr>
        <w:rPr>
          <w:rFonts w:ascii="Verdana" w:hAnsi="Verdana" w:cs="Arial"/>
          <w:snapToGrid w:val="0"/>
          <w:sz w:val="20"/>
          <w:szCs w:val="20"/>
        </w:rPr>
      </w:pPr>
      <w:r w:rsidRPr="00FD016C">
        <w:rPr>
          <w:rFonts w:ascii="Verdana" w:hAnsi="Verdana" w:cs="Arial"/>
          <w:snapToGrid w:val="0"/>
          <w:sz w:val="20"/>
          <w:szCs w:val="20"/>
        </w:rPr>
        <w:t>Na sua etapa inicial de formação, são adquiridos o minério de urânio e os serviços necessários à sua fabricação</w:t>
      </w:r>
      <w:r>
        <w:rPr>
          <w:rFonts w:ascii="Verdana" w:hAnsi="Verdana" w:cs="Arial"/>
          <w:snapToGrid w:val="0"/>
          <w:sz w:val="20"/>
          <w:szCs w:val="20"/>
        </w:rPr>
        <w:t>,</w:t>
      </w:r>
      <w:r w:rsidRPr="00FD016C">
        <w:rPr>
          <w:rFonts w:ascii="Verdana" w:hAnsi="Verdana" w:cs="Arial"/>
          <w:snapToGrid w:val="0"/>
          <w:sz w:val="20"/>
          <w:szCs w:val="20"/>
        </w:rPr>
        <w:t xml:space="preserve"> classificados contabilmente no ativo não circulante, nas contas de estoque de concentrado de urânio e serviço em curso - combustível nuclear, respectivamente. Depois de concluído o processo de fabricação, tem-se o elemento de combustível nuclear pronto, cujo valor é classificado em dois grupos contábeis: no ativo circulante, é registrada a parcela relativa à previsão do consumo para os próximos 12 meses e, no não circulante, a parcela restante. </w:t>
      </w:r>
    </w:p>
    <w:p w14:paraId="3B846B2C" w14:textId="77777777" w:rsidR="002517C1" w:rsidRPr="00FD016C" w:rsidRDefault="002517C1" w:rsidP="002517C1">
      <w:pPr>
        <w:rPr>
          <w:rFonts w:ascii="Verdana" w:hAnsi="Verdana" w:cs="Arial"/>
          <w:snapToGrid w:val="0"/>
          <w:sz w:val="20"/>
          <w:szCs w:val="20"/>
        </w:rPr>
      </w:pPr>
    </w:p>
    <w:p w14:paraId="621046B5" w14:textId="77777777" w:rsidR="002517C1" w:rsidRPr="00FD016C" w:rsidRDefault="002517C1" w:rsidP="002517C1">
      <w:pPr>
        <w:rPr>
          <w:rFonts w:ascii="Verdana" w:hAnsi="Verdana" w:cs="Arial"/>
          <w:snapToGrid w:val="0"/>
          <w:sz w:val="20"/>
          <w:szCs w:val="20"/>
        </w:rPr>
      </w:pPr>
      <w:r w:rsidRPr="00FD016C">
        <w:rPr>
          <w:rFonts w:ascii="Verdana" w:hAnsi="Verdana" w:cs="Arial"/>
          <w:snapToGrid w:val="0"/>
          <w:sz w:val="20"/>
          <w:szCs w:val="20"/>
        </w:rPr>
        <w:t>A amortização do combustível nuclear ocorre pela perda do potencial de energia térmica dos elementos, que proporciona a geração de energia elétrica. A amortização não é linear, não havendo geração de energia, não há amortização.</w:t>
      </w:r>
    </w:p>
    <w:p w14:paraId="257571C9" w14:textId="77777777" w:rsidR="002517C1" w:rsidRPr="00CC6BB6" w:rsidRDefault="002517C1" w:rsidP="002517C1">
      <w:pPr>
        <w:rPr>
          <w:rFonts w:ascii="Verdana" w:hAnsi="Verdana"/>
          <w:color w:val="000000"/>
          <w:sz w:val="20"/>
          <w:szCs w:val="20"/>
        </w:rPr>
      </w:pPr>
    </w:p>
    <w:p w14:paraId="259AF24E" w14:textId="77777777" w:rsidR="002517C1" w:rsidRDefault="002517C1" w:rsidP="002517C1">
      <w:pPr>
        <w:rPr>
          <w:rFonts w:ascii="Verdana" w:hAnsi="Verdana"/>
          <w:snapToGrid w:val="0"/>
          <w:sz w:val="20"/>
          <w:szCs w:val="20"/>
        </w:rPr>
      </w:pPr>
      <w:r w:rsidRPr="00CC6BB6">
        <w:rPr>
          <w:rFonts w:ascii="Verdana" w:hAnsi="Verdana"/>
          <w:color w:val="000000"/>
          <w:sz w:val="20"/>
          <w:szCs w:val="20"/>
        </w:rPr>
        <w:t xml:space="preserve">Abaixo, está apresentada a </w:t>
      </w:r>
      <w:r>
        <w:rPr>
          <w:rFonts w:ascii="Verdana" w:hAnsi="Verdana"/>
          <w:color w:val="000000"/>
          <w:sz w:val="20"/>
          <w:szCs w:val="20"/>
        </w:rPr>
        <w:t>movimentação</w:t>
      </w:r>
      <w:r w:rsidRPr="00CC6BB6">
        <w:rPr>
          <w:rFonts w:ascii="Verdana" w:hAnsi="Verdana"/>
          <w:color w:val="000000"/>
          <w:sz w:val="20"/>
          <w:szCs w:val="20"/>
        </w:rPr>
        <w:t xml:space="preserve"> do estoque de combustível</w:t>
      </w:r>
      <w:r w:rsidRPr="00CC6BB6">
        <w:rPr>
          <w:rFonts w:ascii="Verdana" w:hAnsi="Verdana"/>
          <w:snapToGrid w:val="0"/>
          <w:sz w:val="20"/>
          <w:szCs w:val="20"/>
        </w:rPr>
        <w:t xml:space="preserve"> nuclear destinado à operação da Usina Angra 1 </w:t>
      </w:r>
      <w:proofErr w:type="gramStart"/>
      <w:r w:rsidRPr="00CC6BB6">
        <w:rPr>
          <w:rFonts w:ascii="Verdana" w:hAnsi="Verdana"/>
          <w:snapToGrid w:val="0"/>
          <w:sz w:val="20"/>
          <w:szCs w:val="20"/>
        </w:rPr>
        <w:t>e  Usina</w:t>
      </w:r>
      <w:proofErr w:type="gramEnd"/>
      <w:r w:rsidRPr="00CC6BB6">
        <w:rPr>
          <w:rFonts w:ascii="Verdana" w:hAnsi="Verdana"/>
          <w:snapToGrid w:val="0"/>
          <w:sz w:val="20"/>
          <w:szCs w:val="20"/>
        </w:rPr>
        <w:t xml:space="preserve"> Angra 2:</w:t>
      </w:r>
    </w:p>
    <w:p w14:paraId="1B378C7E" w14:textId="77777777" w:rsidR="00BB4B4A" w:rsidRDefault="00BB4B4A" w:rsidP="005C05D5">
      <w:pPr>
        <w:jc w:val="center"/>
        <w:rPr>
          <w:rFonts w:ascii="Verdana" w:hAnsi="Verdana"/>
          <w:color w:val="FF0000"/>
          <w:sz w:val="20"/>
          <w:szCs w:val="20"/>
          <w:highlight w:val="green"/>
        </w:rPr>
      </w:pPr>
    </w:p>
    <w:p w14:paraId="3D156C14" w14:textId="77777777" w:rsidR="005C05D5" w:rsidRDefault="008F5B97" w:rsidP="005C05D5">
      <w:pPr>
        <w:jc w:val="center"/>
        <w:rPr>
          <w:rFonts w:ascii="Verdana" w:hAnsi="Verdana"/>
          <w:color w:val="FF0000"/>
          <w:sz w:val="20"/>
          <w:szCs w:val="20"/>
          <w:highlight w:val="green"/>
        </w:rPr>
      </w:pPr>
      <w:r w:rsidRPr="00362659">
        <w:rPr>
          <w:noProof/>
        </w:rPr>
        <w:drawing>
          <wp:inline distT="0" distB="0" distL="0" distR="0" wp14:anchorId="0BB7EF06" wp14:editId="0F80D13D">
            <wp:extent cx="6652895" cy="1570637"/>
            <wp:effectExtent l="0" t="0" r="0" b="0"/>
            <wp:docPr id="494" name="Imagem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52895" cy="1570637"/>
                    </a:xfrm>
                    <a:prstGeom prst="rect">
                      <a:avLst/>
                    </a:prstGeom>
                    <a:noFill/>
                    <a:ln>
                      <a:noFill/>
                    </a:ln>
                  </pic:spPr>
                </pic:pic>
              </a:graphicData>
            </a:graphic>
          </wp:inline>
        </w:drawing>
      </w:r>
    </w:p>
    <w:p w14:paraId="79E01ED8" w14:textId="77777777" w:rsidR="005C05D5" w:rsidRDefault="005C05D5" w:rsidP="005C05D5">
      <w:pPr>
        <w:jc w:val="center"/>
        <w:rPr>
          <w:rFonts w:ascii="Verdana" w:hAnsi="Verdana"/>
          <w:color w:val="FF0000"/>
          <w:sz w:val="20"/>
          <w:szCs w:val="20"/>
          <w:highlight w:val="green"/>
        </w:rPr>
      </w:pPr>
    </w:p>
    <w:p w14:paraId="55D3C735" w14:textId="77777777" w:rsidR="002517C1" w:rsidRPr="00AF56B9" w:rsidRDefault="002517C1" w:rsidP="002517C1">
      <w:pPr>
        <w:rPr>
          <w:rFonts w:ascii="Verdana" w:eastAsiaTheme="minorHAnsi" w:hAnsi="Verdana" w:cs="Verdana"/>
          <w:color w:val="000000"/>
          <w:sz w:val="20"/>
          <w:szCs w:val="20"/>
          <w:lang w:eastAsia="en-US"/>
        </w:rPr>
      </w:pPr>
      <w:r>
        <w:rPr>
          <w:rFonts w:ascii="Verdana" w:eastAsiaTheme="minorHAnsi" w:hAnsi="Verdana" w:cs="Verdana"/>
          <w:color w:val="000000"/>
          <w:sz w:val="20"/>
          <w:szCs w:val="20"/>
          <w:lang w:eastAsia="en-US"/>
        </w:rPr>
        <w:t>Em dezembro de 2021, foi efetuado a contabilização da baixa contábil de elementos combustíveis no</w:t>
      </w:r>
      <w:r w:rsidRPr="00AF56B9">
        <w:rPr>
          <w:rFonts w:ascii="Verdana" w:eastAsiaTheme="minorHAnsi" w:hAnsi="Verdana" w:cs="Verdana"/>
          <w:color w:val="000000"/>
          <w:sz w:val="20"/>
          <w:szCs w:val="20"/>
          <w:lang w:eastAsia="en-US"/>
        </w:rPr>
        <w:t xml:space="preserve"> mont</w:t>
      </w:r>
      <w:r>
        <w:rPr>
          <w:rFonts w:ascii="Verdana" w:eastAsiaTheme="minorHAnsi" w:hAnsi="Verdana" w:cs="Verdana"/>
          <w:color w:val="000000"/>
          <w:sz w:val="20"/>
          <w:szCs w:val="20"/>
          <w:lang w:eastAsia="en-US"/>
        </w:rPr>
        <w:t>ante de R$ 252.354, com base nos relatórios t</w:t>
      </w:r>
      <w:r w:rsidRPr="00192A09">
        <w:rPr>
          <w:rFonts w:ascii="Verdana" w:eastAsiaTheme="minorHAnsi" w:hAnsi="Verdana" w:cs="Verdana"/>
          <w:color w:val="000000"/>
          <w:sz w:val="20"/>
          <w:szCs w:val="20"/>
          <w:lang w:eastAsia="en-US"/>
        </w:rPr>
        <w:t xml:space="preserve">écnico-econômico dos Elementos Combustíveis </w:t>
      </w:r>
      <w:r>
        <w:rPr>
          <w:rFonts w:ascii="Verdana" w:eastAsiaTheme="minorHAnsi" w:hAnsi="Verdana" w:cs="Verdana"/>
          <w:color w:val="000000"/>
          <w:sz w:val="20"/>
          <w:szCs w:val="20"/>
          <w:lang w:eastAsia="en-US"/>
        </w:rPr>
        <w:t xml:space="preserve">- </w:t>
      </w:r>
      <w:proofErr w:type="spellStart"/>
      <w:r w:rsidRPr="00192A09">
        <w:rPr>
          <w:rFonts w:ascii="Verdana" w:eastAsiaTheme="minorHAnsi" w:hAnsi="Verdana" w:cs="Verdana"/>
          <w:color w:val="000000"/>
          <w:sz w:val="20"/>
          <w:szCs w:val="20"/>
          <w:lang w:eastAsia="en-US"/>
        </w:rPr>
        <w:t>ECs</w:t>
      </w:r>
      <w:proofErr w:type="spellEnd"/>
      <w:r w:rsidRPr="00192A09">
        <w:rPr>
          <w:rFonts w:ascii="Verdana" w:eastAsiaTheme="minorHAnsi" w:hAnsi="Verdana" w:cs="Verdana"/>
          <w:color w:val="000000"/>
          <w:sz w:val="20"/>
          <w:szCs w:val="20"/>
          <w:lang w:eastAsia="en-US"/>
        </w:rPr>
        <w:t xml:space="preserve"> de Angra 1 e </w:t>
      </w:r>
      <w:r>
        <w:rPr>
          <w:rFonts w:ascii="Verdana" w:eastAsiaTheme="minorHAnsi" w:hAnsi="Verdana" w:cs="Verdana"/>
          <w:color w:val="000000"/>
          <w:sz w:val="20"/>
          <w:szCs w:val="20"/>
          <w:lang w:eastAsia="en-US"/>
        </w:rPr>
        <w:t>Angra 2:</w:t>
      </w:r>
    </w:p>
    <w:p w14:paraId="388E3291" w14:textId="77777777" w:rsidR="002517C1" w:rsidRDefault="002517C1" w:rsidP="002517C1">
      <w:pPr>
        <w:rPr>
          <w:rFonts w:ascii="Verdana" w:eastAsiaTheme="minorHAnsi" w:hAnsi="Verdana" w:cs="Verdana"/>
          <w:color w:val="000000"/>
          <w:sz w:val="20"/>
          <w:szCs w:val="20"/>
          <w:lang w:eastAsia="en-US"/>
        </w:rPr>
      </w:pPr>
    </w:p>
    <w:p w14:paraId="4236B73F" w14:textId="77777777" w:rsidR="002517C1" w:rsidRPr="00AF56B9" w:rsidRDefault="002517C1" w:rsidP="002517C1">
      <w:pPr>
        <w:pStyle w:val="PargrafodaLista"/>
        <w:numPr>
          <w:ilvl w:val="0"/>
          <w:numId w:val="36"/>
        </w:numPr>
        <w:rPr>
          <w:rFonts w:ascii="Verdana" w:hAnsi="Verdana" w:cs="Arial"/>
          <w:snapToGrid w:val="0"/>
          <w:sz w:val="20"/>
          <w:szCs w:val="20"/>
        </w:rPr>
      </w:pPr>
      <w:r w:rsidRPr="00AF56B9">
        <w:rPr>
          <w:rFonts w:ascii="Verdana" w:eastAsiaTheme="minorHAnsi" w:hAnsi="Verdana" w:cs="Verdana"/>
          <w:color w:val="000000"/>
          <w:sz w:val="20"/>
          <w:szCs w:val="20"/>
          <w:lang w:eastAsia="en-US"/>
        </w:rPr>
        <w:t xml:space="preserve">Em 01 de dezembro de 2021, a Assessoria de Combustível Nuclear emitiu o </w:t>
      </w:r>
      <w:proofErr w:type="gramStart"/>
      <w:r w:rsidRPr="00AF56B9">
        <w:rPr>
          <w:rFonts w:ascii="Verdana" w:eastAsiaTheme="minorHAnsi" w:hAnsi="Verdana" w:cs="Verdana"/>
          <w:color w:val="000000"/>
          <w:sz w:val="20"/>
          <w:szCs w:val="20"/>
          <w:lang w:eastAsia="en-US"/>
        </w:rPr>
        <w:t>relatório</w:t>
      </w:r>
      <w:r>
        <w:rPr>
          <w:rFonts w:ascii="Verdana" w:eastAsiaTheme="minorHAnsi" w:hAnsi="Verdana" w:cs="Verdana"/>
          <w:color w:val="000000"/>
          <w:sz w:val="20"/>
          <w:szCs w:val="20"/>
          <w:lang w:eastAsia="en-US"/>
        </w:rPr>
        <w:t xml:space="preserve"> </w:t>
      </w:r>
      <w:r w:rsidRPr="00AF56B9">
        <w:rPr>
          <w:rFonts w:ascii="Verdana" w:eastAsiaTheme="minorHAnsi" w:hAnsi="Verdana" w:cs="Verdana"/>
          <w:color w:val="000000"/>
          <w:sz w:val="20"/>
          <w:szCs w:val="20"/>
          <w:lang w:eastAsia="en-US"/>
        </w:rPr>
        <w:t xml:space="preserve"> ACST</w:t>
      </w:r>
      <w:proofErr w:type="gramEnd"/>
      <w:r w:rsidRPr="00AF56B9">
        <w:rPr>
          <w:rFonts w:ascii="Verdana" w:eastAsiaTheme="minorHAnsi" w:hAnsi="Verdana" w:cs="Verdana"/>
          <w:color w:val="000000"/>
          <w:sz w:val="20"/>
          <w:szCs w:val="20"/>
          <w:lang w:eastAsia="en-US"/>
        </w:rPr>
        <w:t xml:space="preserve"> 044.21 - Inventário Técnico-econômico dos Elementos Combustíveis </w:t>
      </w:r>
      <w:r>
        <w:rPr>
          <w:rFonts w:ascii="Verdana" w:eastAsiaTheme="minorHAnsi" w:hAnsi="Verdana" w:cs="Verdana"/>
          <w:color w:val="000000"/>
          <w:sz w:val="20"/>
          <w:szCs w:val="20"/>
          <w:lang w:eastAsia="en-US"/>
        </w:rPr>
        <w:t xml:space="preserve">- </w:t>
      </w:r>
      <w:proofErr w:type="spellStart"/>
      <w:r w:rsidRPr="00AF56B9">
        <w:rPr>
          <w:rFonts w:ascii="Verdana" w:eastAsiaTheme="minorHAnsi" w:hAnsi="Verdana" w:cs="Verdana"/>
          <w:color w:val="000000"/>
          <w:sz w:val="20"/>
          <w:szCs w:val="20"/>
          <w:lang w:eastAsia="en-US"/>
        </w:rPr>
        <w:t>ECs</w:t>
      </w:r>
      <w:proofErr w:type="spellEnd"/>
      <w:r w:rsidRPr="00AF56B9">
        <w:rPr>
          <w:rFonts w:ascii="Verdana" w:eastAsiaTheme="minorHAnsi" w:hAnsi="Verdana" w:cs="Verdana"/>
          <w:color w:val="000000"/>
          <w:sz w:val="20"/>
          <w:szCs w:val="20"/>
          <w:lang w:eastAsia="en-US"/>
        </w:rPr>
        <w:t xml:space="preserve"> de Angra 1 e Angra 2 (data base: 31.12.2020), no qual recomendou a baixa contábil de 2 (dois) elementos combustíveis nucleares de Angra 2, J027 </w:t>
      </w:r>
      <w:r>
        <w:rPr>
          <w:rFonts w:ascii="Verdana" w:eastAsiaTheme="minorHAnsi" w:hAnsi="Verdana" w:cs="Verdana"/>
          <w:color w:val="000000"/>
          <w:sz w:val="20"/>
          <w:szCs w:val="20"/>
          <w:lang w:eastAsia="en-US"/>
        </w:rPr>
        <w:t xml:space="preserve">(danificado) </w:t>
      </w:r>
      <w:r w:rsidRPr="00AF56B9">
        <w:rPr>
          <w:rFonts w:ascii="Verdana" w:eastAsiaTheme="minorHAnsi" w:hAnsi="Verdana" w:cs="Verdana"/>
          <w:color w:val="000000"/>
          <w:sz w:val="20"/>
          <w:szCs w:val="20"/>
          <w:lang w:eastAsia="en-US"/>
        </w:rPr>
        <w:t>e H036</w:t>
      </w:r>
      <w:r>
        <w:rPr>
          <w:rFonts w:ascii="Verdana" w:eastAsiaTheme="minorHAnsi" w:hAnsi="Verdana" w:cs="Verdana"/>
          <w:color w:val="000000"/>
          <w:sz w:val="20"/>
          <w:szCs w:val="20"/>
          <w:lang w:eastAsia="en-US"/>
        </w:rPr>
        <w:t xml:space="preserve"> (falhado) </w:t>
      </w:r>
      <w:r w:rsidRPr="00AF56B9">
        <w:rPr>
          <w:rFonts w:ascii="Verdana" w:eastAsiaTheme="minorHAnsi" w:hAnsi="Verdana" w:cs="Verdana"/>
          <w:color w:val="000000"/>
          <w:sz w:val="20"/>
          <w:szCs w:val="20"/>
          <w:lang w:eastAsia="en-US"/>
        </w:rPr>
        <w:t xml:space="preserve">, no </w:t>
      </w:r>
      <w:proofErr w:type="spellStart"/>
      <w:r w:rsidRPr="00AF56B9">
        <w:rPr>
          <w:rFonts w:ascii="Verdana" w:eastAsiaTheme="minorHAnsi" w:hAnsi="Verdana" w:cs="Verdana"/>
          <w:color w:val="000000"/>
          <w:sz w:val="20"/>
          <w:szCs w:val="20"/>
          <w:lang w:eastAsia="en-US"/>
        </w:rPr>
        <w:t>montate</w:t>
      </w:r>
      <w:proofErr w:type="spellEnd"/>
      <w:r w:rsidRPr="00AF56B9">
        <w:rPr>
          <w:rFonts w:ascii="Verdana" w:eastAsiaTheme="minorHAnsi" w:hAnsi="Verdana" w:cs="Verdana"/>
          <w:color w:val="000000"/>
          <w:sz w:val="20"/>
          <w:szCs w:val="20"/>
          <w:lang w:eastAsia="en-US"/>
        </w:rPr>
        <w:t xml:space="preserve"> de R$ 2.162, que não possuem perspectiva de utilização em ciclos futuros</w:t>
      </w:r>
      <w:r>
        <w:rPr>
          <w:rFonts w:ascii="Verdana" w:eastAsiaTheme="minorHAnsi" w:hAnsi="Verdana" w:cs="Verdana"/>
          <w:color w:val="000000"/>
          <w:sz w:val="20"/>
          <w:szCs w:val="20"/>
          <w:lang w:eastAsia="en-US"/>
        </w:rPr>
        <w:t xml:space="preserve">, nem </w:t>
      </w:r>
      <w:r w:rsidRPr="00AF56B9">
        <w:rPr>
          <w:rFonts w:ascii="Verdana" w:eastAsiaTheme="minorHAnsi" w:hAnsi="Verdana" w:cs="Verdana"/>
          <w:color w:val="000000"/>
          <w:sz w:val="20"/>
          <w:szCs w:val="20"/>
          <w:lang w:eastAsia="en-US"/>
        </w:rPr>
        <w:t xml:space="preserve">previsão de reparo. </w:t>
      </w:r>
    </w:p>
    <w:p w14:paraId="4820CC2B" w14:textId="77777777" w:rsidR="002517C1" w:rsidRPr="00192A09" w:rsidRDefault="002517C1" w:rsidP="002517C1">
      <w:pPr>
        <w:rPr>
          <w:rFonts w:ascii="Verdana" w:hAnsi="Verdana" w:cs="Arial"/>
          <w:snapToGrid w:val="0"/>
          <w:sz w:val="20"/>
          <w:szCs w:val="20"/>
        </w:rPr>
      </w:pPr>
    </w:p>
    <w:p w14:paraId="2D45771F" w14:textId="77777777" w:rsidR="002517C1" w:rsidRPr="00AF56B9" w:rsidRDefault="002517C1" w:rsidP="002517C1">
      <w:pPr>
        <w:pStyle w:val="PargrafodaLista"/>
        <w:numPr>
          <w:ilvl w:val="0"/>
          <w:numId w:val="36"/>
        </w:numPr>
        <w:rPr>
          <w:rFonts w:ascii="Verdana" w:hAnsi="Verdana" w:cs="Arial"/>
          <w:snapToGrid w:val="0"/>
          <w:sz w:val="20"/>
          <w:szCs w:val="20"/>
        </w:rPr>
      </w:pPr>
      <w:r w:rsidRPr="00AF56B9">
        <w:rPr>
          <w:rFonts w:ascii="Verdana" w:eastAsiaTheme="minorHAnsi" w:hAnsi="Verdana" w:cs="Verdana"/>
          <w:color w:val="000000"/>
          <w:sz w:val="20"/>
          <w:szCs w:val="20"/>
          <w:lang w:eastAsia="en-US"/>
        </w:rPr>
        <w:t xml:space="preserve">Em 14 de janeiro de 2022, a Assessoria de Combustível e Análise de Segurança – ACS.T emitiu o relatório ACST 002.22 - Inventário Técnico-econômico dos Elementos Combustíveis </w:t>
      </w:r>
      <w:r>
        <w:rPr>
          <w:rFonts w:ascii="Verdana" w:eastAsiaTheme="minorHAnsi" w:hAnsi="Verdana" w:cs="Verdana"/>
          <w:color w:val="000000"/>
          <w:sz w:val="20"/>
          <w:szCs w:val="20"/>
          <w:lang w:eastAsia="en-US"/>
        </w:rPr>
        <w:t xml:space="preserve">- </w:t>
      </w:r>
      <w:proofErr w:type="spellStart"/>
      <w:r w:rsidRPr="00AF56B9">
        <w:rPr>
          <w:rFonts w:ascii="Verdana" w:eastAsiaTheme="minorHAnsi" w:hAnsi="Verdana" w:cs="Verdana"/>
          <w:color w:val="000000"/>
          <w:sz w:val="20"/>
          <w:szCs w:val="20"/>
          <w:lang w:eastAsia="en-US"/>
        </w:rPr>
        <w:t>ECs</w:t>
      </w:r>
      <w:proofErr w:type="spellEnd"/>
      <w:r w:rsidRPr="00AF56B9">
        <w:rPr>
          <w:rFonts w:ascii="Verdana" w:eastAsiaTheme="minorHAnsi" w:hAnsi="Verdana" w:cs="Verdana"/>
          <w:color w:val="000000"/>
          <w:sz w:val="20"/>
          <w:szCs w:val="20"/>
          <w:lang w:eastAsia="en-US"/>
        </w:rPr>
        <w:t xml:space="preserve"> de Angra 1 e Angra 2 (data base: 31.12.2021, no qual recomendou a baixa contábil dos elementos </w:t>
      </w:r>
      <w:r w:rsidRPr="00AF56B9">
        <w:rPr>
          <w:rFonts w:ascii="Verdana" w:eastAsiaTheme="minorHAnsi" w:hAnsi="Verdana" w:cs="Verdana"/>
          <w:color w:val="000000"/>
          <w:sz w:val="20"/>
          <w:szCs w:val="20"/>
          <w:lang w:eastAsia="en-US"/>
        </w:rPr>
        <w:lastRenderedPageBreak/>
        <w:t xml:space="preserve">combustíveis nucleares dos lotes R e S de Angra 2, visto que a mais recente avaliação técnica dos </w:t>
      </w:r>
      <w:proofErr w:type="spellStart"/>
      <w:r w:rsidRPr="00AF56B9">
        <w:rPr>
          <w:rFonts w:ascii="Verdana" w:eastAsiaTheme="minorHAnsi" w:hAnsi="Verdana" w:cs="Verdana"/>
          <w:color w:val="000000"/>
          <w:sz w:val="20"/>
          <w:szCs w:val="20"/>
          <w:lang w:eastAsia="en-US"/>
        </w:rPr>
        <w:t>ECs</w:t>
      </w:r>
      <w:proofErr w:type="spellEnd"/>
      <w:r w:rsidRPr="00AF56B9">
        <w:rPr>
          <w:rFonts w:ascii="Verdana" w:eastAsiaTheme="minorHAnsi" w:hAnsi="Verdana" w:cs="Verdana"/>
          <w:color w:val="000000"/>
          <w:sz w:val="20"/>
          <w:szCs w:val="20"/>
          <w:lang w:eastAsia="en-US"/>
        </w:rPr>
        <w:t xml:space="preserve"> estocados nas </w:t>
      </w:r>
      <w:proofErr w:type="spellStart"/>
      <w:r w:rsidRPr="00AF56B9">
        <w:rPr>
          <w:rFonts w:ascii="Verdana" w:eastAsiaTheme="minorHAnsi" w:hAnsi="Verdana" w:cs="Verdana"/>
          <w:color w:val="000000"/>
          <w:sz w:val="20"/>
          <w:szCs w:val="20"/>
          <w:lang w:eastAsia="en-US"/>
        </w:rPr>
        <w:t>PCUs</w:t>
      </w:r>
      <w:proofErr w:type="spellEnd"/>
      <w:r w:rsidRPr="00AF56B9">
        <w:rPr>
          <w:rFonts w:ascii="Verdana" w:eastAsiaTheme="minorHAnsi" w:hAnsi="Verdana" w:cs="Verdana"/>
          <w:color w:val="000000"/>
          <w:sz w:val="20"/>
          <w:szCs w:val="20"/>
          <w:lang w:eastAsia="en-US"/>
        </w:rPr>
        <w:t xml:space="preserve"> das usinas indicou que não há mais a perspectiva de utilização de parte dos </w:t>
      </w:r>
      <w:proofErr w:type="spellStart"/>
      <w:r w:rsidRPr="00AF56B9">
        <w:rPr>
          <w:rFonts w:ascii="Verdana" w:eastAsiaTheme="minorHAnsi" w:hAnsi="Verdana" w:cs="Verdana"/>
          <w:color w:val="000000"/>
          <w:sz w:val="20"/>
          <w:szCs w:val="20"/>
          <w:lang w:eastAsia="en-US"/>
        </w:rPr>
        <w:t>ECs</w:t>
      </w:r>
      <w:proofErr w:type="spellEnd"/>
      <w:r w:rsidRPr="00AF56B9">
        <w:rPr>
          <w:rFonts w:ascii="Verdana" w:eastAsiaTheme="minorHAnsi" w:hAnsi="Verdana" w:cs="Verdana"/>
          <w:color w:val="000000"/>
          <w:sz w:val="20"/>
          <w:szCs w:val="20"/>
          <w:lang w:eastAsia="en-US"/>
        </w:rPr>
        <w:t xml:space="preserve"> dos lotes R e S de Angra 2. O valor total da baixa contábil foi de R$ 250.192. Para essa recomendação</w:t>
      </w:r>
      <w:r>
        <w:rPr>
          <w:rFonts w:ascii="Verdana" w:eastAsiaTheme="minorHAnsi" w:hAnsi="Verdana" w:cs="Verdana"/>
          <w:color w:val="000000"/>
          <w:sz w:val="20"/>
          <w:szCs w:val="20"/>
          <w:lang w:eastAsia="en-US"/>
        </w:rPr>
        <w:t>,</w:t>
      </w:r>
      <w:r w:rsidRPr="00AF56B9">
        <w:rPr>
          <w:rFonts w:ascii="Verdana" w:eastAsiaTheme="minorHAnsi" w:hAnsi="Verdana" w:cs="Verdana"/>
          <w:color w:val="000000"/>
          <w:sz w:val="20"/>
          <w:szCs w:val="20"/>
          <w:lang w:eastAsia="en-US"/>
        </w:rPr>
        <w:t xml:space="preserve"> fo</w:t>
      </w:r>
      <w:r>
        <w:rPr>
          <w:rFonts w:ascii="Verdana" w:eastAsiaTheme="minorHAnsi" w:hAnsi="Verdana" w:cs="Verdana"/>
          <w:color w:val="000000"/>
          <w:sz w:val="20"/>
          <w:szCs w:val="20"/>
          <w:lang w:eastAsia="en-US"/>
        </w:rPr>
        <w:t>ram</w:t>
      </w:r>
      <w:r w:rsidRPr="00AF56B9">
        <w:rPr>
          <w:rFonts w:ascii="Verdana" w:eastAsiaTheme="minorHAnsi" w:hAnsi="Verdana" w:cs="Verdana"/>
          <w:color w:val="000000"/>
          <w:sz w:val="20"/>
          <w:szCs w:val="20"/>
          <w:lang w:eastAsia="en-US"/>
        </w:rPr>
        <w:t xml:space="preserve"> considerado</w:t>
      </w:r>
      <w:r>
        <w:rPr>
          <w:rFonts w:ascii="Verdana" w:eastAsiaTheme="minorHAnsi" w:hAnsi="Verdana" w:cs="Verdana"/>
          <w:color w:val="000000"/>
          <w:sz w:val="20"/>
          <w:szCs w:val="20"/>
          <w:lang w:eastAsia="en-US"/>
        </w:rPr>
        <w:t>s</w:t>
      </w:r>
      <w:r w:rsidRPr="00AF56B9">
        <w:rPr>
          <w:rFonts w:ascii="Verdana" w:eastAsiaTheme="minorHAnsi" w:hAnsi="Verdana" w:cs="Verdana"/>
          <w:color w:val="000000"/>
          <w:sz w:val="20"/>
          <w:szCs w:val="20"/>
          <w:lang w:eastAsia="en-US"/>
        </w:rPr>
        <w:t xml:space="preserve"> </w:t>
      </w:r>
      <w:r>
        <w:rPr>
          <w:rFonts w:ascii="Verdana" w:eastAsiaTheme="minorHAnsi" w:hAnsi="Verdana" w:cs="Verdana"/>
          <w:color w:val="000000"/>
          <w:sz w:val="20"/>
          <w:szCs w:val="20"/>
          <w:lang w:eastAsia="en-US"/>
        </w:rPr>
        <w:t xml:space="preserve">(i) </w:t>
      </w:r>
      <w:r w:rsidRPr="00AF56B9">
        <w:rPr>
          <w:rFonts w:ascii="Verdana" w:hAnsi="Verdana" w:cs="Arial"/>
          <w:snapToGrid w:val="0"/>
          <w:sz w:val="20"/>
          <w:szCs w:val="20"/>
        </w:rPr>
        <w:t xml:space="preserve">os riscos radiológicos do </w:t>
      </w:r>
      <w:proofErr w:type="spellStart"/>
      <w:r w:rsidRPr="00AF56B9">
        <w:rPr>
          <w:rFonts w:ascii="Verdana" w:hAnsi="Verdana" w:cs="Arial"/>
          <w:snapToGrid w:val="0"/>
          <w:sz w:val="20"/>
          <w:szCs w:val="20"/>
        </w:rPr>
        <w:t>reesqueletamento</w:t>
      </w:r>
      <w:proofErr w:type="spellEnd"/>
      <w:r w:rsidRPr="00AF56B9">
        <w:rPr>
          <w:rFonts w:ascii="Verdana" w:hAnsi="Verdana" w:cs="Arial"/>
          <w:snapToGrid w:val="0"/>
          <w:sz w:val="20"/>
          <w:szCs w:val="20"/>
        </w:rPr>
        <w:t xml:space="preserve"> dos </w:t>
      </w:r>
      <w:proofErr w:type="spellStart"/>
      <w:r w:rsidRPr="00AF56B9">
        <w:rPr>
          <w:rFonts w:ascii="Verdana" w:hAnsi="Verdana" w:cs="Arial"/>
          <w:snapToGrid w:val="0"/>
          <w:sz w:val="20"/>
          <w:szCs w:val="20"/>
        </w:rPr>
        <w:t>ECs</w:t>
      </w:r>
      <w:proofErr w:type="spellEnd"/>
      <w:r w:rsidRPr="00AF56B9">
        <w:rPr>
          <w:rFonts w:ascii="Verdana" w:hAnsi="Verdana" w:cs="Arial"/>
          <w:snapToGrid w:val="0"/>
          <w:sz w:val="20"/>
          <w:szCs w:val="20"/>
        </w:rPr>
        <w:t xml:space="preserve"> em função da oxidação do </w:t>
      </w:r>
      <w:proofErr w:type="spellStart"/>
      <w:r w:rsidRPr="00AF56B9">
        <w:rPr>
          <w:rFonts w:ascii="Verdana" w:hAnsi="Verdana" w:cs="Arial"/>
          <w:snapToGrid w:val="0"/>
          <w:sz w:val="20"/>
          <w:szCs w:val="20"/>
        </w:rPr>
        <w:t>encamisamento</w:t>
      </w:r>
      <w:proofErr w:type="spellEnd"/>
      <w:r w:rsidRPr="00AF56B9">
        <w:rPr>
          <w:rFonts w:ascii="Verdana" w:hAnsi="Verdana" w:cs="Arial"/>
          <w:snapToGrid w:val="0"/>
          <w:sz w:val="20"/>
          <w:szCs w:val="20"/>
        </w:rPr>
        <w:t xml:space="preserve">, </w:t>
      </w:r>
      <w:r>
        <w:rPr>
          <w:rFonts w:ascii="Verdana" w:hAnsi="Verdana" w:cs="Arial"/>
          <w:snapToGrid w:val="0"/>
          <w:sz w:val="20"/>
          <w:szCs w:val="20"/>
        </w:rPr>
        <w:t>(</w:t>
      </w:r>
      <w:proofErr w:type="spellStart"/>
      <w:r>
        <w:rPr>
          <w:rFonts w:ascii="Verdana" w:hAnsi="Verdana" w:cs="Arial"/>
          <w:snapToGrid w:val="0"/>
          <w:sz w:val="20"/>
          <w:szCs w:val="20"/>
        </w:rPr>
        <w:t>ii</w:t>
      </w:r>
      <w:proofErr w:type="spellEnd"/>
      <w:r>
        <w:rPr>
          <w:rFonts w:ascii="Verdana" w:hAnsi="Verdana" w:cs="Arial"/>
          <w:snapToGrid w:val="0"/>
          <w:sz w:val="20"/>
          <w:szCs w:val="20"/>
        </w:rPr>
        <w:t xml:space="preserve">) </w:t>
      </w:r>
      <w:r w:rsidRPr="00AF56B9">
        <w:rPr>
          <w:rFonts w:ascii="Verdana" w:hAnsi="Verdana" w:cs="Arial"/>
          <w:snapToGrid w:val="0"/>
          <w:sz w:val="20"/>
          <w:szCs w:val="20"/>
        </w:rPr>
        <w:t xml:space="preserve">a complexidade da operação de </w:t>
      </w:r>
      <w:proofErr w:type="spellStart"/>
      <w:r w:rsidRPr="00AF56B9">
        <w:rPr>
          <w:rFonts w:ascii="Verdana" w:hAnsi="Verdana" w:cs="Arial"/>
          <w:snapToGrid w:val="0"/>
          <w:sz w:val="20"/>
          <w:szCs w:val="20"/>
        </w:rPr>
        <w:t>reesqueletamento</w:t>
      </w:r>
      <w:proofErr w:type="spellEnd"/>
      <w:r w:rsidRPr="00AF56B9">
        <w:rPr>
          <w:rFonts w:ascii="Verdana" w:hAnsi="Verdana" w:cs="Arial"/>
          <w:snapToGrid w:val="0"/>
          <w:sz w:val="20"/>
          <w:szCs w:val="20"/>
        </w:rPr>
        <w:t xml:space="preserve"> com a necessidade de se contratar serviços especializados da </w:t>
      </w:r>
      <w:r>
        <w:rPr>
          <w:rFonts w:ascii="Verdana" w:hAnsi="Verdana" w:cs="Arial"/>
          <w:snapToGrid w:val="0"/>
          <w:sz w:val="20"/>
          <w:szCs w:val="20"/>
        </w:rPr>
        <w:t xml:space="preserve">empresa </w:t>
      </w:r>
      <w:proofErr w:type="spellStart"/>
      <w:r w:rsidRPr="00AF56B9">
        <w:rPr>
          <w:rFonts w:ascii="Verdana" w:hAnsi="Verdana" w:cs="Arial"/>
          <w:snapToGrid w:val="0"/>
          <w:sz w:val="20"/>
          <w:szCs w:val="20"/>
        </w:rPr>
        <w:t>Framatome</w:t>
      </w:r>
      <w:proofErr w:type="spellEnd"/>
      <w:r w:rsidRPr="00AF56B9">
        <w:rPr>
          <w:rFonts w:ascii="Verdana" w:hAnsi="Verdana" w:cs="Arial"/>
          <w:snapToGrid w:val="0"/>
          <w:sz w:val="20"/>
          <w:szCs w:val="20"/>
        </w:rPr>
        <w:t xml:space="preserve"> e com alto custo e </w:t>
      </w:r>
      <w:r>
        <w:rPr>
          <w:rFonts w:ascii="Verdana" w:hAnsi="Verdana" w:cs="Arial"/>
          <w:snapToGrid w:val="0"/>
          <w:sz w:val="20"/>
          <w:szCs w:val="20"/>
        </w:rPr>
        <w:t>(</w:t>
      </w:r>
      <w:proofErr w:type="spellStart"/>
      <w:r>
        <w:rPr>
          <w:rFonts w:ascii="Verdana" w:hAnsi="Verdana" w:cs="Arial"/>
          <w:snapToGrid w:val="0"/>
          <w:sz w:val="20"/>
          <w:szCs w:val="20"/>
        </w:rPr>
        <w:t>iii</w:t>
      </w:r>
      <w:proofErr w:type="spellEnd"/>
      <w:r>
        <w:rPr>
          <w:rFonts w:ascii="Verdana" w:hAnsi="Verdana" w:cs="Arial"/>
          <w:snapToGrid w:val="0"/>
          <w:sz w:val="20"/>
          <w:szCs w:val="20"/>
        </w:rPr>
        <w:t xml:space="preserve">) </w:t>
      </w:r>
      <w:r w:rsidRPr="00AF56B9">
        <w:rPr>
          <w:rFonts w:ascii="Verdana" w:hAnsi="Verdana" w:cs="Arial"/>
          <w:snapToGrid w:val="0"/>
          <w:sz w:val="20"/>
          <w:szCs w:val="20"/>
        </w:rPr>
        <w:t xml:space="preserve">as dificuldades advindas do </w:t>
      </w:r>
      <w:proofErr w:type="spellStart"/>
      <w:r w:rsidRPr="00AF56B9">
        <w:rPr>
          <w:rFonts w:ascii="Verdana" w:hAnsi="Verdana" w:cs="Arial"/>
          <w:snapToGrid w:val="0"/>
          <w:sz w:val="20"/>
          <w:szCs w:val="20"/>
        </w:rPr>
        <w:t>reesqueletamento</w:t>
      </w:r>
      <w:proofErr w:type="spellEnd"/>
      <w:r w:rsidRPr="00AF56B9">
        <w:rPr>
          <w:rFonts w:ascii="Verdana" w:hAnsi="Verdana" w:cs="Arial"/>
          <w:snapToGrid w:val="0"/>
          <w:sz w:val="20"/>
          <w:szCs w:val="20"/>
        </w:rPr>
        <w:t xml:space="preserve"> em função das restrições </w:t>
      </w:r>
      <w:proofErr w:type="spellStart"/>
      <w:r w:rsidRPr="00AF56B9">
        <w:rPr>
          <w:rFonts w:ascii="Verdana" w:hAnsi="Verdana" w:cs="Arial"/>
          <w:snapToGrid w:val="0"/>
          <w:sz w:val="20"/>
          <w:szCs w:val="20"/>
        </w:rPr>
        <w:t>neutrônicas</w:t>
      </w:r>
      <w:proofErr w:type="spellEnd"/>
      <w:r w:rsidRPr="00AF56B9">
        <w:rPr>
          <w:rFonts w:ascii="Verdana" w:hAnsi="Verdana" w:cs="Arial"/>
          <w:snapToGrid w:val="0"/>
          <w:sz w:val="20"/>
          <w:szCs w:val="20"/>
        </w:rPr>
        <w:t xml:space="preserve"> para a montagem de novos </w:t>
      </w:r>
      <w:proofErr w:type="spellStart"/>
      <w:r w:rsidRPr="00AF56B9">
        <w:rPr>
          <w:rFonts w:ascii="Verdana" w:hAnsi="Verdana" w:cs="Arial"/>
          <w:snapToGrid w:val="0"/>
          <w:sz w:val="20"/>
          <w:szCs w:val="20"/>
        </w:rPr>
        <w:t>ECs</w:t>
      </w:r>
      <w:proofErr w:type="spellEnd"/>
      <w:r w:rsidRPr="00AF56B9">
        <w:rPr>
          <w:rFonts w:ascii="Verdana" w:hAnsi="Verdana" w:cs="Arial"/>
          <w:snapToGrid w:val="0"/>
          <w:sz w:val="20"/>
          <w:szCs w:val="20"/>
        </w:rPr>
        <w:t xml:space="preserve"> que possam ser reinseridos no núcleo sem causar um desequilíbrio de potência e reatividade</w:t>
      </w:r>
      <w:r>
        <w:rPr>
          <w:rFonts w:ascii="Verdana" w:hAnsi="Verdana" w:cs="Arial"/>
          <w:snapToGrid w:val="0"/>
          <w:sz w:val="20"/>
          <w:szCs w:val="20"/>
        </w:rPr>
        <w:t>. A d</w:t>
      </w:r>
      <w:r w:rsidRPr="00AF56B9">
        <w:rPr>
          <w:rFonts w:ascii="Verdana" w:hAnsi="Verdana" w:cs="Arial"/>
          <w:snapToGrid w:val="0"/>
          <w:sz w:val="20"/>
          <w:szCs w:val="20"/>
        </w:rPr>
        <w:t>ireto</w:t>
      </w:r>
      <w:r>
        <w:rPr>
          <w:rFonts w:ascii="Verdana" w:hAnsi="Verdana" w:cs="Arial"/>
          <w:snapToGrid w:val="0"/>
          <w:sz w:val="20"/>
          <w:szCs w:val="20"/>
        </w:rPr>
        <w:t>ria técnica considerou</w:t>
      </w:r>
      <w:r w:rsidRPr="00AF56B9">
        <w:rPr>
          <w:rFonts w:ascii="Verdana" w:hAnsi="Verdana" w:cs="Arial"/>
          <w:snapToGrid w:val="0"/>
          <w:sz w:val="20"/>
          <w:szCs w:val="20"/>
        </w:rPr>
        <w:t xml:space="preserve"> a opção pelo </w:t>
      </w:r>
      <w:proofErr w:type="spellStart"/>
      <w:r w:rsidRPr="00AF56B9">
        <w:rPr>
          <w:rFonts w:ascii="Verdana" w:hAnsi="Verdana" w:cs="Arial"/>
          <w:snapToGrid w:val="0"/>
          <w:sz w:val="20"/>
          <w:szCs w:val="20"/>
        </w:rPr>
        <w:t>reesqueletamento</w:t>
      </w:r>
      <w:proofErr w:type="spellEnd"/>
      <w:r w:rsidRPr="00AF56B9">
        <w:rPr>
          <w:rFonts w:ascii="Verdana" w:hAnsi="Verdana" w:cs="Arial"/>
          <w:snapToGrid w:val="0"/>
          <w:sz w:val="20"/>
          <w:szCs w:val="20"/>
        </w:rPr>
        <w:t xml:space="preserve"> inadequada tanto pelo aspecto técnico como pelo aspecto financeiro. Adicionalmente cabe ressaltar que a </w:t>
      </w:r>
      <w:r>
        <w:rPr>
          <w:rFonts w:ascii="Verdana" w:hAnsi="Verdana" w:cs="Arial"/>
          <w:snapToGrid w:val="0"/>
          <w:sz w:val="20"/>
          <w:szCs w:val="20"/>
        </w:rPr>
        <w:t>ELETRONUCLEAR</w:t>
      </w:r>
      <w:r w:rsidRPr="00AF56B9">
        <w:rPr>
          <w:rFonts w:ascii="Verdana" w:hAnsi="Verdana" w:cs="Arial"/>
          <w:snapToGrid w:val="0"/>
          <w:sz w:val="20"/>
          <w:szCs w:val="20"/>
        </w:rPr>
        <w:t xml:space="preserve"> tomará as medidas necessárias junto à INB no sentido de viabilizar a reposição dos </w:t>
      </w:r>
      <w:proofErr w:type="spellStart"/>
      <w:r w:rsidRPr="00AF56B9">
        <w:rPr>
          <w:rFonts w:ascii="Verdana" w:hAnsi="Verdana" w:cs="Arial"/>
          <w:snapToGrid w:val="0"/>
          <w:sz w:val="20"/>
          <w:szCs w:val="20"/>
        </w:rPr>
        <w:t>ECs</w:t>
      </w:r>
      <w:proofErr w:type="spellEnd"/>
      <w:r w:rsidRPr="00AF56B9">
        <w:rPr>
          <w:rFonts w:ascii="Verdana" w:hAnsi="Verdana" w:cs="Arial"/>
          <w:snapToGrid w:val="0"/>
          <w:sz w:val="20"/>
          <w:szCs w:val="20"/>
        </w:rPr>
        <w:t xml:space="preserve"> indisponíveis, em consonância com a </w:t>
      </w:r>
      <w:r>
        <w:rPr>
          <w:rFonts w:ascii="Verdana" w:hAnsi="Verdana" w:cs="Arial"/>
          <w:snapToGrid w:val="0"/>
          <w:sz w:val="20"/>
          <w:szCs w:val="20"/>
        </w:rPr>
        <w:t>cláusula de garantia do c</w:t>
      </w:r>
      <w:r w:rsidRPr="00AF56B9">
        <w:rPr>
          <w:rFonts w:ascii="Verdana" w:hAnsi="Verdana" w:cs="Arial"/>
          <w:snapToGrid w:val="0"/>
          <w:sz w:val="20"/>
          <w:szCs w:val="20"/>
        </w:rPr>
        <w:t>ontrato e entendendo que a causa raiz foi a falha no processo d</w:t>
      </w:r>
      <w:r>
        <w:rPr>
          <w:rFonts w:ascii="Verdana" w:hAnsi="Verdana" w:cs="Arial"/>
          <w:snapToGrid w:val="0"/>
          <w:sz w:val="20"/>
          <w:szCs w:val="20"/>
        </w:rPr>
        <w:t>e fabricação no que concerne a concentração de f</w:t>
      </w:r>
      <w:r w:rsidRPr="00AF56B9">
        <w:rPr>
          <w:rFonts w:ascii="Verdana" w:hAnsi="Verdana" w:cs="Arial"/>
          <w:snapToGrid w:val="0"/>
          <w:sz w:val="20"/>
          <w:szCs w:val="20"/>
        </w:rPr>
        <w:t xml:space="preserve">erro da liga do </w:t>
      </w:r>
      <w:proofErr w:type="spellStart"/>
      <w:r w:rsidRPr="00AF56B9">
        <w:rPr>
          <w:rFonts w:ascii="Verdana" w:hAnsi="Verdana" w:cs="Arial"/>
          <w:snapToGrid w:val="0"/>
          <w:sz w:val="20"/>
          <w:szCs w:val="20"/>
        </w:rPr>
        <w:t>encamisamento</w:t>
      </w:r>
      <w:proofErr w:type="spellEnd"/>
      <w:r w:rsidRPr="00AF56B9">
        <w:rPr>
          <w:rFonts w:ascii="Verdana" w:hAnsi="Verdana" w:cs="Arial"/>
          <w:snapToGrid w:val="0"/>
          <w:sz w:val="20"/>
          <w:szCs w:val="20"/>
        </w:rPr>
        <w:t xml:space="preserve"> das varetas dos </w:t>
      </w:r>
      <w:proofErr w:type="spellStart"/>
      <w:r w:rsidRPr="00AF56B9">
        <w:rPr>
          <w:rFonts w:ascii="Verdana" w:hAnsi="Verdana" w:cs="Arial"/>
          <w:snapToGrid w:val="0"/>
          <w:sz w:val="20"/>
          <w:szCs w:val="20"/>
        </w:rPr>
        <w:t>ECs</w:t>
      </w:r>
      <w:proofErr w:type="spellEnd"/>
      <w:r w:rsidRPr="00AF56B9">
        <w:rPr>
          <w:rFonts w:ascii="Verdana" w:hAnsi="Verdana" w:cs="Arial"/>
          <w:snapToGrid w:val="0"/>
          <w:sz w:val="20"/>
          <w:szCs w:val="20"/>
        </w:rPr>
        <w:t>.</w:t>
      </w:r>
    </w:p>
    <w:p w14:paraId="0856E0C8" w14:textId="77777777" w:rsidR="002517C1" w:rsidRDefault="002517C1" w:rsidP="002517C1">
      <w:pPr>
        <w:jc w:val="left"/>
        <w:rPr>
          <w:rFonts w:ascii="Verdana" w:hAnsi="Verdana"/>
          <w:color w:val="0D63B5"/>
          <w:sz w:val="20"/>
          <w:szCs w:val="20"/>
        </w:rPr>
      </w:pPr>
    </w:p>
    <w:p w14:paraId="70015756" w14:textId="77777777" w:rsidR="002517C1" w:rsidRDefault="002517C1" w:rsidP="002517C1">
      <w:pPr>
        <w:jc w:val="left"/>
        <w:rPr>
          <w:rFonts w:ascii="Verdana" w:hAnsi="Verdana"/>
          <w:color w:val="0D63B5"/>
          <w:sz w:val="20"/>
          <w:szCs w:val="20"/>
        </w:rPr>
      </w:pPr>
    </w:p>
    <w:p w14:paraId="5CF7B082" w14:textId="4840EF67" w:rsidR="002517C1" w:rsidRDefault="002517C1" w:rsidP="002517C1">
      <w:pPr>
        <w:jc w:val="left"/>
        <w:rPr>
          <w:rFonts w:ascii="Verdana" w:hAnsi="Verdana"/>
          <w:sz w:val="20"/>
          <w:szCs w:val="20"/>
          <w:bdr w:val="nil"/>
        </w:rPr>
      </w:pPr>
      <w:r w:rsidRPr="0070675F">
        <w:rPr>
          <w:rFonts w:ascii="Verdana" w:hAnsi="Verdana"/>
          <w:color w:val="0D63B5"/>
          <w:sz w:val="20"/>
          <w:szCs w:val="20"/>
        </w:rPr>
        <w:t>Prática contábil</w:t>
      </w:r>
      <w:r w:rsidRPr="0070675F">
        <w:rPr>
          <w:rFonts w:ascii="Verdana" w:hAnsi="Verdana"/>
          <w:sz w:val="20"/>
          <w:szCs w:val="20"/>
          <w:bdr w:val="nil"/>
        </w:rPr>
        <w:t xml:space="preserve"> </w:t>
      </w:r>
      <w:r>
        <w:rPr>
          <w:rFonts w:ascii="Verdana" w:hAnsi="Verdana"/>
          <w:sz w:val="20"/>
          <w:szCs w:val="20"/>
          <w:bdr w:val="nil"/>
        </w:rPr>
        <w:t xml:space="preserve"> </w:t>
      </w:r>
    </w:p>
    <w:p w14:paraId="253B59AC" w14:textId="77777777" w:rsidR="002517C1" w:rsidRDefault="002517C1" w:rsidP="002517C1">
      <w:pPr>
        <w:jc w:val="center"/>
        <w:rPr>
          <w:sz w:val="20"/>
          <w:szCs w:val="20"/>
        </w:rPr>
      </w:pPr>
    </w:p>
    <w:p w14:paraId="70EBEB48" w14:textId="77777777" w:rsidR="002517C1" w:rsidRDefault="002517C1" w:rsidP="002517C1">
      <w:pPr>
        <w:pStyle w:val="PargrafodaLista"/>
        <w:ind w:left="0"/>
        <w:rPr>
          <w:rFonts w:ascii="Verdana" w:hAnsi="Verdana"/>
          <w:sz w:val="20"/>
          <w:szCs w:val="20"/>
          <w:bdr w:val="nil"/>
        </w:rPr>
      </w:pPr>
      <w:r w:rsidRPr="00850479">
        <w:rPr>
          <w:rFonts w:ascii="Verdana" w:hAnsi="Verdana"/>
          <w:sz w:val="20"/>
          <w:szCs w:val="20"/>
          <w:bdr w:val="nil"/>
        </w:rPr>
        <w:t xml:space="preserve">Os materiais em estoque de combustível são classificados no ativo circulante e </w:t>
      </w:r>
      <w:r>
        <w:rPr>
          <w:rFonts w:ascii="Verdana" w:hAnsi="Verdana"/>
          <w:sz w:val="20"/>
          <w:szCs w:val="20"/>
          <w:bdr w:val="nil"/>
        </w:rPr>
        <w:t>não circulante</w:t>
      </w:r>
      <w:r w:rsidRPr="00850479">
        <w:rPr>
          <w:rFonts w:ascii="Verdana" w:hAnsi="Verdana"/>
          <w:sz w:val="20"/>
          <w:szCs w:val="20"/>
          <w:bdr w:val="nil"/>
        </w:rPr>
        <w:t xml:space="preserve">, de acordo </w:t>
      </w:r>
      <w:r w:rsidRPr="00090E03">
        <w:rPr>
          <w:rFonts w:ascii="Verdana" w:hAnsi="Verdana"/>
          <w:sz w:val="20"/>
          <w:szCs w:val="20"/>
          <w:bdr w:val="nil"/>
        </w:rPr>
        <w:t xml:space="preserve">com o prazo efetivo de consumo. </w:t>
      </w:r>
      <w:r>
        <w:rPr>
          <w:rFonts w:ascii="Verdana" w:hAnsi="Verdana"/>
          <w:sz w:val="20"/>
          <w:szCs w:val="20"/>
          <w:bdr w:val="nil"/>
        </w:rPr>
        <w:t>São apresentados</w:t>
      </w:r>
      <w:r w:rsidRPr="00090E03">
        <w:rPr>
          <w:rFonts w:ascii="Verdana" w:hAnsi="Verdana"/>
          <w:sz w:val="20"/>
          <w:szCs w:val="20"/>
          <w:bdr w:val="nil"/>
        </w:rPr>
        <w:t xml:space="preserve"> ao custo médio de aquisição</w:t>
      </w:r>
      <w:r>
        <w:rPr>
          <w:rFonts w:ascii="Verdana" w:hAnsi="Verdana"/>
          <w:sz w:val="20"/>
          <w:szCs w:val="20"/>
          <w:bdr w:val="nil"/>
        </w:rPr>
        <w:t xml:space="preserve"> ou pelo</w:t>
      </w:r>
      <w:r w:rsidRPr="00090E03">
        <w:rPr>
          <w:rFonts w:ascii="Verdana" w:hAnsi="Verdana"/>
          <w:sz w:val="20"/>
          <w:szCs w:val="20"/>
          <w:bdr w:val="nil"/>
        </w:rPr>
        <w:t xml:space="preserve"> valor líquido de </w:t>
      </w:r>
      <w:r>
        <w:rPr>
          <w:rFonts w:ascii="Verdana" w:hAnsi="Verdana"/>
          <w:sz w:val="20"/>
          <w:szCs w:val="20"/>
          <w:bdr w:val="nil"/>
        </w:rPr>
        <w:t xml:space="preserve">mercado / </w:t>
      </w:r>
      <w:r w:rsidRPr="00090E03">
        <w:rPr>
          <w:rFonts w:ascii="Verdana" w:hAnsi="Verdana"/>
          <w:sz w:val="20"/>
          <w:szCs w:val="20"/>
          <w:bdr w:val="nil"/>
        </w:rPr>
        <w:t>realização, dos dois o menor. Os e</w:t>
      </w:r>
      <w:r w:rsidRPr="00090E03">
        <w:rPr>
          <w:rFonts w:ascii="Verdana" w:hAnsi="Verdana" w:cs="Arial"/>
          <w:sz w:val="20"/>
          <w:szCs w:val="20"/>
        </w:rPr>
        <w:t xml:space="preserve">lementos de combustível </w:t>
      </w:r>
      <w:proofErr w:type="gramStart"/>
      <w:r w:rsidRPr="00090E03">
        <w:rPr>
          <w:rFonts w:ascii="Verdana" w:hAnsi="Verdana" w:cs="Arial"/>
          <w:sz w:val="20"/>
          <w:szCs w:val="20"/>
        </w:rPr>
        <w:t>nuclear  estão</w:t>
      </w:r>
      <w:proofErr w:type="gramEnd"/>
      <w:r w:rsidRPr="00090E03">
        <w:rPr>
          <w:rFonts w:ascii="Verdana" w:hAnsi="Verdana" w:cs="Arial"/>
          <w:sz w:val="20"/>
          <w:szCs w:val="20"/>
        </w:rPr>
        <w:t xml:space="preserve"> disponíveis no núcleo do reator e no estoque da Piscina de Combustível Usado – PCU; são apropriados ao resultado do exercício em função da sua utilização no processo da geração de energia elétrica. O estoque de combustível é composto</w:t>
      </w:r>
      <w:r w:rsidRPr="00090E03">
        <w:rPr>
          <w:rFonts w:ascii="Verdana" w:hAnsi="Verdana"/>
          <w:sz w:val="20"/>
          <w:szCs w:val="20"/>
          <w:bdr w:val="nil"/>
        </w:rPr>
        <w:t xml:space="preserve"> pelo concentrado de urânio em estoque, os serviços correspondentes e os elementos de combustível nuclear utilizados nas Usinas Angra 1 e Angra 2.</w:t>
      </w:r>
    </w:p>
    <w:p w14:paraId="4AB2A694" w14:textId="77777777" w:rsidR="00E5652F" w:rsidRDefault="00E5652F" w:rsidP="00BB4B4A">
      <w:pPr>
        <w:pStyle w:val="PargrafodaLista"/>
        <w:ind w:left="0"/>
        <w:rPr>
          <w:rFonts w:ascii="Verdana" w:hAnsi="Verdana"/>
          <w:sz w:val="20"/>
          <w:szCs w:val="20"/>
          <w:bdr w:val="nil"/>
        </w:rPr>
      </w:pPr>
    </w:p>
    <w:p w14:paraId="42AD6664" w14:textId="0C3EC42B" w:rsidR="00A52B4B" w:rsidRDefault="00A52B4B" w:rsidP="00BB4B4A">
      <w:pPr>
        <w:pStyle w:val="PargrafodaLista"/>
        <w:ind w:left="0"/>
        <w:rPr>
          <w:rFonts w:ascii="Verdana" w:hAnsi="Verdana"/>
          <w:sz w:val="20"/>
          <w:szCs w:val="20"/>
          <w:bdr w:val="nil"/>
        </w:rPr>
      </w:pPr>
    </w:p>
    <w:p w14:paraId="5EF84B9C" w14:textId="77777777" w:rsidR="005055FA" w:rsidRDefault="005055FA" w:rsidP="00BB4B4A">
      <w:pPr>
        <w:pStyle w:val="PargrafodaLista"/>
        <w:ind w:left="0"/>
        <w:rPr>
          <w:rFonts w:ascii="Verdana" w:hAnsi="Verdana"/>
          <w:sz w:val="20"/>
          <w:szCs w:val="20"/>
          <w:bdr w:val="nil"/>
        </w:rPr>
      </w:pPr>
    </w:p>
    <w:p w14:paraId="113DD004" w14:textId="77777777" w:rsidR="00F10F8A" w:rsidRPr="00C534F4" w:rsidRDefault="00F10F8A" w:rsidP="00F10F8A">
      <w:pPr>
        <w:tabs>
          <w:tab w:val="left" w:pos="567"/>
          <w:tab w:val="left" w:pos="1134"/>
          <w:tab w:val="left" w:pos="1701"/>
          <w:tab w:val="left" w:pos="2268"/>
          <w:tab w:val="left" w:pos="2835"/>
        </w:tabs>
        <w:outlineLvl w:val="0"/>
        <w:rPr>
          <w:rStyle w:val="Ttulo5Char"/>
          <w:rFonts w:ascii="Verdana" w:hAnsi="Verdana"/>
          <w:color w:val="0D63B5"/>
          <w:sz w:val="20"/>
          <w:szCs w:val="20"/>
        </w:rPr>
      </w:pPr>
      <w:r w:rsidRPr="00C534F4">
        <w:rPr>
          <w:rStyle w:val="Ttulo5Char"/>
          <w:rFonts w:ascii="Verdana" w:hAnsi="Verdana"/>
          <w:color w:val="0D63B5"/>
          <w:sz w:val="20"/>
          <w:szCs w:val="20"/>
        </w:rPr>
        <w:t xml:space="preserve">NOTA 12 – ALMOXARIFADO </w:t>
      </w:r>
    </w:p>
    <w:p w14:paraId="0B61DA16" w14:textId="77777777" w:rsidR="009C55E6" w:rsidRPr="009C55E6" w:rsidRDefault="009C55E6" w:rsidP="00F10F8A">
      <w:pPr>
        <w:tabs>
          <w:tab w:val="left" w:pos="567"/>
          <w:tab w:val="left" w:pos="1134"/>
          <w:tab w:val="left" w:pos="1701"/>
          <w:tab w:val="left" w:pos="2268"/>
          <w:tab w:val="left" w:pos="2835"/>
        </w:tabs>
        <w:outlineLvl w:val="0"/>
        <w:rPr>
          <w:rStyle w:val="Ttulo5Char"/>
          <w:rFonts w:ascii="Verdana" w:hAnsi="Verdana"/>
          <w:color w:val="0D63B5"/>
          <w:sz w:val="20"/>
          <w:szCs w:val="20"/>
        </w:rPr>
      </w:pPr>
    </w:p>
    <w:bookmarkEnd w:id="15"/>
    <w:p w14:paraId="28C7992B" w14:textId="77777777" w:rsidR="002517C1" w:rsidRDefault="002517C1" w:rsidP="002517C1">
      <w:pPr>
        <w:rPr>
          <w:rFonts w:ascii="Verdana" w:hAnsi="Verdana"/>
          <w:sz w:val="20"/>
          <w:szCs w:val="20"/>
        </w:rPr>
      </w:pPr>
      <w:r>
        <w:rPr>
          <w:rFonts w:ascii="Verdana" w:hAnsi="Verdana"/>
          <w:sz w:val="20"/>
          <w:szCs w:val="20"/>
        </w:rPr>
        <w:t>Em 31 de dezembro de 2021, o saldo do almoxarifado é composto por materiais utilizados para consumo das Usinas, no montante de R$ 254.424 (R$ 165.067 em 31 de dezembro de 2020) no curto prazo, assim como, os adiantamentos efetuados a fornecedores para a aquisição dos correspondentes materiais, no montante de R$ 18.249 (R$ 18.239 em 31 de dezembro de 2020), totalizando R$ 272.673 (R$ 183.306 em 31 de dezembro de 2020).</w:t>
      </w:r>
    </w:p>
    <w:p w14:paraId="0C4BDFDD" w14:textId="77777777" w:rsidR="002517C1" w:rsidRDefault="002517C1" w:rsidP="002517C1">
      <w:pPr>
        <w:rPr>
          <w:rFonts w:ascii="Arial" w:hAnsi="Arial" w:cs="Arial"/>
          <w:lang w:eastAsia="en-GB"/>
        </w:rPr>
      </w:pPr>
    </w:p>
    <w:p w14:paraId="55D7E193" w14:textId="77777777" w:rsidR="002517C1" w:rsidRPr="00850479" w:rsidRDefault="002517C1" w:rsidP="002517C1">
      <w:pPr>
        <w:rPr>
          <w:rFonts w:ascii="Arial" w:hAnsi="Arial" w:cs="Arial"/>
          <w:lang w:eastAsia="en-GB"/>
        </w:rPr>
      </w:pPr>
    </w:p>
    <w:p w14:paraId="55F59865" w14:textId="77777777" w:rsidR="002517C1" w:rsidRPr="00DB0654" w:rsidRDefault="002517C1" w:rsidP="002517C1">
      <w:pPr>
        <w:rPr>
          <w:rFonts w:ascii="Verdana" w:hAnsi="Verdana"/>
          <w:color w:val="0D63B5"/>
          <w:sz w:val="20"/>
          <w:szCs w:val="20"/>
        </w:rPr>
      </w:pPr>
      <w:r w:rsidRPr="00DB0654">
        <w:rPr>
          <w:rFonts w:ascii="Verdana" w:hAnsi="Verdana"/>
          <w:color w:val="0D63B5"/>
          <w:sz w:val="20"/>
          <w:szCs w:val="20"/>
        </w:rPr>
        <w:t>Prática contábil</w:t>
      </w:r>
    </w:p>
    <w:p w14:paraId="49E44C48" w14:textId="77777777" w:rsidR="002517C1" w:rsidRPr="00DB0654" w:rsidRDefault="002517C1" w:rsidP="002517C1">
      <w:pPr>
        <w:rPr>
          <w:rFonts w:ascii="Verdana" w:hAnsi="Verdana"/>
          <w:sz w:val="20"/>
          <w:szCs w:val="20"/>
        </w:rPr>
      </w:pPr>
    </w:p>
    <w:p w14:paraId="564F4E15" w14:textId="77777777" w:rsidR="002517C1" w:rsidRPr="006C2396" w:rsidRDefault="002517C1" w:rsidP="002517C1">
      <w:pPr>
        <w:pStyle w:val="Corpodetexto"/>
        <w:rPr>
          <w:rFonts w:ascii="Arial" w:hAnsi="Arial" w:cs="Arial"/>
          <w:highlight w:val="yellow"/>
        </w:rPr>
      </w:pPr>
      <w:r>
        <w:rPr>
          <w:rFonts w:ascii="Verdana" w:hAnsi="Verdana"/>
          <w:lang w:val="pt-BR"/>
        </w:rPr>
        <w:t xml:space="preserve">O Almoxarifado, classificado no </w:t>
      </w:r>
      <w:proofErr w:type="gramStart"/>
      <w:r>
        <w:rPr>
          <w:rFonts w:ascii="Verdana" w:hAnsi="Verdana"/>
          <w:lang w:val="pt-BR"/>
        </w:rPr>
        <w:t>ativo  circulante</w:t>
      </w:r>
      <w:proofErr w:type="gramEnd"/>
      <w:r>
        <w:rPr>
          <w:rFonts w:ascii="Verdana" w:hAnsi="Verdana"/>
          <w:lang w:val="pt-BR"/>
        </w:rPr>
        <w:t>, está registrado ao custo médio de aquisição, que não excede o valor de mercado / realização.</w:t>
      </w:r>
    </w:p>
    <w:p w14:paraId="1111FB7C" w14:textId="5214F1E3" w:rsidR="00933A30" w:rsidRDefault="00933A30" w:rsidP="00693E93">
      <w:pPr>
        <w:widowControl w:val="0"/>
        <w:autoSpaceDE w:val="0"/>
        <w:autoSpaceDN w:val="0"/>
        <w:jc w:val="left"/>
        <w:rPr>
          <w:rStyle w:val="Ttulo5Char"/>
          <w:rFonts w:ascii="Verdana" w:hAnsi="Verdana"/>
          <w:bCs/>
          <w:color w:val="0D63B5"/>
          <w:sz w:val="20"/>
          <w:szCs w:val="20"/>
        </w:rPr>
      </w:pPr>
    </w:p>
    <w:p w14:paraId="0890781F" w14:textId="60CFC338" w:rsidR="00933A30" w:rsidRDefault="00933A30" w:rsidP="00693E93">
      <w:pPr>
        <w:widowControl w:val="0"/>
        <w:autoSpaceDE w:val="0"/>
        <w:autoSpaceDN w:val="0"/>
        <w:jc w:val="left"/>
        <w:rPr>
          <w:rStyle w:val="Ttulo5Char"/>
          <w:rFonts w:ascii="Verdana" w:hAnsi="Verdana"/>
          <w:bCs/>
          <w:color w:val="0D63B5"/>
          <w:sz w:val="20"/>
          <w:szCs w:val="20"/>
        </w:rPr>
      </w:pPr>
    </w:p>
    <w:p w14:paraId="1D81345B" w14:textId="76419ACE" w:rsidR="00971E11" w:rsidRDefault="00971E11" w:rsidP="00693E93">
      <w:pPr>
        <w:widowControl w:val="0"/>
        <w:autoSpaceDE w:val="0"/>
        <w:autoSpaceDN w:val="0"/>
        <w:jc w:val="left"/>
        <w:rPr>
          <w:rStyle w:val="Ttulo5Char"/>
          <w:rFonts w:ascii="Verdana" w:hAnsi="Verdana"/>
          <w:bCs/>
          <w:color w:val="0D63B5"/>
          <w:sz w:val="20"/>
          <w:szCs w:val="20"/>
        </w:rPr>
      </w:pPr>
    </w:p>
    <w:p w14:paraId="4DDCD35C" w14:textId="0CBCA791" w:rsidR="00971E11" w:rsidRDefault="00971E11" w:rsidP="00693E93">
      <w:pPr>
        <w:widowControl w:val="0"/>
        <w:autoSpaceDE w:val="0"/>
        <w:autoSpaceDN w:val="0"/>
        <w:jc w:val="left"/>
        <w:rPr>
          <w:rStyle w:val="Ttulo5Char"/>
          <w:rFonts w:ascii="Verdana" w:hAnsi="Verdana"/>
          <w:bCs/>
          <w:color w:val="0D63B5"/>
          <w:sz w:val="20"/>
          <w:szCs w:val="20"/>
        </w:rPr>
      </w:pPr>
    </w:p>
    <w:p w14:paraId="3C752909" w14:textId="188AAF05" w:rsidR="00971E11" w:rsidRDefault="00971E11" w:rsidP="00693E93">
      <w:pPr>
        <w:widowControl w:val="0"/>
        <w:autoSpaceDE w:val="0"/>
        <w:autoSpaceDN w:val="0"/>
        <w:jc w:val="left"/>
        <w:rPr>
          <w:rStyle w:val="Ttulo5Char"/>
          <w:rFonts w:ascii="Verdana" w:hAnsi="Verdana"/>
          <w:bCs/>
          <w:color w:val="0D63B5"/>
          <w:sz w:val="20"/>
          <w:szCs w:val="20"/>
        </w:rPr>
      </w:pPr>
    </w:p>
    <w:p w14:paraId="1B6912CF" w14:textId="2584F4FF" w:rsidR="00971E11" w:rsidRDefault="00971E11" w:rsidP="00693E93">
      <w:pPr>
        <w:widowControl w:val="0"/>
        <w:autoSpaceDE w:val="0"/>
        <w:autoSpaceDN w:val="0"/>
        <w:jc w:val="left"/>
        <w:rPr>
          <w:rStyle w:val="Ttulo5Char"/>
          <w:rFonts w:ascii="Verdana" w:hAnsi="Verdana"/>
          <w:bCs/>
          <w:color w:val="0D63B5"/>
          <w:sz w:val="20"/>
          <w:szCs w:val="20"/>
        </w:rPr>
      </w:pPr>
    </w:p>
    <w:p w14:paraId="78B7A124" w14:textId="1AACE322" w:rsidR="00971E11" w:rsidRDefault="00971E11" w:rsidP="00693E93">
      <w:pPr>
        <w:widowControl w:val="0"/>
        <w:autoSpaceDE w:val="0"/>
        <w:autoSpaceDN w:val="0"/>
        <w:jc w:val="left"/>
        <w:rPr>
          <w:rStyle w:val="Ttulo5Char"/>
          <w:rFonts w:ascii="Verdana" w:hAnsi="Verdana"/>
          <w:bCs/>
          <w:color w:val="0D63B5"/>
          <w:sz w:val="20"/>
          <w:szCs w:val="20"/>
        </w:rPr>
      </w:pPr>
    </w:p>
    <w:p w14:paraId="75923C61" w14:textId="484AFD69" w:rsidR="00971E11" w:rsidRDefault="00971E11" w:rsidP="00693E93">
      <w:pPr>
        <w:widowControl w:val="0"/>
        <w:autoSpaceDE w:val="0"/>
        <w:autoSpaceDN w:val="0"/>
        <w:jc w:val="left"/>
        <w:rPr>
          <w:rStyle w:val="Ttulo5Char"/>
          <w:rFonts w:ascii="Verdana" w:hAnsi="Verdana"/>
          <w:bCs/>
          <w:color w:val="0D63B5"/>
          <w:sz w:val="20"/>
          <w:szCs w:val="20"/>
        </w:rPr>
      </w:pPr>
    </w:p>
    <w:p w14:paraId="7FE87923" w14:textId="074AB660" w:rsidR="00971E11" w:rsidRDefault="00971E11" w:rsidP="00693E93">
      <w:pPr>
        <w:widowControl w:val="0"/>
        <w:autoSpaceDE w:val="0"/>
        <w:autoSpaceDN w:val="0"/>
        <w:jc w:val="left"/>
        <w:rPr>
          <w:rStyle w:val="Ttulo5Char"/>
          <w:rFonts w:ascii="Verdana" w:hAnsi="Verdana"/>
          <w:bCs/>
          <w:color w:val="0D63B5"/>
          <w:sz w:val="20"/>
          <w:szCs w:val="20"/>
        </w:rPr>
      </w:pPr>
    </w:p>
    <w:p w14:paraId="58433B9E" w14:textId="5C8BC454" w:rsidR="00971E11" w:rsidRDefault="00971E11" w:rsidP="00693E93">
      <w:pPr>
        <w:widowControl w:val="0"/>
        <w:autoSpaceDE w:val="0"/>
        <w:autoSpaceDN w:val="0"/>
        <w:jc w:val="left"/>
        <w:rPr>
          <w:rStyle w:val="Ttulo5Char"/>
          <w:rFonts w:ascii="Verdana" w:hAnsi="Verdana"/>
          <w:bCs/>
          <w:color w:val="0D63B5"/>
          <w:sz w:val="20"/>
          <w:szCs w:val="20"/>
        </w:rPr>
      </w:pPr>
    </w:p>
    <w:p w14:paraId="78F7B37D" w14:textId="2E90557C" w:rsidR="00971E11" w:rsidRDefault="00971E11" w:rsidP="00693E93">
      <w:pPr>
        <w:widowControl w:val="0"/>
        <w:autoSpaceDE w:val="0"/>
        <w:autoSpaceDN w:val="0"/>
        <w:jc w:val="left"/>
        <w:rPr>
          <w:rStyle w:val="Ttulo5Char"/>
          <w:rFonts w:ascii="Verdana" w:hAnsi="Verdana"/>
          <w:bCs/>
          <w:color w:val="0D63B5"/>
          <w:sz w:val="20"/>
          <w:szCs w:val="20"/>
        </w:rPr>
      </w:pPr>
    </w:p>
    <w:p w14:paraId="722C42C5" w14:textId="2968D564" w:rsidR="00971E11" w:rsidRDefault="00971E11" w:rsidP="00693E93">
      <w:pPr>
        <w:widowControl w:val="0"/>
        <w:autoSpaceDE w:val="0"/>
        <w:autoSpaceDN w:val="0"/>
        <w:jc w:val="left"/>
        <w:rPr>
          <w:rStyle w:val="Ttulo5Char"/>
          <w:rFonts w:ascii="Verdana" w:hAnsi="Verdana"/>
          <w:bCs/>
          <w:color w:val="0D63B5"/>
          <w:sz w:val="20"/>
          <w:szCs w:val="20"/>
        </w:rPr>
      </w:pPr>
    </w:p>
    <w:p w14:paraId="35CF33B9" w14:textId="5218F5A6" w:rsidR="00971E11" w:rsidRDefault="00971E11" w:rsidP="00693E93">
      <w:pPr>
        <w:widowControl w:val="0"/>
        <w:autoSpaceDE w:val="0"/>
        <w:autoSpaceDN w:val="0"/>
        <w:jc w:val="left"/>
        <w:rPr>
          <w:rStyle w:val="Ttulo5Char"/>
          <w:rFonts w:ascii="Verdana" w:hAnsi="Verdana"/>
          <w:bCs/>
          <w:color w:val="0D63B5"/>
          <w:sz w:val="20"/>
          <w:szCs w:val="20"/>
        </w:rPr>
      </w:pPr>
    </w:p>
    <w:p w14:paraId="2294B30E" w14:textId="77777777" w:rsidR="00971E11" w:rsidRDefault="00971E11" w:rsidP="00693E93">
      <w:pPr>
        <w:widowControl w:val="0"/>
        <w:autoSpaceDE w:val="0"/>
        <w:autoSpaceDN w:val="0"/>
        <w:jc w:val="left"/>
        <w:rPr>
          <w:rStyle w:val="Ttulo5Char"/>
          <w:rFonts w:ascii="Verdana" w:hAnsi="Verdana"/>
          <w:bCs/>
          <w:color w:val="0D63B5"/>
          <w:sz w:val="20"/>
          <w:szCs w:val="20"/>
        </w:rPr>
      </w:pPr>
    </w:p>
    <w:p w14:paraId="6CD113D9" w14:textId="77777777" w:rsidR="00EF570B" w:rsidRDefault="00EF570B" w:rsidP="00693E93">
      <w:pPr>
        <w:widowControl w:val="0"/>
        <w:autoSpaceDE w:val="0"/>
        <w:autoSpaceDN w:val="0"/>
        <w:jc w:val="left"/>
        <w:rPr>
          <w:rStyle w:val="Ttulo5Char"/>
          <w:rFonts w:ascii="Verdana" w:hAnsi="Verdana"/>
          <w:bCs/>
          <w:color w:val="0D63B5"/>
          <w:sz w:val="20"/>
          <w:szCs w:val="20"/>
        </w:rPr>
      </w:pPr>
    </w:p>
    <w:p w14:paraId="2BF369F0" w14:textId="77777777" w:rsidR="008729BF" w:rsidRPr="00FA715B" w:rsidRDefault="00A54D01" w:rsidP="00C534F4">
      <w:pPr>
        <w:tabs>
          <w:tab w:val="left" w:pos="567"/>
          <w:tab w:val="left" w:pos="1134"/>
          <w:tab w:val="left" w:pos="1701"/>
          <w:tab w:val="left" w:pos="2268"/>
          <w:tab w:val="left" w:pos="2835"/>
        </w:tabs>
        <w:outlineLvl w:val="0"/>
        <w:rPr>
          <w:rStyle w:val="Ttulo5Char"/>
          <w:rFonts w:ascii="Verdana" w:hAnsi="Verdana"/>
          <w:bCs/>
          <w:color w:val="0D63B5"/>
          <w:sz w:val="20"/>
          <w:szCs w:val="20"/>
        </w:rPr>
      </w:pPr>
      <w:r w:rsidRPr="00FA715B">
        <w:rPr>
          <w:rStyle w:val="Ttulo5Char"/>
          <w:rFonts w:ascii="Verdana" w:hAnsi="Verdana"/>
          <w:bCs/>
          <w:color w:val="0D63B5"/>
          <w:sz w:val="20"/>
          <w:szCs w:val="20"/>
        </w:rPr>
        <w:lastRenderedPageBreak/>
        <w:t>NOTA 1</w:t>
      </w:r>
      <w:r w:rsidR="00F1790B">
        <w:rPr>
          <w:rStyle w:val="Ttulo5Char"/>
          <w:rFonts w:ascii="Verdana" w:hAnsi="Verdana"/>
          <w:bCs/>
          <w:color w:val="0D63B5"/>
          <w:sz w:val="20"/>
          <w:szCs w:val="20"/>
        </w:rPr>
        <w:t>3</w:t>
      </w:r>
      <w:r w:rsidRPr="00FA715B">
        <w:rPr>
          <w:rStyle w:val="Ttulo5Char"/>
          <w:rFonts w:ascii="Verdana" w:hAnsi="Verdana"/>
          <w:bCs/>
          <w:color w:val="0D63B5"/>
          <w:sz w:val="20"/>
          <w:szCs w:val="20"/>
        </w:rPr>
        <w:t xml:space="preserve"> – OUTROS ATIVOS</w:t>
      </w:r>
    </w:p>
    <w:p w14:paraId="3433EAA3" w14:textId="77777777" w:rsidR="00A54D01" w:rsidRPr="00FD016C" w:rsidRDefault="00AA3188" w:rsidP="008729BF">
      <w:pPr>
        <w:jc w:val="center"/>
        <w:rPr>
          <w:rFonts w:ascii="Verdana" w:hAnsi="Verdana" w:cs="Arial"/>
          <w:b/>
          <w:sz w:val="20"/>
          <w:szCs w:val="20"/>
        </w:rPr>
      </w:pPr>
      <w:r w:rsidRPr="00AA3188">
        <w:rPr>
          <w:noProof/>
        </w:rPr>
        <w:drawing>
          <wp:inline distT="0" distB="0" distL="0" distR="0" wp14:anchorId="59CE47B4" wp14:editId="14619FAB">
            <wp:extent cx="4376780" cy="1954368"/>
            <wp:effectExtent l="0" t="0" r="5080" b="825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95943" cy="1962925"/>
                    </a:xfrm>
                    <a:prstGeom prst="rect">
                      <a:avLst/>
                    </a:prstGeom>
                    <a:noFill/>
                    <a:ln>
                      <a:noFill/>
                    </a:ln>
                  </pic:spPr>
                </pic:pic>
              </a:graphicData>
            </a:graphic>
          </wp:inline>
        </w:drawing>
      </w:r>
    </w:p>
    <w:p w14:paraId="46BD4FDF" w14:textId="77777777" w:rsidR="00A54D01" w:rsidRPr="00FD016C" w:rsidRDefault="00A54D01" w:rsidP="008729BF">
      <w:pPr>
        <w:jc w:val="center"/>
        <w:rPr>
          <w:rFonts w:ascii="Verdana" w:hAnsi="Verdana" w:cs="Arial"/>
          <w:b/>
          <w:sz w:val="20"/>
          <w:szCs w:val="20"/>
        </w:rPr>
      </w:pPr>
    </w:p>
    <w:p w14:paraId="19DBE2EB" w14:textId="77777777" w:rsidR="005A3BE3" w:rsidRDefault="005A3BE3" w:rsidP="00A32321">
      <w:pPr>
        <w:pStyle w:val="PargrafodaLista"/>
        <w:widowControl w:val="0"/>
        <w:numPr>
          <w:ilvl w:val="0"/>
          <w:numId w:val="25"/>
        </w:numPr>
        <w:autoSpaceDE w:val="0"/>
        <w:autoSpaceDN w:val="0"/>
        <w:ind w:left="284" w:hanging="284"/>
        <w:jc w:val="left"/>
        <w:rPr>
          <w:rFonts w:ascii="Verdana" w:hAnsi="Verdana" w:cs="Arial"/>
          <w:sz w:val="20"/>
          <w:szCs w:val="20"/>
        </w:rPr>
      </w:pPr>
      <w:r w:rsidRPr="0060540D">
        <w:rPr>
          <w:rFonts w:ascii="Verdana" w:hAnsi="Verdana" w:cs="Arial"/>
          <w:sz w:val="20"/>
          <w:szCs w:val="20"/>
        </w:rPr>
        <w:t xml:space="preserve">Veja detalhes sobre as transações com partes relacionadas na </w:t>
      </w:r>
      <w:r>
        <w:rPr>
          <w:rFonts w:ascii="Verdana" w:hAnsi="Verdana" w:cs="Arial"/>
          <w:sz w:val="20"/>
          <w:szCs w:val="20"/>
        </w:rPr>
        <w:t>nota 3</w:t>
      </w:r>
      <w:r w:rsidR="00D55C12">
        <w:rPr>
          <w:rFonts w:ascii="Verdana" w:hAnsi="Verdana" w:cs="Arial"/>
          <w:sz w:val="20"/>
          <w:szCs w:val="20"/>
        </w:rPr>
        <w:t>6.</w:t>
      </w:r>
    </w:p>
    <w:p w14:paraId="239D1B54" w14:textId="0144DB11" w:rsidR="00934016" w:rsidRDefault="00934016" w:rsidP="005E4A4C">
      <w:pPr>
        <w:widowControl w:val="0"/>
        <w:autoSpaceDE w:val="0"/>
        <w:autoSpaceDN w:val="0"/>
        <w:jc w:val="left"/>
        <w:rPr>
          <w:rFonts w:ascii="Verdana" w:hAnsi="Verdana" w:cs="Arial"/>
          <w:sz w:val="20"/>
          <w:szCs w:val="20"/>
        </w:rPr>
      </w:pPr>
    </w:p>
    <w:p w14:paraId="4994C369" w14:textId="77777777" w:rsidR="005055FA" w:rsidRDefault="005055FA" w:rsidP="005E4A4C">
      <w:pPr>
        <w:widowControl w:val="0"/>
        <w:autoSpaceDE w:val="0"/>
        <w:autoSpaceDN w:val="0"/>
        <w:jc w:val="left"/>
        <w:rPr>
          <w:rFonts w:ascii="Verdana" w:hAnsi="Verdana" w:cs="Arial"/>
          <w:sz w:val="20"/>
          <w:szCs w:val="20"/>
        </w:rPr>
      </w:pPr>
    </w:p>
    <w:p w14:paraId="5FD27E15" w14:textId="77777777" w:rsidR="0081635C" w:rsidRPr="005E4A4C" w:rsidRDefault="0081635C" w:rsidP="005E4A4C">
      <w:pPr>
        <w:widowControl w:val="0"/>
        <w:autoSpaceDE w:val="0"/>
        <w:autoSpaceDN w:val="0"/>
        <w:jc w:val="left"/>
        <w:rPr>
          <w:rFonts w:ascii="Verdana" w:hAnsi="Verdana" w:cs="Arial"/>
          <w:sz w:val="20"/>
          <w:szCs w:val="20"/>
        </w:rPr>
      </w:pPr>
    </w:p>
    <w:p w14:paraId="4E1CA773" w14:textId="77777777" w:rsidR="001C0D4C" w:rsidRPr="005A2364" w:rsidRDefault="001C0D4C" w:rsidP="00693E93">
      <w:pPr>
        <w:widowControl w:val="0"/>
        <w:autoSpaceDE w:val="0"/>
        <w:autoSpaceDN w:val="0"/>
        <w:jc w:val="left"/>
        <w:rPr>
          <w:color w:val="0D63B5"/>
          <w:sz w:val="20"/>
          <w:szCs w:val="20"/>
        </w:rPr>
      </w:pPr>
      <w:r w:rsidRPr="005A2364">
        <w:rPr>
          <w:rStyle w:val="Ttulo5Char"/>
          <w:rFonts w:ascii="Verdana" w:hAnsi="Verdana"/>
          <w:color w:val="0D63B5"/>
          <w:sz w:val="20"/>
          <w:szCs w:val="20"/>
        </w:rPr>
        <w:t xml:space="preserve">NOTA </w:t>
      </w:r>
      <w:r w:rsidR="005A2364">
        <w:rPr>
          <w:rStyle w:val="Ttulo5Char"/>
          <w:rFonts w:ascii="Verdana" w:hAnsi="Verdana"/>
          <w:color w:val="0D63B5"/>
          <w:sz w:val="20"/>
          <w:szCs w:val="20"/>
        </w:rPr>
        <w:t>14</w:t>
      </w:r>
      <w:r w:rsidRPr="005A2364">
        <w:rPr>
          <w:rStyle w:val="Ttulo5Char"/>
          <w:rFonts w:ascii="Verdana" w:hAnsi="Verdana"/>
          <w:color w:val="0D63B5"/>
          <w:sz w:val="20"/>
          <w:szCs w:val="20"/>
        </w:rPr>
        <w:t xml:space="preserve"> – </w:t>
      </w:r>
      <w:r w:rsidR="00C84613" w:rsidRPr="005A2364">
        <w:rPr>
          <w:rStyle w:val="Ttulo5Char"/>
          <w:rFonts w:ascii="Verdana" w:hAnsi="Verdana"/>
          <w:color w:val="0D63B5"/>
          <w:sz w:val="20"/>
          <w:szCs w:val="20"/>
        </w:rPr>
        <w:t>TÍTULOS E VALORES MOBILIÁRIOS</w:t>
      </w:r>
      <w:r w:rsidR="0043174A" w:rsidRPr="005A2364">
        <w:rPr>
          <w:rStyle w:val="Ttulo5Char"/>
          <w:rFonts w:ascii="Verdana" w:hAnsi="Verdana"/>
          <w:color w:val="0D63B5"/>
          <w:sz w:val="20"/>
          <w:szCs w:val="20"/>
        </w:rPr>
        <w:t xml:space="preserve"> – NÃO CIRCULANTE</w:t>
      </w:r>
      <w:r w:rsidR="00CF008F">
        <w:rPr>
          <w:rStyle w:val="Ttulo5Char"/>
          <w:rFonts w:ascii="Verdana" w:hAnsi="Verdana"/>
          <w:color w:val="0D63B5"/>
          <w:sz w:val="20"/>
          <w:szCs w:val="20"/>
        </w:rPr>
        <w:t xml:space="preserve"> </w:t>
      </w:r>
      <w:r w:rsidR="00CF008F" w:rsidRPr="005A2364">
        <w:rPr>
          <w:rStyle w:val="Ttulo5Char"/>
          <w:rFonts w:ascii="Verdana" w:hAnsi="Verdana"/>
          <w:color w:val="0D63B5"/>
          <w:sz w:val="20"/>
          <w:szCs w:val="20"/>
        </w:rPr>
        <w:t>–</w:t>
      </w:r>
      <w:r w:rsidR="00C84613" w:rsidRPr="005A2364">
        <w:rPr>
          <w:rStyle w:val="Ttulo5Char"/>
          <w:rFonts w:ascii="Verdana" w:hAnsi="Verdana"/>
          <w:color w:val="0D63B5"/>
          <w:sz w:val="20"/>
          <w:szCs w:val="20"/>
        </w:rPr>
        <w:t xml:space="preserve"> </w:t>
      </w:r>
      <w:r w:rsidRPr="005A2364">
        <w:rPr>
          <w:rStyle w:val="Ttulo5Char"/>
          <w:rFonts w:ascii="Verdana" w:hAnsi="Verdana"/>
          <w:color w:val="0D63B5"/>
          <w:sz w:val="20"/>
          <w:szCs w:val="20"/>
        </w:rPr>
        <w:t>FUNDO PARA</w:t>
      </w:r>
      <w:r w:rsidRPr="005A2364">
        <w:rPr>
          <w:color w:val="0D63B5"/>
          <w:sz w:val="20"/>
          <w:szCs w:val="20"/>
        </w:rPr>
        <w:t xml:space="preserve"> </w:t>
      </w:r>
      <w:r w:rsidR="002D1B98" w:rsidRPr="005A2364">
        <w:rPr>
          <w:rStyle w:val="Ttulo5Char"/>
          <w:rFonts w:ascii="Verdana" w:hAnsi="Verdana"/>
          <w:color w:val="0D63B5"/>
          <w:sz w:val="20"/>
          <w:szCs w:val="20"/>
        </w:rPr>
        <w:t>DESCOMISSIONAMENTO</w:t>
      </w:r>
      <w:r w:rsidR="00F1466F" w:rsidRPr="005A2364">
        <w:rPr>
          <w:color w:val="0D63B5"/>
          <w:sz w:val="20"/>
          <w:szCs w:val="20"/>
        </w:rPr>
        <w:t xml:space="preserve"> </w:t>
      </w:r>
      <w:r w:rsidR="00F1466F" w:rsidRPr="005A2364">
        <w:rPr>
          <w:sz w:val="20"/>
          <w:szCs w:val="20"/>
        </w:rPr>
        <w:t xml:space="preserve"> </w:t>
      </w:r>
    </w:p>
    <w:p w14:paraId="0494F590" w14:textId="77777777" w:rsidR="00F91FAB" w:rsidRDefault="00F91FAB" w:rsidP="00F44F77">
      <w:pPr>
        <w:pStyle w:val="Corpodetexto"/>
        <w:rPr>
          <w:rFonts w:ascii="Verdana" w:hAnsi="Verdana"/>
          <w:lang w:val="pt-BR"/>
        </w:rPr>
      </w:pPr>
    </w:p>
    <w:p w14:paraId="7DB4A5FA" w14:textId="77777777" w:rsidR="002517C1" w:rsidRDefault="002517C1" w:rsidP="002517C1">
      <w:pPr>
        <w:pStyle w:val="Corpodetexto"/>
        <w:rPr>
          <w:rFonts w:ascii="Verdana" w:hAnsi="Verdana"/>
          <w:lang w:val="pt-BR"/>
        </w:rPr>
      </w:pPr>
      <w:r w:rsidRPr="0070675F">
        <w:rPr>
          <w:rFonts w:ascii="Verdana" w:hAnsi="Verdana"/>
          <w:lang w:val="pt-BR"/>
        </w:rPr>
        <w:t xml:space="preserve">O </w:t>
      </w:r>
      <w:proofErr w:type="spellStart"/>
      <w:r w:rsidRPr="0070675F">
        <w:rPr>
          <w:rFonts w:ascii="Verdana" w:hAnsi="Verdana"/>
          <w:lang w:val="pt-BR"/>
        </w:rPr>
        <w:t>descomissionamento</w:t>
      </w:r>
      <w:proofErr w:type="spellEnd"/>
      <w:r w:rsidRPr="0070675F">
        <w:rPr>
          <w:rFonts w:ascii="Verdana" w:hAnsi="Verdana"/>
          <w:lang w:val="pt-BR"/>
        </w:rPr>
        <w:t xml:space="preserve"> de usinas nucleares constitui-se de um conjunto de medidas tomadas para retirar </w:t>
      </w:r>
      <w:r w:rsidRPr="004B264E">
        <w:rPr>
          <w:rFonts w:ascii="Verdana" w:hAnsi="Verdana"/>
          <w:lang w:val="pt-BR"/>
        </w:rPr>
        <w:t xml:space="preserve">de serviço, com segurança, uma instalação nuclear, reduzindo a radioatividade residual a níveis que permitam liberar o local para uso restrito ou irrestrito. Para permitir a inclusão dos custos a serem incorridos com o </w:t>
      </w:r>
      <w:proofErr w:type="spellStart"/>
      <w:r w:rsidRPr="004B264E">
        <w:rPr>
          <w:rFonts w:ascii="Verdana" w:hAnsi="Verdana"/>
          <w:lang w:val="pt-BR"/>
        </w:rPr>
        <w:t>descomissionamento</w:t>
      </w:r>
      <w:proofErr w:type="spellEnd"/>
      <w:r w:rsidRPr="004B264E">
        <w:rPr>
          <w:rFonts w:ascii="Verdana" w:hAnsi="Verdana"/>
          <w:lang w:val="pt-BR"/>
        </w:rPr>
        <w:t xml:space="preserve"> das Usinas Angra 1 e 2, foi constituído contabilmente uma obrigação para desmobilização de ativos, com base em estudos técnicos elaborados pela Companhia, conforme nota </w:t>
      </w:r>
      <w:r>
        <w:rPr>
          <w:rFonts w:ascii="Verdana" w:hAnsi="Verdana"/>
          <w:lang w:val="pt-BR"/>
        </w:rPr>
        <w:t>27.</w:t>
      </w:r>
    </w:p>
    <w:p w14:paraId="16505FB5" w14:textId="77777777" w:rsidR="002517C1" w:rsidRDefault="002517C1" w:rsidP="002517C1">
      <w:pPr>
        <w:pStyle w:val="Corpodetexto"/>
        <w:rPr>
          <w:rFonts w:ascii="Verdana" w:hAnsi="Verdana"/>
          <w:lang w:val="pt-BR"/>
        </w:rPr>
      </w:pPr>
    </w:p>
    <w:p w14:paraId="24746E35" w14:textId="77777777" w:rsidR="002517C1" w:rsidRDefault="002517C1" w:rsidP="002517C1">
      <w:pPr>
        <w:pStyle w:val="Corpodetexto"/>
        <w:rPr>
          <w:rFonts w:ascii="Verdana" w:hAnsi="Verdana"/>
        </w:rPr>
      </w:pPr>
      <w:r w:rsidRPr="00462978">
        <w:rPr>
          <w:rFonts w:ascii="Verdana" w:hAnsi="Verdana" w:cs="Arial"/>
        </w:rPr>
        <w:t xml:space="preserve">De acordo com a determinação do Conselho Nacional de Política Energética - CNPE, as atribuições pelas atividades de instituir e viabilizar o fundo, para fazer face ao efetivo descomissionamento das Usinas nucleares Angra 1 e 2, ao final da vida útil econômica das referidas usinas, foram atribuídas à Eletrobras. </w:t>
      </w:r>
      <w:r w:rsidRPr="00DB0654">
        <w:rPr>
          <w:rFonts w:ascii="Verdana" w:hAnsi="Verdana"/>
        </w:rPr>
        <w:t xml:space="preserve">A titularidade deste fundo é da Eletrobras </w:t>
      </w:r>
      <w:r>
        <w:rPr>
          <w:rFonts w:ascii="Verdana" w:hAnsi="Verdana"/>
        </w:rPr>
        <w:t>e seu</w:t>
      </w:r>
      <w:r w:rsidRPr="00DB0654">
        <w:rPr>
          <w:rFonts w:ascii="Verdana" w:hAnsi="Verdana"/>
        </w:rPr>
        <w:t xml:space="preserve"> uso é restrito para futuro custeio das atividades de descomissionamento.</w:t>
      </w:r>
    </w:p>
    <w:p w14:paraId="21B4BDB9" w14:textId="77777777" w:rsidR="002517C1" w:rsidRDefault="002517C1" w:rsidP="002517C1">
      <w:pPr>
        <w:tabs>
          <w:tab w:val="center" w:pos="4419"/>
          <w:tab w:val="right" w:pos="8838"/>
        </w:tabs>
        <w:spacing w:line="264" w:lineRule="auto"/>
        <w:rPr>
          <w:rFonts w:ascii="Verdana" w:hAnsi="Verdana" w:cs="Arial"/>
          <w:sz w:val="20"/>
          <w:szCs w:val="20"/>
        </w:rPr>
      </w:pPr>
    </w:p>
    <w:p w14:paraId="2DDF2D36" w14:textId="77777777" w:rsidR="002517C1" w:rsidRPr="00526B9E" w:rsidRDefault="002517C1" w:rsidP="002517C1">
      <w:pPr>
        <w:tabs>
          <w:tab w:val="center" w:pos="4419"/>
          <w:tab w:val="right" w:pos="8838"/>
        </w:tabs>
        <w:spacing w:line="264" w:lineRule="auto"/>
        <w:rPr>
          <w:rFonts w:ascii="Verdana" w:hAnsi="Verdana" w:cs="Arial"/>
          <w:sz w:val="20"/>
          <w:szCs w:val="20"/>
        </w:rPr>
      </w:pPr>
      <w:r w:rsidRPr="00526B9E">
        <w:rPr>
          <w:rFonts w:ascii="Verdana" w:hAnsi="Verdana" w:cs="Arial"/>
          <w:sz w:val="20"/>
          <w:szCs w:val="20"/>
        </w:rPr>
        <w:t xml:space="preserve">Em 15 de janeiro de 2008, a Eletrobras fixou as diretrizes para implementação do fundo financeiro, informando a conta corrente para os depósitos, as datas de recolhimentos, bem como os valores das quotas mensais a serem recolhidas no exercício de 2008. </w:t>
      </w:r>
    </w:p>
    <w:p w14:paraId="65D643A3" w14:textId="77777777" w:rsidR="002517C1" w:rsidRDefault="002517C1" w:rsidP="002517C1">
      <w:pPr>
        <w:pStyle w:val="Corpodetexto"/>
        <w:rPr>
          <w:rFonts w:ascii="Verdana" w:hAnsi="Verdana"/>
          <w:highlight w:val="yellow"/>
          <w:lang w:val="pt-BR"/>
        </w:rPr>
      </w:pPr>
    </w:p>
    <w:p w14:paraId="67EDA7F1" w14:textId="77777777" w:rsidR="002517C1" w:rsidRDefault="002517C1" w:rsidP="002517C1">
      <w:pPr>
        <w:tabs>
          <w:tab w:val="center" w:pos="4419"/>
          <w:tab w:val="right" w:pos="8838"/>
        </w:tabs>
        <w:spacing w:line="264" w:lineRule="auto"/>
        <w:rPr>
          <w:rFonts w:ascii="Verdana" w:hAnsi="Verdana" w:cs="Arial"/>
          <w:sz w:val="20"/>
          <w:szCs w:val="20"/>
        </w:rPr>
      </w:pPr>
      <w:r w:rsidRPr="00526B9E">
        <w:rPr>
          <w:rFonts w:ascii="Verdana" w:hAnsi="Verdana" w:cs="Arial"/>
          <w:sz w:val="20"/>
          <w:szCs w:val="20"/>
        </w:rPr>
        <w:t>Assim sendo, a</w:t>
      </w:r>
      <w:r>
        <w:rPr>
          <w:rFonts w:ascii="Verdana" w:hAnsi="Verdana" w:cs="Arial"/>
          <w:sz w:val="20"/>
          <w:szCs w:val="20"/>
        </w:rPr>
        <w:t xml:space="preserve"> ELETRONUCLEAR</w:t>
      </w:r>
      <w:r w:rsidRPr="00526B9E">
        <w:rPr>
          <w:rFonts w:ascii="Verdana" w:hAnsi="Verdana" w:cs="Arial"/>
          <w:sz w:val="20"/>
          <w:szCs w:val="20"/>
        </w:rPr>
        <w:t xml:space="preserve">, em 20 de fevereiro de 2008, iniciou o processo de pagamento à Eletrobras para o devido recolhimento ao fundo financeiro para o </w:t>
      </w:r>
      <w:proofErr w:type="spellStart"/>
      <w:r w:rsidRPr="00526B9E">
        <w:rPr>
          <w:rFonts w:ascii="Verdana" w:hAnsi="Verdana" w:cs="Arial"/>
          <w:sz w:val="20"/>
          <w:szCs w:val="20"/>
        </w:rPr>
        <w:t>descomissionamento</w:t>
      </w:r>
      <w:proofErr w:type="spellEnd"/>
      <w:r w:rsidRPr="00526B9E">
        <w:rPr>
          <w:rFonts w:ascii="Verdana" w:hAnsi="Verdana" w:cs="Arial"/>
          <w:sz w:val="20"/>
          <w:szCs w:val="20"/>
        </w:rPr>
        <w:t xml:space="preserve">. </w:t>
      </w:r>
    </w:p>
    <w:p w14:paraId="2350BFB0" w14:textId="77777777" w:rsidR="002517C1" w:rsidRPr="00526B9E" w:rsidRDefault="002517C1" w:rsidP="002517C1">
      <w:pPr>
        <w:tabs>
          <w:tab w:val="center" w:pos="4419"/>
          <w:tab w:val="right" w:pos="8838"/>
        </w:tabs>
        <w:spacing w:line="264" w:lineRule="auto"/>
        <w:rPr>
          <w:rFonts w:ascii="Verdana" w:hAnsi="Verdana" w:cs="Arial"/>
          <w:sz w:val="20"/>
          <w:szCs w:val="20"/>
        </w:rPr>
      </w:pPr>
    </w:p>
    <w:p w14:paraId="6BD6956E" w14:textId="77777777" w:rsidR="002517C1" w:rsidRDefault="002517C1" w:rsidP="002517C1">
      <w:pPr>
        <w:pStyle w:val="Corpodetexto"/>
        <w:rPr>
          <w:rFonts w:ascii="Verdana" w:hAnsi="Verdana"/>
          <w:lang w:val="pt-BR"/>
        </w:rPr>
      </w:pPr>
      <w:r w:rsidRPr="00BD2B37">
        <w:rPr>
          <w:rFonts w:ascii="Verdana" w:hAnsi="Verdana"/>
          <w:lang w:val="pt-BR"/>
        </w:rPr>
        <w:t xml:space="preserve">Anualmente, a Eletrobras estabelece o montante a ser recolhido ao fundo financeiro para o </w:t>
      </w:r>
      <w:proofErr w:type="spellStart"/>
      <w:r w:rsidRPr="00BD2B37">
        <w:rPr>
          <w:rFonts w:ascii="Verdana" w:hAnsi="Verdana"/>
          <w:lang w:val="pt-BR"/>
        </w:rPr>
        <w:t>descomissionamento</w:t>
      </w:r>
      <w:proofErr w:type="spellEnd"/>
      <w:r w:rsidRPr="00BD2B37">
        <w:rPr>
          <w:rFonts w:ascii="Verdana" w:hAnsi="Verdana"/>
          <w:lang w:val="pt-BR"/>
        </w:rPr>
        <w:t xml:space="preserve"> das Usinas Angra 1 e Angra 2, considerando como base de cálculo a parcela considerada pela A</w:t>
      </w:r>
      <w:r>
        <w:rPr>
          <w:rFonts w:ascii="Verdana" w:hAnsi="Verdana"/>
          <w:lang w:val="pt-BR"/>
        </w:rPr>
        <w:t>neel</w:t>
      </w:r>
      <w:r w:rsidRPr="00BD2B37">
        <w:rPr>
          <w:rFonts w:ascii="Verdana" w:hAnsi="Verdana"/>
          <w:lang w:val="pt-BR"/>
        </w:rPr>
        <w:t xml:space="preserve"> na receita fixa das mencionadas usinas. Para o exercício de 2021, o valor depositado foi o montante de R$ </w:t>
      </w:r>
      <w:r>
        <w:rPr>
          <w:rFonts w:ascii="Verdana" w:hAnsi="Verdana"/>
        </w:rPr>
        <w:t xml:space="preserve">225.569 (2020 – R$ 184.960), incluindo contribuições mensais, contribuições adicionais e </w:t>
      </w:r>
      <w:r w:rsidRPr="008A5C3D">
        <w:rPr>
          <w:rFonts w:ascii="Verdana" w:hAnsi="Verdana"/>
          <w:lang w:val="pt-BR"/>
        </w:rPr>
        <w:t xml:space="preserve">reposição </w:t>
      </w:r>
      <w:r>
        <w:rPr>
          <w:rFonts w:ascii="Verdana" w:hAnsi="Verdana"/>
          <w:lang w:val="pt-BR"/>
        </w:rPr>
        <w:t xml:space="preserve">efetuada </w:t>
      </w:r>
      <w:r w:rsidRPr="008A5C3D">
        <w:rPr>
          <w:rFonts w:ascii="Verdana" w:hAnsi="Verdana"/>
          <w:lang w:val="pt-BR"/>
        </w:rPr>
        <w:t xml:space="preserve">pela Eletrobras </w:t>
      </w:r>
      <w:r>
        <w:rPr>
          <w:rFonts w:ascii="Verdana" w:hAnsi="Verdana"/>
          <w:lang w:val="pt-BR"/>
        </w:rPr>
        <w:t>referente ao</w:t>
      </w:r>
      <w:r w:rsidRPr="008A5C3D">
        <w:rPr>
          <w:rFonts w:ascii="Verdana" w:hAnsi="Verdana"/>
          <w:lang w:val="pt-BR"/>
        </w:rPr>
        <w:t xml:space="preserve"> IRRF sobre os rendimentos de anos </w:t>
      </w:r>
      <w:proofErr w:type="gramStart"/>
      <w:r w:rsidRPr="008A5C3D">
        <w:rPr>
          <w:rFonts w:ascii="Verdana" w:hAnsi="Verdana"/>
          <w:lang w:val="pt-BR"/>
        </w:rPr>
        <w:t>anteriores</w:t>
      </w:r>
      <w:r w:rsidDel="000133B2">
        <w:rPr>
          <w:rFonts w:ascii="Verdana" w:hAnsi="Verdana"/>
          <w:lang w:val="pt-BR"/>
        </w:rPr>
        <w:t xml:space="preserve"> </w:t>
      </w:r>
      <w:r>
        <w:rPr>
          <w:rFonts w:ascii="Verdana" w:hAnsi="Verdana"/>
          <w:lang w:val="pt-BR"/>
        </w:rPr>
        <w:t>.</w:t>
      </w:r>
      <w:proofErr w:type="gramEnd"/>
    </w:p>
    <w:p w14:paraId="222F9CA4" w14:textId="77777777" w:rsidR="002517C1" w:rsidRPr="00BD2B37" w:rsidRDefault="002517C1" w:rsidP="002517C1">
      <w:pPr>
        <w:pStyle w:val="Corpodetexto"/>
        <w:rPr>
          <w:rFonts w:ascii="Verdana" w:hAnsi="Verdana"/>
        </w:rPr>
      </w:pPr>
    </w:p>
    <w:p w14:paraId="179906D6" w14:textId="77777777" w:rsidR="002517C1" w:rsidRPr="005F754B" w:rsidRDefault="002517C1" w:rsidP="002517C1">
      <w:pPr>
        <w:pStyle w:val="Corpodetexto"/>
        <w:rPr>
          <w:rFonts w:ascii="Verdana" w:hAnsi="Verdana"/>
        </w:rPr>
      </w:pPr>
      <w:r w:rsidRPr="00BD2B37">
        <w:rPr>
          <w:rFonts w:ascii="Verdana" w:hAnsi="Verdana"/>
          <w:lang w:val="pt-BR"/>
        </w:rPr>
        <w:t xml:space="preserve">O mencionado fundo é mantido com o Banco do Brasil, através de um fundo de investimento </w:t>
      </w:r>
      <w:proofErr w:type="spellStart"/>
      <w:r w:rsidRPr="00BD2B37">
        <w:rPr>
          <w:rFonts w:ascii="Verdana" w:hAnsi="Verdana"/>
          <w:lang w:val="pt-BR"/>
        </w:rPr>
        <w:t>extramercado</w:t>
      </w:r>
      <w:proofErr w:type="spellEnd"/>
      <w:r w:rsidRPr="00BD2B37">
        <w:rPr>
          <w:rFonts w:ascii="Verdana" w:hAnsi="Verdana"/>
          <w:lang w:val="pt-BR"/>
        </w:rPr>
        <w:t xml:space="preserve"> de longo prazo, exclusivo para acumular os recursos destinados a custear as atividades de </w:t>
      </w:r>
      <w:proofErr w:type="spellStart"/>
      <w:r w:rsidRPr="00BD2B37">
        <w:rPr>
          <w:rFonts w:ascii="Verdana" w:hAnsi="Verdana"/>
          <w:lang w:val="pt-BR"/>
        </w:rPr>
        <w:t>descomissionamento</w:t>
      </w:r>
      <w:proofErr w:type="spellEnd"/>
      <w:r>
        <w:rPr>
          <w:rFonts w:ascii="Verdana" w:hAnsi="Verdana"/>
          <w:lang w:val="pt-BR"/>
        </w:rPr>
        <w:t xml:space="preserve"> </w:t>
      </w:r>
      <w:r w:rsidRPr="00DB0654">
        <w:rPr>
          <w:rFonts w:ascii="Verdana" w:hAnsi="Verdana"/>
        </w:rPr>
        <w:t xml:space="preserve">das Usinas Angra 1 e 2, classificado como títulos e valores mobiliários no ativo não circulante realizável a longo prazo. </w:t>
      </w:r>
      <w:r w:rsidRPr="00410E20">
        <w:rPr>
          <w:rFonts w:ascii="Verdana" w:hAnsi="Verdana" w:cs="Arial"/>
        </w:rPr>
        <w:t>Mensalmente, a Eletrobras informa à</w:t>
      </w:r>
      <w:r>
        <w:rPr>
          <w:rFonts w:ascii="Verdana" w:hAnsi="Verdana" w:cs="Arial"/>
        </w:rPr>
        <w:t xml:space="preserve"> ELETRONUCLEAR </w:t>
      </w:r>
      <w:r w:rsidRPr="00410E20">
        <w:rPr>
          <w:rFonts w:ascii="Verdana" w:hAnsi="Verdana" w:cs="Arial"/>
        </w:rPr>
        <w:t xml:space="preserve">os rendimentos financeiros incorridos durante o período sobre as aplicações do fundo, com a devida tributação do Imposto de Renda Retido na Fonte – IRRF. </w:t>
      </w:r>
    </w:p>
    <w:p w14:paraId="64A80F9D" w14:textId="77777777" w:rsidR="002517C1" w:rsidRPr="0070675F" w:rsidRDefault="002517C1" w:rsidP="002517C1">
      <w:pPr>
        <w:pStyle w:val="Corpodetexto"/>
        <w:rPr>
          <w:rFonts w:ascii="Verdana" w:hAnsi="Verdana"/>
        </w:rPr>
      </w:pPr>
    </w:p>
    <w:p w14:paraId="1E6BEC01" w14:textId="77777777" w:rsidR="002517C1" w:rsidRDefault="002517C1" w:rsidP="002517C1">
      <w:pPr>
        <w:pStyle w:val="Corpodetexto"/>
        <w:rPr>
          <w:rFonts w:ascii="Verdana" w:hAnsi="Verdana"/>
          <w:lang w:val="pt-BR"/>
        </w:rPr>
      </w:pPr>
      <w:r w:rsidRPr="0070675F">
        <w:rPr>
          <w:rFonts w:ascii="Verdana" w:hAnsi="Verdana"/>
          <w:lang w:val="pt-BR"/>
        </w:rPr>
        <w:lastRenderedPageBreak/>
        <w:t>A seguir, demonstramos o detalhamento de carteira do mencionado fundo:</w:t>
      </w:r>
    </w:p>
    <w:p w14:paraId="790287A6" w14:textId="77777777" w:rsidR="00114904" w:rsidRPr="0070675F" w:rsidRDefault="00114904" w:rsidP="00DB483A">
      <w:pPr>
        <w:pStyle w:val="Corpodetexto"/>
        <w:rPr>
          <w:rFonts w:ascii="Verdana" w:hAnsi="Verdana"/>
        </w:rPr>
      </w:pPr>
    </w:p>
    <w:p w14:paraId="2D62B316" w14:textId="77777777" w:rsidR="00DB483A" w:rsidRDefault="008C6F39" w:rsidP="00AF7EDA">
      <w:pPr>
        <w:pStyle w:val="Corpodetexto"/>
        <w:tabs>
          <w:tab w:val="center" w:pos="5238"/>
          <w:tab w:val="left" w:pos="9294"/>
        </w:tabs>
        <w:jc w:val="center"/>
      </w:pPr>
      <w:r w:rsidRPr="008C6F39">
        <w:rPr>
          <w:noProof/>
          <w:lang w:val="pt-BR"/>
        </w:rPr>
        <w:drawing>
          <wp:inline distT="0" distB="0" distL="0" distR="0" wp14:anchorId="374EE833" wp14:editId="44156FE6">
            <wp:extent cx="4019550" cy="923782"/>
            <wp:effectExtent l="0" t="0" r="0"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69524" cy="935267"/>
                    </a:xfrm>
                    <a:prstGeom prst="rect">
                      <a:avLst/>
                    </a:prstGeom>
                    <a:noFill/>
                    <a:ln>
                      <a:noFill/>
                    </a:ln>
                  </pic:spPr>
                </pic:pic>
              </a:graphicData>
            </a:graphic>
          </wp:inline>
        </w:drawing>
      </w:r>
    </w:p>
    <w:p w14:paraId="3E7D1B26" w14:textId="77777777" w:rsidR="000012C3" w:rsidRDefault="000012C3" w:rsidP="00AF7EDA">
      <w:pPr>
        <w:pStyle w:val="Corpodetexto"/>
        <w:tabs>
          <w:tab w:val="center" w:pos="5238"/>
          <w:tab w:val="left" w:pos="9294"/>
        </w:tabs>
        <w:jc w:val="center"/>
      </w:pPr>
    </w:p>
    <w:p w14:paraId="50BCC3F0" w14:textId="77777777" w:rsidR="002517C1" w:rsidRDefault="002517C1" w:rsidP="002517C1">
      <w:pPr>
        <w:pStyle w:val="Corpodetexto"/>
        <w:rPr>
          <w:rFonts w:ascii="Verdana" w:hAnsi="Verdana"/>
          <w:lang w:val="pt-BR"/>
        </w:rPr>
      </w:pPr>
      <w:r w:rsidRPr="00DB0654">
        <w:rPr>
          <w:rFonts w:ascii="Verdana" w:hAnsi="Verdana"/>
          <w:lang w:val="pt-BR"/>
        </w:rPr>
        <w:t xml:space="preserve">No </w:t>
      </w:r>
      <w:r w:rsidRPr="00D2145B">
        <w:rPr>
          <w:rFonts w:ascii="Verdana" w:hAnsi="Verdana"/>
          <w:lang w:val="pt-BR"/>
        </w:rPr>
        <w:t xml:space="preserve">exercício findo em 31 de dezembro de 2021, </w:t>
      </w:r>
      <w:r>
        <w:rPr>
          <w:rFonts w:ascii="Verdana" w:hAnsi="Verdana"/>
          <w:lang w:val="pt-BR"/>
        </w:rPr>
        <w:t>o</w:t>
      </w:r>
      <w:r w:rsidRPr="00D2145B">
        <w:rPr>
          <w:rFonts w:ascii="Verdana" w:hAnsi="Verdana"/>
          <w:lang w:val="pt-BR"/>
        </w:rPr>
        <w:t xml:space="preserve"> fundo para </w:t>
      </w:r>
      <w:proofErr w:type="spellStart"/>
      <w:r w:rsidRPr="00D2145B">
        <w:rPr>
          <w:rFonts w:ascii="Verdana" w:hAnsi="Verdana"/>
          <w:lang w:val="pt-BR"/>
        </w:rPr>
        <w:t>descomissionamento</w:t>
      </w:r>
      <w:proofErr w:type="spellEnd"/>
      <w:r w:rsidRPr="00D2145B">
        <w:rPr>
          <w:rFonts w:ascii="Verdana" w:hAnsi="Verdana"/>
          <w:lang w:val="pt-BR"/>
        </w:rPr>
        <w:t xml:space="preserve"> apresent</w:t>
      </w:r>
      <w:r>
        <w:rPr>
          <w:rFonts w:ascii="Verdana" w:hAnsi="Verdana"/>
          <w:lang w:val="pt-BR"/>
        </w:rPr>
        <w:t>ou</w:t>
      </w:r>
      <w:r w:rsidRPr="00D2145B">
        <w:rPr>
          <w:rFonts w:ascii="Verdana" w:hAnsi="Verdana"/>
          <w:lang w:val="pt-BR"/>
        </w:rPr>
        <w:t xml:space="preserve"> </w:t>
      </w:r>
      <w:r>
        <w:rPr>
          <w:rFonts w:ascii="Verdana" w:hAnsi="Verdana"/>
          <w:lang w:val="pt-BR"/>
        </w:rPr>
        <w:t>rendimento</w:t>
      </w:r>
      <w:r w:rsidRPr="00D2145B">
        <w:rPr>
          <w:rFonts w:ascii="Verdana" w:hAnsi="Verdana"/>
          <w:lang w:val="pt-BR"/>
        </w:rPr>
        <w:t xml:space="preserve"> financeiro de R$ 78.680</w:t>
      </w:r>
      <w:r w:rsidRPr="005E4A4C">
        <w:rPr>
          <w:rFonts w:ascii="Verdana" w:hAnsi="Verdana"/>
          <w:lang w:val="pt-BR"/>
        </w:rPr>
        <w:t xml:space="preserve"> </w:t>
      </w:r>
      <w:r w:rsidRPr="00D2145B">
        <w:rPr>
          <w:rFonts w:ascii="Verdana" w:hAnsi="Verdana"/>
          <w:lang w:val="pt-BR"/>
        </w:rPr>
        <w:t>(R$ 405.281</w:t>
      </w:r>
      <w:r w:rsidRPr="005E4A4C">
        <w:rPr>
          <w:rFonts w:ascii="Verdana" w:hAnsi="Verdana"/>
          <w:lang w:val="pt-BR"/>
        </w:rPr>
        <w:t xml:space="preserve"> </w:t>
      </w:r>
      <w:r w:rsidRPr="00D2145B">
        <w:rPr>
          <w:rFonts w:ascii="Verdana" w:hAnsi="Verdana"/>
          <w:lang w:val="pt-BR"/>
        </w:rPr>
        <w:t>no exercício findo em 31 de dezembro de 2020)</w:t>
      </w:r>
      <w:r>
        <w:rPr>
          <w:rFonts w:ascii="Verdana" w:hAnsi="Verdana"/>
          <w:lang w:val="pt-BR"/>
        </w:rPr>
        <w:t xml:space="preserve">. Essa redução em relação ao ano anterior é justificada pela </w:t>
      </w:r>
      <w:r w:rsidRPr="005E4A4C">
        <w:rPr>
          <w:rFonts w:ascii="Verdana" w:hAnsi="Verdana"/>
          <w:lang w:val="pt-BR"/>
        </w:rPr>
        <w:t>menor</w:t>
      </w:r>
      <w:r w:rsidRPr="00F4266C">
        <w:rPr>
          <w:rFonts w:ascii="Verdana" w:hAnsi="Verdana"/>
          <w:lang w:val="pt-BR"/>
        </w:rPr>
        <w:t xml:space="preserve"> variação da moeda dólar norte-americano</w:t>
      </w:r>
      <w:r>
        <w:rPr>
          <w:rFonts w:ascii="Verdana" w:hAnsi="Verdana"/>
          <w:lang w:val="pt-BR"/>
        </w:rPr>
        <w:t xml:space="preserve"> </w:t>
      </w:r>
      <w:r w:rsidRPr="005E4A4C">
        <w:rPr>
          <w:rFonts w:ascii="Verdana" w:hAnsi="Verdana"/>
          <w:lang w:val="pt-BR"/>
        </w:rPr>
        <w:t xml:space="preserve">em 2021 e pela alteração no regulamento do fundo exclusivo a partir fevereiro de 2021. O regulamento do Fundo de </w:t>
      </w:r>
      <w:proofErr w:type="spellStart"/>
      <w:r w:rsidRPr="005E4A4C">
        <w:rPr>
          <w:rFonts w:ascii="Verdana" w:hAnsi="Verdana"/>
          <w:lang w:val="pt-BR"/>
        </w:rPr>
        <w:t>Descomissionamento</w:t>
      </w:r>
      <w:proofErr w:type="spellEnd"/>
      <w:r w:rsidRPr="005E4A4C">
        <w:rPr>
          <w:rFonts w:ascii="Verdana" w:hAnsi="Verdana"/>
          <w:lang w:val="pt-BR"/>
        </w:rPr>
        <w:t xml:space="preserve"> tinha como objetivo a aplicação de recursos em carteira composta por títulos do Tesouro Nacional buscando acompanhar a variação cambial por meio das operações com dólar futuro. Após a alteração, o fundo exclusivo no qual estão aplicados os recursos para a desmobilização de Angra 1 e 2, passou a acompanhar a variação cambial na proporção parcial ou total de seu patrimônio líquido. Essa alteração teve como objetivo aprimorar o lastro dos recursos do fundo de </w:t>
      </w:r>
      <w:proofErr w:type="spellStart"/>
      <w:r w:rsidRPr="005E4A4C">
        <w:rPr>
          <w:rFonts w:ascii="Verdana" w:hAnsi="Verdana"/>
          <w:lang w:val="pt-BR"/>
        </w:rPr>
        <w:t>descomissionamento</w:t>
      </w:r>
      <w:proofErr w:type="spellEnd"/>
      <w:r w:rsidRPr="005E4A4C">
        <w:rPr>
          <w:rFonts w:ascii="Verdana" w:hAnsi="Verdana"/>
          <w:lang w:val="pt-BR"/>
        </w:rPr>
        <w:t xml:space="preserve"> (79% em moeda nacional e 21% em dólar americano) conforme análise </w:t>
      </w:r>
      <w:r>
        <w:rPr>
          <w:rFonts w:ascii="Verdana" w:hAnsi="Verdana"/>
          <w:lang w:val="pt-BR"/>
        </w:rPr>
        <w:t xml:space="preserve">técnica </w:t>
      </w:r>
      <w:r w:rsidRPr="005E4A4C">
        <w:rPr>
          <w:rFonts w:ascii="Verdana" w:hAnsi="Verdana"/>
          <w:lang w:val="pt-BR"/>
        </w:rPr>
        <w:t xml:space="preserve">conduzida por </w:t>
      </w:r>
      <w:r>
        <w:rPr>
          <w:rFonts w:ascii="Verdana" w:hAnsi="Verdana"/>
          <w:lang w:val="pt-BR"/>
        </w:rPr>
        <w:t>especialistas contratados pela Companhia</w:t>
      </w:r>
      <w:r w:rsidRPr="005E4A4C">
        <w:rPr>
          <w:rFonts w:ascii="Verdana" w:hAnsi="Verdana"/>
          <w:lang w:val="pt-BR"/>
        </w:rPr>
        <w:t xml:space="preserve">, de forma a atender a norma 9.02 da </w:t>
      </w:r>
      <w:r w:rsidRPr="00AA1D65">
        <w:rPr>
          <w:rFonts w:ascii="Verdana" w:hAnsi="Verdana"/>
          <w:lang w:val="pt-BR"/>
        </w:rPr>
        <w:t>Comissão Nacional de Energia Nuclear</w:t>
      </w:r>
      <w:r w:rsidRPr="00F4266C">
        <w:rPr>
          <w:rFonts w:ascii="Verdana" w:hAnsi="Verdana"/>
          <w:lang w:val="pt-BR"/>
        </w:rPr>
        <w:t xml:space="preserve"> </w:t>
      </w:r>
      <w:r>
        <w:rPr>
          <w:rFonts w:ascii="Verdana" w:hAnsi="Verdana"/>
          <w:lang w:val="pt-BR"/>
        </w:rPr>
        <w:t xml:space="preserve">– </w:t>
      </w:r>
      <w:r w:rsidRPr="005E4A4C">
        <w:rPr>
          <w:rFonts w:ascii="Verdana" w:hAnsi="Verdana"/>
          <w:lang w:val="pt-BR"/>
        </w:rPr>
        <w:t>CNEN</w:t>
      </w:r>
      <w:r>
        <w:rPr>
          <w:rFonts w:ascii="Verdana" w:hAnsi="Verdana"/>
          <w:lang w:val="pt-BR"/>
        </w:rPr>
        <w:t>.</w:t>
      </w:r>
    </w:p>
    <w:p w14:paraId="74B5A33A" w14:textId="77777777" w:rsidR="002517C1" w:rsidRDefault="002517C1" w:rsidP="002517C1">
      <w:pPr>
        <w:pStyle w:val="Corpodetexto"/>
        <w:rPr>
          <w:rFonts w:ascii="Verdana" w:hAnsi="Verdana"/>
          <w:lang w:val="pt-BR"/>
        </w:rPr>
      </w:pPr>
    </w:p>
    <w:p w14:paraId="7743EE7D" w14:textId="77777777" w:rsidR="002517C1" w:rsidRDefault="002517C1" w:rsidP="002517C1">
      <w:pPr>
        <w:pStyle w:val="Corpodetexto"/>
        <w:rPr>
          <w:rFonts w:ascii="Verdana" w:hAnsi="Verdana"/>
          <w:lang w:val="pt-BR"/>
        </w:rPr>
      </w:pPr>
      <w:r>
        <w:rPr>
          <w:rFonts w:ascii="Verdana" w:hAnsi="Verdana"/>
          <w:lang w:val="pt-BR"/>
        </w:rPr>
        <w:t>Em</w:t>
      </w:r>
      <w:r w:rsidRPr="00D2145B">
        <w:rPr>
          <w:rFonts w:ascii="Verdana" w:hAnsi="Verdana"/>
          <w:lang w:val="pt-BR"/>
        </w:rPr>
        <w:t xml:space="preserve"> 2021, foram aplicados R$ </w:t>
      </w:r>
      <w:r>
        <w:rPr>
          <w:rFonts w:ascii="Verdana" w:hAnsi="Verdana"/>
        </w:rPr>
        <w:t>225.569</w:t>
      </w:r>
      <w:r w:rsidRPr="00D2145B">
        <w:rPr>
          <w:rFonts w:ascii="Verdana" w:hAnsi="Verdana"/>
        </w:rPr>
        <w:t xml:space="preserve"> </w:t>
      </w:r>
      <w:r w:rsidRPr="00D2145B">
        <w:rPr>
          <w:rFonts w:ascii="Verdana" w:hAnsi="Verdana"/>
          <w:lang w:val="pt-BR"/>
        </w:rPr>
        <w:t xml:space="preserve">no fundo de </w:t>
      </w:r>
      <w:proofErr w:type="spellStart"/>
      <w:r w:rsidRPr="00D2145B">
        <w:rPr>
          <w:rFonts w:ascii="Verdana" w:hAnsi="Verdana"/>
          <w:lang w:val="pt-BR"/>
        </w:rPr>
        <w:t>descomissionamento</w:t>
      </w:r>
      <w:proofErr w:type="spellEnd"/>
      <w:r w:rsidRPr="00D2145B">
        <w:rPr>
          <w:rFonts w:ascii="Verdana" w:hAnsi="Verdana"/>
          <w:lang w:val="pt-BR"/>
        </w:rPr>
        <w:t xml:space="preserve"> (R$</w:t>
      </w:r>
      <w:r>
        <w:rPr>
          <w:rFonts w:ascii="Verdana" w:hAnsi="Verdana"/>
          <w:lang w:val="pt-BR"/>
        </w:rPr>
        <w:t xml:space="preserve"> </w:t>
      </w:r>
      <w:r w:rsidRPr="00D2145B">
        <w:rPr>
          <w:rFonts w:ascii="Verdana" w:hAnsi="Verdana"/>
          <w:lang w:val="pt-BR"/>
        </w:rPr>
        <w:t>186.781 referentes aos recolhimentos mensais, R$ 10.74</w:t>
      </w:r>
      <w:r>
        <w:rPr>
          <w:rFonts w:ascii="Verdana" w:hAnsi="Verdana"/>
          <w:lang w:val="pt-BR"/>
        </w:rPr>
        <w:t>2</w:t>
      </w:r>
      <w:r w:rsidRPr="00D2145B">
        <w:rPr>
          <w:rFonts w:ascii="Verdana" w:hAnsi="Verdana"/>
          <w:lang w:val="pt-BR"/>
        </w:rPr>
        <w:t xml:space="preserve"> referentes aos </w:t>
      </w:r>
      <w:r w:rsidRPr="008A5C3D">
        <w:rPr>
          <w:rFonts w:ascii="Verdana" w:hAnsi="Verdana"/>
          <w:lang w:val="pt-BR"/>
        </w:rPr>
        <w:t>recolhimentos adicionais, R$ 28.046 referente à reposição pela Eletrobras de IRRF sobre os rendimentos de anos anteriores)</w:t>
      </w:r>
      <w:r>
        <w:rPr>
          <w:rFonts w:ascii="Verdana" w:hAnsi="Verdana"/>
          <w:lang w:val="pt-BR"/>
        </w:rPr>
        <w:t xml:space="preserve"> </w:t>
      </w:r>
      <w:r w:rsidRPr="008A5C3D">
        <w:rPr>
          <w:rFonts w:ascii="Verdana" w:hAnsi="Verdana"/>
          <w:lang w:val="pt-BR"/>
        </w:rPr>
        <w:t>e foram retidos R$ 2.363 a título d</w:t>
      </w:r>
      <w:r>
        <w:rPr>
          <w:rFonts w:ascii="Verdana" w:hAnsi="Verdana"/>
          <w:lang w:val="pt-BR"/>
        </w:rPr>
        <w:t>e IRRF sobre os rendimentos do e</w:t>
      </w:r>
      <w:r w:rsidRPr="008A5C3D">
        <w:rPr>
          <w:rFonts w:ascii="Verdana" w:hAnsi="Verdana"/>
          <w:lang w:val="pt-BR"/>
        </w:rPr>
        <w:t>xercício de 2021.</w:t>
      </w:r>
    </w:p>
    <w:p w14:paraId="04212C85" w14:textId="77777777" w:rsidR="002517C1" w:rsidRDefault="002517C1" w:rsidP="002517C1">
      <w:pPr>
        <w:pStyle w:val="Corpodetexto"/>
        <w:rPr>
          <w:rFonts w:ascii="Verdana" w:hAnsi="Verdana"/>
          <w:lang w:val="pt-BR"/>
        </w:rPr>
      </w:pPr>
    </w:p>
    <w:p w14:paraId="07B5AE94" w14:textId="77777777" w:rsidR="002517C1" w:rsidRDefault="002517C1" w:rsidP="002517C1">
      <w:pPr>
        <w:tabs>
          <w:tab w:val="center" w:pos="4419"/>
          <w:tab w:val="right" w:pos="8838"/>
        </w:tabs>
        <w:spacing w:line="264" w:lineRule="auto"/>
        <w:rPr>
          <w:rFonts w:ascii="Verdana" w:hAnsi="Verdana" w:cs="Arial"/>
          <w:sz w:val="20"/>
          <w:szCs w:val="20"/>
        </w:rPr>
      </w:pPr>
      <w:r w:rsidRPr="00410E20">
        <w:rPr>
          <w:rFonts w:ascii="Verdana" w:hAnsi="Verdana" w:cs="Arial"/>
          <w:sz w:val="20"/>
          <w:szCs w:val="20"/>
        </w:rPr>
        <w:t xml:space="preserve">Abaixo, apresentamos o quadro da composição do fundo para </w:t>
      </w:r>
      <w:proofErr w:type="spellStart"/>
      <w:r w:rsidRPr="00410E20">
        <w:rPr>
          <w:rFonts w:ascii="Verdana" w:hAnsi="Verdana" w:cs="Arial"/>
          <w:sz w:val="20"/>
          <w:szCs w:val="20"/>
        </w:rPr>
        <w:t>descomissionamento</w:t>
      </w:r>
      <w:proofErr w:type="spellEnd"/>
      <w:r w:rsidRPr="00410E20">
        <w:rPr>
          <w:rFonts w:ascii="Verdana" w:hAnsi="Verdana" w:cs="Arial"/>
          <w:sz w:val="20"/>
          <w:szCs w:val="20"/>
        </w:rPr>
        <w:t>:</w:t>
      </w:r>
    </w:p>
    <w:p w14:paraId="70172C19" w14:textId="77777777" w:rsidR="00410E20" w:rsidRDefault="00410E20" w:rsidP="003C74B6">
      <w:pPr>
        <w:jc w:val="center"/>
        <w:rPr>
          <w:rFonts w:ascii="Verdana" w:hAnsi="Verdana"/>
          <w:color w:val="0D63B5"/>
        </w:rPr>
      </w:pPr>
    </w:p>
    <w:p w14:paraId="4403B5F7" w14:textId="77777777" w:rsidR="00DB0654" w:rsidRDefault="00315D67" w:rsidP="00315D67">
      <w:pPr>
        <w:jc w:val="center"/>
        <w:rPr>
          <w:rFonts w:ascii="Verdana" w:hAnsi="Verdana"/>
          <w:color w:val="0D63B5"/>
          <w:sz w:val="20"/>
          <w:szCs w:val="20"/>
          <w:highlight w:val="green"/>
        </w:rPr>
      </w:pPr>
      <w:r w:rsidRPr="00315D67">
        <w:rPr>
          <w:noProof/>
        </w:rPr>
        <w:drawing>
          <wp:inline distT="0" distB="0" distL="0" distR="0" wp14:anchorId="69BFC9AA" wp14:editId="5AE14A9F">
            <wp:extent cx="5814695" cy="151292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44311" cy="1520626"/>
                    </a:xfrm>
                    <a:prstGeom prst="rect">
                      <a:avLst/>
                    </a:prstGeom>
                    <a:noFill/>
                    <a:ln>
                      <a:noFill/>
                    </a:ln>
                  </pic:spPr>
                </pic:pic>
              </a:graphicData>
            </a:graphic>
          </wp:inline>
        </w:drawing>
      </w:r>
    </w:p>
    <w:p w14:paraId="5D689A5F" w14:textId="7E1EADC8" w:rsidR="00DB0654" w:rsidRDefault="00DB0654" w:rsidP="00DB483A">
      <w:pPr>
        <w:rPr>
          <w:rFonts w:ascii="Verdana" w:hAnsi="Verdana"/>
          <w:color w:val="0D63B5"/>
          <w:sz w:val="20"/>
          <w:szCs w:val="20"/>
        </w:rPr>
      </w:pPr>
    </w:p>
    <w:p w14:paraId="10F71FF5" w14:textId="77777777" w:rsidR="00315D67" w:rsidRPr="00DB0654" w:rsidRDefault="00315D67" w:rsidP="00DB483A">
      <w:pPr>
        <w:rPr>
          <w:rFonts w:ascii="Verdana" w:hAnsi="Verdana"/>
          <w:color w:val="0D63B5"/>
          <w:sz w:val="20"/>
          <w:szCs w:val="20"/>
        </w:rPr>
      </w:pPr>
    </w:p>
    <w:p w14:paraId="7391ADA0" w14:textId="77777777" w:rsidR="00DB483A" w:rsidRPr="00DB0654" w:rsidRDefault="00DB483A" w:rsidP="00DB483A">
      <w:pPr>
        <w:rPr>
          <w:rFonts w:ascii="Verdana" w:hAnsi="Verdana"/>
          <w:color w:val="0D63B5"/>
          <w:sz w:val="20"/>
          <w:szCs w:val="20"/>
        </w:rPr>
      </w:pPr>
      <w:r w:rsidRPr="00DB0654">
        <w:rPr>
          <w:rFonts w:ascii="Verdana" w:hAnsi="Verdana"/>
          <w:color w:val="0D63B5"/>
          <w:sz w:val="20"/>
          <w:szCs w:val="20"/>
        </w:rPr>
        <w:t>Prática contábil</w:t>
      </w:r>
    </w:p>
    <w:p w14:paraId="36BED919" w14:textId="77777777" w:rsidR="00DB483A" w:rsidRPr="00DB0654" w:rsidRDefault="00DB483A" w:rsidP="00DB483A">
      <w:pPr>
        <w:rPr>
          <w:rFonts w:ascii="Verdana" w:hAnsi="Verdana"/>
          <w:sz w:val="20"/>
          <w:szCs w:val="20"/>
        </w:rPr>
      </w:pPr>
    </w:p>
    <w:p w14:paraId="61978A98" w14:textId="77777777" w:rsidR="002517C1" w:rsidRDefault="002517C1" w:rsidP="002517C1">
      <w:pPr>
        <w:pStyle w:val="Corpodetexto"/>
        <w:rPr>
          <w:rFonts w:ascii="Verdana" w:hAnsi="Verdana"/>
        </w:rPr>
      </w:pPr>
      <w:bookmarkStart w:id="16" w:name="_Hlk55473061"/>
      <w:r w:rsidRPr="00DB0654">
        <w:rPr>
          <w:rFonts w:ascii="Verdana" w:hAnsi="Verdana"/>
          <w:lang w:val="pt-BR"/>
        </w:rPr>
        <w:t xml:space="preserve">O fundo para </w:t>
      </w:r>
      <w:proofErr w:type="spellStart"/>
      <w:r w:rsidRPr="00DB0654">
        <w:rPr>
          <w:rFonts w:ascii="Verdana" w:hAnsi="Verdana"/>
          <w:lang w:val="pt-BR"/>
        </w:rPr>
        <w:t>descomissionamento</w:t>
      </w:r>
      <w:proofErr w:type="spellEnd"/>
      <w:r w:rsidRPr="00DB0654">
        <w:rPr>
          <w:rFonts w:ascii="Verdana" w:hAnsi="Verdana"/>
          <w:lang w:val="pt-BR"/>
        </w:rPr>
        <w:t xml:space="preserve"> é um ativo financeiro </w:t>
      </w:r>
      <w:r w:rsidRPr="00DB0654">
        <w:rPr>
          <w:rFonts w:ascii="Verdana" w:hAnsi="Verdana"/>
        </w:rPr>
        <w:t>mensurado a valor justo por meio do resultado</w:t>
      </w:r>
      <w:r>
        <w:rPr>
          <w:rFonts w:ascii="Verdana" w:hAnsi="Verdana"/>
        </w:rPr>
        <w:t>. Os</w:t>
      </w:r>
      <w:r w:rsidRPr="00DB0654">
        <w:rPr>
          <w:rFonts w:ascii="Verdana" w:hAnsi="Verdana"/>
        </w:rPr>
        <w:t xml:space="preserve"> ganhos e perdas são reconhecidos </w:t>
      </w:r>
      <w:r>
        <w:rPr>
          <w:rFonts w:ascii="Verdana" w:hAnsi="Verdana"/>
        </w:rPr>
        <w:t>no</w:t>
      </w:r>
      <w:r w:rsidRPr="00DB0654">
        <w:rPr>
          <w:rFonts w:ascii="Verdana" w:hAnsi="Verdana"/>
        </w:rPr>
        <w:t xml:space="preserve"> resultado </w:t>
      </w:r>
      <w:r>
        <w:rPr>
          <w:rFonts w:ascii="Verdana" w:hAnsi="Verdana"/>
        </w:rPr>
        <w:t>(nota 35.2)</w:t>
      </w:r>
      <w:r w:rsidRPr="00DB0654">
        <w:rPr>
          <w:rFonts w:ascii="Verdana" w:hAnsi="Verdana"/>
        </w:rPr>
        <w:t xml:space="preserve">. </w:t>
      </w:r>
    </w:p>
    <w:p w14:paraId="5D539C9C" w14:textId="59825791" w:rsidR="00933A30" w:rsidRDefault="00933A30" w:rsidP="00933A30">
      <w:pPr>
        <w:pStyle w:val="PargrafodaLista"/>
        <w:tabs>
          <w:tab w:val="left" w:pos="284"/>
        </w:tabs>
        <w:ind w:left="0"/>
        <w:rPr>
          <w:rFonts w:ascii="Verdana" w:hAnsi="Verdana"/>
          <w:sz w:val="20"/>
          <w:szCs w:val="20"/>
        </w:rPr>
      </w:pPr>
    </w:p>
    <w:p w14:paraId="786647D3" w14:textId="77777777" w:rsidR="00933A30" w:rsidRDefault="00933A30" w:rsidP="00933A30">
      <w:pPr>
        <w:pStyle w:val="PargrafodaLista"/>
        <w:tabs>
          <w:tab w:val="left" w:pos="284"/>
        </w:tabs>
        <w:ind w:left="0"/>
        <w:rPr>
          <w:rFonts w:ascii="Verdana" w:hAnsi="Verdana"/>
          <w:sz w:val="20"/>
          <w:szCs w:val="20"/>
        </w:rPr>
      </w:pPr>
    </w:p>
    <w:p w14:paraId="0C0669B1" w14:textId="09430445" w:rsidR="00D2145B" w:rsidRDefault="00D2145B" w:rsidP="00786D94">
      <w:pPr>
        <w:pStyle w:val="PargrafodaLista"/>
        <w:tabs>
          <w:tab w:val="left" w:pos="284"/>
        </w:tabs>
        <w:ind w:left="0"/>
        <w:rPr>
          <w:rFonts w:ascii="Verdana" w:hAnsi="Verdana"/>
          <w:sz w:val="20"/>
          <w:szCs w:val="20"/>
        </w:rPr>
      </w:pPr>
    </w:p>
    <w:p w14:paraId="6B0772B4" w14:textId="2D065A5D" w:rsidR="00971E11" w:rsidRDefault="00971E11" w:rsidP="00786D94">
      <w:pPr>
        <w:pStyle w:val="PargrafodaLista"/>
        <w:tabs>
          <w:tab w:val="left" w:pos="284"/>
        </w:tabs>
        <w:ind w:left="0"/>
        <w:rPr>
          <w:rFonts w:ascii="Verdana" w:hAnsi="Verdana"/>
          <w:sz w:val="20"/>
          <w:szCs w:val="20"/>
        </w:rPr>
      </w:pPr>
    </w:p>
    <w:p w14:paraId="67C57C85" w14:textId="4305CC9C" w:rsidR="00971E11" w:rsidRDefault="00971E11" w:rsidP="00786D94">
      <w:pPr>
        <w:pStyle w:val="PargrafodaLista"/>
        <w:tabs>
          <w:tab w:val="left" w:pos="284"/>
        </w:tabs>
        <w:ind w:left="0"/>
        <w:rPr>
          <w:rFonts w:ascii="Verdana" w:hAnsi="Verdana"/>
          <w:sz w:val="20"/>
          <w:szCs w:val="20"/>
        </w:rPr>
      </w:pPr>
    </w:p>
    <w:p w14:paraId="50875516" w14:textId="70548C59" w:rsidR="00971E11" w:rsidRDefault="00971E11" w:rsidP="00786D94">
      <w:pPr>
        <w:pStyle w:val="PargrafodaLista"/>
        <w:tabs>
          <w:tab w:val="left" w:pos="284"/>
        </w:tabs>
        <w:ind w:left="0"/>
        <w:rPr>
          <w:rFonts w:ascii="Verdana" w:hAnsi="Verdana"/>
          <w:sz w:val="20"/>
          <w:szCs w:val="20"/>
        </w:rPr>
      </w:pPr>
    </w:p>
    <w:p w14:paraId="76992C76" w14:textId="15D47D76" w:rsidR="00971E11" w:rsidRDefault="00971E11" w:rsidP="00786D94">
      <w:pPr>
        <w:pStyle w:val="PargrafodaLista"/>
        <w:tabs>
          <w:tab w:val="left" w:pos="284"/>
        </w:tabs>
        <w:ind w:left="0"/>
        <w:rPr>
          <w:rFonts w:ascii="Verdana" w:hAnsi="Verdana"/>
          <w:sz w:val="20"/>
          <w:szCs w:val="20"/>
        </w:rPr>
      </w:pPr>
    </w:p>
    <w:p w14:paraId="13DDCBDF" w14:textId="3B90B212" w:rsidR="00971E11" w:rsidRDefault="00971E11" w:rsidP="00786D94">
      <w:pPr>
        <w:pStyle w:val="PargrafodaLista"/>
        <w:tabs>
          <w:tab w:val="left" w:pos="284"/>
        </w:tabs>
        <w:ind w:left="0"/>
        <w:rPr>
          <w:rFonts w:ascii="Verdana" w:hAnsi="Verdana"/>
          <w:sz w:val="20"/>
          <w:szCs w:val="20"/>
        </w:rPr>
      </w:pPr>
    </w:p>
    <w:p w14:paraId="390C3EC5" w14:textId="002B3640" w:rsidR="00971E11" w:rsidRDefault="00971E11" w:rsidP="00786D94">
      <w:pPr>
        <w:pStyle w:val="PargrafodaLista"/>
        <w:tabs>
          <w:tab w:val="left" w:pos="284"/>
        </w:tabs>
        <w:ind w:left="0"/>
        <w:rPr>
          <w:rFonts w:ascii="Verdana" w:hAnsi="Verdana"/>
          <w:sz w:val="20"/>
          <w:szCs w:val="20"/>
        </w:rPr>
      </w:pPr>
    </w:p>
    <w:p w14:paraId="14CCD89E" w14:textId="7EE4053B" w:rsidR="00971E11" w:rsidRDefault="00971E11" w:rsidP="00786D94">
      <w:pPr>
        <w:pStyle w:val="PargrafodaLista"/>
        <w:tabs>
          <w:tab w:val="left" w:pos="284"/>
        </w:tabs>
        <w:ind w:left="0"/>
        <w:rPr>
          <w:rFonts w:ascii="Verdana" w:hAnsi="Verdana"/>
          <w:sz w:val="20"/>
          <w:szCs w:val="20"/>
        </w:rPr>
      </w:pPr>
    </w:p>
    <w:p w14:paraId="0CA9A3D8" w14:textId="77777777" w:rsidR="00971E11" w:rsidRDefault="00971E11" w:rsidP="00786D94">
      <w:pPr>
        <w:pStyle w:val="PargrafodaLista"/>
        <w:tabs>
          <w:tab w:val="left" w:pos="284"/>
        </w:tabs>
        <w:ind w:left="0"/>
        <w:rPr>
          <w:rFonts w:ascii="Verdana" w:hAnsi="Verdana"/>
          <w:sz w:val="20"/>
          <w:szCs w:val="20"/>
        </w:rPr>
      </w:pPr>
    </w:p>
    <w:p w14:paraId="6D116990" w14:textId="77777777" w:rsidR="00FD2E00" w:rsidRPr="004934F8" w:rsidRDefault="00FD2E00" w:rsidP="00FD2E00">
      <w:pPr>
        <w:widowControl w:val="0"/>
        <w:autoSpaceDE w:val="0"/>
        <w:autoSpaceDN w:val="0"/>
        <w:jc w:val="left"/>
        <w:rPr>
          <w:color w:val="0D63B5"/>
          <w:sz w:val="20"/>
          <w:szCs w:val="20"/>
        </w:rPr>
      </w:pPr>
      <w:r w:rsidRPr="004934F8">
        <w:rPr>
          <w:rStyle w:val="Ttulo5Char"/>
          <w:rFonts w:ascii="Verdana" w:hAnsi="Verdana"/>
          <w:color w:val="0D63B5"/>
          <w:sz w:val="20"/>
          <w:szCs w:val="20"/>
        </w:rPr>
        <w:lastRenderedPageBreak/>
        <w:t xml:space="preserve">NOTA </w:t>
      </w:r>
      <w:r w:rsidR="001874A2" w:rsidRPr="004934F8">
        <w:rPr>
          <w:rStyle w:val="Ttulo5Char"/>
          <w:rFonts w:ascii="Verdana" w:hAnsi="Verdana"/>
          <w:color w:val="0D63B5"/>
          <w:sz w:val="20"/>
          <w:szCs w:val="20"/>
        </w:rPr>
        <w:t>15</w:t>
      </w:r>
      <w:r w:rsidRPr="004934F8">
        <w:rPr>
          <w:rStyle w:val="Ttulo5Char"/>
          <w:rFonts w:ascii="Verdana" w:hAnsi="Verdana"/>
          <w:color w:val="0D63B5"/>
          <w:sz w:val="20"/>
          <w:szCs w:val="20"/>
        </w:rPr>
        <w:t xml:space="preserve"> – DEPÓSITOS VINCULADOS</w:t>
      </w:r>
    </w:p>
    <w:p w14:paraId="500BB757" w14:textId="77777777" w:rsidR="002B7384" w:rsidRPr="004934F8" w:rsidRDefault="002B7384" w:rsidP="00FD2E00">
      <w:pPr>
        <w:pStyle w:val="PargrafodaLista"/>
        <w:tabs>
          <w:tab w:val="left" w:pos="284"/>
        </w:tabs>
        <w:ind w:left="0"/>
        <w:rPr>
          <w:rFonts w:ascii="Verdana" w:hAnsi="Verdana"/>
          <w:sz w:val="20"/>
          <w:szCs w:val="20"/>
        </w:rPr>
      </w:pPr>
    </w:p>
    <w:p w14:paraId="6C857286" w14:textId="77777777" w:rsidR="002B7384" w:rsidRPr="004934F8" w:rsidRDefault="002B7384" w:rsidP="00586117">
      <w:pPr>
        <w:pStyle w:val="PargrafodaLista"/>
        <w:tabs>
          <w:tab w:val="left" w:pos="284"/>
        </w:tabs>
        <w:ind w:left="0"/>
        <w:jc w:val="center"/>
        <w:rPr>
          <w:rFonts w:ascii="Verdana" w:hAnsi="Verdana"/>
          <w:sz w:val="20"/>
          <w:szCs w:val="20"/>
        </w:rPr>
      </w:pPr>
    </w:p>
    <w:p w14:paraId="56876A6D" w14:textId="77777777" w:rsidR="002B7384" w:rsidRPr="004934F8" w:rsidRDefault="00FD2E00" w:rsidP="002876C8">
      <w:pPr>
        <w:pStyle w:val="PargrafodaLista"/>
        <w:numPr>
          <w:ilvl w:val="0"/>
          <w:numId w:val="26"/>
        </w:numPr>
        <w:ind w:left="284" w:hanging="284"/>
        <w:rPr>
          <w:rFonts w:ascii="Verdana" w:hAnsi="Verdana"/>
          <w:color w:val="0D63B5"/>
          <w:sz w:val="20"/>
          <w:szCs w:val="20"/>
        </w:rPr>
      </w:pPr>
      <w:r w:rsidRPr="004934F8">
        <w:rPr>
          <w:rFonts w:ascii="Verdana" w:hAnsi="Verdana"/>
          <w:color w:val="0D63B5"/>
          <w:sz w:val="20"/>
          <w:szCs w:val="20"/>
        </w:rPr>
        <w:t>Composição</w:t>
      </w:r>
    </w:p>
    <w:p w14:paraId="4A70D9E9" w14:textId="77777777" w:rsidR="002B7384" w:rsidRPr="006B7A01" w:rsidRDefault="004934F8" w:rsidP="00586117">
      <w:pPr>
        <w:pStyle w:val="PargrafodaLista"/>
        <w:tabs>
          <w:tab w:val="left" w:pos="284"/>
        </w:tabs>
        <w:ind w:left="0"/>
        <w:jc w:val="center"/>
        <w:rPr>
          <w:rFonts w:ascii="Verdana" w:hAnsi="Verdana"/>
          <w:sz w:val="20"/>
          <w:szCs w:val="20"/>
          <w:highlight w:val="yellow"/>
        </w:rPr>
      </w:pPr>
      <w:r w:rsidRPr="004934F8">
        <w:rPr>
          <w:noProof/>
        </w:rPr>
        <w:drawing>
          <wp:inline distT="0" distB="0" distL="0" distR="0" wp14:anchorId="2F60FCF5" wp14:editId="7AAD6C0F">
            <wp:extent cx="4959977" cy="997443"/>
            <wp:effectExtent l="0" t="0" r="0" b="0"/>
            <wp:docPr id="479" name="Imagem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04055" cy="1006307"/>
                    </a:xfrm>
                    <a:prstGeom prst="rect">
                      <a:avLst/>
                    </a:prstGeom>
                    <a:noFill/>
                    <a:ln>
                      <a:noFill/>
                    </a:ln>
                  </pic:spPr>
                </pic:pic>
              </a:graphicData>
            </a:graphic>
          </wp:inline>
        </w:drawing>
      </w:r>
    </w:p>
    <w:p w14:paraId="66649270" w14:textId="77777777" w:rsidR="007E3367" w:rsidRPr="004934F8" w:rsidRDefault="007E3367" w:rsidP="00586117">
      <w:pPr>
        <w:pStyle w:val="PargrafodaLista"/>
        <w:tabs>
          <w:tab w:val="left" w:pos="284"/>
        </w:tabs>
        <w:ind w:left="0"/>
        <w:jc w:val="center"/>
        <w:rPr>
          <w:rFonts w:ascii="Verdana" w:hAnsi="Verdana"/>
          <w:sz w:val="20"/>
          <w:szCs w:val="20"/>
        </w:rPr>
      </w:pPr>
    </w:p>
    <w:p w14:paraId="71CAB982" w14:textId="791D842F" w:rsidR="002B7384" w:rsidRPr="00243508" w:rsidRDefault="00105254" w:rsidP="00243508">
      <w:pPr>
        <w:pStyle w:val="PargrafodaLista"/>
        <w:numPr>
          <w:ilvl w:val="0"/>
          <w:numId w:val="26"/>
        </w:numPr>
        <w:ind w:left="0" w:hanging="284"/>
        <w:rPr>
          <w:rFonts w:ascii="Verdana" w:hAnsi="Verdana"/>
          <w:color w:val="0D63B5"/>
          <w:sz w:val="20"/>
          <w:szCs w:val="20"/>
        </w:rPr>
      </w:pPr>
      <w:r w:rsidRPr="00243508">
        <w:rPr>
          <w:rFonts w:ascii="Verdana" w:hAnsi="Verdana"/>
          <w:color w:val="0D63B5"/>
          <w:sz w:val="20"/>
          <w:szCs w:val="20"/>
        </w:rPr>
        <w:t>Movimentação</w:t>
      </w:r>
    </w:p>
    <w:p w14:paraId="093BA7F7" w14:textId="77777777" w:rsidR="00965677" w:rsidRPr="006B7A01" w:rsidRDefault="00965677" w:rsidP="00586117">
      <w:pPr>
        <w:pStyle w:val="PargrafodaLista"/>
        <w:tabs>
          <w:tab w:val="left" w:pos="284"/>
        </w:tabs>
        <w:ind w:left="0"/>
        <w:jc w:val="center"/>
        <w:rPr>
          <w:rFonts w:ascii="Verdana" w:hAnsi="Verdana"/>
          <w:sz w:val="20"/>
          <w:szCs w:val="20"/>
          <w:highlight w:val="yellow"/>
        </w:rPr>
      </w:pPr>
    </w:p>
    <w:p w14:paraId="50A76C65" w14:textId="77777777" w:rsidR="002B7384" w:rsidRPr="006B7A01" w:rsidRDefault="00571031" w:rsidP="00586117">
      <w:pPr>
        <w:pStyle w:val="PargrafodaLista"/>
        <w:tabs>
          <w:tab w:val="left" w:pos="284"/>
        </w:tabs>
        <w:ind w:left="0"/>
        <w:jc w:val="center"/>
        <w:rPr>
          <w:rFonts w:ascii="Verdana" w:hAnsi="Verdana"/>
          <w:sz w:val="20"/>
          <w:szCs w:val="20"/>
          <w:highlight w:val="yellow"/>
        </w:rPr>
      </w:pPr>
      <w:r w:rsidRPr="00571031">
        <w:rPr>
          <w:noProof/>
        </w:rPr>
        <w:drawing>
          <wp:inline distT="0" distB="0" distL="0" distR="0" wp14:anchorId="65E4122E" wp14:editId="53C43AB4">
            <wp:extent cx="6350908" cy="856527"/>
            <wp:effectExtent l="0" t="0" r="0" b="0"/>
            <wp:docPr id="480" name="Imagem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84317" cy="874519"/>
                    </a:xfrm>
                    <a:prstGeom prst="rect">
                      <a:avLst/>
                    </a:prstGeom>
                    <a:noFill/>
                    <a:ln>
                      <a:noFill/>
                    </a:ln>
                  </pic:spPr>
                </pic:pic>
              </a:graphicData>
            </a:graphic>
          </wp:inline>
        </w:drawing>
      </w:r>
    </w:p>
    <w:p w14:paraId="297E9CA1" w14:textId="77777777" w:rsidR="002517C1" w:rsidRPr="003E5E7D" w:rsidRDefault="002517C1" w:rsidP="002517C1">
      <w:pPr>
        <w:pStyle w:val="PargrafodaLista"/>
        <w:tabs>
          <w:tab w:val="left" w:pos="284"/>
        </w:tabs>
        <w:ind w:left="0"/>
        <w:rPr>
          <w:rFonts w:ascii="Verdana" w:hAnsi="Verdana"/>
          <w:sz w:val="20"/>
          <w:szCs w:val="20"/>
          <w:highlight w:val="yellow"/>
        </w:rPr>
      </w:pPr>
      <w:r>
        <w:rPr>
          <w:rFonts w:ascii="Verdana" w:hAnsi="Verdana"/>
          <w:sz w:val="20"/>
          <w:szCs w:val="20"/>
        </w:rPr>
        <w:t>Em 2021, ocorreram revisões das estimativas de atualização monetária dos depósitos judiciais.</w:t>
      </w:r>
    </w:p>
    <w:p w14:paraId="794B97A3" w14:textId="77777777" w:rsidR="002517C1" w:rsidRDefault="002517C1" w:rsidP="002517C1">
      <w:pPr>
        <w:pStyle w:val="PargrafodaLista"/>
        <w:tabs>
          <w:tab w:val="left" w:pos="284"/>
        </w:tabs>
        <w:ind w:left="0"/>
        <w:jc w:val="left"/>
        <w:rPr>
          <w:rFonts w:ascii="Verdana" w:hAnsi="Verdana"/>
          <w:sz w:val="20"/>
          <w:szCs w:val="20"/>
        </w:rPr>
      </w:pPr>
    </w:p>
    <w:p w14:paraId="64054F89" w14:textId="77777777" w:rsidR="002517C1" w:rsidRPr="006B7A01" w:rsidRDefault="002517C1" w:rsidP="002517C1">
      <w:pPr>
        <w:pStyle w:val="PargrafodaLista"/>
        <w:tabs>
          <w:tab w:val="left" w:pos="284"/>
        </w:tabs>
        <w:ind w:left="0"/>
        <w:jc w:val="left"/>
        <w:rPr>
          <w:rFonts w:ascii="Verdana" w:hAnsi="Verdana"/>
          <w:color w:val="0D63B5"/>
          <w:sz w:val="20"/>
          <w:szCs w:val="20"/>
        </w:rPr>
      </w:pPr>
      <w:r w:rsidRPr="00571031">
        <w:rPr>
          <w:rFonts w:ascii="Verdana" w:hAnsi="Verdana"/>
          <w:color w:val="0D63B5"/>
          <w:sz w:val="20"/>
          <w:szCs w:val="20"/>
        </w:rPr>
        <w:t>Prática Contábil</w:t>
      </w:r>
    </w:p>
    <w:p w14:paraId="3AC91668" w14:textId="77777777" w:rsidR="002517C1" w:rsidRDefault="002517C1" w:rsidP="002517C1">
      <w:pPr>
        <w:pStyle w:val="PargrafodaLista"/>
        <w:tabs>
          <w:tab w:val="left" w:pos="284"/>
        </w:tabs>
        <w:ind w:left="0"/>
        <w:rPr>
          <w:rFonts w:ascii="Verdana" w:hAnsi="Verdana"/>
          <w:sz w:val="20"/>
          <w:szCs w:val="20"/>
        </w:rPr>
      </w:pPr>
    </w:p>
    <w:p w14:paraId="4F6D733D" w14:textId="739187A0" w:rsidR="002517C1" w:rsidRDefault="002517C1" w:rsidP="002517C1">
      <w:pPr>
        <w:pStyle w:val="PargrafodaLista"/>
        <w:tabs>
          <w:tab w:val="left" w:pos="284"/>
        </w:tabs>
        <w:ind w:left="0"/>
        <w:rPr>
          <w:rFonts w:ascii="Verdana" w:eastAsiaTheme="minorHAnsi" w:hAnsi="Verdana" w:cs="Arial"/>
          <w:sz w:val="20"/>
          <w:szCs w:val="20"/>
          <w:lang w:eastAsia="en-US"/>
        </w:rPr>
      </w:pPr>
      <w:r w:rsidRPr="007E3367">
        <w:rPr>
          <w:rFonts w:ascii="Verdana" w:eastAsiaTheme="minorHAnsi" w:hAnsi="Verdana" w:cs="Arial"/>
          <w:sz w:val="20"/>
          <w:szCs w:val="20"/>
          <w:lang w:eastAsia="en-US"/>
        </w:rPr>
        <w:t xml:space="preserve">Os depósitos vinculados </w:t>
      </w:r>
      <w:proofErr w:type="gramStart"/>
      <w:r w:rsidRPr="007E3367">
        <w:rPr>
          <w:rFonts w:ascii="Verdana" w:eastAsiaTheme="minorHAnsi" w:hAnsi="Verdana" w:cs="Arial"/>
          <w:sz w:val="20"/>
          <w:szCs w:val="20"/>
          <w:lang w:eastAsia="en-US"/>
        </w:rPr>
        <w:t>estão  registrados</w:t>
      </w:r>
      <w:proofErr w:type="gramEnd"/>
      <w:r w:rsidRPr="007E3367">
        <w:rPr>
          <w:rFonts w:ascii="Verdana" w:eastAsiaTheme="minorHAnsi" w:hAnsi="Verdana" w:cs="Arial"/>
          <w:sz w:val="20"/>
          <w:szCs w:val="20"/>
          <w:lang w:eastAsia="en-US"/>
        </w:rPr>
        <w:t xml:space="preserve"> ao custo histórico, acrescidos das respectivas atua</w:t>
      </w:r>
      <w:r>
        <w:rPr>
          <w:rFonts w:ascii="Verdana" w:eastAsiaTheme="minorHAnsi" w:hAnsi="Verdana" w:cs="Arial"/>
          <w:sz w:val="20"/>
          <w:szCs w:val="20"/>
          <w:lang w:eastAsia="en-US"/>
        </w:rPr>
        <w:t>l</w:t>
      </w:r>
      <w:r w:rsidRPr="007E3367">
        <w:rPr>
          <w:rFonts w:ascii="Verdana" w:eastAsiaTheme="minorHAnsi" w:hAnsi="Verdana" w:cs="Arial"/>
          <w:sz w:val="20"/>
          <w:szCs w:val="20"/>
          <w:lang w:eastAsia="en-US"/>
        </w:rPr>
        <w:t>iz</w:t>
      </w:r>
      <w:r>
        <w:rPr>
          <w:rFonts w:ascii="Verdana" w:eastAsiaTheme="minorHAnsi" w:hAnsi="Verdana" w:cs="Arial"/>
          <w:sz w:val="20"/>
          <w:szCs w:val="20"/>
          <w:lang w:eastAsia="en-US"/>
        </w:rPr>
        <w:t>a</w:t>
      </w:r>
      <w:r w:rsidRPr="007E3367">
        <w:rPr>
          <w:rFonts w:ascii="Verdana" w:eastAsiaTheme="minorHAnsi" w:hAnsi="Verdana" w:cs="Arial"/>
          <w:sz w:val="20"/>
          <w:szCs w:val="20"/>
          <w:lang w:eastAsia="en-US"/>
        </w:rPr>
        <w:t>ções monetárias</w:t>
      </w:r>
      <w:r>
        <w:rPr>
          <w:rFonts w:ascii="Verdana" w:eastAsiaTheme="minorHAnsi" w:hAnsi="Verdana" w:cs="Arial"/>
          <w:sz w:val="20"/>
          <w:szCs w:val="20"/>
          <w:lang w:eastAsia="en-US"/>
        </w:rPr>
        <w:t xml:space="preserve"> (atualizações e reversões)</w:t>
      </w:r>
      <w:r w:rsidRPr="007E3367">
        <w:rPr>
          <w:rFonts w:ascii="Verdana" w:eastAsiaTheme="minorHAnsi" w:hAnsi="Verdana" w:cs="Arial"/>
          <w:sz w:val="20"/>
          <w:szCs w:val="20"/>
          <w:lang w:eastAsia="en-US"/>
        </w:rPr>
        <w:t>.</w:t>
      </w:r>
    </w:p>
    <w:p w14:paraId="310CF0A6" w14:textId="46943D30" w:rsidR="00FE1227" w:rsidRDefault="00FE1227" w:rsidP="002517C1">
      <w:pPr>
        <w:pStyle w:val="PargrafodaLista"/>
        <w:tabs>
          <w:tab w:val="left" w:pos="284"/>
        </w:tabs>
        <w:ind w:left="0"/>
        <w:rPr>
          <w:rFonts w:ascii="Verdana" w:eastAsiaTheme="minorHAnsi" w:hAnsi="Verdana" w:cs="Arial"/>
          <w:sz w:val="20"/>
          <w:szCs w:val="20"/>
          <w:lang w:eastAsia="en-US"/>
        </w:rPr>
      </w:pPr>
    </w:p>
    <w:p w14:paraId="3FFC2CEF" w14:textId="285EA1A6" w:rsidR="00971E11" w:rsidRDefault="00971E11" w:rsidP="002517C1">
      <w:pPr>
        <w:pStyle w:val="PargrafodaLista"/>
        <w:tabs>
          <w:tab w:val="left" w:pos="284"/>
        </w:tabs>
        <w:ind w:left="0"/>
        <w:rPr>
          <w:rFonts w:ascii="Verdana" w:eastAsiaTheme="minorHAnsi" w:hAnsi="Verdana" w:cs="Arial"/>
          <w:sz w:val="20"/>
          <w:szCs w:val="20"/>
          <w:lang w:eastAsia="en-US"/>
        </w:rPr>
      </w:pPr>
    </w:p>
    <w:p w14:paraId="516C17D3" w14:textId="77777777" w:rsidR="00971E11" w:rsidRDefault="00971E11" w:rsidP="002517C1">
      <w:pPr>
        <w:pStyle w:val="PargrafodaLista"/>
        <w:tabs>
          <w:tab w:val="left" w:pos="284"/>
        </w:tabs>
        <w:ind w:left="0"/>
        <w:rPr>
          <w:rFonts w:ascii="Verdana" w:eastAsiaTheme="minorHAnsi" w:hAnsi="Verdana" w:cs="Arial"/>
          <w:sz w:val="20"/>
          <w:szCs w:val="20"/>
          <w:lang w:eastAsia="en-US"/>
        </w:rPr>
      </w:pPr>
    </w:p>
    <w:p w14:paraId="62F35442" w14:textId="77777777" w:rsidR="008B03E7" w:rsidRPr="007E3367" w:rsidRDefault="008B03E7" w:rsidP="00FE1227">
      <w:pPr>
        <w:pStyle w:val="Ttulo1"/>
        <w:spacing w:before="0"/>
        <w:jc w:val="left"/>
        <w:rPr>
          <w:b w:val="0"/>
          <w:color w:val="0D63B5"/>
          <w:u w:val="none"/>
        </w:rPr>
      </w:pPr>
      <w:r w:rsidRPr="007E3367">
        <w:rPr>
          <w:color w:val="0D63B5"/>
          <w:u w:val="none"/>
        </w:rPr>
        <w:t>NOTA 16 – IMOBILIZADO</w:t>
      </w:r>
      <w:r w:rsidR="005162C6" w:rsidRPr="007E3367">
        <w:rPr>
          <w:color w:val="0D63B5"/>
          <w:u w:val="none"/>
        </w:rPr>
        <w:t xml:space="preserve"> </w:t>
      </w:r>
    </w:p>
    <w:p w14:paraId="2BF46136" w14:textId="77777777" w:rsidR="008B03E7" w:rsidRPr="007E3367" w:rsidRDefault="008B03E7" w:rsidP="008B03E7">
      <w:pPr>
        <w:rPr>
          <w:rFonts w:ascii="Verdana" w:hAnsi="Verdana"/>
          <w:sz w:val="20"/>
          <w:szCs w:val="20"/>
        </w:rPr>
      </w:pPr>
    </w:p>
    <w:p w14:paraId="14ABA2CB" w14:textId="77777777" w:rsidR="002517C1" w:rsidRPr="004509C8" w:rsidRDefault="002517C1" w:rsidP="002517C1">
      <w:pPr>
        <w:rPr>
          <w:rFonts w:ascii="Verdana" w:hAnsi="Verdana"/>
          <w:sz w:val="20"/>
          <w:szCs w:val="20"/>
        </w:rPr>
      </w:pPr>
      <w:r w:rsidRPr="004509C8">
        <w:rPr>
          <w:rFonts w:ascii="Verdana" w:hAnsi="Verdana"/>
          <w:sz w:val="20"/>
          <w:szCs w:val="20"/>
        </w:rPr>
        <w:t>A Companhia detém e opera duas usinas nucleares, Angra 1 e Angra 2, e está construindo uma terceira, Angra 3. Os itens do ativo imobilizado se referem a bens e instalações utilizados na produção e são vinculados ao serviço público de energia elétrica, não podendo ser retirados, alienados, cedidos ou dados em garantia hipotecária, sem a prévia e expressa autorização do Órgão Regulador, segundo a legislação federal vigente.</w:t>
      </w:r>
    </w:p>
    <w:p w14:paraId="1790FA33" w14:textId="77777777" w:rsidR="002517C1" w:rsidRPr="004509C8" w:rsidRDefault="002517C1" w:rsidP="002517C1">
      <w:pPr>
        <w:rPr>
          <w:rFonts w:ascii="Verdana" w:hAnsi="Verdana"/>
          <w:sz w:val="20"/>
          <w:szCs w:val="20"/>
        </w:rPr>
      </w:pPr>
    </w:p>
    <w:p w14:paraId="2FDB2FB3" w14:textId="77777777" w:rsidR="002517C1" w:rsidRPr="004509C8" w:rsidRDefault="002517C1" w:rsidP="002517C1">
      <w:pPr>
        <w:tabs>
          <w:tab w:val="left" w:pos="1134"/>
          <w:tab w:val="left" w:pos="1418"/>
          <w:tab w:val="left" w:pos="1701"/>
          <w:tab w:val="left" w:pos="1985"/>
          <w:tab w:val="left" w:pos="2268"/>
        </w:tabs>
        <w:rPr>
          <w:rFonts w:ascii="Verdana" w:hAnsi="Verdana"/>
          <w:color w:val="FF0000"/>
          <w:sz w:val="20"/>
          <w:szCs w:val="20"/>
        </w:rPr>
      </w:pPr>
      <w:r w:rsidRPr="004509C8">
        <w:rPr>
          <w:rFonts w:ascii="Verdana" w:hAnsi="Verdana"/>
          <w:sz w:val="20"/>
          <w:szCs w:val="20"/>
        </w:rPr>
        <w:t>Para as instalações de geração termonuclear não há concessão. A autorização para operação comercial é concedida, há outorga e registro de geração concedido pela A</w:t>
      </w:r>
      <w:r>
        <w:rPr>
          <w:rFonts w:ascii="Verdana" w:hAnsi="Verdana"/>
          <w:sz w:val="20"/>
          <w:szCs w:val="20"/>
        </w:rPr>
        <w:t>neel</w:t>
      </w:r>
      <w:r w:rsidRPr="004509C8">
        <w:rPr>
          <w:rFonts w:ascii="Verdana" w:hAnsi="Verdana"/>
          <w:sz w:val="20"/>
          <w:szCs w:val="20"/>
        </w:rPr>
        <w:t>. A Comissão Nacional de Energia Nuclear – CNEN emite as autorizações para operação das usinas por um período de 40 anos, contados a partir do início da operação comercial e, com base na Reavaliação Periódica de Segurança – RPS, renovável por períodos de dez anos, as autorizações necessárias, podendo compreender períodos maiores. Anos antes do vencimento, cada usina pode solicitar uma prorrogação de sua autorização à CNEN. Para obter a prorrogação, a CNEN pode solicitar uma avaliação das condições operacionais da usina e eventualmente a substituição de certos equipamentos. A ELETRONUCLEAR ainda está preparando as análises para a solicitação de extensão de vida útil para a Usina de Angra 1. Isso será feito no momento oportuno. A Licença de operação emitida pelo IBAMA é para a Central Nuclear Almirante Álvaro Alberto – CNAAA, ou seja, para Angra 1 e é válida até 2024. A atual Autorização para Operação Permanente de Angra 1, emitida pela CNEN, expira em 2024. A usina de Angra 2, a atual autorização para Operação Permanente de Angra 2, emitida pela CNEN, expira em junho de 2041</w:t>
      </w:r>
      <w:r w:rsidRPr="004509C8">
        <w:rPr>
          <w:rFonts w:ascii="Verdana" w:hAnsi="Verdana" w:cs="Arial"/>
          <w:sz w:val="20"/>
          <w:szCs w:val="20"/>
        </w:rPr>
        <w:t>.</w:t>
      </w:r>
      <w:r w:rsidRPr="004509C8">
        <w:rPr>
          <w:rFonts w:ascii="Verdana" w:hAnsi="Verdana"/>
          <w:color w:val="FF0000"/>
          <w:sz w:val="20"/>
          <w:szCs w:val="20"/>
        </w:rPr>
        <w:t xml:space="preserve"> </w:t>
      </w:r>
    </w:p>
    <w:p w14:paraId="06C1B036" w14:textId="77777777" w:rsidR="002517C1" w:rsidRPr="004509C8" w:rsidRDefault="002517C1" w:rsidP="002517C1">
      <w:pPr>
        <w:tabs>
          <w:tab w:val="left" w:pos="1134"/>
          <w:tab w:val="left" w:pos="1418"/>
          <w:tab w:val="left" w:pos="1701"/>
          <w:tab w:val="left" w:pos="1985"/>
          <w:tab w:val="left" w:pos="2268"/>
        </w:tabs>
        <w:rPr>
          <w:rFonts w:ascii="Verdana" w:hAnsi="Verdana"/>
          <w:sz w:val="20"/>
          <w:szCs w:val="20"/>
        </w:rPr>
      </w:pPr>
    </w:p>
    <w:p w14:paraId="3B3FE171" w14:textId="4F91B459" w:rsidR="008B03E7" w:rsidRPr="005162C6" w:rsidRDefault="002517C1" w:rsidP="002517C1">
      <w:pPr>
        <w:tabs>
          <w:tab w:val="left" w:pos="1134"/>
          <w:tab w:val="left" w:pos="1418"/>
          <w:tab w:val="left" w:pos="1701"/>
          <w:tab w:val="left" w:pos="1985"/>
          <w:tab w:val="left" w:pos="2268"/>
        </w:tabs>
        <w:rPr>
          <w:rFonts w:ascii="Verdana" w:hAnsi="Verdana"/>
          <w:sz w:val="20"/>
          <w:szCs w:val="20"/>
        </w:rPr>
      </w:pPr>
      <w:r w:rsidRPr="004509C8">
        <w:rPr>
          <w:rFonts w:ascii="Verdana" w:hAnsi="Verdana"/>
          <w:sz w:val="20"/>
          <w:szCs w:val="20"/>
        </w:rPr>
        <w:t>A seguir demonstramos a movimentação do imobilizado</w:t>
      </w:r>
      <w:r w:rsidR="008B03E7" w:rsidRPr="005162C6">
        <w:rPr>
          <w:rFonts w:ascii="Verdana" w:hAnsi="Verdana"/>
          <w:sz w:val="20"/>
          <w:szCs w:val="20"/>
        </w:rPr>
        <w:t>:</w:t>
      </w:r>
      <w:r w:rsidR="0083445E" w:rsidRPr="005162C6">
        <w:rPr>
          <w:rFonts w:ascii="Verdana" w:hAnsi="Verdana"/>
          <w:sz w:val="20"/>
          <w:szCs w:val="20"/>
        </w:rPr>
        <w:t xml:space="preserve"> </w:t>
      </w:r>
    </w:p>
    <w:p w14:paraId="1CB8861E" w14:textId="77777777" w:rsidR="00EC7C2E" w:rsidRDefault="00EC7C2E" w:rsidP="008B03E7">
      <w:pPr>
        <w:tabs>
          <w:tab w:val="left" w:pos="1134"/>
          <w:tab w:val="left" w:pos="1418"/>
          <w:tab w:val="left" w:pos="1701"/>
          <w:tab w:val="left" w:pos="1985"/>
          <w:tab w:val="left" w:pos="2268"/>
        </w:tabs>
        <w:rPr>
          <w:rFonts w:ascii="Verdana" w:hAnsi="Verdana"/>
          <w:sz w:val="20"/>
          <w:szCs w:val="20"/>
        </w:rPr>
      </w:pPr>
    </w:p>
    <w:p w14:paraId="6DFDED1C" w14:textId="07A6A736" w:rsidR="008B03E7" w:rsidRDefault="008B03E7" w:rsidP="008B03E7">
      <w:pPr>
        <w:tabs>
          <w:tab w:val="left" w:pos="1134"/>
          <w:tab w:val="left" w:pos="1418"/>
          <w:tab w:val="left" w:pos="1701"/>
          <w:tab w:val="left" w:pos="1985"/>
          <w:tab w:val="left" w:pos="2268"/>
        </w:tabs>
      </w:pPr>
      <w:r w:rsidRPr="00874F04">
        <w:rPr>
          <w:rFonts w:ascii="Verdana" w:hAnsi="Verdana"/>
          <w:sz w:val="20"/>
          <w:szCs w:val="20"/>
        </w:rPr>
        <w:lastRenderedPageBreak/>
        <w:t xml:space="preserve">   </w:t>
      </w:r>
      <w:r w:rsidR="00A8633E" w:rsidRPr="00A8633E">
        <w:rPr>
          <w:noProof/>
        </w:rPr>
        <w:drawing>
          <wp:inline distT="0" distB="0" distL="0" distR="0" wp14:anchorId="17BDF467" wp14:editId="1DDE23DE">
            <wp:extent cx="6149028" cy="3543168"/>
            <wp:effectExtent l="0" t="0" r="4445" b="63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64353" cy="3551998"/>
                    </a:xfrm>
                    <a:prstGeom prst="rect">
                      <a:avLst/>
                    </a:prstGeom>
                    <a:noFill/>
                    <a:ln>
                      <a:noFill/>
                    </a:ln>
                  </pic:spPr>
                </pic:pic>
              </a:graphicData>
            </a:graphic>
          </wp:inline>
        </w:drawing>
      </w:r>
      <w:r w:rsidR="00A8633E" w:rsidRPr="00A8633E" w:rsidDel="00EC7C2E">
        <w:t xml:space="preserve"> </w:t>
      </w:r>
    </w:p>
    <w:p w14:paraId="1F696D54" w14:textId="77777777" w:rsidR="00971E11" w:rsidRDefault="00971E11" w:rsidP="008B03E7">
      <w:pPr>
        <w:tabs>
          <w:tab w:val="left" w:pos="1134"/>
          <w:tab w:val="left" w:pos="1418"/>
          <w:tab w:val="left" w:pos="1701"/>
          <w:tab w:val="left" w:pos="1985"/>
          <w:tab w:val="left" w:pos="2268"/>
        </w:tabs>
        <w:rPr>
          <w:rFonts w:ascii="Verdana" w:hAnsi="Verdana"/>
          <w:sz w:val="20"/>
          <w:szCs w:val="20"/>
        </w:rPr>
      </w:pPr>
    </w:p>
    <w:p w14:paraId="7DAC8749" w14:textId="77777777" w:rsidR="002517C1" w:rsidRPr="004509C8" w:rsidRDefault="002517C1" w:rsidP="002517C1">
      <w:pPr>
        <w:pStyle w:val="PargrafodaLista"/>
        <w:numPr>
          <w:ilvl w:val="0"/>
          <w:numId w:val="42"/>
        </w:numPr>
        <w:tabs>
          <w:tab w:val="left" w:pos="1134"/>
          <w:tab w:val="left" w:pos="1418"/>
          <w:tab w:val="left" w:pos="1701"/>
          <w:tab w:val="left" w:pos="1985"/>
          <w:tab w:val="left" w:pos="2268"/>
        </w:tabs>
        <w:rPr>
          <w:rFonts w:ascii="Verdana" w:hAnsi="Verdana"/>
          <w:sz w:val="20"/>
          <w:szCs w:val="20"/>
        </w:rPr>
      </w:pPr>
      <w:r w:rsidRPr="004509C8">
        <w:rPr>
          <w:rFonts w:ascii="Verdana" w:hAnsi="Verdana"/>
          <w:sz w:val="20"/>
          <w:szCs w:val="20"/>
        </w:rPr>
        <w:t xml:space="preserve">Baixa de adiantamento a fornecedor no </w:t>
      </w:r>
      <w:proofErr w:type="spellStart"/>
      <w:r w:rsidRPr="004509C8">
        <w:rPr>
          <w:rFonts w:ascii="Verdana" w:hAnsi="Verdana"/>
          <w:sz w:val="20"/>
          <w:szCs w:val="20"/>
        </w:rPr>
        <w:t>montate</w:t>
      </w:r>
      <w:proofErr w:type="spellEnd"/>
      <w:r w:rsidRPr="004509C8">
        <w:rPr>
          <w:rFonts w:ascii="Verdana" w:hAnsi="Verdana"/>
          <w:sz w:val="20"/>
          <w:szCs w:val="20"/>
        </w:rPr>
        <w:t xml:space="preserve"> de R$ 135.753, composta por transferência para o estoque de combustível nuclear no montante </w:t>
      </w:r>
      <w:proofErr w:type="gramStart"/>
      <w:r w:rsidRPr="004509C8">
        <w:rPr>
          <w:rFonts w:ascii="Verdana" w:hAnsi="Verdana"/>
          <w:sz w:val="20"/>
          <w:szCs w:val="20"/>
        </w:rPr>
        <w:t>de  R</w:t>
      </w:r>
      <w:proofErr w:type="gramEnd"/>
      <w:r w:rsidRPr="004509C8">
        <w:rPr>
          <w:rFonts w:ascii="Verdana" w:hAnsi="Verdana"/>
          <w:sz w:val="20"/>
          <w:szCs w:val="20"/>
        </w:rPr>
        <w:t>$ 118.744 e baixa de adiantamento por entrada de faturas no montante de R$ 17.009.</w:t>
      </w:r>
    </w:p>
    <w:p w14:paraId="34AE21CE" w14:textId="77777777" w:rsidR="00AB0AB7" w:rsidRDefault="00AB0AB7" w:rsidP="008B03E7">
      <w:pPr>
        <w:tabs>
          <w:tab w:val="left" w:pos="1134"/>
          <w:tab w:val="left" w:pos="1418"/>
          <w:tab w:val="left" w:pos="1701"/>
          <w:tab w:val="left" w:pos="1985"/>
          <w:tab w:val="left" w:pos="2268"/>
        </w:tabs>
        <w:jc w:val="center"/>
        <w:rPr>
          <w:rFonts w:ascii="Verdana" w:hAnsi="Verdana"/>
          <w:sz w:val="20"/>
          <w:szCs w:val="20"/>
          <w:highlight w:val="yellow"/>
        </w:rPr>
      </w:pPr>
    </w:p>
    <w:p w14:paraId="17539C0D" w14:textId="77777777" w:rsidR="00AB0AB7" w:rsidRPr="00F947F6" w:rsidRDefault="00AB0AB7" w:rsidP="008B03E7">
      <w:pPr>
        <w:tabs>
          <w:tab w:val="left" w:pos="1134"/>
          <w:tab w:val="left" w:pos="1418"/>
          <w:tab w:val="left" w:pos="1701"/>
          <w:tab w:val="left" w:pos="1985"/>
          <w:tab w:val="left" w:pos="2268"/>
        </w:tabs>
        <w:jc w:val="center"/>
        <w:rPr>
          <w:rFonts w:ascii="Verdana" w:hAnsi="Verdana"/>
          <w:sz w:val="20"/>
          <w:szCs w:val="20"/>
          <w:highlight w:val="yellow"/>
        </w:rPr>
      </w:pPr>
      <w:r w:rsidRPr="005E4A4C">
        <w:rPr>
          <w:noProof/>
        </w:rPr>
        <w:drawing>
          <wp:inline distT="0" distB="0" distL="0" distR="0" wp14:anchorId="5888ECCA" wp14:editId="2D9D16F9">
            <wp:extent cx="6652895" cy="4000294"/>
            <wp:effectExtent l="0" t="0" r="0" b="635"/>
            <wp:docPr id="59"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52895" cy="4000294"/>
                    </a:xfrm>
                    <a:prstGeom prst="rect">
                      <a:avLst/>
                    </a:prstGeom>
                    <a:noFill/>
                    <a:ln>
                      <a:noFill/>
                    </a:ln>
                  </pic:spPr>
                </pic:pic>
              </a:graphicData>
            </a:graphic>
          </wp:inline>
        </w:drawing>
      </w:r>
    </w:p>
    <w:p w14:paraId="7D966BBF" w14:textId="77777777" w:rsidR="00D73182" w:rsidRDefault="00D73182" w:rsidP="008B03E7">
      <w:pPr>
        <w:tabs>
          <w:tab w:val="left" w:pos="1134"/>
          <w:tab w:val="left" w:pos="1418"/>
          <w:tab w:val="left" w:pos="1701"/>
          <w:tab w:val="left" w:pos="1985"/>
          <w:tab w:val="left" w:pos="2268"/>
        </w:tabs>
        <w:jc w:val="center"/>
        <w:rPr>
          <w:rFonts w:ascii="Verdana" w:hAnsi="Verdana"/>
          <w:sz w:val="20"/>
          <w:szCs w:val="20"/>
          <w:highlight w:val="yellow"/>
        </w:rPr>
      </w:pPr>
    </w:p>
    <w:p w14:paraId="2262CAB6" w14:textId="77777777" w:rsidR="00AC2550" w:rsidRPr="00EB0DB0" w:rsidRDefault="00AC2550" w:rsidP="0054566B">
      <w:pPr>
        <w:pStyle w:val="PargrafodaLista"/>
        <w:numPr>
          <w:ilvl w:val="0"/>
          <w:numId w:val="47"/>
        </w:numPr>
        <w:tabs>
          <w:tab w:val="left" w:pos="1134"/>
          <w:tab w:val="left" w:pos="1418"/>
          <w:tab w:val="left" w:pos="1701"/>
          <w:tab w:val="left" w:pos="1985"/>
          <w:tab w:val="left" w:pos="2268"/>
        </w:tabs>
        <w:rPr>
          <w:rFonts w:ascii="Verdana" w:hAnsi="Verdana"/>
          <w:sz w:val="20"/>
          <w:szCs w:val="20"/>
        </w:rPr>
      </w:pPr>
      <w:r w:rsidRPr="00EB0DB0">
        <w:rPr>
          <w:rFonts w:ascii="Verdana" w:hAnsi="Verdana"/>
          <w:sz w:val="20"/>
          <w:szCs w:val="20"/>
        </w:rPr>
        <w:lastRenderedPageBreak/>
        <w:t>Baixa de adiantamento a fornecedor no monta</w:t>
      </w:r>
      <w:r w:rsidR="008533F1" w:rsidRPr="00EB0DB0">
        <w:rPr>
          <w:rFonts w:ascii="Verdana" w:hAnsi="Verdana"/>
          <w:sz w:val="20"/>
          <w:szCs w:val="20"/>
        </w:rPr>
        <w:t>n</w:t>
      </w:r>
      <w:r w:rsidRPr="00EB0DB0">
        <w:rPr>
          <w:rFonts w:ascii="Verdana" w:hAnsi="Verdana"/>
          <w:sz w:val="20"/>
          <w:szCs w:val="20"/>
        </w:rPr>
        <w:t xml:space="preserve">te de R$ </w:t>
      </w:r>
      <w:r w:rsidR="00642F74" w:rsidRPr="00EB0DB0">
        <w:rPr>
          <w:rFonts w:ascii="Verdana" w:hAnsi="Verdana"/>
          <w:sz w:val="20"/>
          <w:szCs w:val="20"/>
        </w:rPr>
        <w:t>226.042</w:t>
      </w:r>
      <w:r w:rsidRPr="00EB0DB0">
        <w:rPr>
          <w:rFonts w:ascii="Verdana" w:hAnsi="Verdana"/>
          <w:sz w:val="20"/>
          <w:szCs w:val="20"/>
        </w:rPr>
        <w:t xml:space="preserve">, composta por </w:t>
      </w:r>
      <w:r w:rsidR="00642F74" w:rsidRPr="00EB0DB0">
        <w:rPr>
          <w:rFonts w:ascii="Verdana" w:hAnsi="Verdana"/>
          <w:sz w:val="20"/>
          <w:szCs w:val="20"/>
        </w:rPr>
        <w:t xml:space="preserve">atualização da estimativa de </w:t>
      </w:r>
      <w:proofErr w:type="spellStart"/>
      <w:r w:rsidR="00642F74" w:rsidRPr="00EB0DB0">
        <w:rPr>
          <w:rFonts w:ascii="Verdana" w:hAnsi="Verdana"/>
          <w:sz w:val="20"/>
          <w:szCs w:val="20"/>
        </w:rPr>
        <w:t>descomissionamento</w:t>
      </w:r>
      <w:proofErr w:type="spellEnd"/>
      <w:r w:rsidRPr="00EB0DB0">
        <w:rPr>
          <w:rFonts w:ascii="Verdana" w:hAnsi="Verdana"/>
          <w:sz w:val="20"/>
          <w:szCs w:val="20"/>
        </w:rPr>
        <w:t xml:space="preserve"> no montante </w:t>
      </w:r>
      <w:proofErr w:type="gramStart"/>
      <w:r w:rsidRPr="00EB0DB0">
        <w:rPr>
          <w:rFonts w:ascii="Verdana" w:hAnsi="Verdana"/>
          <w:sz w:val="20"/>
          <w:szCs w:val="20"/>
        </w:rPr>
        <w:t>de  R</w:t>
      </w:r>
      <w:proofErr w:type="gramEnd"/>
      <w:r w:rsidRPr="00EB0DB0">
        <w:rPr>
          <w:rFonts w:ascii="Verdana" w:hAnsi="Verdana"/>
          <w:sz w:val="20"/>
          <w:szCs w:val="20"/>
        </w:rPr>
        <w:t xml:space="preserve">$ </w:t>
      </w:r>
      <w:r w:rsidR="00642F74" w:rsidRPr="00EB0DB0">
        <w:rPr>
          <w:rFonts w:ascii="Verdana" w:hAnsi="Verdana"/>
          <w:sz w:val="20"/>
          <w:szCs w:val="20"/>
        </w:rPr>
        <w:t>225.808</w:t>
      </w:r>
      <w:r w:rsidRPr="00EB0DB0">
        <w:rPr>
          <w:rFonts w:ascii="Verdana" w:hAnsi="Verdana"/>
          <w:sz w:val="20"/>
          <w:szCs w:val="20"/>
        </w:rPr>
        <w:t xml:space="preserve"> e </w:t>
      </w:r>
      <w:r w:rsidR="00642F74" w:rsidRPr="00EB0DB0">
        <w:rPr>
          <w:rFonts w:ascii="Verdana" w:hAnsi="Verdana"/>
          <w:sz w:val="20"/>
          <w:szCs w:val="20"/>
        </w:rPr>
        <w:t>outros ajuste no montante de R$ 234</w:t>
      </w:r>
      <w:r w:rsidRPr="00EB0DB0">
        <w:rPr>
          <w:rFonts w:ascii="Verdana" w:hAnsi="Verdana"/>
          <w:sz w:val="20"/>
          <w:szCs w:val="20"/>
        </w:rPr>
        <w:t>.</w:t>
      </w:r>
    </w:p>
    <w:p w14:paraId="4307639C" w14:textId="77777777" w:rsidR="00642F74" w:rsidRPr="00EB0DB0" w:rsidRDefault="00AC2550" w:rsidP="0054566B">
      <w:pPr>
        <w:pStyle w:val="PargrafodaLista"/>
        <w:numPr>
          <w:ilvl w:val="0"/>
          <w:numId w:val="47"/>
        </w:numPr>
        <w:tabs>
          <w:tab w:val="left" w:pos="1134"/>
          <w:tab w:val="left" w:pos="1418"/>
          <w:tab w:val="left" w:pos="1701"/>
          <w:tab w:val="left" w:pos="1985"/>
          <w:tab w:val="left" w:pos="2268"/>
        </w:tabs>
        <w:rPr>
          <w:rFonts w:ascii="Verdana" w:hAnsi="Verdana"/>
          <w:sz w:val="20"/>
          <w:szCs w:val="20"/>
        </w:rPr>
      </w:pPr>
      <w:r w:rsidRPr="00EB0DB0">
        <w:rPr>
          <w:rFonts w:ascii="Verdana" w:hAnsi="Verdana"/>
          <w:sz w:val="20"/>
          <w:szCs w:val="20"/>
        </w:rPr>
        <w:t>Baixa de adiantamento a fornecedor no monta</w:t>
      </w:r>
      <w:r w:rsidR="008533F1" w:rsidRPr="00EB0DB0">
        <w:rPr>
          <w:rFonts w:ascii="Verdana" w:hAnsi="Verdana"/>
          <w:sz w:val="20"/>
          <w:szCs w:val="20"/>
        </w:rPr>
        <w:t>n</w:t>
      </w:r>
      <w:r w:rsidRPr="00EB0DB0">
        <w:rPr>
          <w:rFonts w:ascii="Verdana" w:hAnsi="Verdana"/>
          <w:sz w:val="20"/>
          <w:szCs w:val="20"/>
        </w:rPr>
        <w:t xml:space="preserve">te de R$ 69.232, composta por transferência para o estoque de combustível nuclear no montante </w:t>
      </w:r>
      <w:proofErr w:type="gramStart"/>
      <w:r w:rsidRPr="00EB0DB0">
        <w:rPr>
          <w:rFonts w:ascii="Verdana" w:hAnsi="Verdana"/>
          <w:sz w:val="20"/>
          <w:szCs w:val="20"/>
        </w:rPr>
        <w:t>de  R</w:t>
      </w:r>
      <w:proofErr w:type="gramEnd"/>
      <w:r w:rsidRPr="00EB0DB0">
        <w:rPr>
          <w:rFonts w:ascii="Verdana" w:hAnsi="Verdana"/>
          <w:sz w:val="20"/>
          <w:szCs w:val="20"/>
        </w:rPr>
        <w:t>$ 67.439</w:t>
      </w:r>
      <w:r w:rsidR="00642F74" w:rsidRPr="00EB0DB0">
        <w:rPr>
          <w:rFonts w:ascii="Verdana" w:hAnsi="Verdana"/>
          <w:sz w:val="20"/>
          <w:szCs w:val="20"/>
        </w:rPr>
        <w:t xml:space="preserve"> e outros ajuste no montante de R$ 1.793.</w:t>
      </w:r>
    </w:p>
    <w:p w14:paraId="0D853A0E" w14:textId="77777777" w:rsidR="00AC2550" w:rsidRPr="00642F74" w:rsidRDefault="00AC2550" w:rsidP="005E4A4C">
      <w:pPr>
        <w:pStyle w:val="PargrafodaLista"/>
        <w:tabs>
          <w:tab w:val="left" w:pos="1134"/>
          <w:tab w:val="left" w:pos="1418"/>
          <w:tab w:val="left" w:pos="1701"/>
          <w:tab w:val="left" w:pos="1985"/>
          <w:tab w:val="left" w:pos="2268"/>
        </w:tabs>
        <w:ind w:left="720"/>
        <w:rPr>
          <w:rFonts w:ascii="Verdana" w:hAnsi="Verdana"/>
          <w:sz w:val="20"/>
          <w:szCs w:val="20"/>
        </w:rPr>
      </w:pPr>
    </w:p>
    <w:p w14:paraId="4B10F185" w14:textId="77777777" w:rsidR="00B63582" w:rsidRDefault="00B63582" w:rsidP="005E4A4C">
      <w:pPr>
        <w:tabs>
          <w:tab w:val="left" w:pos="1134"/>
          <w:tab w:val="left" w:pos="1418"/>
          <w:tab w:val="left" w:pos="1701"/>
          <w:tab w:val="left" w:pos="1985"/>
          <w:tab w:val="left" w:pos="2268"/>
        </w:tabs>
        <w:rPr>
          <w:rFonts w:ascii="Verdana" w:hAnsi="Verdana"/>
          <w:sz w:val="20"/>
          <w:szCs w:val="20"/>
          <w:highlight w:val="yellow"/>
        </w:rPr>
      </w:pPr>
    </w:p>
    <w:p w14:paraId="640E4B43" w14:textId="77777777" w:rsidR="008B03E7" w:rsidRPr="005162C6" w:rsidRDefault="008B03E7" w:rsidP="008B03E7">
      <w:pPr>
        <w:rPr>
          <w:rFonts w:ascii="Verdana" w:hAnsi="Verdana"/>
          <w:sz w:val="20"/>
          <w:szCs w:val="20"/>
        </w:rPr>
      </w:pPr>
      <w:r w:rsidRPr="005162C6">
        <w:rPr>
          <w:rFonts w:ascii="Verdana" w:hAnsi="Verdana"/>
          <w:sz w:val="20"/>
          <w:szCs w:val="20"/>
        </w:rPr>
        <w:t>Taxa média de depreciação e custo histórico:</w:t>
      </w:r>
    </w:p>
    <w:p w14:paraId="1BB11A4A" w14:textId="16268E2C" w:rsidR="00C716BB" w:rsidRDefault="008B03E7" w:rsidP="008B03E7">
      <w:pPr>
        <w:rPr>
          <w:rFonts w:ascii="Verdana" w:hAnsi="Verdana"/>
          <w:sz w:val="20"/>
          <w:szCs w:val="20"/>
          <w:highlight w:val="yellow"/>
        </w:rPr>
      </w:pPr>
      <w:r w:rsidRPr="00F947F6">
        <w:rPr>
          <w:rFonts w:ascii="Verdana" w:hAnsi="Verdana"/>
          <w:sz w:val="20"/>
          <w:szCs w:val="20"/>
          <w:highlight w:val="yellow"/>
        </w:rPr>
        <w:t xml:space="preserve">   </w:t>
      </w:r>
    </w:p>
    <w:p w14:paraId="1B750B1B" w14:textId="5A06D124" w:rsidR="00C716BB" w:rsidRPr="00F947F6" w:rsidRDefault="00C716BB" w:rsidP="008B03E7">
      <w:pPr>
        <w:rPr>
          <w:rFonts w:ascii="Verdana" w:hAnsi="Verdana"/>
          <w:sz w:val="20"/>
          <w:szCs w:val="20"/>
          <w:highlight w:val="yellow"/>
        </w:rPr>
      </w:pPr>
      <w:r w:rsidRPr="00C716BB">
        <w:rPr>
          <w:noProof/>
        </w:rPr>
        <w:drawing>
          <wp:inline distT="0" distB="0" distL="0" distR="0" wp14:anchorId="09A08821" wp14:editId="3AB71BD6">
            <wp:extent cx="6652895" cy="1567928"/>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52895" cy="1567928"/>
                    </a:xfrm>
                    <a:prstGeom prst="rect">
                      <a:avLst/>
                    </a:prstGeom>
                    <a:noFill/>
                    <a:ln>
                      <a:noFill/>
                    </a:ln>
                  </pic:spPr>
                </pic:pic>
              </a:graphicData>
            </a:graphic>
          </wp:inline>
        </w:drawing>
      </w:r>
    </w:p>
    <w:p w14:paraId="225BDFA6" w14:textId="77777777" w:rsidR="008B03E7" w:rsidRPr="00F947F6" w:rsidRDefault="008B03E7" w:rsidP="005162C6">
      <w:pPr>
        <w:jc w:val="left"/>
        <w:rPr>
          <w:rFonts w:ascii="Verdana" w:hAnsi="Verdana"/>
          <w:sz w:val="20"/>
          <w:szCs w:val="20"/>
          <w:highlight w:val="yellow"/>
        </w:rPr>
      </w:pPr>
    </w:p>
    <w:p w14:paraId="4FDC4D5C" w14:textId="77777777" w:rsidR="002517C1" w:rsidRPr="004509C8" w:rsidDel="00B95C6D" w:rsidRDefault="002517C1" w:rsidP="002517C1">
      <w:pPr>
        <w:rPr>
          <w:rFonts w:ascii="Verdana" w:hAnsi="Verdana"/>
          <w:sz w:val="20"/>
          <w:szCs w:val="20"/>
        </w:rPr>
      </w:pPr>
      <w:r w:rsidRPr="004509C8">
        <w:rPr>
          <w:rFonts w:ascii="Verdana" w:hAnsi="Verdana"/>
          <w:sz w:val="20"/>
          <w:szCs w:val="20"/>
        </w:rPr>
        <w:t xml:space="preserve">Cabe mencionar que informações sobre o </w:t>
      </w:r>
      <w:proofErr w:type="spellStart"/>
      <w:r w:rsidRPr="004509C8">
        <w:rPr>
          <w:rFonts w:ascii="Verdana" w:hAnsi="Verdana"/>
          <w:i/>
          <w:sz w:val="20"/>
          <w:szCs w:val="20"/>
        </w:rPr>
        <w:t>impairment</w:t>
      </w:r>
      <w:proofErr w:type="spellEnd"/>
      <w:r w:rsidRPr="004509C8">
        <w:rPr>
          <w:rFonts w:ascii="Verdana" w:hAnsi="Verdana"/>
          <w:sz w:val="20"/>
          <w:szCs w:val="20"/>
        </w:rPr>
        <w:t xml:space="preserve"> estão apresentadas na nota 18.</w:t>
      </w:r>
    </w:p>
    <w:p w14:paraId="5190ADA5" w14:textId="77777777" w:rsidR="002517C1" w:rsidRDefault="002517C1" w:rsidP="002517C1">
      <w:pPr>
        <w:widowControl w:val="0"/>
        <w:autoSpaceDE w:val="0"/>
        <w:autoSpaceDN w:val="0"/>
        <w:rPr>
          <w:rFonts w:ascii="Verdana" w:hAnsi="Verdana"/>
          <w:color w:val="0D63B5"/>
          <w:sz w:val="20"/>
          <w:szCs w:val="20"/>
        </w:rPr>
      </w:pPr>
    </w:p>
    <w:p w14:paraId="36626A02" w14:textId="77777777" w:rsidR="002517C1" w:rsidRPr="004509C8" w:rsidRDefault="002517C1" w:rsidP="002517C1">
      <w:pPr>
        <w:widowControl w:val="0"/>
        <w:autoSpaceDE w:val="0"/>
        <w:autoSpaceDN w:val="0"/>
        <w:rPr>
          <w:rFonts w:ascii="Verdana" w:hAnsi="Verdana"/>
          <w:color w:val="0D63B5"/>
          <w:sz w:val="20"/>
          <w:szCs w:val="20"/>
        </w:rPr>
      </w:pPr>
    </w:p>
    <w:p w14:paraId="7889AB1C" w14:textId="77777777" w:rsidR="002517C1" w:rsidRPr="004509C8" w:rsidRDefault="002517C1" w:rsidP="002517C1">
      <w:pPr>
        <w:widowControl w:val="0"/>
        <w:autoSpaceDE w:val="0"/>
        <w:autoSpaceDN w:val="0"/>
        <w:rPr>
          <w:rFonts w:ascii="Verdana" w:hAnsi="Verdana"/>
          <w:sz w:val="20"/>
          <w:szCs w:val="20"/>
          <w:bdr w:val="nil"/>
        </w:rPr>
      </w:pPr>
      <w:r w:rsidRPr="004509C8">
        <w:rPr>
          <w:rFonts w:ascii="Verdana" w:hAnsi="Verdana"/>
          <w:color w:val="0D63B5"/>
          <w:sz w:val="20"/>
          <w:szCs w:val="20"/>
        </w:rPr>
        <w:t>Prática contábil</w:t>
      </w:r>
      <w:r w:rsidRPr="004509C8">
        <w:rPr>
          <w:rFonts w:ascii="Verdana" w:hAnsi="Verdana"/>
          <w:sz w:val="20"/>
          <w:szCs w:val="20"/>
          <w:bdr w:val="nil"/>
        </w:rPr>
        <w:t xml:space="preserve"> </w:t>
      </w:r>
    </w:p>
    <w:p w14:paraId="54764FF3" w14:textId="77777777" w:rsidR="002517C1" w:rsidRPr="004509C8" w:rsidRDefault="002517C1" w:rsidP="002517C1">
      <w:pPr>
        <w:widowControl w:val="0"/>
        <w:autoSpaceDE w:val="0"/>
        <w:autoSpaceDN w:val="0"/>
        <w:jc w:val="left"/>
        <w:rPr>
          <w:rFonts w:ascii="Verdana" w:hAnsi="Verdana"/>
          <w:b/>
          <w:color w:val="0D63B5"/>
          <w:sz w:val="20"/>
          <w:szCs w:val="20"/>
          <w:lang w:val="pt-PT"/>
        </w:rPr>
      </w:pPr>
    </w:p>
    <w:p w14:paraId="59E60401" w14:textId="77777777" w:rsidR="002517C1" w:rsidRPr="004509C8" w:rsidRDefault="002517C1" w:rsidP="002517C1">
      <w:pPr>
        <w:widowControl w:val="0"/>
        <w:autoSpaceDE w:val="0"/>
        <w:autoSpaceDN w:val="0"/>
        <w:rPr>
          <w:rFonts w:ascii="Verdana" w:hAnsi="Verdana"/>
          <w:sz w:val="20"/>
          <w:szCs w:val="20"/>
          <w:bdr w:val="nil"/>
        </w:rPr>
      </w:pPr>
      <w:r w:rsidRPr="004509C8">
        <w:rPr>
          <w:rFonts w:ascii="Verdana" w:hAnsi="Verdana"/>
          <w:sz w:val="20"/>
          <w:szCs w:val="20"/>
          <w:bdr w:val="nil"/>
        </w:rPr>
        <w:t xml:space="preserve">O imobilizado é mensurado pelo custo histórico deduzido da depreciação acumulada. O custo histórico inclui os gastos diretamente atribuídos à aquisição dos ativos e, no caso de ativos qualificáveis, também inclui os custos de empréstimos capitalizados de acordo com a política contábil da Companhia. Tais imobilizações são classificadas nas categorias adequadas do imobilizado quando concluídas e prontas para o uso pretendido. </w:t>
      </w:r>
    </w:p>
    <w:p w14:paraId="68347553" w14:textId="77777777" w:rsidR="002517C1" w:rsidRPr="004509C8" w:rsidRDefault="002517C1" w:rsidP="002517C1">
      <w:pPr>
        <w:tabs>
          <w:tab w:val="left" w:pos="1134"/>
          <w:tab w:val="left" w:pos="1418"/>
          <w:tab w:val="left" w:pos="1701"/>
          <w:tab w:val="left" w:pos="1985"/>
          <w:tab w:val="left" w:pos="2268"/>
        </w:tabs>
        <w:rPr>
          <w:rFonts w:ascii="Verdana" w:hAnsi="Verdana"/>
          <w:sz w:val="20"/>
          <w:szCs w:val="20"/>
        </w:rPr>
      </w:pPr>
    </w:p>
    <w:p w14:paraId="3F85DE9F" w14:textId="77777777" w:rsidR="002517C1" w:rsidRPr="004509C8" w:rsidRDefault="002517C1" w:rsidP="002517C1">
      <w:pPr>
        <w:tabs>
          <w:tab w:val="left" w:pos="1134"/>
          <w:tab w:val="left" w:pos="1418"/>
          <w:tab w:val="left" w:pos="1701"/>
          <w:tab w:val="left" w:pos="1985"/>
          <w:tab w:val="left" w:pos="2268"/>
        </w:tabs>
        <w:rPr>
          <w:rFonts w:ascii="Verdana" w:hAnsi="Verdana"/>
          <w:sz w:val="20"/>
          <w:szCs w:val="20"/>
        </w:rPr>
      </w:pPr>
      <w:r w:rsidRPr="004509C8">
        <w:rPr>
          <w:rFonts w:ascii="Verdana" w:hAnsi="Verdana"/>
          <w:sz w:val="20"/>
          <w:szCs w:val="20"/>
        </w:rPr>
        <w:t xml:space="preserve">Os itens do ativo imobilizado referem-se substancialmente à infraestrutura para geração de energia elétrica e ativos corporativos. </w:t>
      </w:r>
    </w:p>
    <w:p w14:paraId="0DBA6211" w14:textId="77777777" w:rsidR="002517C1" w:rsidRPr="004509C8" w:rsidRDefault="002517C1" w:rsidP="002517C1">
      <w:pPr>
        <w:tabs>
          <w:tab w:val="left" w:pos="1134"/>
          <w:tab w:val="left" w:pos="1418"/>
          <w:tab w:val="left" w:pos="1701"/>
          <w:tab w:val="left" w:pos="1985"/>
          <w:tab w:val="left" w:pos="2268"/>
        </w:tabs>
        <w:rPr>
          <w:rFonts w:ascii="Verdana" w:hAnsi="Verdana"/>
          <w:sz w:val="20"/>
          <w:szCs w:val="20"/>
        </w:rPr>
      </w:pPr>
    </w:p>
    <w:p w14:paraId="4250D3A8" w14:textId="77777777" w:rsidR="002517C1" w:rsidRPr="004509C8" w:rsidRDefault="002517C1" w:rsidP="002517C1">
      <w:pPr>
        <w:widowControl w:val="0"/>
        <w:autoSpaceDE w:val="0"/>
        <w:autoSpaceDN w:val="0"/>
        <w:rPr>
          <w:rFonts w:ascii="Verdana" w:hAnsi="Verdana"/>
          <w:sz w:val="20"/>
          <w:szCs w:val="20"/>
          <w:bdr w:val="nil"/>
        </w:rPr>
      </w:pPr>
      <w:r w:rsidRPr="004509C8">
        <w:rPr>
          <w:rFonts w:ascii="Verdana" w:hAnsi="Verdana"/>
          <w:sz w:val="20"/>
          <w:szCs w:val="20"/>
          <w:bdr w:val="nil"/>
        </w:rPr>
        <w:t>A depreciação desses ativos inicia-se quando eles estão prontos para o uso e em operação.  A depreciação reconhecida é mensurada com base na vida útil estimada de cada ativo pelo método linear, de modo que o valor do custo menos o seu valor residual após sua vida útil esteja integralmente baixado. A Companhia considera que a vida útil estimada de cada ativo é semelhante às taxas de depreciação determinadas pela A</w:t>
      </w:r>
      <w:r>
        <w:rPr>
          <w:rFonts w:ascii="Verdana" w:hAnsi="Verdana"/>
          <w:sz w:val="20"/>
          <w:szCs w:val="20"/>
          <w:bdr w:val="nil"/>
        </w:rPr>
        <w:t>neel</w:t>
      </w:r>
      <w:r w:rsidRPr="004509C8">
        <w:rPr>
          <w:rFonts w:ascii="Verdana" w:hAnsi="Verdana"/>
          <w:sz w:val="20"/>
          <w:szCs w:val="20"/>
          <w:bdr w:val="nil"/>
        </w:rPr>
        <w:t xml:space="preserve">, as quais são tidas pelo mercado como aceitáveis por expressar adequadamente o tempo de vida útil dos bens. </w:t>
      </w:r>
    </w:p>
    <w:p w14:paraId="31D4B7B0" w14:textId="77777777" w:rsidR="002517C1" w:rsidRPr="004509C8" w:rsidRDefault="002517C1" w:rsidP="002517C1">
      <w:pPr>
        <w:widowControl w:val="0"/>
        <w:autoSpaceDE w:val="0"/>
        <w:autoSpaceDN w:val="0"/>
        <w:rPr>
          <w:rFonts w:ascii="Verdana" w:hAnsi="Verdana"/>
          <w:sz w:val="20"/>
          <w:szCs w:val="20"/>
          <w:bdr w:val="nil"/>
        </w:rPr>
      </w:pPr>
    </w:p>
    <w:p w14:paraId="4897A4BE" w14:textId="77777777" w:rsidR="002517C1" w:rsidRPr="004509C8" w:rsidRDefault="002517C1" w:rsidP="002517C1">
      <w:pPr>
        <w:widowControl w:val="0"/>
        <w:autoSpaceDE w:val="0"/>
        <w:autoSpaceDN w:val="0"/>
        <w:rPr>
          <w:rFonts w:ascii="Verdana" w:hAnsi="Verdana"/>
          <w:sz w:val="20"/>
          <w:szCs w:val="20"/>
          <w:bdr w:val="nil"/>
        </w:rPr>
      </w:pPr>
      <w:r w:rsidRPr="004509C8">
        <w:rPr>
          <w:rFonts w:ascii="Verdana" w:hAnsi="Verdana"/>
          <w:sz w:val="20"/>
          <w:szCs w:val="20"/>
          <w:bdr w:val="nil"/>
        </w:rPr>
        <w:t>Os ativos de Direito de Uso são depreciados pela vida útil esperada da mesma forma que os ativos próprios ou por um período inferior, se aplicável, conforme termos do contrato de arrendamento em questão.</w:t>
      </w:r>
    </w:p>
    <w:p w14:paraId="7C97E3A3" w14:textId="77777777" w:rsidR="002517C1" w:rsidRPr="004509C8" w:rsidRDefault="002517C1" w:rsidP="002517C1">
      <w:pPr>
        <w:widowControl w:val="0"/>
        <w:autoSpaceDE w:val="0"/>
        <w:autoSpaceDN w:val="0"/>
        <w:jc w:val="left"/>
        <w:rPr>
          <w:color w:val="0D63B5"/>
        </w:rPr>
      </w:pPr>
    </w:p>
    <w:p w14:paraId="6A04E384" w14:textId="77777777" w:rsidR="002517C1" w:rsidRPr="004509C8" w:rsidRDefault="002517C1" w:rsidP="002517C1">
      <w:pPr>
        <w:rPr>
          <w:rFonts w:ascii="Verdana" w:hAnsi="Verdana" w:cs="Arial"/>
          <w:sz w:val="20"/>
          <w:szCs w:val="20"/>
        </w:rPr>
      </w:pPr>
      <w:r w:rsidRPr="004509C8">
        <w:rPr>
          <w:rFonts w:ascii="Verdana" w:hAnsi="Verdana" w:cs="Arial"/>
          <w:sz w:val="20"/>
          <w:szCs w:val="20"/>
        </w:rPr>
        <w:t xml:space="preserve">Os custos subsequentes são incluídos no valor contábil do ativo ou reconhecidos como um ativo separado somente quando forem prováveis que fluam benefícios econômicos futuros associados ao item e que o custo do item possa ser mensurado com segurança. O valor contábil de itens ou </w:t>
      </w:r>
      <w:proofErr w:type="gramStart"/>
      <w:r w:rsidRPr="004509C8">
        <w:rPr>
          <w:rFonts w:ascii="Verdana" w:hAnsi="Verdana" w:cs="Arial"/>
          <w:sz w:val="20"/>
          <w:szCs w:val="20"/>
        </w:rPr>
        <w:t>peças substituídos</w:t>
      </w:r>
      <w:proofErr w:type="gramEnd"/>
      <w:r w:rsidRPr="004509C8">
        <w:rPr>
          <w:rFonts w:ascii="Verdana" w:hAnsi="Verdana" w:cs="Arial"/>
          <w:sz w:val="20"/>
          <w:szCs w:val="20"/>
        </w:rPr>
        <w:t xml:space="preserve"> é baixado. </w:t>
      </w:r>
    </w:p>
    <w:p w14:paraId="5899302B" w14:textId="77777777" w:rsidR="002517C1" w:rsidRPr="004509C8" w:rsidRDefault="002517C1" w:rsidP="002517C1">
      <w:pPr>
        <w:rPr>
          <w:rFonts w:ascii="Verdana" w:hAnsi="Verdana" w:cs="Arial"/>
          <w:sz w:val="20"/>
          <w:szCs w:val="20"/>
        </w:rPr>
      </w:pPr>
    </w:p>
    <w:p w14:paraId="07D9CD12" w14:textId="77777777" w:rsidR="002517C1" w:rsidRPr="004509C8" w:rsidRDefault="002517C1" w:rsidP="002517C1">
      <w:pPr>
        <w:rPr>
          <w:rFonts w:ascii="Verdana" w:hAnsi="Verdana" w:cs="Arial"/>
          <w:sz w:val="20"/>
          <w:szCs w:val="20"/>
        </w:rPr>
      </w:pPr>
      <w:r w:rsidRPr="004509C8">
        <w:rPr>
          <w:rFonts w:ascii="Verdana" w:hAnsi="Verdana" w:cs="Arial"/>
          <w:sz w:val="20"/>
          <w:szCs w:val="20"/>
        </w:rPr>
        <w:t>Todos os outros reparos e manutenções são lançados em contrapartida ao resultado do exercício, quando incorridos.</w:t>
      </w:r>
    </w:p>
    <w:p w14:paraId="499CF126" w14:textId="77777777" w:rsidR="002517C1" w:rsidRPr="004509C8" w:rsidRDefault="002517C1" w:rsidP="002517C1">
      <w:pPr>
        <w:rPr>
          <w:rFonts w:ascii="Verdana" w:hAnsi="Verdana" w:cs="Arial"/>
          <w:sz w:val="20"/>
          <w:szCs w:val="20"/>
        </w:rPr>
      </w:pPr>
    </w:p>
    <w:p w14:paraId="24DC0ED5" w14:textId="77777777" w:rsidR="002517C1" w:rsidRPr="004509C8" w:rsidRDefault="002517C1" w:rsidP="002517C1">
      <w:pPr>
        <w:rPr>
          <w:rFonts w:ascii="Verdana" w:hAnsi="Verdana" w:cs="Arial"/>
          <w:sz w:val="20"/>
          <w:szCs w:val="20"/>
        </w:rPr>
      </w:pPr>
      <w:r w:rsidRPr="004509C8">
        <w:rPr>
          <w:rFonts w:ascii="Verdana" w:hAnsi="Verdana" w:cs="Arial"/>
          <w:sz w:val="20"/>
          <w:szCs w:val="20"/>
        </w:rPr>
        <w:t xml:space="preserve">Os custos do imobilizado incluem a estimativa de custos de desmobilização de suas unidades operativas, nos termos do que estabelece o Pronunciamento Técnico </w:t>
      </w:r>
      <w:r w:rsidRPr="004509C8">
        <w:rPr>
          <w:rStyle w:val="NormalWebChar"/>
          <w:rFonts w:cs="Arial"/>
          <w:sz w:val="20"/>
          <w:szCs w:val="20"/>
        </w:rPr>
        <w:t>CPC 27 - Ativo imobilizado (nota 27)</w:t>
      </w:r>
      <w:r w:rsidRPr="004509C8">
        <w:rPr>
          <w:rFonts w:ascii="Verdana" w:hAnsi="Verdana" w:cs="Arial"/>
          <w:sz w:val="20"/>
          <w:szCs w:val="20"/>
        </w:rPr>
        <w:t>.</w:t>
      </w:r>
    </w:p>
    <w:p w14:paraId="2931B48F" w14:textId="77777777" w:rsidR="002517C1" w:rsidRPr="004509C8" w:rsidRDefault="002517C1" w:rsidP="002517C1">
      <w:pPr>
        <w:rPr>
          <w:rFonts w:ascii="Verdana" w:hAnsi="Verdana" w:cs="Arial"/>
          <w:sz w:val="20"/>
          <w:szCs w:val="20"/>
        </w:rPr>
      </w:pPr>
    </w:p>
    <w:p w14:paraId="72E887BF" w14:textId="77777777" w:rsidR="002517C1" w:rsidRPr="004509C8" w:rsidRDefault="002517C1" w:rsidP="006D1CA1">
      <w:pPr>
        <w:widowControl w:val="0"/>
        <w:autoSpaceDE w:val="0"/>
        <w:autoSpaceDN w:val="0"/>
        <w:jc w:val="left"/>
        <w:rPr>
          <w:rFonts w:ascii="Verdana" w:hAnsi="Verdana"/>
          <w:color w:val="0D63B5"/>
          <w:sz w:val="20"/>
          <w:szCs w:val="20"/>
        </w:rPr>
      </w:pPr>
      <w:r w:rsidRPr="004509C8">
        <w:rPr>
          <w:rFonts w:ascii="Verdana" w:hAnsi="Verdana" w:cs="Arial"/>
          <w:sz w:val="20"/>
          <w:szCs w:val="20"/>
        </w:rPr>
        <w:t>Os ganhos e as perdas de alienações são determinados pela comparação dos resultados com o valor contábil e são reconhecidos em "outras receitas (despesas) operacionais, líquidos" na demonstração do resultado.</w:t>
      </w:r>
    </w:p>
    <w:p w14:paraId="5DAC9442" w14:textId="6F1F82EB" w:rsidR="002517C1" w:rsidRDefault="002517C1" w:rsidP="006D1CA1">
      <w:pPr>
        <w:pStyle w:val="Ttulo1"/>
        <w:spacing w:before="0"/>
        <w:jc w:val="left"/>
        <w:rPr>
          <w:color w:val="0D63B5"/>
          <w:highlight w:val="yellow"/>
          <w:u w:val="none"/>
        </w:rPr>
      </w:pPr>
    </w:p>
    <w:p w14:paraId="26EE59AC" w14:textId="5ACC376A" w:rsidR="006D1CA1" w:rsidRDefault="006D1CA1" w:rsidP="006D1CA1">
      <w:pPr>
        <w:pStyle w:val="Ttulo1"/>
        <w:spacing w:before="0"/>
        <w:jc w:val="left"/>
        <w:rPr>
          <w:color w:val="0D63B5"/>
          <w:highlight w:val="yellow"/>
          <w:u w:val="none"/>
        </w:rPr>
      </w:pPr>
    </w:p>
    <w:p w14:paraId="6776D3AC" w14:textId="77777777" w:rsidR="006D1CA1" w:rsidRPr="00F24EC9" w:rsidRDefault="006D1CA1" w:rsidP="006D1CA1">
      <w:pPr>
        <w:pStyle w:val="Ttulo1"/>
        <w:spacing w:before="0"/>
        <w:jc w:val="left"/>
        <w:rPr>
          <w:color w:val="0D63B5"/>
          <w:highlight w:val="yellow"/>
          <w:u w:val="none"/>
        </w:rPr>
      </w:pPr>
    </w:p>
    <w:p w14:paraId="40C09B24" w14:textId="77777777" w:rsidR="002517C1" w:rsidRPr="008D5ABA" w:rsidRDefault="002517C1" w:rsidP="006D1CA1">
      <w:pPr>
        <w:pStyle w:val="Ttulo1"/>
        <w:spacing w:before="0"/>
        <w:jc w:val="left"/>
        <w:rPr>
          <w:b w:val="0"/>
          <w:color w:val="0D63B5"/>
          <w:u w:val="none"/>
        </w:rPr>
      </w:pPr>
      <w:r w:rsidRPr="008D5ABA">
        <w:rPr>
          <w:color w:val="0D63B5"/>
          <w:u w:val="none"/>
        </w:rPr>
        <w:t>NOTA 17 – INTANGÍVEL</w:t>
      </w:r>
    </w:p>
    <w:p w14:paraId="380C94E3" w14:textId="77777777" w:rsidR="002517C1" w:rsidRPr="008D5ABA" w:rsidRDefault="002517C1" w:rsidP="002517C1">
      <w:pPr>
        <w:widowControl w:val="0"/>
        <w:autoSpaceDE w:val="0"/>
        <w:autoSpaceDN w:val="0"/>
        <w:rPr>
          <w:rFonts w:ascii="Verdana" w:hAnsi="Verdana"/>
          <w:sz w:val="20"/>
          <w:szCs w:val="20"/>
          <w:bdr w:val="nil"/>
        </w:rPr>
      </w:pPr>
    </w:p>
    <w:p w14:paraId="55B89604" w14:textId="77777777" w:rsidR="002517C1" w:rsidRPr="008D5ABA" w:rsidRDefault="002517C1" w:rsidP="002517C1">
      <w:pPr>
        <w:rPr>
          <w:rFonts w:ascii="Verdana" w:hAnsi="Verdana" w:cs="Arial"/>
          <w:sz w:val="20"/>
          <w:szCs w:val="20"/>
        </w:rPr>
      </w:pPr>
      <w:r w:rsidRPr="008D5ABA">
        <w:rPr>
          <w:rFonts w:ascii="Verdana" w:hAnsi="Verdana" w:cs="Arial"/>
          <w:sz w:val="20"/>
          <w:szCs w:val="20"/>
        </w:rPr>
        <w:t>O ativo intangível da Companhia compõe-se, basicamente: da aquisição de</w:t>
      </w:r>
      <w:r w:rsidRPr="008D5ABA">
        <w:rPr>
          <w:rFonts w:ascii="Verdana" w:hAnsi="Verdana" w:cs="Arial"/>
          <w:bCs/>
          <w:sz w:val="20"/>
          <w:szCs w:val="20"/>
        </w:rPr>
        <w:t xml:space="preserve"> licença de uso do software do seu </w:t>
      </w:r>
      <w:r w:rsidRPr="008D5ABA">
        <w:rPr>
          <w:rFonts w:ascii="Verdana" w:hAnsi="Verdana" w:cs="Arial"/>
          <w:sz w:val="20"/>
          <w:szCs w:val="20"/>
        </w:rPr>
        <w:t>sistema corporativo central, denominado SAP R/3, e de outros softwares aplicativos de uso específico e geral, de valores substanciais, estando os mesmos registrados pelo custo de aquisição.</w:t>
      </w:r>
    </w:p>
    <w:p w14:paraId="255FF138" w14:textId="77777777" w:rsidR="002517C1" w:rsidRPr="008D5ABA" w:rsidRDefault="002517C1" w:rsidP="002517C1">
      <w:pPr>
        <w:rPr>
          <w:rFonts w:ascii="Verdana" w:hAnsi="Verdana" w:cs="Arial"/>
          <w:sz w:val="20"/>
          <w:szCs w:val="20"/>
        </w:rPr>
      </w:pPr>
    </w:p>
    <w:p w14:paraId="0A6BA609" w14:textId="6CB5BC0B" w:rsidR="009E41EA" w:rsidRPr="00FD016C" w:rsidRDefault="002517C1" w:rsidP="002517C1">
      <w:pPr>
        <w:rPr>
          <w:rFonts w:ascii="Verdana" w:hAnsi="Verdana" w:cs="Arial"/>
          <w:sz w:val="20"/>
          <w:szCs w:val="20"/>
        </w:rPr>
      </w:pPr>
      <w:r w:rsidRPr="008D5ABA">
        <w:rPr>
          <w:rFonts w:ascii="Verdana" w:hAnsi="Verdana" w:cs="Arial"/>
          <w:sz w:val="20"/>
          <w:szCs w:val="20"/>
        </w:rPr>
        <w:t>Os intangíveis em serviço são amortizados a taxa anual de 20%</w:t>
      </w:r>
      <w:r w:rsidR="009E41EA" w:rsidRPr="00FD016C">
        <w:rPr>
          <w:rFonts w:ascii="Verdana" w:hAnsi="Verdana" w:cs="Arial"/>
          <w:sz w:val="20"/>
          <w:szCs w:val="20"/>
        </w:rPr>
        <w:t>.</w:t>
      </w:r>
    </w:p>
    <w:p w14:paraId="5ECD6815" w14:textId="77777777" w:rsidR="009E41EA" w:rsidRPr="00340DEA" w:rsidRDefault="009E41EA" w:rsidP="008B03E7">
      <w:pPr>
        <w:widowControl w:val="0"/>
        <w:autoSpaceDE w:val="0"/>
        <w:autoSpaceDN w:val="0"/>
        <w:rPr>
          <w:rFonts w:ascii="Verdana" w:hAnsi="Verdana"/>
          <w:sz w:val="20"/>
          <w:szCs w:val="20"/>
          <w:highlight w:val="green"/>
          <w:bdr w:val="nil"/>
        </w:rPr>
      </w:pPr>
    </w:p>
    <w:p w14:paraId="091ECC0B" w14:textId="77777777" w:rsidR="004012FA" w:rsidRPr="005162C6" w:rsidRDefault="004012FA" w:rsidP="008B03E7">
      <w:pPr>
        <w:widowControl w:val="0"/>
        <w:autoSpaceDE w:val="0"/>
        <w:autoSpaceDN w:val="0"/>
        <w:jc w:val="center"/>
        <w:rPr>
          <w:noProof/>
          <w:sz w:val="20"/>
          <w:szCs w:val="20"/>
        </w:rPr>
      </w:pPr>
    </w:p>
    <w:p w14:paraId="7D867060" w14:textId="77777777" w:rsidR="00E05CD0" w:rsidRDefault="00E05CD0" w:rsidP="008B03E7">
      <w:pPr>
        <w:widowControl w:val="0"/>
        <w:autoSpaceDE w:val="0"/>
        <w:autoSpaceDN w:val="0"/>
        <w:jc w:val="center"/>
        <w:rPr>
          <w:rFonts w:ascii="Verdana" w:hAnsi="Verdana"/>
        </w:rPr>
      </w:pPr>
      <w:r w:rsidRPr="00E05CD0">
        <w:rPr>
          <w:noProof/>
        </w:rPr>
        <w:drawing>
          <wp:inline distT="0" distB="0" distL="0" distR="0" wp14:anchorId="71F55496" wp14:editId="1250A02D">
            <wp:extent cx="6652895" cy="1931890"/>
            <wp:effectExtent l="0" t="0" r="0" b="0"/>
            <wp:docPr id="495" name="Imagem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52895" cy="1931890"/>
                    </a:xfrm>
                    <a:prstGeom prst="rect">
                      <a:avLst/>
                    </a:prstGeom>
                    <a:noFill/>
                    <a:ln>
                      <a:noFill/>
                    </a:ln>
                  </pic:spPr>
                </pic:pic>
              </a:graphicData>
            </a:graphic>
          </wp:inline>
        </w:drawing>
      </w:r>
    </w:p>
    <w:p w14:paraId="2991FD6D" w14:textId="77777777" w:rsidR="00E05CD0" w:rsidRDefault="00E05CD0" w:rsidP="008B03E7">
      <w:pPr>
        <w:widowControl w:val="0"/>
        <w:autoSpaceDE w:val="0"/>
        <w:autoSpaceDN w:val="0"/>
        <w:jc w:val="center"/>
        <w:rPr>
          <w:rFonts w:ascii="Verdana" w:hAnsi="Verdana"/>
        </w:rPr>
      </w:pPr>
    </w:p>
    <w:p w14:paraId="60B3FD76" w14:textId="77777777" w:rsidR="00E05CD0" w:rsidRDefault="00E05CD0" w:rsidP="008B03E7">
      <w:pPr>
        <w:widowControl w:val="0"/>
        <w:autoSpaceDE w:val="0"/>
        <w:autoSpaceDN w:val="0"/>
        <w:jc w:val="center"/>
        <w:rPr>
          <w:rFonts w:ascii="Verdana" w:hAnsi="Verdana"/>
        </w:rPr>
      </w:pPr>
    </w:p>
    <w:p w14:paraId="740F80EA" w14:textId="77777777" w:rsidR="008B03E7" w:rsidRPr="000A4A72" w:rsidRDefault="00E05CD0" w:rsidP="008B03E7">
      <w:pPr>
        <w:widowControl w:val="0"/>
        <w:autoSpaceDE w:val="0"/>
        <w:autoSpaceDN w:val="0"/>
        <w:jc w:val="center"/>
        <w:rPr>
          <w:rFonts w:ascii="Verdana" w:hAnsi="Verdana"/>
        </w:rPr>
      </w:pPr>
      <w:r w:rsidRPr="00E05CD0">
        <w:rPr>
          <w:noProof/>
        </w:rPr>
        <w:drawing>
          <wp:inline distT="0" distB="0" distL="0" distR="0" wp14:anchorId="264BAAD0" wp14:editId="738B297E">
            <wp:extent cx="6652895" cy="1927709"/>
            <wp:effectExtent l="0" t="0" r="0" b="0"/>
            <wp:docPr id="496" name="Imagem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52895" cy="1927709"/>
                    </a:xfrm>
                    <a:prstGeom prst="rect">
                      <a:avLst/>
                    </a:prstGeom>
                    <a:noFill/>
                    <a:ln>
                      <a:noFill/>
                    </a:ln>
                  </pic:spPr>
                </pic:pic>
              </a:graphicData>
            </a:graphic>
          </wp:inline>
        </w:drawing>
      </w:r>
    </w:p>
    <w:p w14:paraId="11D1842D" w14:textId="77777777" w:rsidR="008B03E7" w:rsidRPr="000A4A72" w:rsidRDefault="008B03E7" w:rsidP="008B03E7">
      <w:pPr>
        <w:widowControl w:val="0"/>
        <w:autoSpaceDE w:val="0"/>
        <w:autoSpaceDN w:val="0"/>
        <w:jc w:val="center"/>
        <w:rPr>
          <w:rFonts w:ascii="Segoe UI" w:eastAsia="@PMingLiU" w:hAnsi="Segoe UI" w:cs="Segoe UI"/>
          <w:color w:val="FF0000"/>
          <w:sz w:val="16"/>
          <w:szCs w:val="16"/>
          <w:shd w:val="clear" w:color="auto" w:fill="FFFFFF"/>
        </w:rPr>
      </w:pPr>
    </w:p>
    <w:p w14:paraId="2DC86CDE" w14:textId="77777777" w:rsidR="008B03E7" w:rsidRPr="00340DEA" w:rsidRDefault="008B03E7" w:rsidP="00C87E62">
      <w:pPr>
        <w:widowControl w:val="0"/>
        <w:autoSpaceDE w:val="0"/>
        <w:autoSpaceDN w:val="0"/>
        <w:rPr>
          <w:rFonts w:ascii="Verdana" w:eastAsia="@PMingLiU" w:hAnsi="Verdana"/>
          <w:color w:val="FF0000"/>
          <w:sz w:val="20"/>
          <w:szCs w:val="20"/>
          <w:highlight w:val="green"/>
        </w:rPr>
      </w:pPr>
    </w:p>
    <w:p w14:paraId="219B48EE" w14:textId="77777777" w:rsidR="002517C1" w:rsidRPr="008D5ABA" w:rsidRDefault="002517C1" w:rsidP="002517C1">
      <w:pPr>
        <w:widowControl w:val="0"/>
        <w:autoSpaceDE w:val="0"/>
        <w:autoSpaceDN w:val="0"/>
        <w:rPr>
          <w:rFonts w:ascii="Verdana" w:hAnsi="Verdana"/>
          <w:sz w:val="20"/>
          <w:szCs w:val="20"/>
          <w:bdr w:val="nil"/>
        </w:rPr>
      </w:pPr>
      <w:r w:rsidRPr="008D5ABA">
        <w:rPr>
          <w:rFonts w:ascii="Verdana" w:hAnsi="Verdana"/>
          <w:color w:val="0D63B5"/>
          <w:sz w:val="20"/>
          <w:szCs w:val="20"/>
        </w:rPr>
        <w:t>Prática contábil</w:t>
      </w:r>
      <w:r w:rsidRPr="008D5ABA">
        <w:rPr>
          <w:rFonts w:ascii="Verdana" w:hAnsi="Verdana"/>
          <w:sz w:val="20"/>
          <w:szCs w:val="20"/>
          <w:bdr w:val="nil"/>
        </w:rPr>
        <w:t xml:space="preserve"> </w:t>
      </w:r>
    </w:p>
    <w:p w14:paraId="5D49A255" w14:textId="77777777" w:rsidR="002517C1" w:rsidRPr="008D5ABA" w:rsidRDefault="002517C1" w:rsidP="002517C1">
      <w:pPr>
        <w:widowControl w:val="0"/>
        <w:autoSpaceDE w:val="0"/>
        <w:autoSpaceDN w:val="0"/>
        <w:rPr>
          <w:rFonts w:ascii="Verdana" w:hAnsi="Verdana"/>
          <w:sz w:val="20"/>
          <w:szCs w:val="20"/>
          <w:bdr w:val="nil"/>
        </w:rPr>
      </w:pPr>
    </w:p>
    <w:p w14:paraId="6CE588D8" w14:textId="77777777" w:rsidR="002517C1" w:rsidRPr="008D5ABA" w:rsidRDefault="002517C1" w:rsidP="002517C1">
      <w:pPr>
        <w:widowControl w:val="0"/>
        <w:autoSpaceDE w:val="0"/>
        <w:autoSpaceDN w:val="0"/>
        <w:rPr>
          <w:rFonts w:ascii="Verdana" w:hAnsi="Verdana"/>
          <w:sz w:val="20"/>
          <w:szCs w:val="20"/>
          <w:bdr w:val="nil"/>
        </w:rPr>
      </w:pPr>
      <w:r w:rsidRPr="008D5ABA">
        <w:rPr>
          <w:rFonts w:ascii="Verdana" w:hAnsi="Verdana"/>
          <w:sz w:val="20"/>
          <w:szCs w:val="20"/>
          <w:bdr w:val="nil"/>
        </w:rPr>
        <w:t>Ativos intangíveis com vida útil definida adquiridos separadamente são registrados ao custo, deduzido da amortização e das perdas por redução ao valor recuperável acumuladas. A amortização é reconhecida pelo método linear com base na vida útil estimada dos ativos. A vida útil estimada e o método de amortização são revisados no fim de cada exercício e o efeito de eventuais mudanças nas estimativas é contabilizado prospectivamente. Ativos intangíveis com vida útil indefinida adquiridos separadamente são registrados ao custo, deduzidos das perdas por redução ao valor recuperável acumuladas.</w:t>
      </w:r>
    </w:p>
    <w:p w14:paraId="3CBFAAE0" w14:textId="77777777" w:rsidR="002517C1" w:rsidRPr="008D5ABA" w:rsidRDefault="002517C1" w:rsidP="002517C1">
      <w:pPr>
        <w:widowControl w:val="0"/>
        <w:autoSpaceDE w:val="0"/>
        <w:autoSpaceDN w:val="0"/>
        <w:rPr>
          <w:rFonts w:ascii="Verdana" w:hAnsi="Verdana"/>
          <w:sz w:val="20"/>
          <w:szCs w:val="20"/>
          <w:bdr w:val="nil"/>
        </w:rPr>
      </w:pPr>
    </w:p>
    <w:p w14:paraId="200B1623" w14:textId="77777777" w:rsidR="002517C1" w:rsidRPr="00F24EC9" w:rsidRDefault="002517C1" w:rsidP="002517C1">
      <w:pPr>
        <w:pStyle w:val="Ttulo1"/>
        <w:spacing w:before="0"/>
        <w:jc w:val="left"/>
        <w:rPr>
          <w:color w:val="0D63B5"/>
          <w:highlight w:val="yellow"/>
          <w:u w:val="none"/>
        </w:rPr>
      </w:pPr>
    </w:p>
    <w:p w14:paraId="645D107C" w14:textId="77777777" w:rsidR="002517C1" w:rsidRPr="0071573C" w:rsidRDefault="002517C1" w:rsidP="002517C1">
      <w:pPr>
        <w:pStyle w:val="Ttulo1"/>
        <w:spacing w:before="0"/>
        <w:jc w:val="left"/>
        <w:rPr>
          <w:color w:val="0D63B5"/>
          <w:highlight w:val="yellow"/>
          <w:u w:val="none"/>
        </w:rPr>
      </w:pPr>
    </w:p>
    <w:p w14:paraId="614E41BB" w14:textId="77777777" w:rsidR="002517C1" w:rsidRPr="0021462E" w:rsidRDefault="002517C1" w:rsidP="002517C1">
      <w:pPr>
        <w:tabs>
          <w:tab w:val="left" w:pos="567"/>
          <w:tab w:val="left" w:pos="1134"/>
          <w:tab w:val="left" w:pos="1701"/>
          <w:tab w:val="left" w:pos="2268"/>
          <w:tab w:val="left" w:pos="2835"/>
        </w:tabs>
        <w:outlineLvl w:val="0"/>
        <w:rPr>
          <w:rFonts w:ascii="Verdana" w:hAnsi="Verdana"/>
          <w:color w:val="0D63B5"/>
        </w:rPr>
      </w:pPr>
      <w:r w:rsidRPr="0021462E">
        <w:rPr>
          <w:rFonts w:ascii="Verdana" w:hAnsi="Verdana"/>
          <w:b/>
          <w:color w:val="0D63B5"/>
          <w:sz w:val="20"/>
          <w:szCs w:val="20"/>
        </w:rPr>
        <w:lastRenderedPageBreak/>
        <w:t>NOTA 18 – VALOR RECUPERÁVEL DOS ATIVOS DE LONGO PRAZO</w:t>
      </w:r>
      <w:r w:rsidRPr="0021462E">
        <w:rPr>
          <w:color w:val="0D63B5"/>
        </w:rPr>
        <w:t xml:space="preserve"> </w:t>
      </w:r>
    </w:p>
    <w:p w14:paraId="123C973A" w14:textId="77777777" w:rsidR="002517C1" w:rsidRPr="0071573C" w:rsidRDefault="002517C1" w:rsidP="002517C1">
      <w:pPr>
        <w:tabs>
          <w:tab w:val="left" w:pos="567"/>
          <w:tab w:val="left" w:pos="1134"/>
          <w:tab w:val="left" w:pos="1701"/>
          <w:tab w:val="left" w:pos="2268"/>
          <w:tab w:val="left" w:pos="2835"/>
        </w:tabs>
        <w:outlineLvl w:val="0"/>
        <w:rPr>
          <w:rFonts w:ascii="Verdana" w:hAnsi="Verdana"/>
          <w:color w:val="0D63B5"/>
          <w:highlight w:val="yellow"/>
        </w:rPr>
      </w:pPr>
    </w:p>
    <w:p w14:paraId="5442B5BD" w14:textId="77777777" w:rsidR="002517C1" w:rsidRPr="00B132A4" w:rsidRDefault="002517C1" w:rsidP="002517C1">
      <w:pPr>
        <w:tabs>
          <w:tab w:val="left" w:pos="1134"/>
          <w:tab w:val="left" w:pos="1418"/>
          <w:tab w:val="left" w:pos="1701"/>
          <w:tab w:val="left" w:pos="1985"/>
          <w:tab w:val="left" w:pos="2268"/>
        </w:tabs>
        <w:rPr>
          <w:rFonts w:ascii="Verdana" w:hAnsi="Verdana"/>
          <w:sz w:val="20"/>
          <w:szCs w:val="20"/>
        </w:rPr>
      </w:pPr>
      <w:bookmarkStart w:id="17" w:name="_Hlk98407809"/>
      <w:r w:rsidRPr="00B132A4">
        <w:rPr>
          <w:rFonts w:ascii="Verdana" w:hAnsi="Verdana"/>
          <w:sz w:val="20"/>
          <w:szCs w:val="20"/>
        </w:rPr>
        <w:t>A Companhia estima o valor recuperável de seus ativos imobilizados e intangíveis com base em valor em uso, tendo em vista não haver mercado ativo para a infr</w:t>
      </w:r>
      <w:r>
        <w:rPr>
          <w:rFonts w:ascii="Verdana" w:hAnsi="Verdana"/>
          <w:sz w:val="20"/>
          <w:szCs w:val="20"/>
        </w:rPr>
        <w:t>aestrutura</w:t>
      </w:r>
      <w:r w:rsidRPr="00B132A4">
        <w:rPr>
          <w:rFonts w:ascii="Verdana" w:hAnsi="Verdana"/>
          <w:sz w:val="20"/>
          <w:szCs w:val="20"/>
        </w:rPr>
        <w:t>. O valor em uso é avaliado com base no valor presente do fluxo de caixa futuro estimado.</w:t>
      </w:r>
    </w:p>
    <w:p w14:paraId="1E42F30C" w14:textId="77777777" w:rsidR="002517C1" w:rsidRPr="00B132A4" w:rsidRDefault="002517C1" w:rsidP="002517C1">
      <w:pPr>
        <w:tabs>
          <w:tab w:val="left" w:pos="1134"/>
          <w:tab w:val="left" w:pos="1418"/>
          <w:tab w:val="left" w:pos="1701"/>
          <w:tab w:val="left" w:pos="1985"/>
          <w:tab w:val="left" w:pos="2268"/>
        </w:tabs>
        <w:rPr>
          <w:rFonts w:ascii="Verdana" w:hAnsi="Verdana"/>
          <w:sz w:val="20"/>
          <w:szCs w:val="20"/>
        </w:rPr>
      </w:pPr>
    </w:p>
    <w:p w14:paraId="0972CF9B" w14:textId="77777777" w:rsidR="002517C1" w:rsidRDefault="002517C1" w:rsidP="002517C1">
      <w:pPr>
        <w:tabs>
          <w:tab w:val="left" w:pos="1134"/>
          <w:tab w:val="left" w:pos="1418"/>
          <w:tab w:val="left" w:pos="1701"/>
          <w:tab w:val="left" w:pos="1985"/>
          <w:tab w:val="left" w:pos="2268"/>
        </w:tabs>
        <w:rPr>
          <w:rFonts w:ascii="Verdana" w:hAnsi="Verdana"/>
          <w:sz w:val="20"/>
          <w:szCs w:val="20"/>
        </w:rPr>
      </w:pPr>
      <w:r w:rsidRPr="00B132A4">
        <w:rPr>
          <w:rFonts w:ascii="Verdana" w:hAnsi="Verdana"/>
          <w:sz w:val="20"/>
          <w:szCs w:val="20"/>
        </w:rPr>
        <w:t xml:space="preserve">As premissas utilizadas consideram a melhor estimativa da Administração da Companhia sobre as tendências futuras do setor elétrico e são baseadas tanto em fontes externas de informações como dados históricos das unidades geradoras de caixa. </w:t>
      </w:r>
    </w:p>
    <w:p w14:paraId="14932249" w14:textId="77777777" w:rsidR="002517C1" w:rsidRDefault="002517C1" w:rsidP="002517C1">
      <w:pPr>
        <w:tabs>
          <w:tab w:val="left" w:pos="1134"/>
          <w:tab w:val="left" w:pos="1418"/>
          <w:tab w:val="left" w:pos="1701"/>
          <w:tab w:val="left" w:pos="1985"/>
          <w:tab w:val="left" w:pos="2268"/>
        </w:tabs>
        <w:rPr>
          <w:rFonts w:ascii="Verdana" w:hAnsi="Verdana"/>
          <w:sz w:val="20"/>
          <w:szCs w:val="20"/>
        </w:rPr>
      </w:pPr>
    </w:p>
    <w:p w14:paraId="6B970E1A" w14:textId="77777777" w:rsidR="002517C1" w:rsidRPr="00233A54" w:rsidRDefault="002517C1" w:rsidP="002517C1">
      <w:pPr>
        <w:rPr>
          <w:rFonts w:ascii="Verdana" w:hAnsi="Verdana"/>
          <w:sz w:val="20"/>
          <w:szCs w:val="20"/>
        </w:rPr>
      </w:pPr>
      <w:r w:rsidRPr="00233A54">
        <w:rPr>
          <w:rFonts w:ascii="Verdana" w:hAnsi="Verdana"/>
          <w:sz w:val="20"/>
          <w:szCs w:val="20"/>
        </w:rPr>
        <w:t xml:space="preserve">A Companhia, mesmo sem identificar impactos significativos em suas operações e receitas relacionadas à pandemia de </w:t>
      </w:r>
      <w:proofErr w:type="spellStart"/>
      <w:r w:rsidRPr="00233A54">
        <w:rPr>
          <w:rFonts w:ascii="Verdana" w:hAnsi="Verdana"/>
          <w:sz w:val="20"/>
          <w:szCs w:val="20"/>
        </w:rPr>
        <w:t>C</w:t>
      </w:r>
      <w:r>
        <w:rPr>
          <w:rFonts w:ascii="Verdana" w:hAnsi="Verdana"/>
          <w:sz w:val="20"/>
          <w:szCs w:val="20"/>
        </w:rPr>
        <w:t>ovid</w:t>
      </w:r>
      <w:proofErr w:type="spellEnd"/>
      <w:r w:rsidRPr="00233A54">
        <w:rPr>
          <w:rFonts w:ascii="Verdana" w:hAnsi="Verdana"/>
          <w:sz w:val="20"/>
          <w:szCs w:val="20"/>
        </w:rPr>
        <w:t xml:space="preserve">, efetuou a análise de </w:t>
      </w:r>
      <w:proofErr w:type="spellStart"/>
      <w:r w:rsidRPr="00233A54">
        <w:rPr>
          <w:rFonts w:ascii="Verdana" w:hAnsi="Verdana"/>
          <w:sz w:val="20"/>
          <w:szCs w:val="20"/>
        </w:rPr>
        <w:t>recuperabilidade</w:t>
      </w:r>
      <w:proofErr w:type="spellEnd"/>
      <w:r w:rsidRPr="00233A54">
        <w:rPr>
          <w:rFonts w:ascii="Verdana" w:hAnsi="Verdana"/>
          <w:sz w:val="20"/>
          <w:szCs w:val="20"/>
        </w:rPr>
        <w:t xml:space="preserve"> na sua Unidade Geradora de Caixa 2 (Angra 3), em virtude de alterações legais e nas premissas relacionadas ao empreendimento. Neste caso, com base nos resultados obtidos, não foi identificada a necessidade de registros de </w:t>
      </w:r>
      <w:proofErr w:type="spellStart"/>
      <w:r w:rsidRPr="000C2AAF">
        <w:rPr>
          <w:rFonts w:ascii="Verdana" w:hAnsi="Verdana"/>
          <w:i/>
          <w:iCs/>
          <w:sz w:val="20"/>
          <w:szCs w:val="20"/>
        </w:rPr>
        <w:t>impairment</w:t>
      </w:r>
      <w:proofErr w:type="spellEnd"/>
      <w:r w:rsidRPr="00233A54">
        <w:rPr>
          <w:rFonts w:ascii="Verdana" w:hAnsi="Verdana"/>
          <w:sz w:val="20"/>
          <w:szCs w:val="20"/>
        </w:rPr>
        <w:t xml:space="preserve"> adicional no quarto trimestre de 2021. Com relação à sua Unidade de Caixa 1 (Angra 1 e 2) não foi identificada necessidade de realizar a análise de </w:t>
      </w:r>
      <w:proofErr w:type="spellStart"/>
      <w:r w:rsidRPr="00233A54">
        <w:rPr>
          <w:rFonts w:ascii="Verdana" w:hAnsi="Verdana"/>
          <w:sz w:val="20"/>
          <w:szCs w:val="20"/>
        </w:rPr>
        <w:t>recuperabilidade</w:t>
      </w:r>
      <w:proofErr w:type="spellEnd"/>
      <w:r w:rsidRPr="00233A54">
        <w:rPr>
          <w:rFonts w:ascii="Verdana" w:hAnsi="Verdana"/>
          <w:sz w:val="20"/>
          <w:szCs w:val="20"/>
        </w:rPr>
        <w:t xml:space="preserve"> da mesma.</w:t>
      </w:r>
    </w:p>
    <w:p w14:paraId="1D04F582" w14:textId="77777777" w:rsidR="002517C1" w:rsidRPr="00233A54" w:rsidRDefault="002517C1" w:rsidP="002517C1">
      <w:pPr>
        <w:tabs>
          <w:tab w:val="left" w:pos="1134"/>
          <w:tab w:val="left" w:pos="1418"/>
          <w:tab w:val="left" w:pos="1701"/>
          <w:tab w:val="left" w:pos="1985"/>
          <w:tab w:val="left" w:pos="2268"/>
        </w:tabs>
        <w:rPr>
          <w:rFonts w:ascii="Verdana" w:hAnsi="Verdana"/>
          <w:sz w:val="20"/>
          <w:szCs w:val="20"/>
        </w:rPr>
      </w:pPr>
    </w:p>
    <w:p w14:paraId="78D6A50B" w14:textId="77777777" w:rsidR="002517C1" w:rsidRPr="00233A54" w:rsidRDefault="002517C1" w:rsidP="002517C1">
      <w:pPr>
        <w:tabs>
          <w:tab w:val="left" w:pos="1134"/>
          <w:tab w:val="left" w:pos="1418"/>
          <w:tab w:val="left" w:pos="1701"/>
          <w:tab w:val="left" w:pos="1985"/>
          <w:tab w:val="left" w:pos="2268"/>
        </w:tabs>
        <w:rPr>
          <w:rFonts w:ascii="Verdana" w:hAnsi="Verdana"/>
          <w:sz w:val="20"/>
          <w:szCs w:val="20"/>
        </w:rPr>
      </w:pPr>
      <w:r w:rsidRPr="00233A54">
        <w:rPr>
          <w:rFonts w:ascii="Verdana" w:hAnsi="Verdana"/>
          <w:sz w:val="20"/>
          <w:szCs w:val="20"/>
        </w:rPr>
        <w:t xml:space="preserve">No teste de </w:t>
      </w:r>
      <w:proofErr w:type="spellStart"/>
      <w:r w:rsidRPr="00233A54">
        <w:rPr>
          <w:rFonts w:ascii="Verdana" w:hAnsi="Verdana"/>
          <w:sz w:val="20"/>
          <w:szCs w:val="20"/>
        </w:rPr>
        <w:t>recuperrabilidade</w:t>
      </w:r>
      <w:proofErr w:type="spellEnd"/>
      <w:r w:rsidRPr="00233A54">
        <w:rPr>
          <w:rFonts w:ascii="Verdana" w:hAnsi="Verdana"/>
          <w:sz w:val="20"/>
          <w:szCs w:val="20"/>
        </w:rPr>
        <w:t xml:space="preserve"> de Angra 3 foram consideradas as principais premissas definidas a seguir:</w:t>
      </w:r>
    </w:p>
    <w:p w14:paraId="5D868F1B" w14:textId="77777777" w:rsidR="002517C1" w:rsidRPr="00233A54" w:rsidRDefault="002517C1" w:rsidP="002517C1">
      <w:pPr>
        <w:tabs>
          <w:tab w:val="left" w:pos="1134"/>
          <w:tab w:val="left" w:pos="1418"/>
          <w:tab w:val="left" w:pos="1701"/>
          <w:tab w:val="left" w:pos="1985"/>
          <w:tab w:val="left" w:pos="2268"/>
        </w:tabs>
        <w:rPr>
          <w:rFonts w:ascii="Verdana" w:hAnsi="Verdana"/>
          <w:sz w:val="20"/>
          <w:szCs w:val="20"/>
        </w:rPr>
      </w:pPr>
    </w:p>
    <w:p w14:paraId="0E2CDF3F" w14:textId="77777777" w:rsidR="002517C1" w:rsidRPr="00233A54" w:rsidRDefault="002517C1" w:rsidP="002517C1">
      <w:pPr>
        <w:rPr>
          <w:rFonts w:ascii="Verdana" w:hAnsi="Verdana" w:cs="Arial"/>
          <w:sz w:val="20"/>
          <w:szCs w:val="20"/>
          <w:lang w:eastAsia="en-US"/>
        </w:rPr>
      </w:pPr>
      <w:r w:rsidRPr="00233A54">
        <w:rPr>
          <w:rFonts w:ascii="Verdana" w:hAnsi="Verdana" w:cs="Arial"/>
          <w:b/>
          <w:bCs/>
          <w:sz w:val="20"/>
          <w:szCs w:val="20"/>
          <w:lang w:eastAsia="en-US"/>
        </w:rPr>
        <w:t>a)</w:t>
      </w:r>
      <w:r w:rsidRPr="00233A54">
        <w:rPr>
          <w:rFonts w:ascii="Verdana" w:hAnsi="Verdana" w:cs="Arial"/>
          <w:sz w:val="20"/>
          <w:szCs w:val="20"/>
          <w:lang w:eastAsia="en-US"/>
        </w:rPr>
        <w:t xml:space="preserve"> Crescimento orgânico compatível com os dados históricos e reajustes tarifários contratuais de inflação. </w:t>
      </w:r>
    </w:p>
    <w:p w14:paraId="6A7D1E98" w14:textId="77777777" w:rsidR="002517C1" w:rsidRPr="00233A54" w:rsidRDefault="002517C1" w:rsidP="002517C1">
      <w:pPr>
        <w:rPr>
          <w:rFonts w:ascii="Verdana" w:hAnsi="Verdana" w:cs="Arial"/>
          <w:sz w:val="20"/>
          <w:szCs w:val="20"/>
          <w:lang w:eastAsia="en-US"/>
        </w:rPr>
      </w:pPr>
    </w:p>
    <w:p w14:paraId="5D0B9B96" w14:textId="77777777" w:rsidR="002517C1" w:rsidRPr="00233A54" w:rsidRDefault="002517C1" w:rsidP="002517C1">
      <w:pPr>
        <w:rPr>
          <w:rFonts w:ascii="Verdana" w:hAnsi="Verdana" w:cs="Arial"/>
          <w:sz w:val="20"/>
          <w:szCs w:val="20"/>
          <w:lang w:eastAsia="en-US"/>
        </w:rPr>
      </w:pPr>
      <w:r w:rsidRPr="00233A54">
        <w:rPr>
          <w:rFonts w:ascii="Verdana" w:hAnsi="Verdana" w:cs="Arial"/>
          <w:b/>
          <w:bCs/>
          <w:sz w:val="20"/>
          <w:szCs w:val="20"/>
          <w:lang w:eastAsia="en-US"/>
        </w:rPr>
        <w:t xml:space="preserve">b) </w:t>
      </w:r>
      <w:r w:rsidRPr="00233A54">
        <w:rPr>
          <w:rFonts w:ascii="Verdana" w:hAnsi="Verdana" w:cs="Arial"/>
          <w:sz w:val="20"/>
          <w:szCs w:val="20"/>
          <w:lang w:eastAsia="en-US"/>
        </w:rPr>
        <w:t>Taxa de desconto.</w:t>
      </w:r>
    </w:p>
    <w:p w14:paraId="215CB8B0" w14:textId="77777777" w:rsidR="002517C1" w:rsidRPr="00233A54" w:rsidRDefault="002517C1" w:rsidP="002517C1">
      <w:pPr>
        <w:rPr>
          <w:rFonts w:ascii="Verdana" w:hAnsi="Verdana" w:cs="Arial"/>
          <w:sz w:val="20"/>
          <w:szCs w:val="20"/>
          <w:lang w:eastAsia="en-US"/>
        </w:rPr>
      </w:pPr>
    </w:p>
    <w:p w14:paraId="7D2600B1" w14:textId="77777777" w:rsidR="002517C1" w:rsidRPr="00233A54" w:rsidRDefault="002517C1" w:rsidP="002517C1">
      <w:pPr>
        <w:rPr>
          <w:rFonts w:ascii="Verdana" w:hAnsi="Verdana" w:cs="Arial"/>
          <w:sz w:val="20"/>
          <w:szCs w:val="20"/>
          <w:lang w:eastAsia="en-US"/>
        </w:rPr>
      </w:pPr>
      <w:r w:rsidRPr="00233A54">
        <w:rPr>
          <w:rFonts w:ascii="Verdana" w:hAnsi="Verdana" w:cs="Arial"/>
          <w:sz w:val="20"/>
          <w:szCs w:val="20"/>
          <w:lang w:eastAsia="en-US"/>
        </w:rPr>
        <w:t>Para a Usina Angra 3, em função das características peculiares de financiamento, a taxa de desconto foi calculada considerando a estrutura de capital específica do projeto, o que resultou na taxa de desconto para a base dezembro de 2021 de 7,01% (6,79% em dezembro de 2020). Nesses cálculos foram utilizados parâmetros conforme Memorando E</w:t>
      </w:r>
      <w:r>
        <w:rPr>
          <w:rFonts w:ascii="Verdana" w:hAnsi="Verdana" w:cs="Arial"/>
          <w:sz w:val="20"/>
          <w:szCs w:val="20"/>
          <w:lang w:eastAsia="en-US"/>
        </w:rPr>
        <w:t>letrobras</w:t>
      </w:r>
      <w:r w:rsidRPr="00233A54">
        <w:rPr>
          <w:rFonts w:ascii="Verdana" w:hAnsi="Verdana" w:cs="Arial"/>
          <w:sz w:val="20"/>
          <w:szCs w:val="20"/>
          <w:lang w:eastAsia="en-US"/>
        </w:rPr>
        <w:t xml:space="preserve"> DFPP 001/2022, de 17.01.2022.</w:t>
      </w:r>
    </w:p>
    <w:p w14:paraId="35F56E74" w14:textId="77777777" w:rsidR="002517C1" w:rsidRDefault="002517C1" w:rsidP="002517C1">
      <w:pPr>
        <w:rPr>
          <w:rFonts w:ascii="Verdana" w:hAnsi="Verdana" w:cs="Arial"/>
          <w:sz w:val="20"/>
          <w:szCs w:val="20"/>
          <w:lang w:eastAsia="en-US"/>
        </w:rPr>
      </w:pPr>
    </w:p>
    <w:p w14:paraId="10E25E00" w14:textId="77777777" w:rsidR="002517C1" w:rsidRPr="00233A54" w:rsidRDefault="002517C1" w:rsidP="002517C1">
      <w:pPr>
        <w:rPr>
          <w:rFonts w:ascii="Verdana" w:hAnsi="Verdana" w:cs="Arial"/>
          <w:sz w:val="20"/>
          <w:szCs w:val="20"/>
          <w:lang w:eastAsia="en-US"/>
        </w:rPr>
      </w:pPr>
      <w:r w:rsidRPr="00233A54">
        <w:rPr>
          <w:rFonts w:ascii="Verdana" w:hAnsi="Verdana" w:cs="Arial"/>
          <w:b/>
          <w:bCs/>
          <w:sz w:val="20"/>
          <w:szCs w:val="20"/>
          <w:lang w:eastAsia="en-US"/>
        </w:rPr>
        <w:t>c)</w:t>
      </w:r>
      <w:r w:rsidRPr="00233A54">
        <w:rPr>
          <w:rFonts w:ascii="Verdana" w:hAnsi="Verdana" w:cs="Arial"/>
          <w:sz w:val="20"/>
          <w:szCs w:val="20"/>
          <w:lang w:eastAsia="en-US"/>
        </w:rPr>
        <w:t xml:space="preserve"> Data de Entrada em Operação.</w:t>
      </w:r>
    </w:p>
    <w:p w14:paraId="573CE6D0" w14:textId="77777777" w:rsidR="002517C1" w:rsidRPr="00233A54" w:rsidRDefault="002517C1" w:rsidP="002517C1">
      <w:pPr>
        <w:rPr>
          <w:rFonts w:ascii="Verdana" w:hAnsi="Verdana" w:cs="Arial"/>
          <w:sz w:val="20"/>
          <w:szCs w:val="20"/>
          <w:lang w:eastAsia="en-US"/>
        </w:rPr>
      </w:pPr>
    </w:p>
    <w:p w14:paraId="566F97F9" w14:textId="77777777" w:rsidR="002517C1" w:rsidRPr="00233A54" w:rsidRDefault="002517C1" w:rsidP="002517C1">
      <w:pPr>
        <w:rPr>
          <w:rFonts w:ascii="Verdana" w:hAnsi="Verdana" w:cs="Arial"/>
          <w:sz w:val="20"/>
          <w:szCs w:val="20"/>
          <w:lang w:eastAsia="en-US"/>
        </w:rPr>
      </w:pPr>
      <w:r w:rsidRPr="00233A54">
        <w:rPr>
          <w:rFonts w:ascii="Verdana" w:hAnsi="Verdana" w:cs="Arial"/>
          <w:sz w:val="20"/>
          <w:szCs w:val="20"/>
          <w:lang w:eastAsia="en-US"/>
        </w:rPr>
        <w:t>A data prevista para entrada em operação da usina está estimada para 29 de novembro de 2027, conforme aprovação da Diretoria Executiva da ELETRONUCLEAR com base no “Relatório Preliminar do Produto 2 Serviço A” preparado pelo Consór</w:t>
      </w:r>
      <w:r>
        <w:rPr>
          <w:rFonts w:ascii="Verdana" w:hAnsi="Verdana" w:cs="Arial"/>
          <w:sz w:val="20"/>
          <w:szCs w:val="20"/>
          <w:lang w:eastAsia="en-US"/>
        </w:rPr>
        <w:t>c</w:t>
      </w:r>
      <w:r w:rsidRPr="00233A54">
        <w:rPr>
          <w:rFonts w:ascii="Verdana" w:hAnsi="Verdana" w:cs="Arial"/>
          <w:sz w:val="20"/>
          <w:szCs w:val="20"/>
          <w:lang w:eastAsia="en-US"/>
        </w:rPr>
        <w:t>io Angra Brasil (Tractebel Brasil, Empres</w:t>
      </w:r>
      <w:r>
        <w:rPr>
          <w:rFonts w:ascii="Verdana" w:hAnsi="Verdana" w:cs="Arial"/>
          <w:sz w:val="20"/>
          <w:szCs w:val="20"/>
          <w:lang w:eastAsia="en-US"/>
        </w:rPr>
        <w:t>á</w:t>
      </w:r>
      <w:r w:rsidRPr="00233A54">
        <w:rPr>
          <w:rFonts w:ascii="Verdana" w:hAnsi="Verdana" w:cs="Arial"/>
          <w:sz w:val="20"/>
          <w:szCs w:val="20"/>
          <w:lang w:eastAsia="en-US"/>
        </w:rPr>
        <w:t xml:space="preserve">rios Agrupados e </w:t>
      </w:r>
      <w:proofErr w:type="spellStart"/>
      <w:r w:rsidRPr="00233A54">
        <w:rPr>
          <w:rFonts w:ascii="Verdana" w:hAnsi="Verdana" w:cs="Arial"/>
          <w:sz w:val="20"/>
          <w:szCs w:val="20"/>
          <w:lang w:eastAsia="en-US"/>
        </w:rPr>
        <w:t>Tratebel</w:t>
      </w:r>
      <w:proofErr w:type="spellEnd"/>
      <w:r w:rsidRPr="00233A54">
        <w:rPr>
          <w:rFonts w:ascii="Verdana" w:hAnsi="Verdana" w:cs="Arial"/>
          <w:sz w:val="20"/>
          <w:szCs w:val="20"/>
          <w:lang w:eastAsia="en-US"/>
        </w:rPr>
        <w:t xml:space="preserve"> Bélgica), contratado pelo BNDES para a </w:t>
      </w:r>
      <w:proofErr w:type="spellStart"/>
      <w:r w:rsidRPr="00B81FD5">
        <w:rPr>
          <w:rFonts w:ascii="Verdana" w:hAnsi="Verdana" w:cs="Arial"/>
          <w:i/>
          <w:iCs/>
          <w:sz w:val="20"/>
          <w:szCs w:val="20"/>
          <w:lang w:eastAsia="en-US"/>
        </w:rPr>
        <w:t>Due</w:t>
      </w:r>
      <w:proofErr w:type="spellEnd"/>
      <w:r w:rsidRPr="00B81FD5">
        <w:rPr>
          <w:rFonts w:ascii="Verdana" w:hAnsi="Verdana" w:cs="Arial"/>
          <w:i/>
          <w:iCs/>
          <w:sz w:val="20"/>
          <w:szCs w:val="20"/>
          <w:lang w:eastAsia="en-US"/>
        </w:rPr>
        <w:t xml:space="preserve"> </w:t>
      </w:r>
      <w:proofErr w:type="spellStart"/>
      <w:r w:rsidRPr="00B81FD5">
        <w:rPr>
          <w:rFonts w:ascii="Verdana" w:hAnsi="Verdana" w:cs="Arial"/>
          <w:i/>
          <w:iCs/>
          <w:sz w:val="20"/>
          <w:szCs w:val="20"/>
          <w:lang w:eastAsia="en-US"/>
        </w:rPr>
        <w:t>Diligence</w:t>
      </w:r>
      <w:proofErr w:type="spellEnd"/>
      <w:r w:rsidRPr="00233A54">
        <w:rPr>
          <w:rFonts w:ascii="Verdana" w:hAnsi="Verdana" w:cs="Arial"/>
          <w:sz w:val="20"/>
          <w:szCs w:val="20"/>
          <w:lang w:eastAsia="en-US"/>
        </w:rPr>
        <w:t xml:space="preserve"> Técnica de Angra 3, datado de 30/12/2021 (nota 35.3.5).</w:t>
      </w:r>
    </w:p>
    <w:p w14:paraId="12260034" w14:textId="77777777" w:rsidR="002517C1" w:rsidRPr="00233A54" w:rsidRDefault="002517C1" w:rsidP="002517C1">
      <w:pPr>
        <w:rPr>
          <w:rFonts w:ascii="Verdana" w:hAnsi="Verdana" w:cs="Arial"/>
          <w:sz w:val="20"/>
          <w:szCs w:val="20"/>
          <w:lang w:eastAsia="en-US"/>
        </w:rPr>
      </w:pPr>
    </w:p>
    <w:p w14:paraId="56E28F13" w14:textId="77777777" w:rsidR="002517C1" w:rsidRPr="00233A54" w:rsidRDefault="002517C1" w:rsidP="002517C1">
      <w:pPr>
        <w:rPr>
          <w:rFonts w:ascii="Verdana" w:hAnsi="Verdana" w:cs="Arial"/>
          <w:sz w:val="20"/>
          <w:szCs w:val="20"/>
          <w:lang w:eastAsia="en-US"/>
        </w:rPr>
      </w:pPr>
      <w:r w:rsidRPr="00233A54">
        <w:rPr>
          <w:rFonts w:ascii="Verdana" w:hAnsi="Verdana" w:cs="Arial"/>
          <w:sz w:val="20"/>
          <w:szCs w:val="20"/>
          <w:lang w:eastAsia="en-US"/>
        </w:rPr>
        <w:t>Este estudo preliminar aponta no cronograma determinístico o início de operação comercial da usina como sendo 29</w:t>
      </w:r>
      <w:r>
        <w:rPr>
          <w:rFonts w:ascii="Verdana" w:hAnsi="Verdana" w:cs="Arial"/>
          <w:sz w:val="20"/>
          <w:szCs w:val="20"/>
          <w:lang w:eastAsia="en-US"/>
        </w:rPr>
        <w:t xml:space="preserve"> de novembro de 2027</w:t>
      </w:r>
      <w:r w:rsidRPr="00233A54">
        <w:rPr>
          <w:rFonts w:ascii="Verdana" w:hAnsi="Verdana" w:cs="Arial"/>
          <w:sz w:val="20"/>
          <w:szCs w:val="20"/>
          <w:lang w:eastAsia="en-US"/>
        </w:rPr>
        <w:t>. A condição para o atingimento dessa data é a contratação do Plano de Aceleração da Linha Crítica até 31 de março de 2022.</w:t>
      </w:r>
    </w:p>
    <w:p w14:paraId="4C97B0FB" w14:textId="77777777" w:rsidR="002517C1" w:rsidRPr="00233A54" w:rsidRDefault="002517C1" w:rsidP="002517C1">
      <w:pPr>
        <w:rPr>
          <w:rFonts w:ascii="Verdana" w:hAnsi="Verdana" w:cs="Arial"/>
          <w:sz w:val="20"/>
          <w:szCs w:val="20"/>
          <w:lang w:eastAsia="en-US"/>
        </w:rPr>
      </w:pPr>
    </w:p>
    <w:p w14:paraId="726D684B" w14:textId="77777777" w:rsidR="002517C1" w:rsidRPr="00233A54" w:rsidRDefault="002517C1" w:rsidP="002517C1">
      <w:pPr>
        <w:rPr>
          <w:rFonts w:ascii="Verdana" w:hAnsi="Verdana" w:cs="Arial"/>
          <w:sz w:val="20"/>
          <w:szCs w:val="20"/>
          <w:lang w:eastAsia="en-US"/>
        </w:rPr>
      </w:pPr>
      <w:r w:rsidRPr="00233A54">
        <w:rPr>
          <w:rFonts w:ascii="Verdana" w:hAnsi="Verdana" w:cs="Arial"/>
          <w:sz w:val="20"/>
          <w:szCs w:val="20"/>
          <w:lang w:eastAsia="en-US"/>
        </w:rPr>
        <w:t>A ELETRONUCLEAR entende que, uma vez que o contrato das obras civis do Plano de Aceleração da Linha crítica foi assinado ainda no mês de fevereiro (09/02/2022), portanto, antes da data considerada nos estudos, a estimativa é que o tempo de mobilização possa ser reduzido de seis para quatro meses. Com isso, esses ganhos de até 3 meses aumentam substancialmente a probabilidade do cumprimento do cronograma determinístico.</w:t>
      </w:r>
    </w:p>
    <w:p w14:paraId="6A4700A7" w14:textId="77777777" w:rsidR="002517C1" w:rsidRPr="00233A54" w:rsidRDefault="002517C1" w:rsidP="002517C1">
      <w:pPr>
        <w:rPr>
          <w:rFonts w:ascii="Verdana" w:hAnsi="Verdana" w:cs="Arial"/>
          <w:sz w:val="20"/>
          <w:szCs w:val="20"/>
          <w:lang w:eastAsia="en-US"/>
        </w:rPr>
      </w:pPr>
    </w:p>
    <w:p w14:paraId="40F0E6CD" w14:textId="77777777" w:rsidR="002517C1" w:rsidRPr="00233A54" w:rsidRDefault="002517C1" w:rsidP="002517C1">
      <w:pPr>
        <w:rPr>
          <w:rFonts w:ascii="Verdana" w:hAnsi="Verdana" w:cs="Arial"/>
          <w:sz w:val="20"/>
          <w:szCs w:val="20"/>
          <w:lang w:eastAsia="en-US"/>
        </w:rPr>
      </w:pPr>
      <w:r w:rsidRPr="00233A54">
        <w:rPr>
          <w:rFonts w:ascii="Verdana" w:hAnsi="Verdana" w:cs="Arial"/>
          <w:b/>
          <w:bCs/>
          <w:sz w:val="20"/>
          <w:szCs w:val="20"/>
          <w:lang w:eastAsia="en-US"/>
        </w:rPr>
        <w:t>d)</w:t>
      </w:r>
      <w:r w:rsidRPr="00233A54">
        <w:rPr>
          <w:rFonts w:ascii="Verdana" w:hAnsi="Verdana" w:cs="Arial"/>
          <w:sz w:val="20"/>
          <w:szCs w:val="20"/>
          <w:lang w:eastAsia="en-US"/>
        </w:rPr>
        <w:t xml:space="preserve"> Orçamento Total do Projeto</w:t>
      </w:r>
    </w:p>
    <w:p w14:paraId="74D32208" w14:textId="77777777" w:rsidR="002517C1" w:rsidRPr="00233A54" w:rsidRDefault="002517C1" w:rsidP="002517C1">
      <w:pPr>
        <w:rPr>
          <w:rFonts w:ascii="Verdana" w:hAnsi="Verdana" w:cs="Arial"/>
          <w:sz w:val="20"/>
          <w:szCs w:val="20"/>
          <w:lang w:eastAsia="en-US"/>
        </w:rPr>
      </w:pPr>
    </w:p>
    <w:p w14:paraId="62CD8BC2" w14:textId="77777777" w:rsidR="002517C1" w:rsidRPr="00233A54" w:rsidRDefault="002517C1" w:rsidP="002517C1">
      <w:pPr>
        <w:rPr>
          <w:rFonts w:ascii="Verdana" w:hAnsi="Verdana" w:cs="Arial"/>
          <w:sz w:val="20"/>
          <w:szCs w:val="20"/>
          <w:lang w:eastAsia="en-US"/>
        </w:rPr>
      </w:pPr>
      <w:r w:rsidRPr="00233A54">
        <w:rPr>
          <w:rFonts w:ascii="Verdana" w:hAnsi="Verdana" w:cs="Arial"/>
          <w:sz w:val="20"/>
          <w:szCs w:val="20"/>
          <w:lang w:eastAsia="en-US"/>
        </w:rPr>
        <w:t xml:space="preserve">O orçamento direto utilizado no teste de </w:t>
      </w:r>
      <w:proofErr w:type="spellStart"/>
      <w:r w:rsidRPr="00382FEA">
        <w:rPr>
          <w:rFonts w:ascii="Verdana" w:hAnsi="Verdana" w:cs="Arial"/>
          <w:i/>
          <w:iCs/>
          <w:sz w:val="20"/>
          <w:szCs w:val="20"/>
          <w:lang w:eastAsia="en-US"/>
        </w:rPr>
        <w:t>impairment</w:t>
      </w:r>
      <w:proofErr w:type="spellEnd"/>
      <w:r w:rsidRPr="00233A54">
        <w:rPr>
          <w:rFonts w:ascii="Verdana" w:hAnsi="Verdana" w:cs="Arial"/>
          <w:sz w:val="20"/>
          <w:szCs w:val="20"/>
          <w:lang w:eastAsia="en-US"/>
        </w:rPr>
        <w:t xml:space="preserve"> foi aprovado pela </w:t>
      </w:r>
      <w:r>
        <w:rPr>
          <w:rFonts w:ascii="Verdana" w:hAnsi="Verdana" w:cs="Arial"/>
          <w:sz w:val="20"/>
          <w:szCs w:val="20"/>
          <w:lang w:eastAsia="en-US"/>
        </w:rPr>
        <w:t>C</w:t>
      </w:r>
      <w:r w:rsidRPr="00233A54">
        <w:rPr>
          <w:rFonts w:ascii="Verdana" w:hAnsi="Verdana" w:cs="Arial"/>
          <w:sz w:val="20"/>
          <w:szCs w:val="20"/>
          <w:lang w:eastAsia="en-US"/>
        </w:rPr>
        <w:t xml:space="preserve">ompanhia que revisou o orçamento direto do projeto com base no “Relatório Preliminar do Produto 2 Serviço A” preparado pelo Consórcio contratado pelo BNDES para a </w:t>
      </w:r>
      <w:proofErr w:type="spellStart"/>
      <w:r w:rsidRPr="00382FEA">
        <w:rPr>
          <w:rFonts w:ascii="Verdana" w:hAnsi="Verdana" w:cs="Arial"/>
          <w:i/>
          <w:iCs/>
          <w:sz w:val="20"/>
          <w:szCs w:val="20"/>
          <w:lang w:eastAsia="en-US"/>
        </w:rPr>
        <w:t>Due</w:t>
      </w:r>
      <w:proofErr w:type="spellEnd"/>
      <w:r w:rsidRPr="00382FEA">
        <w:rPr>
          <w:rFonts w:ascii="Verdana" w:hAnsi="Verdana" w:cs="Arial"/>
          <w:i/>
          <w:iCs/>
          <w:sz w:val="20"/>
          <w:szCs w:val="20"/>
          <w:lang w:eastAsia="en-US"/>
        </w:rPr>
        <w:t xml:space="preserve"> </w:t>
      </w:r>
      <w:proofErr w:type="spellStart"/>
      <w:r w:rsidRPr="00382FEA">
        <w:rPr>
          <w:rFonts w:ascii="Verdana" w:hAnsi="Verdana" w:cs="Arial"/>
          <w:i/>
          <w:iCs/>
          <w:sz w:val="20"/>
          <w:szCs w:val="20"/>
          <w:lang w:eastAsia="en-US"/>
        </w:rPr>
        <w:t>Diligence</w:t>
      </w:r>
      <w:proofErr w:type="spellEnd"/>
      <w:r w:rsidRPr="00233A54">
        <w:rPr>
          <w:rFonts w:ascii="Verdana" w:hAnsi="Verdana" w:cs="Arial"/>
          <w:sz w:val="20"/>
          <w:szCs w:val="20"/>
          <w:lang w:eastAsia="en-US"/>
        </w:rPr>
        <w:t xml:space="preserve"> Técnica de Angra 3, datado de 30</w:t>
      </w:r>
      <w:r>
        <w:rPr>
          <w:rFonts w:ascii="Verdana" w:hAnsi="Verdana" w:cs="Arial"/>
          <w:sz w:val="20"/>
          <w:szCs w:val="20"/>
          <w:lang w:eastAsia="en-US"/>
        </w:rPr>
        <w:t xml:space="preserve"> de dezembro de 2021</w:t>
      </w:r>
      <w:r w:rsidRPr="00233A54">
        <w:rPr>
          <w:rFonts w:ascii="Verdana" w:hAnsi="Verdana" w:cs="Arial"/>
          <w:sz w:val="20"/>
          <w:szCs w:val="20"/>
          <w:lang w:eastAsia="en-US"/>
        </w:rPr>
        <w:t>. Esse orçamento direto revisado tem como data base o mês de dezembro de 2021.</w:t>
      </w:r>
    </w:p>
    <w:p w14:paraId="02777F40" w14:textId="77777777" w:rsidR="002517C1" w:rsidRPr="00233A54" w:rsidRDefault="002517C1" w:rsidP="002517C1">
      <w:pPr>
        <w:rPr>
          <w:rFonts w:ascii="Verdana" w:hAnsi="Verdana" w:cs="Arial"/>
          <w:sz w:val="20"/>
          <w:szCs w:val="20"/>
          <w:lang w:eastAsia="en-US"/>
        </w:rPr>
      </w:pPr>
    </w:p>
    <w:p w14:paraId="3D5971B3" w14:textId="77777777" w:rsidR="002517C1" w:rsidRPr="00233A54" w:rsidRDefault="002517C1" w:rsidP="002517C1">
      <w:pPr>
        <w:rPr>
          <w:rFonts w:ascii="Verdana" w:hAnsi="Verdana" w:cs="Arial"/>
          <w:sz w:val="20"/>
          <w:szCs w:val="20"/>
          <w:lang w:eastAsia="en-US"/>
        </w:rPr>
      </w:pPr>
      <w:r w:rsidRPr="00233A54">
        <w:rPr>
          <w:rFonts w:ascii="Verdana" w:hAnsi="Verdana" w:cs="Arial"/>
          <w:sz w:val="20"/>
          <w:szCs w:val="20"/>
          <w:lang w:eastAsia="en-US"/>
        </w:rPr>
        <w:t xml:space="preserve">Houve aumento nominal de R$ 3.659,0 milhões em relação ao Orçamento base dezembro de 2020, utilizado no último teste de </w:t>
      </w:r>
      <w:proofErr w:type="spellStart"/>
      <w:r w:rsidRPr="00992C4D">
        <w:rPr>
          <w:rFonts w:ascii="Verdana" w:hAnsi="Verdana" w:cs="Arial"/>
          <w:i/>
          <w:iCs/>
          <w:sz w:val="20"/>
          <w:szCs w:val="20"/>
          <w:lang w:eastAsia="en-US"/>
        </w:rPr>
        <w:t>impairment</w:t>
      </w:r>
      <w:proofErr w:type="spellEnd"/>
      <w:r w:rsidRPr="00992C4D">
        <w:rPr>
          <w:rFonts w:ascii="Verdana" w:hAnsi="Verdana" w:cs="Arial"/>
          <w:i/>
          <w:iCs/>
          <w:sz w:val="20"/>
          <w:szCs w:val="20"/>
          <w:lang w:eastAsia="en-US"/>
        </w:rPr>
        <w:t>,</w:t>
      </w:r>
      <w:r w:rsidRPr="00233A54">
        <w:rPr>
          <w:rFonts w:ascii="Verdana" w:hAnsi="Verdana" w:cs="Arial"/>
          <w:sz w:val="20"/>
          <w:szCs w:val="20"/>
          <w:lang w:eastAsia="en-US"/>
        </w:rPr>
        <w:t xml:space="preserve"> realizado em 2020. Desta forma, o orçamento direto totalizou o valor de R$ 30.832,0, sendo R$ 9.789.9 milhões realizados e R$ 21.042,1 milhões a realizar.</w:t>
      </w:r>
    </w:p>
    <w:p w14:paraId="2B6BA364" w14:textId="77777777" w:rsidR="002517C1" w:rsidRPr="00233A54" w:rsidRDefault="002517C1" w:rsidP="002517C1">
      <w:pPr>
        <w:rPr>
          <w:rFonts w:ascii="Verdana" w:hAnsi="Verdana" w:cs="Arial"/>
          <w:sz w:val="20"/>
          <w:szCs w:val="20"/>
          <w:lang w:eastAsia="en-US"/>
        </w:rPr>
      </w:pPr>
    </w:p>
    <w:p w14:paraId="5B68091F" w14:textId="77777777" w:rsidR="002517C1" w:rsidRPr="00233A54" w:rsidRDefault="002517C1" w:rsidP="002517C1">
      <w:pPr>
        <w:rPr>
          <w:rFonts w:ascii="Verdana" w:hAnsi="Verdana" w:cs="Arial"/>
          <w:sz w:val="20"/>
          <w:szCs w:val="20"/>
          <w:lang w:eastAsia="en-US"/>
        </w:rPr>
      </w:pPr>
      <w:r w:rsidRPr="00233A54">
        <w:rPr>
          <w:rFonts w:ascii="Verdana" w:hAnsi="Verdana" w:cs="Arial"/>
          <w:b/>
          <w:bCs/>
          <w:sz w:val="20"/>
          <w:szCs w:val="20"/>
          <w:lang w:eastAsia="en-US"/>
        </w:rPr>
        <w:t>e)</w:t>
      </w:r>
      <w:r w:rsidRPr="00233A54">
        <w:rPr>
          <w:rFonts w:ascii="Verdana" w:hAnsi="Verdana" w:cs="Arial"/>
          <w:sz w:val="20"/>
          <w:szCs w:val="20"/>
          <w:lang w:eastAsia="en-US"/>
        </w:rPr>
        <w:t xml:space="preserve"> Sinergia</w:t>
      </w:r>
    </w:p>
    <w:p w14:paraId="4132C347" w14:textId="77777777" w:rsidR="002517C1" w:rsidRPr="00233A54" w:rsidRDefault="002517C1" w:rsidP="002517C1">
      <w:pPr>
        <w:rPr>
          <w:rFonts w:ascii="Verdana" w:hAnsi="Verdana" w:cs="Arial"/>
          <w:sz w:val="20"/>
          <w:szCs w:val="20"/>
          <w:lang w:eastAsia="en-US"/>
        </w:rPr>
      </w:pPr>
    </w:p>
    <w:p w14:paraId="537A4C8A" w14:textId="77777777" w:rsidR="002517C1" w:rsidRPr="00233A54" w:rsidRDefault="002517C1" w:rsidP="002517C1">
      <w:pPr>
        <w:rPr>
          <w:rFonts w:ascii="Verdana" w:hAnsi="Verdana" w:cs="Arial"/>
          <w:sz w:val="20"/>
          <w:szCs w:val="20"/>
          <w:lang w:eastAsia="en-US"/>
        </w:rPr>
      </w:pPr>
      <w:r w:rsidRPr="00233A54">
        <w:rPr>
          <w:rFonts w:ascii="Verdana" w:hAnsi="Verdana" w:cs="Arial"/>
          <w:sz w:val="20"/>
          <w:szCs w:val="20"/>
          <w:lang w:eastAsia="en-US"/>
        </w:rPr>
        <w:t>As Usinas Angra 2 e Angra 3 são oriundas de projetos similares e, por isso, tem sido utilizado o parâmetro de custos de Angra 2 em Angra 3. Ocorre que existirá um ganho de custo/produtividade na entrada de Angra 3 por não haver necessidade de duplicar todas as atividades geradoras de custo, pois áreas comuns estarão atendendo as duas usinas. </w:t>
      </w:r>
    </w:p>
    <w:p w14:paraId="15D72A7E" w14:textId="77777777" w:rsidR="002517C1" w:rsidRPr="00233A54" w:rsidRDefault="002517C1" w:rsidP="002517C1">
      <w:pPr>
        <w:rPr>
          <w:rFonts w:ascii="Verdana" w:hAnsi="Verdana" w:cs="Arial"/>
          <w:sz w:val="20"/>
          <w:szCs w:val="20"/>
          <w:lang w:eastAsia="en-US"/>
        </w:rPr>
      </w:pPr>
    </w:p>
    <w:p w14:paraId="7A85EDE0" w14:textId="77777777" w:rsidR="002517C1" w:rsidRDefault="002517C1" w:rsidP="002517C1">
      <w:pPr>
        <w:tabs>
          <w:tab w:val="left" w:pos="1134"/>
          <w:tab w:val="left" w:pos="1418"/>
          <w:tab w:val="left" w:pos="1701"/>
          <w:tab w:val="left" w:pos="1985"/>
          <w:tab w:val="left" w:pos="2268"/>
        </w:tabs>
        <w:rPr>
          <w:rFonts w:ascii="Verdana" w:hAnsi="Verdana" w:cs="Arial"/>
          <w:sz w:val="20"/>
          <w:szCs w:val="20"/>
          <w:lang w:eastAsia="en-US"/>
        </w:rPr>
      </w:pPr>
      <w:r w:rsidRPr="00233A54">
        <w:rPr>
          <w:rFonts w:ascii="Verdana" w:hAnsi="Verdana" w:cs="Arial"/>
          <w:sz w:val="20"/>
          <w:szCs w:val="20"/>
          <w:lang w:eastAsia="en-US"/>
        </w:rPr>
        <w:t>A sinergia apurada para o projeto, considerando estudos internos, baseados na utilização da mão de obra da Companhia, apontou para um patamar de cerca de 25,4% conforme Nota Técnica da Superintendência Financeira– SF.A 022/2016, sendo esse percentual utilizado para estimativa do custo operacional PMSO da Usina Angra 3, no teste de </w:t>
      </w:r>
      <w:proofErr w:type="spellStart"/>
      <w:r w:rsidRPr="00992C4D">
        <w:rPr>
          <w:rFonts w:ascii="Verdana" w:hAnsi="Verdana" w:cs="Arial"/>
          <w:i/>
          <w:iCs/>
          <w:sz w:val="20"/>
          <w:szCs w:val="20"/>
          <w:lang w:eastAsia="en-US"/>
        </w:rPr>
        <w:t>impairment</w:t>
      </w:r>
      <w:proofErr w:type="spellEnd"/>
      <w:r w:rsidRPr="00233A54">
        <w:rPr>
          <w:rFonts w:ascii="Verdana" w:hAnsi="Verdana" w:cs="Arial"/>
          <w:sz w:val="20"/>
          <w:szCs w:val="20"/>
          <w:lang w:eastAsia="en-US"/>
        </w:rPr>
        <w:t> de dezembro de 2015 e nos testes posteriores, com ajustes inflacionários e reduções por ganhos no custo de pessoal decorrentes dos planos de desligamentos.</w:t>
      </w:r>
    </w:p>
    <w:p w14:paraId="7F039CDD" w14:textId="77777777" w:rsidR="002517C1" w:rsidRPr="00317036" w:rsidRDefault="002517C1" w:rsidP="002517C1">
      <w:pPr>
        <w:tabs>
          <w:tab w:val="left" w:pos="1134"/>
          <w:tab w:val="left" w:pos="1418"/>
          <w:tab w:val="left" w:pos="1701"/>
          <w:tab w:val="left" w:pos="1985"/>
          <w:tab w:val="left" w:pos="2268"/>
        </w:tabs>
        <w:rPr>
          <w:rFonts w:ascii="Verdana" w:hAnsi="Verdana"/>
          <w:sz w:val="20"/>
          <w:szCs w:val="20"/>
        </w:rPr>
      </w:pPr>
    </w:p>
    <w:bookmarkEnd w:id="17"/>
    <w:p w14:paraId="48A5B91B" w14:textId="77777777" w:rsidR="002517C1" w:rsidRDefault="002517C1" w:rsidP="002517C1">
      <w:pPr>
        <w:rPr>
          <w:rFonts w:ascii="Verdana" w:hAnsi="Verdana"/>
          <w:sz w:val="20"/>
          <w:szCs w:val="20"/>
        </w:rPr>
      </w:pPr>
      <w:r w:rsidRPr="00262515">
        <w:rPr>
          <w:rFonts w:ascii="Verdana" w:hAnsi="Verdana"/>
          <w:sz w:val="20"/>
          <w:szCs w:val="20"/>
        </w:rPr>
        <w:t xml:space="preserve">A Lei nº 14.120/21, estabeleceu as condições gerais para estruturação do empreendimento Angra 3, garantindo ao projeto uma tarifa que assegure a sua viabilidade econômico-financeira, sendo este um marco relevante para conclusão do projeto. Ademais, a Resolução do CNPE 23/21, definiu parâmetros para cálculo da tarifa de equilíbrio pelo BNDES, dentre os quais a data base, 30 de junho de 2020, e o custo de capital próprio real de 8,88% ao ano para remuneração do capital investido.   </w:t>
      </w:r>
    </w:p>
    <w:p w14:paraId="18BB0D2A" w14:textId="77777777" w:rsidR="002517C1" w:rsidRDefault="002517C1" w:rsidP="002517C1">
      <w:pPr>
        <w:rPr>
          <w:rFonts w:ascii="Verdana" w:hAnsi="Verdana"/>
          <w:sz w:val="20"/>
          <w:szCs w:val="20"/>
        </w:rPr>
      </w:pPr>
    </w:p>
    <w:p w14:paraId="5AF4BB41" w14:textId="77777777" w:rsidR="002517C1" w:rsidRDefault="002517C1" w:rsidP="002517C1">
      <w:pPr>
        <w:rPr>
          <w:rFonts w:ascii="Verdana" w:hAnsi="Verdana"/>
          <w:sz w:val="20"/>
          <w:szCs w:val="20"/>
        </w:rPr>
      </w:pPr>
      <w:r>
        <w:rPr>
          <w:rFonts w:ascii="Verdana" w:hAnsi="Verdana"/>
          <w:sz w:val="20"/>
          <w:szCs w:val="20"/>
        </w:rPr>
        <w:t xml:space="preserve">Além dos pontos acima mencionados, em dezembro de 2021 o Consórcio liderado pela Tractebel, contratado pelo BNDES para a análise do </w:t>
      </w:r>
      <w:proofErr w:type="spellStart"/>
      <w:r w:rsidRPr="009B301B">
        <w:rPr>
          <w:rFonts w:ascii="Verdana" w:hAnsi="Verdana"/>
          <w:i/>
          <w:iCs/>
          <w:sz w:val="20"/>
          <w:szCs w:val="20"/>
        </w:rPr>
        <w:t>Capex</w:t>
      </w:r>
      <w:proofErr w:type="spellEnd"/>
      <w:r>
        <w:rPr>
          <w:rFonts w:ascii="Verdana" w:hAnsi="Verdana"/>
          <w:sz w:val="20"/>
          <w:szCs w:val="20"/>
        </w:rPr>
        <w:t xml:space="preserve"> remanescente e cronograma, em seu relatório preliminar, ainda em fase de análise pela ELETRONUCLEAR, indicou um aumento de </w:t>
      </w:r>
      <w:r w:rsidRPr="00262515">
        <w:rPr>
          <w:rFonts w:ascii="Verdana" w:hAnsi="Verdana"/>
          <w:sz w:val="20"/>
          <w:szCs w:val="20"/>
        </w:rPr>
        <w:t>R$ 2.</w:t>
      </w:r>
      <w:r>
        <w:rPr>
          <w:rFonts w:ascii="Verdana" w:hAnsi="Verdana"/>
          <w:sz w:val="20"/>
          <w:szCs w:val="20"/>
        </w:rPr>
        <w:t>44</w:t>
      </w:r>
      <w:r w:rsidRPr="00262515">
        <w:rPr>
          <w:rFonts w:ascii="Verdana" w:hAnsi="Verdana"/>
          <w:sz w:val="20"/>
          <w:szCs w:val="20"/>
        </w:rPr>
        <w:t xml:space="preserve">9.000 </w:t>
      </w:r>
      <w:r>
        <w:rPr>
          <w:rFonts w:ascii="Verdana" w:hAnsi="Verdana"/>
          <w:sz w:val="20"/>
          <w:szCs w:val="20"/>
        </w:rPr>
        <w:t xml:space="preserve">do </w:t>
      </w:r>
      <w:proofErr w:type="spellStart"/>
      <w:r w:rsidRPr="009B301B">
        <w:rPr>
          <w:rFonts w:ascii="Verdana" w:hAnsi="Verdana"/>
          <w:i/>
          <w:iCs/>
          <w:sz w:val="20"/>
          <w:szCs w:val="20"/>
        </w:rPr>
        <w:t>Capex</w:t>
      </w:r>
      <w:proofErr w:type="spellEnd"/>
      <w:r>
        <w:rPr>
          <w:rFonts w:ascii="Verdana" w:hAnsi="Verdana"/>
          <w:sz w:val="20"/>
          <w:szCs w:val="20"/>
        </w:rPr>
        <w:t xml:space="preserve"> remanescente (</w:t>
      </w:r>
      <w:proofErr w:type="spellStart"/>
      <w:r w:rsidRPr="009B301B">
        <w:rPr>
          <w:rFonts w:ascii="Verdana" w:hAnsi="Verdana"/>
          <w:i/>
          <w:iCs/>
          <w:sz w:val="20"/>
          <w:szCs w:val="20"/>
        </w:rPr>
        <w:t>cost</w:t>
      </w:r>
      <w:proofErr w:type="spellEnd"/>
      <w:r w:rsidRPr="009B301B">
        <w:rPr>
          <w:rFonts w:ascii="Verdana" w:hAnsi="Verdana"/>
          <w:i/>
          <w:iCs/>
          <w:sz w:val="20"/>
          <w:szCs w:val="20"/>
        </w:rPr>
        <w:t xml:space="preserve"> </w:t>
      </w:r>
      <w:proofErr w:type="spellStart"/>
      <w:r w:rsidRPr="009B301B">
        <w:rPr>
          <w:rFonts w:ascii="Verdana" w:hAnsi="Verdana"/>
          <w:i/>
          <w:iCs/>
          <w:sz w:val="20"/>
          <w:szCs w:val="20"/>
        </w:rPr>
        <w:t>to</w:t>
      </w:r>
      <w:proofErr w:type="spellEnd"/>
      <w:r w:rsidRPr="009B301B">
        <w:rPr>
          <w:rFonts w:ascii="Verdana" w:hAnsi="Verdana"/>
          <w:i/>
          <w:iCs/>
          <w:sz w:val="20"/>
          <w:szCs w:val="20"/>
        </w:rPr>
        <w:t xml:space="preserve"> complete</w:t>
      </w:r>
      <w:r>
        <w:rPr>
          <w:rFonts w:ascii="Verdana" w:hAnsi="Verdana"/>
          <w:sz w:val="20"/>
          <w:szCs w:val="20"/>
        </w:rPr>
        <w:t xml:space="preserve">) em relação ao considerado no teste de </w:t>
      </w:r>
      <w:proofErr w:type="spellStart"/>
      <w:r>
        <w:rPr>
          <w:rFonts w:ascii="Verdana" w:hAnsi="Verdana"/>
          <w:i/>
          <w:iCs/>
          <w:sz w:val="20"/>
          <w:szCs w:val="20"/>
        </w:rPr>
        <w:t>impairment</w:t>
      </w:r>
      <w:proofErr w:type="spellEnd"/>
      <w:r>
        <w:rPr>
          <w:rFonts w:ascii="Verdana" w:hAnsi="Verdana"/>
          <w:sz w:val="20"/>
          <w:szCs w:val="20"/>
        </w:rPr>
        <w:t xml:space="preserve"> do exercício de 2020, e a data prevista de entrada em operação passou para novembro de 2027</w:t>
      </w:r>
      <w:r w:rsidRPr="00262515">
        <w:rPr>
          <w:rFonts w:ascii="Verdana" w:hAnsi="Verdana"/>
          <w:sz w:val="20"/>
          <w:szCs w:val="20"/>
        </w:rPr>
        <w:t xml:space="preserve">.   </w:t>
      </w:r>
    </w:p>
    <w:p w14:paraId="79C092E3" w14:textId="77777777" w:rsidR="002517C1" w:rsidRDefault="002517C1" w:rsidP="002517C1">
      <w:pPr>
        <w:rPr>
          <w:rFonts w:ascii="Verdana" w:hAnsi="Verdana"/>
          <w:sz w:val="20"/>
          <w:szCs w:val="20"/>
        </w:rPr>
      </w:pPr>
    </w:p>
    <w:p w14:paraId="6BD00C58" w14:textId="77777777" w:rsidR="002517C1" w:rsidRDefault="002517C1" w:rsidP="002517C1">
      <w:pPr>
        <w:rPr>
          <w:rFonts w:ascii="Verdana" w:hAnsi="Verdana"/>
          <w:sz w:val="20"/>
          <w:szCs w:val="20"/>
        </w:rPr>
      </w:pPr>
      <w:r w:rsidRPr="00262515">
        <w:rPr>
          <w:rFonts w:ascii="Verdana" w:hAnsi="Verdana"/>
          <w:sz w:val="20"/>
          <w:szCs w:val="20"/>
        </w:rPr>
        <w:t xml:space="preserve">A despeito dos significativos avanços acima mencionados, para a realização do teste de </w:t>
      </w:r>
      <w:proofErr w:type="spellStart"/>
      <w:r w:rsidRPr="00262515">
        <w:rPr>
          <w:rFonts w:ascii="Verdana" w:hAnsi="Verdana"/>
          <w:sz w:val="20"/>
          <w:szCs w:val="20"/>
        </w:rPr>
        <w:t>recuperabilidade</w:t>
      </w:r>
      <w:proofErr w:type="spellEnd"/>
      <w:r w:rsidRPr="00262515">
        <w:rPr>
          <w:rFonts w:ascii="Verdana" w:hAnsi="Verdana"/>
          <w:sz w:val="20"/>
          <w:szCs w:val="20"/>
        </w:rPr>
        <w:t xml:space="preserve"> em dezembro de 2021, apesar de todos os parâmetros para o cálculo da tarifa de equilíbrio do projeto estarem disponíveis, a tarifa não é definida pela Companhia, sendo de responsabilidade do CNPE. Portanto, ainda resta pendente a homologação tarifária, que é de grande relevância para a estruturação do projeto.   </w:t>
      </w:r>
    </w:p>
    <w:p w14:paraId="27766BCE" w14:textId="77777777" w:rsidR="002517C1" w:rsidRDefault="002517C1" w:rsidP="002517C1">
      <w:pPr>
        <w:rPr>
          <w:rFonts w:ascii="Verdana" w:hAnsi="Verdana"/>
          <w:sz w:val="20"/>
          <w:szCs w:val="20"/>
        </w:rPr>
      </w:pPr>
    </w:p>
    <w:p w14:paraId="05127D9B" w14:textId="77777777" w:rsidR="002517C1" w:rsidRDefault="002517C1" w:rsidP="002517C1">
      <w:pPr>
        <w:rPr>
          <w:rFonts w:ascii="Verdana" w:hAnsi="Verdana"/>
          <w:sz w:val="20"/>
          <w:szCs w:val="20"/>
        </w:rPr>
      </w:pPr>
      <w:r w:rsidRPr="00262515">
        <w:rPr>
          <w:rFonts w:ascii="Verdana" w:hAnsi="Verdana"/>
          <w:sz w:val="20"/>
          <w:szCs w:val="20"/>
        </w:rPr>
        <w:t xml:space="preserve">A fundamentação da manutenção do saldo provisionado de </w:t>
      </w:r>
      <w:proofErr w:type="spellStart"/>
      <w:r w:rsidRPr="00262515">
        <w:rPr>
          <w:rFonts w:ascii="Verdana" w:hAnsi="Verdana"/>
          <w:i/>
          <w:iCs/>
          <w:sz w:val="20"/>
          <w:szCs w:val="20"/>
        </w:rPr>
        <w:t>impairment</w:t>
      </w:r>
      <w:proofErr w:type="spellEnd"/>
      <w:r w:rsidRPr="00262515">
        <w:rPr>
          <w:rFonts w:ascii="Verdana" w:hAnsi="Verdana"/>
          <w:sz w:val="20"/>
          <w:szCs w:val="20"/>
        </w:rPr>
        <w:t xml:space="preserve"> no montante de R$ 4.508.764 é derivada substancialmente da carência da homologação da tarifa do empreendimento</w:t>
      </w:r>
      <w:r>
        <w:rPr>
          <w:rFonts w:ascii="Verdana" w:hAnsi="Verdana"/>
          <w:sz w:val="20"/>
          <w:szCs w:val="20"/>
        </w:rPr>
        <w:t xml:space="preserve">, </w:t>
      </w:r>
      <w:r w:rsidRPr="00262515">
        <w:rPr>
          <w:rFonts w:ascii="Verdana" w:hAnsi="Verdana"/>
          <w:sz w:val="20"/>
          <w:szCs w:val="20"/>
        </w:rPr>
        <w:t xml:space="preserve">sendo considerada a tarifa de referência aprovada em 2018 atualizada pela inflação. </w:t>
      </w:r>
    </w:p>
    <w:p w14:paraId="31694687" w14:textId="77777777" w:rsidR="002517C1" w:rsidRDefault="002517C1" w:rsidP="002517C1">
      <w:pPr>
        <w:rPr>
          <w:rFonts w:ascii="Verdana" w:hAnsi="Verdana"/>
          <w:sz w:val="20"/>
          <w:szCs w:val="20"/>
        </w:rPr>
      </w:pPr>
    </w:p>
    <w:p w14:paraId="2EC36AC2" w14:textId="77777777" w:rsidR="002517C1" w:rsidRPr="00450EC9" w:rsidRDefault="002517C1" w:rsidP="002517C1">
      <w:pPr>
        <w:autoSpaceDE w:val="0"/>
        <w:autoSpaceDN w:val="0"/>
        <w:adjustRightInd w:val="0"/>
        <w:rPr>
          <w:rFonts w:ascii="Verdana" w:hAnsi="Verdana"/>
          <w:sz w:val="20"/>
          <w:szCs w:val="20"/>
        </w:rPr>
      </w:pPr>
      <w:r w:rsidRPr="00262515">
        <w:rPr>
          <w:rFonts w:ascii="Verdana" w:hAnsi="Verdana"/>
          <w:sz w:val="20"/>
          <w:szCs w:val="20"/>
        </w:rPr>
        <w:t>Ao longo do ano de 2021, foram realizadas atividades relacionadas ao caminho crítico da obra com destaque para seleção de fornecedores para reinício das obras civis, bem como a efetivação de aportes de recursos pela Eletrobras no montante de R$ 2.447.464</w:t>
      </w:r>
      <w:r>
        <w:rPr>
          <w:rFonts w:ascii="Verdana" w:hAnsi="Verdana"/>
          <w:sz w:val="20"/>
          <w:szCs w:val="20"/>
        </w:rPr>
        <w:t xml:space="preserve"> (nota 28)</w:t>
      </w:r>
      <w:r w:rsidRPr="00262515">
        <w:rPr>
          <w:rFonts w:ascii="Verdana" w:hAnsi="Verdana"/>
          <w:sz w:val="20"/>
          <w:szCs w:val="20"/>
        </w:rPr>
        <w:t xml:space="preserve">. Em fevereiro de 2022, a Companhia assinou o contrato de prestação de serviços que permite a retomada das obras da Usina Nuclear de Angra 3, no âmbito do Plano de Aceleração do Caminho Crítico entre a </w:t>
      </w:r>
      <w:r>
        <w:rPr>
          <w:rFonts w:ascii="Verdana" w:hAnsi="Verdana"/>
          <w:sz w:val="20"/>
          <w:szCs w:val="20"/>
        </w:rPr>
        <w:t>ELETRONUCLEAR</w:t>
      </w:r>
      <w:r w:rsidRPr="00262515">
        <w:rPr>
          <w:rFonts w:ascii="Verdana" w:hAnsi="Verdana"/>
          <w:sz w:val="20"/>
          <w:szCs w:val="20"/>
        </w:rPr>
        <w:t xml:space="preserve"> e o consórcio formado por Ferreira Guedes, Matricial e </w:t>
      </w:r>
      <w:proofErr w:type="spellStart"/>
      <w:r w:rsidRPr="00262515">
        <w:rPr>
          <w:rFonts w:ascii="Verdana" w:hAnsi="Verdana"/>
          <w:sz w:val="20"/>
          <w:szCs w:val="20"/>
        </w:rPr>
        <w:t>ADtranz</w:t>
      </w:r>
      <w:proofErr w:type="spellEnd"/>
      <w:r w:rsidRPr="00262515">
        <w:rPr>
          <w:rFonts w:ascii="Verdana" w:hAnsi="Verdana"/>
          <w:sz w:val="20"/>
          <w:szCs w:val="20"/>
        </w:rPr>
        <w:t>. Entre as principais medidas que constam no Plano está a conclusão da superestrutura de concreto do edifício do reator de Angra 3.</w:t>
      </w:r>
    </w:p>
    <w:p w14:paraId="19E3536B" w14:textId="77777777" w:rsidR="002517C1" w:rsidRPr="00340DEA" w:rsidRDefault="002517C1" w:rsidP="002517C1">
      <w:pPr>
        <w:widowControl w:val="0"/>
        <w:autoSpaceDE w:val="0"/>
        <w:autoSpaceDN w:val="0"/>
        <w:jc w:val="left"/>
        <w:rPr>
          <w:rFonts w:ascii="Verdana" w:hAnsi="Verdana"/>
          <w:sz w:val="20"/>
          <w:szCs w:val="20"/>
          <w:highlight w:val="green"/>
        </w:rPr>
      </w:pPr>
    </w:p>
    <w:p w14:paraId="2BC26B50" w14:textId="4103F987" w:rsidR="00AD64D6" w:rsidRDefault="002517C1" w:rsidP="002517C1">
      <w:pPr>
        <w:pStyle w:val="Corpodetexto"/>
        <w:rPr>
          <w:rFonts w:ascii="Verdana" w:hAnsi="Verdana"/>
          <w:lang w:val="pt-BR"/>
        </w:rPr>
      </w:pPr>
      <w:r w:rsidRPr="007B358C">
        <w:rPr>
          <w:rFonts w:ascii="Verdana" w:hAnsi="Verdana"/>
          <w:lang w:val="pt-BR"/>
        </w:rPr>
        <w:t xml:space="preserve">Seguem abaixo as posições de </w:t>
      </w:r>
      <w:proofErr w:type="spellStart"/>
      <w:r w:rsidRPr="007B358C">
        <w:rPr>
          <w:rFonts w:ascii="Verdana" w:hAnsi="Verdana"/>
          <w:i/>
          <w:lang w:val="pt-BR"/>
        </w:rPr>
        <w:t>impairment</w:t>
      </w:r>
      <w:proofErr w:type="spellEnd"/>
      <w:r w:rsidRPr="007B358C">
        <w:rPr>
          <w:rFonts w:ascii="Verdana" w:hAnsi="Verdana"/>
          <w:lang w:val="pt-BR"/>
        </w:rPr>
        <w:t xml:space="preserve"> no período</w:t>
      </w:r>
      <w:r w:rsidR="00AD64D6" w:rsidRPr="007B358C">
        <w:rPr>
          <w:rFonts w:ascii="Verdana" w:hAnsi="Verdana"/>
          <w:lang w:val="pt-BR"/>
        </w:rPr>
        <w:t>:</w:t>
      </w:r>
    </w:p>
    <w:p w14:paraId="5C9B96BB" w14:textId="77777777" w:rsidR="007B358C" w:rsidRDefault="007B358C" w:rsidP="00AD64D6">
      <w:pPr>
        <w:pStyle w:val="Corpodetexto"/>
        <w:rPr>
          <w:rFonts w:ascii="Verdana" w:hAnsi="Verdana"/>
          <w:lang w:val="pt-BR"/>
        </w:rPr>
      </w:pPr>
    </w:p>
    <w:p w14:paraId="57F26663" w14:textId="77777777" w:rsidR="007B358C" w:rsidRPr="007B358C" w:rsidRDefault="007B358C" w:rsidP="007B358C">
      <w:pPr>
        <w:pStyle w:val="Corpodetexto"/>
        <w:jc w:val="center"/>
        <w:rPr>
          <w:rFonts w:ascii="Verdana" w:hAnsi="Verdana"/>
          <w:lang w:val="pt-BR"/>
        </w:rPr>
      </w:pPr>
      <w:r w:rsidRPr="007B358C">
        <w:rPr>
          <w:noProof/>
          <w:lang w:val="pt-BR"/>
        </w:rPr>
        <w:drawing>
          <wp:inline distT="0" distB="0" distL="0" distR="0" wp14:anchorId="489D196D" wp14:editId="3A4C5938">
            <wp:extent cx="4683047" cy="758142"/>
            <wp:effectExtent l="0" t="0" r="3810" b="0"/>
            <wp:docPr id="492" name="Imagem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04844" cy="761671"/>
                    </a:xfrm>
                    <a:prstGeom prst="rect">
                      <a:avLst/>
                    </a:prstGeom>
                    <a:noFill/>
                    <a:ln>
                      <a:noFill/>
                    </a:ln>
                  </pic:spPr>
                </pic:pic>
              </a:graphicData>
            </a:graphic>
          </wp:inline>
        </w:drawing>
      </w:r>
    </w:p>
    <w:p w14:paraId="094ED7BC" w14:textId="34A19E5D" w:rsidR="00AD64D6" w:rsidRDefault="00AD64D6" w:rsidP="00AD64D6">
      <w:pPr>
        <w:widowControl w:val="0"/>
        <w:autoSpaceDE w:val="0"/>
        <w:autoSpaceDN w:val="0"/>
        <w:jc w:val="center"/>
        <w:rPr>
          <w:rFonts w:ascii="Verdana" w:hAnsi="Verdana"/>
          <w:sz w:val="20"/>
          <w:szCs w:val="20"/>
          <w:highlight w:val="green"/>
          <w:bdr w:val="nil"/>
        </w:rPr>
      </w:pPr>
    </w:p>
    <w:p w14:paraId="374524C3" w14:textId="1EB510D9" w:rsidR="00D606E1" w:rsidRDefault="00D606E1" w:rsidP="00AD64D6">
      <w:pPr>
        <w:widowControl w:val="0"/>
        <w:autoSpaceDE w:val="0"/>
        <w:autoSpaceDN w:val="0"/>
        <w:jc w:val="center"/>
        <w:rPr>
          <w:rFonts w:ascii="Verdana" w:hAnsi="Verdana"/>
          <w:sz w:val="20"/>
          <w:szCs w:val="20"/>
          <w:highlight w:val="green"/>
          <w:bdr w:val="nil"/>
        </w:rPr>
      </w:pPr>
    </w:p>
    <w:p w14:paraId="23540AB5" w14:textId="776A4E91" w:rsidR="00D606E1" w:rsidRDefault="00D606E1" w:rsidP="00AD64D6">
      <w:pPr>
        <w:widowControl w:val="0"/>
        <w:autoSpaceDE w:val="0"/>
        <w:autoSpaceDN w:val="0"/>
        <w:jc w:val="center"/>
        <w:rPr>
          <w:rFonts w:ascii="Verdana" w:hAnsi="Verdana"/>
          <w:sz w:val="20"/>
          <w:szCs w:val="20"/>
          <w:highlight w:val="green"/>
          <w:bdr w:val="nil"/>
        </w:rPr>
      </w:pPr>
    </w:p>
    <w:p w14:paraId="4454F89A" w14:textId="77777777" w:rsidR="00D606E1" w:rsidRPr="00340DEA" w:rsidRDefault="00D606E1" w:rsidP="00AD64D6">
      <w:pPr>
        <w:widowControl w:val="0"/>
        <w:autoSpaceDE w:val="0"/>
        <w:autoSpaceDN w:val="0"/>
        <w:jc w:val="center"/>
        <w:rPr>
          <w:rFonts w:ascii="Verdana" w:hAnsi="Verdana"/>
          <w:sz w:val="20"/>
          <w:szCs w:val="20"/>
          <w:highlight w:val="green"/>
          <w:bdr w:val="nil"/>
        </w:rPr>
      </w:pPr>
    </w:p>
    <w:p w14:paraId="30B6ECC3" w14:textId="77777777" w:rsidR="00AD64D6" w:rsidRPr="007B358C" w:rsidRDefault="00AD64D6" w:rsidP="00AD64D6">
      <w:pPr>
        <w:widowControl w:val="0"/>
        <w:autoSpaceDE w:val="0"/>
        <w:autoSpaceDN w:val="0"/>
        <w:jc w:val="center"/>
        <w:rPr>
          <w:rFonts w:ascii="Verdana" w:hAnsi="Verdana"/>
          <w:sz w:val="20"/>
          <w:szCs w:val="20"/>
          <w:bdr w:val="nil"/>
        </w:rPr>
      </w:pPr>
    </w:p>
    <w:p w14:paraId="74A5C7C8" w14:textId="77777777" w:rsidR="00AD64D6" w:rsidRPr="007B358C" w:rsidRDefault="00AD64D6" w:rsidP="00AD64D6">
      <w:pPr>
        <w:shd w:val="clear" w:color="auto" w:fill="FFFFFF"/>
        <w:rPr>
          <w:rFonts w:ascii="Verdana" w:hAnsi="Verdana" w:cs="Verdana"/>
          <w:sz w:val="20"/>
          <w:szCs w:val="20"/>
        </w:rPr>
      </w:pPr>
      <w:r w:rsidRPr="007B358C">
        <w:rPr>
          <w:rFonts w:ascii="Verdana" w:hAnsi="Verdana"/>
          <w:sz w:val="20"/>
          <w:szCs w:val="20"/>
        </w:rPr>
        <w:lastRenderedPageBreak/>
        <w:t>A movimentação das provisões é como segue</w:t>
      </w:r>
      <w:r w:rsidRPr="007B358C">
        <w:rPr>
          <w:rFonts w:ascii="Verdana" w:hAnsi="Verdana" w:cs="Verdana"/>
          <w:sz w:val="20"/>
          <w:szCs w:val="20"/>
        </w:rPr>
        <w:t>:</w:t>
      </w:r>
    </w:p>
    <w:p w14:paraId="16EE46C9" w14:textId="77777777" w:rsidR="00AD64D6" w:rsidRPr="007B358C" w:rsidRDefault="00AD64D6" w:rsidP="00AD64D6">
      <w:pPr>
        <w:shd w:val="clear" w:color="auto" w:fill="FFFFFF"/>
        <w:rPr>
          <w:rFonts w:ascii="Verdana" w:hAnsi="Verdana" w:cs="Verdana"/>
          <w:sz w:val="20"/>
          <w:szCs w:val="20"/>
        </w:rPr>
      </w:pPr>
    </w:p>
    <w:p w14:paraId="4E1E3BB3" w14:textId="77777777" w:rsidR="00AD64D6" w:rsidRPr="007B358C" w:rsidRDefault="00AD64D6" w:rsidP="00AD64D6">
      <w:pPr>
        <w:shd w:val="clear" w:color="auto" w:fill="FFFFFF"/>
        <w:rPr>
          <w:rFonts w:ascii="Verdana" w:hAnsi="Verdana" w:cs="Verdana"/>
          <w:sz w:val="20"/>
          <w:szCs w:val="20"/>
        </w:rPr>
      </w:pPr>
      <w:r w:rsidRPr="007B358C">
        <w:rPr>
          <w:rFonts w:ascii="Verdana" w:hAnsi="Verdana" w:cs="Verdana"/>
          <w:sz w:val="20"/>
          <w:szCs w:val="20"/>
        </w:rPr>
        <w:t>Geração</w:t>
      </w:r>
    </w:p>
    <w:p w14:paraId="78E52215" w14:textId="77777777" w:rsidR="00AD64D6" w:rsidRPr="00340DEA" w:rsidRDefault="00AD64D6" w:rsidP="00AD64D6">
      <w:pPr>
        <w:widowControl w:val="0"/>
        <w:autoSpaceDE w:val="0"/>
        <w:autoSpaceDN w:val="0"/>
        <w:jc w:val="center"/>
        <w:rPr>
          <w:rFonts w:ascii="Verdana" w:hAnsi="Verdana"/>
          <w:sz w:val="20"/>
          <w:szCs w:val="20"/>
          <w:highlight w:val="green"/>
          <w:bdr w:val="nil"/>
        </w:rPr>
      </w:pPr>
    </w:p>
    <w:p w14:paraId="09597A97" w14:textId="77777777" w:rsidR="00AD64D6" w:rsidRPr="00340DEA" w:rsidRDefault="007B358C" w:rsidP="00AD64D6">
      <w:pPr>
        <w:widowControl w:val="0"/>
        <w:autoSpaceDE w:val="0"/>
        <w:autoSpaceDN w:val="0"/>
        <w:jc w:val="center"/>
        <w:rPr>
          <w:rFonts w:ascii="Verdana" w:hAnsi="Verdana"/>
          <w:sz w:val="20"/>
          <w:szCs w:val="20"/>
          <w:highlight w:val="green"/>
          <w:bdr w:val="nil"/>
        </w:rPr>
      </w:pPr>
      <w:r w:rsidRPr="007B358C">
        <w:rPr>
          <w:noProof/>
        </w:rPr>
        <w:drawing>
          <wp:inline distT="0" distB="0" distL="0" distR="0" wp14:anchorId="3218479A" wp14:editId="4446C668">
            <wp:extent cx="5616961" cy="1329049"/>
            <wp:effectExtent l="0" t="0" r="3175" b="0"/>
            <wp:docPr id="493" name="Imagem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42589" cy="1335113"/>
                    </a:xfrm>
                    <a:prstGeom prst="rect">
                      <a:avLst/>
                    </a:prstGeom>
                    <a:noFill/>
                    <a:ln>
                      <a:noFill/>
                    </a:ln>
                  </pic:spPr>
                </pic:pic>
              </a:graphicData>
            </a:graphic>
          </wp:inline>
        </w:drawing>
      </w:r>
    </w:p>
    <w:p w14:paraId="48C0A92E" w14:textId="77777777" w:rsidR="00AD64D6" w:rsidRPr="00340DEA" w:rsidRDefault="00AD64D6" w:rsidP="00AD64D6">
      <w:pPr>
        <w:widowControl w:val="0"/>
        <w:autoSpaceDE w:val="0"/>
        <w:autoSpaceDN w:val="0"/>
        <w:jc w:val="center"/>
        <w:rPr>
          <w:rFonts w:ascii="Verdana" w:hAnsi="Verdana"/>
          <w:sz w:val="20"/>
          <w:szCs w:val="20"/>
          <w:highlight w:val="green"/>
          <w:bdr w:val="nil"/>
        </w:rPr>
      </w:pPr>
    </w:p>
    <w:p w14:paraId="222717A3" w14:textId="77777777" w:rsidR="00AD64D6" w:rsidRPr="00340DEA" w:rsidRDefault="00AD64D6" w:rsidP="00AD64D6">
      <w:pPr>
        <w:widowControl w:val="0"/>
        <w:autoSpaceDE w:val="0"/>
        <w:autoSpaceDN w:val="0"/>
        <w:jc w:val="center"/>
        <w:rPr>
          <w:rFonts w:ascii="Verdana" w:hAnsi="Verdana"/>
          <w:sz w:val="20"/>
          <w:szCs w:val="20"/>
          <w:highlight w:val="green"/>
          <w:bdr w:val="nil"/>
        </w:rPr>
      </w:pPr>
    </w:p>
    <w:p w14:paraId="48D1C3B9" w14:textId="77777777" w:rsidR="002517C1" w:rsidRPr="00B132A4" w:rsidRDefault="002517C1" w:rsidP="002517C1">
      <w:pPr>
        <w:widowControl w:val="0"/>
        <w:autoSpaceDE w:val="0"/>
        <w:autoSpaceDN w:val="0"/>
        <w:jc w:val="left"/>
        <w:rPr>
          <w:rFonts w:ascii="Verdana" w:hAnsi="Verdana"/>
          <w:sz w:val="20"/>
          <w:szCs w:val="20"/>
          <w:bdr w:val="nil"/>
        </w:rPr>
      </w:pPr>
      <w:r w:rsidRPr="00B132A4">
        <w:rPr>
          <w:rFonts w:ascii="Verdana" w:hAnsi="Verdana"/>
          <w:color w:val="0D63B5"/>
          <w:sz w:val="20"/>
          <w:szCs w:val="20"/>
        </w:rPr>
        <w:t>Prática contábil</w:t>
      </w:r>
      <w:r w:rsidRPr="00B132A4">
        <w:rPr>
          <w:rFonts w:ascii="Verdana" w:hAnsi="Verdana"/>
          <w:sz w:val="20"/>
          <w:szCs w:val="20"/>
          <w:bdr w:val="nil"/>
        </w:rPr>
        <w:t xml:space="preserve"> </w:t>
      </w:r>
    </w:p>
    <w:p w14:paraId="324E7164" w14:textId="77777777" w:rsidR="002517C1" w:rsidRPr="00B132A4" w:rsidRDefault="002517C1" w:rsidP="002517C1">
      <w:pPr>
        <w:widowControl w:val="0"/>
        <w:autoSpaceDE w:val="0"/>
        <w:autoSpaceDN w:val="0"/>
        <w:rPr>
          <w:rFonts w:ascii="Verdana" w:hAnsi="Verdana"/>
          <w:sz w:val="20"/>
          <w:szCs w:val="20"/>
          <w:bdr w:val="nil"/>
        </w:rPr>
      </w:pPr>
    </w:p>
    <w:p w14:paraId="0660D35C" w14:textId="77777777" w:rsidR="002517C1" w:rsidRPr="00B132A4" w:rsidDel="009203BD" w:rsidRDefault="002517C1" w:rsidP="002517C1">
      <w:pPr>
        <w:widowControl w:val="0"/>
        <w:autoSpaceDE w:val="0"/>
        <w:autoSpaceDN w:val="0"/>
        <w:rPr>
          <w:rFonts w:ascii="Verdana" w:hAnsi="Verdana"/>
          <w:sz w:val="20"/>
          <w:szCs w:val="20"/>
          <w:bdr w:val="nil"/>
        </w:rPr>
      </w:pPr>
      <w:r w:rsidRPr="00B132A4" w:rsidDel="009203BD">
        <w:rPr>
          <w:rFonts w:ascii="Verdana" w:hAnsi="Verdana"/>
          <w:sz w:val="20"/>
          <w:szCs w:val="20"/>
          <w:bdr w:val="nil"/>
        </w:rPr>
        <w:t>A Companhia avalia periodicamente se há alguma indicação de que seus ativos não financeiros (U</w:t>
      </w:r>
      <w:r w:rsidRPr="00B132A4" w:rsidDel="009203BD">
        <w:rPr>
          <w:rFonts w:ascii="Verdana" w:hAnsi="Verdana"/>
          <w:sz w:val="20"/>
          <w:szCs w:val="20"/>
        </w:rPr>
        <w:t xml:space="preserve">nidades Geradoras de Caixa - </w:t>
      </w:r>
      <w:proofErr w:type="spellStart"/>
      <w:r w:rsidRPr="00B132A4" w:rsidDel="009203BD">
        <w:rPr>
          <w:rFonts w:ascii="Verdana" w:hAnsi="Verdana"/>
          <w:sz w:val="20"/>
          <w:szCs w:val="20"/>
        </w:rPr>
        <w:t>UGCs</w:t>
      </w:r>
      <w:proofErr w:type="spellEnd"/>
      <w:r w:rsidRPr="00B132A4" w:rsidDel="009203BD">
        <w:rPr>
          <w:rFonts w:ascii="Verdana" w:hAnsi="Verdana"/>
          <w:sz w:val="20"/>
          <w:szCs w:val="20"/>
        </w:rPr>
        <w:t xml:space="preserve">) </w:t>
      </w:r>
      <w:r w:rsidRPr="00B132A4" w:rsidDel="009203BD">
        <w:rPr>
          <w:rFonts w:ascii="Verdana" w:hAnsi="Verdana"/>
          <w:sz w:val="20"/>
          <w:szCs w:val="20"/>
          <w:bdr w:val="nil"/>
        </w:rPr>
        <w:t xml:space="preserve">tenham sofrido alguma perda por redução ao valor recuperável. Se houver tal indicação, o montante recuperável do ativo é estimado com a finalidade de mensurar o montante dessa perda. </w:t>
      </w:r>
    </w:p>
    <w:p w14:paraId="4B993595" w14:textId="77777777" w:rsidR="002517C1" w:rsidRPr="00B132A4" w:rsidDel="009203BD" w:rsidRDefault="002517C1" w:rsidP="002517C1">
      <w:pPr>
        <w:widowControl w:val="0"/>
        <w:autoSpaceDE w:val="0"/>
        <w:autoSpaceDN w:val="0"/>
        <w:rPr>
          <w:rFonts w:ascii="Verdana" w:hAnsi="Verdana"/>
          <w:sz w:val="20"/>
          <w:szCs w:val="20"/>
          <w:bdr w:val="nil"/>
        </w:rPr>
      </w:pPr>
    </w:p>
    <w:p w14:paraId="77E23432" w14:textId="4FA961B4" w:rsidR="00AD64D6" w:rsidRPr="0070675F" w:rsidDel="009203BD" w:rsidRDefault="002517C1" w:rsidP="002517C1">
      <w:pPr>
        <w:widowControl w:val="0"/>
        <w:autoSpaceDE w:val="0"/>
        <w:autoSpaceDN w:val="0"/>
        <w:rPr>
          <w:rFonts w:ascii="Verdana" w:hAnsi="Verdana"/>
          <w:sz w:val="20"/>
          <w:szCs w:val="20"/>
          <w:bdr w:val="nil"/>
        </w:rPr>
      </w:pPr>
      <w:r w:rsidRPr="00B132A4" w:rsidDel="009203BD">
        <w:rPr>
          <w:rFonts w:ascii="Verdana" w:hAnsi="Verdana"/>
          <w:sz w:val="20"/>
          <w:szCs w:val="20"/>
          <w:bdr w:val="nil"/>
        </w:rPr>
        <w:t>Na avaliação do valor em uso, os fluxos de caixa futuros estimados são descontados ao valor presente por uma taxa que reflete uma avaliação atual de mercado e/ou custo de oportunidade da Companhia, do valor da moeda no tempo e dos riscos específicos do ativo para o qual a estimativa de fluxos de caixa futuros foi efetuada</w:t>
      </w:r>
      <w:r w:rsidR="00AD64D6" w:rsidRPr="00B132A4" w:rsidDel="009203BD">
        <w:rPr>
          <w:rFonts w:ascii="Verdana" w:hAnsi="Verdana"/>
          <w:sz w:val="20"/>
          <w:szCs w:val="20"/>
          <w:bdr w:val="nil"/>
        </w:rPr>
        <w:t>.</w:t>
      </w:r>
    </w:p>
    <w:p w14:paraId="3BF95E3F" w14:textId="77777777" w:rsidR="00AD64D6" w:rsidRDefault="00AD64D6">
      <w:pPr>
        <w:widowControl w:val="0"/>
        <w:autoSpaceDE w:val="0"/>
        <w:autoSpaceDN w:val="0"/>
        <w:jc w:val="left"/>
        <w:rPr>
          <w:rFonts w:ascii="Verdana" w:hAnsi="Verdana"/>
          <w:sz w:val="20"/>
          <w:szCs w:val="20"/>
          <w:bdr w:val="nil"/>
        </w:rPr>
      </w:pPr>
    </w:p>
    <w:p w14:paraId="68A168EE" w14:textId="62FED978" w:rsidR="006C69B8" w:rsidRDefault="006C69B8">
      <w:pPr>
        <w:widowControl w:val="0"/>
        <w:autoSpaceDE w:val="0"/>
        <w:autoSpaceDN w:val="0"/>
        <w:jc w:val="left"/>
        <w:rPr>
          <w:rFonts w:ascii="Verdana" w:hAnsi="Verdana"/>
          <w:sz w:val="20"/>
          <w:szCs w:val="20"/>
          <w:bdr w:val="nil"/>
        </w:rPr>
      </w:pPr>
    </w:p>
    <w:bookmarkEnd w:id="16"/>
    <w:p w14:paraId="73962E96" w14:textId="77777777" w:rsidR="00685202" w:rsidRDefault="00685202" w:rsidP="00F04576">
      <w:pPr>
        <w:tabs>
          <w:tab w:val="left" w:pos="567"/>
          <w:tab w:val="left" w:pos="1134"/>
          <w:tab w:val="left" w:pos="1701"/>
          <w:tab w:val="left" w:pos="2268"/>
          <w:tab w:val="left" w:pos="2835"/>
        </w:tabs>
        <w:outlineLvl w:val="0"/>
        <w:rPr>
          <w:rFonts w:ascii="Verdana" w:hAnsi="Verdana"/>
          <w:b/>
          <w:color w:val="0D63B5"/>
          <w:sz w:val="20"/>
          <w:szCs w:val="20"/>
        </w:rPr>
      </w:pPr>
    </w:p>
    <w:p w14:paraId="1CFA5C49" w14:textId="2C4F26F4" w:rsidR="00D83D3F" w:rsidRPr="00E53B86" w:rsidRDefault="004363D4" w:rsidP="00F04576">
      <w:pPr>
        <w:tabs>
          <w:tab w:val="left" w:pos="567"/>
          <w:tab w:val="left" w:pos="1134"/>
          <w:tab w:val="left" w:pos="1701"/>
          <w:tab w:val="left" w:pos="2268"/>
          <w:tab w:val="left" w:pos="2835"/>
        </w:tabs>
        <w:outlineLvl w:val="0"/>
        <w:rPr>
          <w:rFonts w:ascii="Verdana" w:hAnsi="Verdana"/>
          <w:b/>
          <w:color w:val="0D63B5"/>
          <w:sz w:val="20"/>
          <w:szCs w:val="20"/>
        </w:rPr>
      </w:pPr>
      <w:r w:rsidRPr="00E53B86">
        <w:rPr>
          <w:rFonts w:ascii="Verdana" w:hAnsi="Verdana"/>
          <w:b/>
          <w:color w:val="0D63B5"/>
          <w:sz w:val="20"/>
          <w:szCs w:val="20"/>
        </w:rPr>
        <w:t xml:space="preserve">NOTA </w:t>
      </w:r>
      <w:r w:rsidR="007D737C">
        <w:rPr>
          <w:rFonts w:ascii="Verdana" w:hAnsi="Verdana"/>
          <w:b/>
          <w:color w:val="0D63B5"/>
          <w:sz w:val="20"/>
          <w:szCs w:val="20"/>
        </w:rPr>
        <w:t>19</w:t>
      </w:r>
      <w:r w:rsidR="00A36011" w:rsidRPr="00E53B86">
        <w:rPr>
          <w:rFonts w:ascii="Verdana" w:hAnsi="Verdana"/>
          <w:b/>
          <w:color w:val="0D63B5"/>
          <w:sz w:val="20"/>
          <w:szCs w:val="20"/>
        </w:rPr>
        <w:t xml:space="preserve"> </w:t>
      </w:r>
      <w:r w:rsidRPr="00E53B86">
        <w:rPr>
          <w:rFonts w:ascii="Verdana" w:hAnsi="Verdana"/>
          <w:b/>
          <w:color w:val="0D63B5"/>
          <w:sz w:val="20"/>
          <w:szCs w:val="20"/>
        </w:rPr>
        <w:t>– FORNECEDORES</w:t>
      </w:r>
      <w:r w:rsidR="005F322B" w:rsidRPr="00E53B86">
        <w:rPr>
          <w:rFonts w:ascii="Verdana" w:hAnsi="Verdana"/>
          <w:b/>
          <w:color w:val="0D63B5"/>
          <w:sz w:val="20"/>
          <w:szCs w:val="20"/>
        </w:rPr>
        <w:t xml:space="preserve"> </w:t>
      </w:r>
    </w:p>
    <w:p w14:paraId="4BB32A25" w14:textId="77777777" w:rsidR="00D15592" w:rsidRPr="00AD5110" w:rsidRDefault="00D15592">
      <w:pPr>
        <w:widowControl w:val="0"/>
        <w:autoSpaceDE w:val="0"/>
        <w:autoSpaceDN w:val="0"/>
        <w:jc w:val="left"/>
        <w:rPr>
          <w:rFonts w:ascii="Verdana" w:hAnsi="Verdana"/>
          <w:b/>
          <w:color w:val="0D63B5"/>
          <w:sz w:val="20"/>
          <w:szCs w:val="20"/>
          <w:highlight w:val="green"/>
        </w:rPr>
      </w:pPr>
    </w:p>
    <w:p w14:paraId="3364AE2D" w14:textId="77777777" w:rsidR="00D15592" w:rsidRPr="00AD5110" w:rsidRDefault="00D15592" w:rsidP="00A92F98">
      <w:pPr>
        <w:widowControl w:val="0"/>
        <w:autoSpaceDE w:val="0"/>
        <w:autoSpaceDN w:val="0"/>
        <w:jc w:val="center"/>
        <w:rPr>
          <w:rFonts w:ascii="Verdana" w:hAnsi="Verdana"/>
          <w:b/>
          <w:color w:val="0D63B5"/>
          <w:sz w:val="20"/>
          <w:szCs w:val="20"/>
          <w:highlight w:val="green"/>
        </w:rPr>
      </w:pPr>
    </w:p>
    <w:p w14:paraId="387ABAEE" w14:textId="77777777" w:rsidR="00E25BA5" w:rsidRDefault="007D737C" w:rsidP="007D737C">
      <w:pPr>
        <w:widowControl w:val="0"/>
        <w:autoSpaceDE w:val="0"/>
        <w:autoSpaceDN w:val="0"/>
        <w:jc w:val="center"/>
        <w:rPr>
          <w:rFonts w:ascii="Verdana" w:hAnsi="Verdana"/>
          <w:b/>
          <w:color w:val="0D63B5"/>
          <w:sz w:val="20"/>
          <w:szCs w:val="20"/>
        </w:rPr>
      </w:pPr>
      <w:r w:rsidRPr="007D737C">
        <w:rPr>
          <w:noProof/>
        </w:rPr>
        <w:drawing>
          <wp:inline distT="0" distB="0" distL="0" distR="0" wp14:anchorId="4C88C697" wp14:editId="39E417F0">
            <wp:extent cx="5195363" cy="1276350"/>
            <wp:effectExtent l="0" t="0" r="5715" b="0"/>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98276" cy="1277066"/>
                    </a:xfrm>
                    <a:prstGeom prst="rect">
                      <a:avLst/>
                    </a:prstGeom>
                    <a:noFill/>
                    <a:ln>
                      <a:noFill/>
                    </a:ln>
                  </pic:spPr>
                </pic:pic>
              </a:graphicData>
            </a:graphic>
          </wp:inline>
        </w:drawing>
      </w:r>
    </w:p>
    <w:p w14:paraId="57621A58" w14:textId="77777777" w:rsidR="0093586E" w:rsidRPr="0093586E" w:rsidRDefault="0093586E" w:rsidP="0093586E">
      <w:pPr>
        <w:rPr>
          <w:rFonts w:ascii="Verdana" w:hAnsi="Verdana" w:cs="Arial"/>
          <w:sz w:val="20"/>
          <w:szCs w:val="20"/>
          <w:highlight w:val="yellow"/>
        </w:rPr>
      </w:pPr>
    </w:p>
    <w:p w14:paraId="399807A2" w14:textId="77777777" w:rsidR="002517C1" w:rsidRDefault="002517C1" w:rsidP="002517C1">
      <w:pPr>
        <w:rPr>
          <w:rFonts w:ascii="Verdana" w:hAnsi="Verdana" w:cs="Arial"/>
          <w:color w:val="000000" w:themeColor="text1"/>
          <w:sz w:val="20"/>
          <w:szCs w:val="20"/>
        </w:rPr>
      </w:pPr>
      <w:r w:rsidRPr="00E53B86">
        <w:rPr>
          <w:rFonts w:ascii="Verdana" w:hAnsi="Verdana"/>
          <w:color w:val="000000"/>
          <w:sz w:val="20"/>
          <w:szCs w:val="20"/>
        </w:rPr>
        <w:t>O recebimento da receita própria da companhia sem inadimplência, bem como os aportes financeiros oriundos do Contrato nº ECF 3387/20</w:t>
      </w:r>
      <w:r>
        <w:rPr>
          <w:rFonts w:ascii="Verdana" w:hAnsi="Verdana"/>
          <w:color w:val="000000"/>
          <w:sz w:val="20"/>
          <w:szCs w:val="20"/>
        </w:rPr>
        <w:t xml:space="preserve"> </w:t>
      </w:r>
      <w:r w:rsidRPr="003311E4">
        <w:rPr>
          <w:rFonts w:ascii="Verdana" w:hAnsi="Verdana"/>
          <w:color w:val="000000"/>
          <w:sz w:val="20"/>
          <w:szCs w:val="20"/>
        </w:rPr>
        <w:t>(nota 28)</w:t>
      </w:r>
      <w:r w:rsidRPr="00E53B86">
        <w:rPr>
          <w:rFonts w:ascii="Verdana" w:hAnsi="Verdana"/>
          <w:color w:val="000000"/>
          <w:sz w:val="20"/>
          <w:szCs w:val="20"/>
        </w:rPr>
        <w:t xml:space="preserve"> </w:t>
      </w:r>
      <w:r w:rsidRPr="00E53B86">
        <w:rPr>
          <w:rFonts w:ascii="Verdana" w:hAnsi="Verdana" w:cs="Arial"/>
          <w:color w:val="000000" w:themeColor="text1"/>
          <w:sz w:val="20"/>
          <w:szCs w:val="20"/>
        </w:rPr>
        <w:t xml:space="preserve">permitiram </w:t>
      </w:r>
      <w:r>
        <w:rPr>
          <w:rFonts w:ascii="Verdana" w:hAnsi="Verdana" w:cs="Arial"/>
          <w:color w:val="000000" w:themeColor="text1"/>
          <w:sz w:val="20"/>
          <w:szCs w:val="20"/>
        </w:rPr>
        <w:t xml:space="preserve">o pagamento de obrigações com fornecedores. </w:t>
      </w:r>
      <w:r w:rsidRPr="00E53B86">
        <w:rPr>
          <w:rFonts w:ascii="Verdana" w:hAnsi="Verdana" w:cs="Arial"/>
          <w:color w:val="000000" w:themeColor="text1"/>
          <w:sz w:val="20"/>
          <w:szCs w:val="20"/>
        </w:rPr>
        <w:t xml:space="preserve">O saldo da variação cambial sobre faturas processadas em moeda estrangeira, na composição da obrigação com fornecedores, reduziu em consequência da quitação de partidas </w:t>
      </w:r>
      <w:r>
        <w:rPr>
          <w:rFonts w:ascii="Verdana" w:hAnsi="Verdana" w:cs="Arial"/>
          <w:color w:val="000000" w:themeColor="text1"/>
          <w:sz w:val="20"/>
          <w:szCs w:val="20"/>
        </w:rPr>
        <w:t xml:space="preserve">em moeda </w:t>
      </w:r>
      <w:r w:rsidRPr="00E53B86">
        <w:rPr>
          <w:rFonts w:ascii="Verdana" w:hAnsi="Verdana" w:cs="Arial"/>
          <w:color w:val="000000" w:themeColor="text1"/>
          <w:sz w:val="20"/>
          <w:szCs w:val="20"/>
        </w:rPr>
        <w:t>processadas em aberto; e o saldo de provisão reduziu em função d</w:t>
      </w:r>
      <w:r>
        <w:rPr>
          <w:rFonts w:ascii="Verdana" w:hAnsi="Verdana" w:cs="Arial"/>
          <w:color w:val="000000" w:themeColor="text1"/>
          <w:sz w:val="20"/>
          <w:szCs w:val="20"/>
        </w:rPr>
        <w:t>a menor incidência de serviços prestados ainda não faturados em 2021.</w:t>
      </w:r>
      <w:r w:rsidRPr="00FD016C">
        <w:rPr>
          <w:rFonts w:ascii="Verdana" w:hAnsi="Verdana" w:cs="Arial"/>
          <w:color w:val="000000" w:themeColor="text1"/>
          <w:sz w:val="20"/>
          <w:szCs w:val="20"/>
        </w:rPr>
        <w:t xml:space="preserve"> </w:t>
      </w:r>
    </w:p>
    <w:p w14:paraId="18699D15" w14:textId="77777777" w:rsidR="002517C1" w:rsidRDefault="002517C1" w:rsidP="002517C1">
      <w:pPr>
        <w:rPr>
          <w:rFonts w:ascii="Verdana" w:hAnsi="Verdana" w:cs="Arial"/>
          <w:color w:val="000000" w:themeColor="text1"/>
          <w:sz w:val="20"/>
          <w:szCs w:val="20"/>
        </w:rPr>
      </w:pPr>
    </w:p>
    <w:p w14:paraId="26BBF031" w14:textId="77777777" w:rsidR="002517C1" w:rsidRDefault="002517C1" w:rsidP="002517C1">
      <w:pPr>
        <w:rPr>
          <w:rFonts w:ascii="Verdana" w:hAnsi="Verdana" w:cs="Arial"/>
          <w:color w:val="000000" w:themeColor="text1"/>
          <w:sz w:val="20"/>
          <w:szCs w:val="20"/>
        </w:rPr>
      </w:pPr>
    </w:p>
    <w:p w14:paraId="12FA5F2C" w14:textId="77777777" w:rsidR="002517C1" w:rsidRPr="00604227" w:rsidRDefault="002517C1" w:rsidP="002517C1">
      <w:pPr>
        <w:rPr>
          <w:rFonts w:ascii="Verdana" w:hAnsi="Verdana"/>
          <w:sz w:val="20"/>
          <w:szCs w:val="20"/>
        </w:rPr>
      </w:pPr>
      <w:r w:rsidRPr="00604227">
        <w:rPr>
          <w:rFonts w:ascii="Verdana" w:hAnsi="Verdana"/>
          <w:color w:val="0D63B5"/>
          <w:sz w:val="20"/>
          <w:szCs w:val="20"/>
        </w:rPr>
        <w:t>Prática contábil</w:t>
      </w:r>
    </w:p>
    <w:p w14:paraId="2A21C685" w14:textId="77777777" w:rsidR="002517C1" w:rsidRPr="00604227" w:rsidRDefault="002517C1" w:rsidP="002517C1">
      <w:pPr>
        <w:rPr>
          <w:rFonts w:ascii="Verdana" w:hAnsi="Verdana"/>
          <w:color w:val="0D63B5"/>
        </w:rPr>
      </w:pPr>
    </w:p>
    <w:p w14:paraId="6CC9A43F" w14:textId="77777777" w:rsidR="002517C1" w:rsidRPr="00604227" w:rsidRDefault="002517C1" w:rsidP="002517C1">
      <w:pPr>
        <w:pStyle w:val="Corpodetexto"/>
        <w:rPr>
          <w:rFonts w:ascii="Verdana" w:hAnsi="Verdana"/>
          <w:lang w:val="pt-BR"/>
        </w:rPr>
      </w:pPr>
    </w:p>
    <w:p w14:paraId="0EAEED1E" w14:textId="77777777" w:rsidR="002517C1" w:rsidRDefault="002517C1" w:rsidP="002517C1">
      <w:pPr>
        <w:pStyle w:val="Corpodetexto"/>
        <w:rPr>
          <w:rFonts w:ascii="Verdana" w:hAnsi="Verdana"/>
          <w:lang w:val="pt-BR"/>
        </w:rPr>
      </w:pPr>
      <w:r w:rsidRPr="00604227">
        <w:rPr>
          <w:rFonts w:ascii="Verdana" w:hAnsi="Verdana"/>
          <w:lang w:val="pt-BR"/>
        </w:rPr>
        <w:t xml:space="preserve">São reconhecidas as obrigações relacionadas com encargos de uso da rede elétrica, e compras de bens, mercadorias (material, combustível </w:t>
      </w:r>
      <w:r>
        <w:rPr>
          <w:rFonts w:ascii="Verdana" w:hAnsi="Verdana"/>
          <w:lang w:val="pt-BR"/>
        </w:rPr>
        <w:t>nuclear e</w:t>
      </w:r>
      <w:r w:rsidRPr="00604227">
        <w:rPr>
          <w:rFonts w:ascii="Verdana" w:hAnsi="Verdana"/>
          <w:lang w:val="pt-BR"/>
        </w:rPr>
        <w:t xml:space="preserve"> etc.) e de serviços. A rubrica de fornecedores é mensurada a custo amortizado, os passivos são baixados mediante a liquidação do título e as variações cambiais/monetárias são reconhecidas no resultado financeiro.</w:t>
      </w:r>
    </w:p>
    <w:p w14:paraId="1AAC3E93" w14:textId="1D87C07A" w:rsidR="00604227" w:rsidRDefault="00604227" w:rsidP="00604227">
      <w:pPr>
        <w:pStyle w:val="Corpodetexto"/>
        <w:rPr>
          <w:rFonts w:ascii="Verdana" w:hAnsi="Verdana"/>
          <w:lang w:val="pt-BR"/>
        </w:rPr>
      </w:pPr>
    </w:p>
    <w:p w14:paraId="5C964DC0" w14:textId="77777777" w:rsidR="00793D3A" w:rsidRPr="005C5C69" w:rsidRDefault="00793D3A">
      <w:pPr>
        <w:widowControl w:val="0"/>
        <w:autoSpaceDE w:val="0"/>
        <w:autoSpaceDN w:val="0"/>
        <w:jc w:val="left"/>
        <w:rPr>
          <w:rFonts w:ascii="Verdana" w:hAnsi="Verdana"/>
          <w:b/>
          <w:color w:val="0D63B5"/>
          <w:sz w:val="20"/>
          <w:szCs w:val="20"/>
        </w:rPr>
      </w:pPr>
    </w:p>
    <w:p w14:paraId="0D319AB1" w14:textId="77777777" w:rsidR="00AB4F13" w:rsidRDefault="004363D4" w:rsidP="00002E6B">
      <w:pPr>
        <w:tabs>
          <w:tab w:val="left" w:pos="567"/>
          <w:tab w:val="left" w:pos="1134"/>
          <w:tab w:val="left" w:pos="1701"/>
          <w:tab w:val="left" w:pos="2268"/>
          <w:tab w:val="left" w:pos="2835"/>
        </w:tabs>
        <w:outlineLvl w:val="0"/>
        <w:rPr>
          <w:rFonts w:ascii="Verdana" w:hAnsi="Verdana" w:cs="Verdana"/>
          <w:b/>
          <w:color w:val="0D63B5"/>
          <w:sz w:val="20"/>
          <w:szCs w:val="20"/>
        </w:rPr>
      </w:pPr>
      <w:bookmarkStart w:id="18" w:name="_Hlk94184945"/>
      <w:r w:rsidRPr="00BE4B58">
        <w:rPr>
          <w:rFonts w:ascii="Verdana" w:hAnsi="Verdana" w:cs="Verdana"/>
          <w:b/>
          <w:color w:val="0D63B5"/>
          <w:sz w:val="20"/>
          <w:szCs w:val="20"/>
        </w:rPr>
        <w:t xml:space="preserve">NOTA </w:t>
      </w:r>
      <w:r w:rsidR="00A54DE8" w:rsidRPr="00BE4B58">
        <w:rPr>
          <w:rFonts w:ascii="Verdana" w:hAnsi="Verdana" w:cs="Verdana"/>
          <w:b/>
          <w:color w:val="0D63B5"/>
          <w:sz w:val="20"/>
          <w:szCs w:val="20"/>
        </w:rPr>
        <w:t>2</w:t>
      </w:r>
      <w:r w:rsidR="007D737C">
        <w:rPr>
          <w:rFonts w:ascii="Verdana" w:hAnsi="Verdana" w:cs="Verdana"/>
          <w:b/>
          <w:color w:val="0D63B5"/>
          <w:sz w:val="20"/>
          <w:szCs w:val="20"/>
        </w:rPr>
        <w:t>0</w:t>
      </w:r>
      <w:r w:rsidR="00C879CF" w:rsidRPr="00BE4B58">
        <w:rPr>
          <w:rFonts w:ascii="Verdana" w:hAnsi="Verdana" w:cs="Verdana"/>
          <w:b/>
          <w:color w:val="0D63B5"/>
          <w:sz w:val="20"/>
          <w:szCs w:val="20"/>
        </w:rPr>
        <w:t xml:space="preserve"> </w:t>
      </w:r>
      <w:r w:rsidRPr="00BE4B58">
        <w:rPr>
          <w:rFonts w:ascii="Verdana" w:hAnsi="Verdana" w:cs="Verdana"/>
          <w:b/>
          <w:color w:val="0D63B5"/>
          <w:sz w:val="20"/>
          <w:szCs w:val="20"/>
        </w:rPr>
        <w:t xml:space="preserve">– </w:t>
      </w:r>
      <w:proofErr w:type="gramStart"/>
      <w:r w:rsidR="00966381" w:rsidRPr="00BE4B58">
        <w:rPr>
          <w:rFonts w:ascii="Verdana" w:hAnsi="Verdana" w:cs="Verdana"/>
          <w:b/>
          <w:color w:val="0D63B5"/>
          <w:sz w:val="20"/>
          <w:szCs w:val="20"/>
        </w:rPr>
        <w:t>EMPRÉSTIMOS</w:t>
      </w:r>
      <w:r w:rsidR="00A26B43">
        <w:rPr>
          <w:rFonts w:ascii="Verdana" w:hAnsi="Verdana" w:cs="Verdana"/>
          <w:b/>
          <w:color w:val="0D63B5"/>
          <w:sz w:val="20"/>
          <w:szCs w:val="20"/>
        </w:rPr>
        <w:t xml:space="preserve">  E</w:t>
      </w:r>
      <w:proofErr w:type="gramEnd"/>
      <w:r w:rsidR="00966381" w:rsidRPr="00BE4B58">
        <w:rPr>
          <w:rFonts w:ascii="Verdana" w:hAnsi="Verdana" w:cs="Verdana"/>
          <w:b/>
          <w:color w:val="0D63B5"/>
          <w:sz w:val="20"/>
          <w:szCs w:val="20"/>
        </w:rPr>
        <w:t xml:space="preserve"> </w:t>
      </w:r>
      <w:r w:rsidRPr="00BE4B58">
        <w:rPr>
          <w:rFonts w:ascii="Verdana" w:hAnsi="Verdana" w:cs="Verdana"/>
          <w:b/>
          <w:color w:val="0D63B5"/>
          <w:sz w:val="20"/>
          <w:szCs w:val="20"/>
        </w:rPr>
        <w:t xml:space="preserve">FINANCIAMENTOS </w:t>
      </w:r>
    </w:p>
    <w:p w14:paraId="430826E8" w14:textId="77777777" w:rsidR="00002E6B" w:rsidRDefault="00002E6B" w:rsidP="00002E6B">
      <w:pPr>
        <w:tabs>
          <w:tab w:val="left" w:pos="567"/>
          <w:tab w:val="left" w:pos="1134"/>
          <w:tab w:val="left" w:pos="1701"/>
          <w:tab w:val="left" w:pos="2268"/>
          <w:tab w:val="left" w:pos="2835"/>
        </w:tabs>
        <w:outlineLvl w:val="0"/>
        <w:rPr>
          <w:rFonts w:ascii="Verdana" w:hAnsi="Verdana" w:cs="Verdana"/>
          <w:b/>
          <w:color w:val="0D63B5"/>
          <w:sz w:val="20"/>
          <w:szCs w:val="20"/>
        </w:rPr>
      </w:pPr>
    </w:p>
    <w:p w14:paraId="2AC96B5F" w14:textId="77777777" w:rsidR="00002E6B" w:rsidRPr="005C5C69" w:rsidRDefault="00002E6B" w:rsidP="00002E6B">
      <w:pPr>
        <w:tabs>
          <w:tab w:val="left" w:pos="567"/>
          <w:tab w:val="left" w:pos="1134"/>
          <w:tab w:val="left" w:pos="1701"/>
          <w:tab w:val="left" w:pos="2268"/>
          <w:tab w:val="left" w:pos="2835"/>
        </w:tabs>
        <w:outlineLvl w:val="0"/>
        <w:rPr>
          <w:rFonts w:ascii="Verdana" w:hAnsi="Verdana"/>
          <w:sz w:val="20"/>
          <w:szCs w:val="20"/>
        </w:rPr>
      </w:pPr>
    </w:p>
    <w:p w14:paraId="0C28F43B" w14:textId="77777777" w:rsidR="00DE0C5B" w:rsidRDefault="00DE0C5B" w:rsidP="00DE0C5B">
      <w:pPr>
        <w:rPr>
          <w:rFonts w:ascii="Verdana" w:hAnsi="Verdana"/>
          <w:sz w:val="20"/>
          <w:szCs w:val="20"/>
        </w:rPr>
      </w:pPr>
      <w:r w:rsidRPr="00DE0C5B">
        <w:rPr>
          <w:rFonts w:ascii="Verdana" w:hAnsi="Verdana"/>
          <w:sz w:val="20"/>
          <w:szCs w:val="20"/>
        </w:rPr>
        <w:t>A composição dos empréstimos</w:t>
      </w:r>
      <w:r>
        <w:rPr>
          <w:rFonts w:ascii="Verdana" w:hAnsi="Verdana"/>
          <w:sz w:val="20"/>
          <w:szCs w:val="20"/>
        </w:rPr>
        <w:t xml:space="preserve"> e</w:t>
      </w:r>
      <w:r w:rsidRPr="00DE0C5B">
        <w:rPr>
          <w:rFonts w:ascii="Verdana" w:hAnsi="Verdana"/>
          <w:sz w:val="20"/>
          <w:szCs w:val="20"/>
        </w:rPr>
        <w:t xml:space="preserve"> financiamentos</w:t>
      </w:r>
      <w:r>
        <w:rPr>
          <w:rFonts w:ascii="Verdana" w:hAnsi="Verdana"/>
          <w:sz w:val="20"/>
          <w:szCs w:val="20"/>
        </w:rPr>
        <w:t xml:space="preserve"> </w:t>
      </w:r>
      <w:r w:rsidRPr="00DE0C5B">
        <w:rPr>
          <w:rFonts w:ascii="Verdana" w:hAnsi="Verdana"/>
          <w:sz w:val="20"/>
          <w:szCs w:val="20"/>
        </w:rPr>
        <w:t xml:space="preserve">devidos pela </w:t>
      </w:r>
      <w:r w:rsidR="00E52A93">
        <w:rPr>
          <w:rFonts w:ascii="Verdana" w:hAnsi="Verdana"/>
          <w:sz w:val="20"/>
          <w:szCs w:val="20"/>
        </w:rPr>
        <w:t>ELETRONUCLEAR</w:t>
      </w:r>
      <w:r w:rsidRPr="00DE0C5B">
        <w:rPr>
          <w:rFonts w:ascii="Verdana" w:hAnsi="Verdana"/>
          <w:sz w:val="20"/>
          <w:szCs w:val="20"/>
        </w:rPr>
        <w:t xml:space="preserve"> é divulgada a seguir: </w:t>
      </w:r>
    </w:p>
    <w:p w14:paraId="1A2E314F" w14:textId="77777777" w:rsidR="009C2F29" w:rsidRDefault="009C2F29" w:rsidP="00DE0C5B">
      <w:pPr>
        <w:rPr>
          <w:rFonts w:ascii="Verdana" w:hAnsi="Verdana"/>
          <w:sz w:val="20"/>
          <w:szCs w:val="20"/>
        </w:rPr>
      </w:pPr>
    </w:p>
    <w:p w14:paraId="79266E2D" w14:textId="77777777" w:rsidR="009C2F29" w:rsidRPr="00DE0C5B" w:rsidRDefault="009C2F29" w:rsidP="00DE0C5B">
      <w:pPr>
        <w:rPr>
          <w:rFonts w:ascii="Verdana" w:hAnsi="Verdana"/>
          <w:sz w:val="20"/>
          <w:szCs w:val="20"/>
        </w:rPr>
      </w:pPr>
    </w:p>
    <w:p w14:paraId="525DA351" w14:textId="77777777" w:rsidR="00DE0C5B" w:rsidRDefault="009C2F29" w:rsidP="00B64D44">
      <w:pPr>
        <w:jc w:val="center"/>
        <w:rPr>
          <w:rFonts w:ascii="Verdana" w:hAnsi="Verdana"/>
          <w:color w:val="0D63B5"/>
          <w:sz w:val="20"/>
          <w:szCs w:val="20"/>
        </w:rPr>
      </w:pPr>
      <w:r w:rsidRPr="009C2F29">
        <w:rPr>
          <w:noProof/>
        </w:rPr>
        <w:drawing>
          <wp:inline distT="0" distB="0" distL="0" distR="0" wp14:anchorId="09BA73DD" wp14:editId="25A86497">
            <wp:extent cx="5338445" cy="1882748"/>
            <wp:effectExtent l="0" t="0" r="0" b="0"/>
            <wp:docPr id="60"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50922" cy="1887148"/>
                    </a:xfrm>
                    <a:prstGeom prst="rect">
                      <a:avLst/>
                    </a:prstGeom>
                    <a:noFill/>
                    <a:ln>
                      <a:noFill/>
                    </a:ln>
                  </pic:spPr>
                </pic:pic>
              </a:graphicData>
            </a:graphic>
          </wp:inline>
        </w:drawing>
      </w:r>
    </w:p>
    <w:p w14:paraId="6D4F34B6" w14:textId="77777777" w:rsidR="00D06703" w:rsidRDefault="00D705E3" w:rsidP="00B64D44">
      <w:pPr>
        <w:jc w:val="center"/>
        <w:rPr>
          <w:rFonts w:ascii="Verdana" w:hAnsi="Verdana"/>
          <w:color w:val="0D63B5"/>
          <w:sz w:val="20"/>
          <w:szCs w:val="20"/>
        </w:rPr>
      </w:pPr>
      <w:r w:rsidRPr="00D705E3">
        <w:rPr>
          <w:noProof/>
        </w:rPr>
        <w:drawing>
          <wp:inline distT="0" distB="0" distL="0" distR="0" wp14:anchorId="2B6343E8" wp14:editId="616D8E0F">
            <wp:extent cx="5408366" cy="1931670"/>
            <wp:effectExtent l="0" t="0" r="1905" b="0"/>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19316" cy="1935581"/>
                    </a:xfrm>
                    <a:prstGeom prst="rect">
                      <a:avLst/>
                    </a:prstGeom>
                    <a:noFill/>
                    <a:ln>
                      <a:noFill/>
                    </a:ln>
                  </pic:spPr>
                </pic:pic>
              </a:graphicData>
            </a:graphic>
          </wp:inline>
        </w:drawing>
      </w:r>
    </w:p>
    <w:p w14:paraId="0AFD459D" w14:textId="77777777" w:rsidR="008051AD" w:rsidRPr="006B2634" w:rsidRDefault="008051AD" w:rsidP="00D07433">
      <w:pPr>
        <w:tabs>
          <w:tab w:val="num" w:pos="360"/>
        </w:tabs>
        <w:rPr>
          <w:rFonts w:ascii="Verdana" w:hAnsi="Verdana" w:cs="Arial"/>
          <w:b/>
          <w:color w:val="0070C0"/>
          <w:sz w:val="20"/>
          <w:szCs w:val="20"/>
          <w:highlight w:val="yellow"/>
          <w:u w:val="single"/>
        </w:rPr>
      </w:pPr>
    </w:p>
    <w:p w14:paraId="7F981391" w14:textId="77777777" w:rsidR="00E61229" w:rsidRPr="00A31690" w:rsidRDefault="00E61229" w:rsidP="00E61229">
      <w:pPr>
        <w:pStyle w:val="PargrafodaLista"/>
        <w:numPr>
          <w:ilvl w:val="0"/>
          <w:numId w:val="23"/>
        </w:numPr>
        <w:tabs>
          <w:tab w:val="num" w:pos="360"/>
        </w:tabs>
        <w:ind w:left="0" w:firstLine="0"/>
        <w:rPr>
          <w:rFonts w:ascii="Verdana" w:hAnsi="Verdana" w:cs="Arial"/>
          <w:bCs/>
          <w:color w:val="0070C0"/>
          <w:sz w:val="20"/>
          <w:szCs w:val="20"/>
        </w:rPr>
      </w:pPr>
      <w:r w:rsidRPr="00A31690">
        <w:rPr>
          <w:rFonts w:ascii="Verdana" w:hAnsi="Verdana" w:cs="Arial"/>
          <w:bCs/>
          <w:color w:val="0070C0"/>
          <w:sz w:val="20"/>
          <w:szCs w:val="20"/>
        </w:rPr>
        <w:t>Aplicações nas Usinas Angra 1 e Angra 2</w:t>
      </w:r>
    </w:p>
    <w:p w14:paraId="08339B83" w14:textId="77777777" w:rsidR="00E61229" w:rsidRPr="00A31690" w:rsidRDefault="00E61229" w:rsidP="00E61229">
      <w:pPr>
        <w:rPr>
          <w:rFonts w:ascii="Verdana" w:hAnsi="Verdana" w:cs="Arial"/>
          <w:sz w:val="20"/>
          <w:szCs w:val="20"/>
        </w:rPr>
      </w:pPr>
    </w:p>
    <w:p w14:paraId="3EE1B18E" w14:textId="77777777" w:rsidR="00E61229" w:rsidRPr="00A31690" w:rsidRDefault="00E61229" w:rsidP="00E61229">
      <w:pPr>
        <w:rPr>
          <w:rFonts w:ascii="Verdana" w:hAnsi="Verdana" w:cs="Arial"/>
          <w:sz w:val="20"/>
          <w:szCs w:val="20"/>
        </w:rPr>
      </w:pPr>
      <w:r w:rsidRPr="00A31690">
        <w:rPr>
          <w:rFonts w:ascii="Verdana" w:hAnsi="Verdana" w:cs="Arial"/>
          <w:sz w:val="20"/>
          <w:szCs w:val="20"/>
        </w:rPr>
        <w:t xml:space="preserve">Trata-se de financiamentos captados com a Eletrobras para diversas etapas de melhoramentos da Usina Angra 1, para a troca dos geradores de vapor, a troca da tampa do vaso de pressão do reator e para o capital de giro da Companhia. </w:t>
      </w:r>
    </w:p>
    <w:p w14:paraId="73655A91" w14:textId="77777777" w:rsidR="00E61229" w:rsidRPr="00A31690" w:rsidRDefault="00E61229" w:rsidP="00E61229">
      <w:pPr>
        <w:rPr>
          <w:rFonts w:ascii="Verdana" w:hAnsi="Verdana" w:cs="Arial"/>
          <w:sz w:val="20"/>
          <w:szCs w:val="20"/>
        </w:rPr>
      </w:pPr>
    </w:p>
    <w:p w14:paraId="12505F8B" w14:textId="77777777" w:rsidR="00E61229" w:rsidRPr="00A31690" w:rsidRDefault="00E61229" w:rsidP="00E61229">
      <w:pPr>
        <w:rPr>
          <w:rFonts w:ascii="Verdana" w:hAnsi="Verdana" w:cs="Arial"/>
          <w:sz w:val="20"/>
          <w:szCs w:val="20"/>
        </w:rPr>
      </w:pPr>
      <w:r w:rsidRPr="00A31690">
        <w:rPr>
          <w:rFonts w:ascii="Verdana" w:hAnsi="Verdana" w:cs="Arial"/>
          <w:sz w:val="20"/>
          <w:szCs w:val="20"/>
        </w:rPr>
        <w:t xml:space="preserve">Em garantia dos compromissos assumidos com a Eletrobras, a </w:t>
      </w:r>
      <w:r>
        <w:rPr>
          <w:rFonts w:ascii="Verdana" w:hAnsi="Verdana" w:cs="Arial"/>
          <w:sz w:val="20"/>
          <w:szCs w:val="20"/>
        </w:rPr>
        <w:t>ELETRONUCLEAR</w:t>
      </w:r>
      <w:r w:rsidRPr="00A31690">
        <w:rPr>
          <w:rFonts w:ascii="Verdana" w:hAnsi="Verdana" w:cs="Arial"/>
          <w:sz w:val="20"/>
          <w:szCs w:val="20"/>
        </w:rPr>
        <w:t xml:space="preserve"> vinculou sua receita própria, oriunda das Usinas Angra 1 e Angra 2, aos débitos previstos nos financiamentos. Tal vinculação está suportada por procurações outorgadas por instrumento público para que, em caso de inadimplência, possa receber diretamente os valores em atraso.</w:t>
      </w:r>
    </w:p>
    <w:p w14:paraId="306E1C82" w14:textId="77777777" w:rsidR="00E61229" w:rsidRPr="00A31690" w:rsidRDefault="00E61229" w:rsidP="00E61229">
      <w:pPr>
        <w:rPr>
          <w:rFonts w:ascii="Verdana" w:hAnsi="Verdana" w:cs="Arial"/>
          <w:bCs/>
          <w:sz w:val="20"/>
          <w:szCs w:val="20"/>
        </w:rPr>
      </w:pPr>
    </w:p>
    <w:p w14:paraId="0B4865DF" w14:textId="77777777" w:rsidR="00E61229" w:rsidRPr="00A31690" w:rsidRDefault="00E61229" w:rsidP="00E61229">
      <w:pPr>
        <w:pStyle w:val="PargrafodaLista"/>
        <w:numPr>
          <w:ilvl w:val="0"/>
          <w:numId w:val="23"/>
        </w:numPr>
        <w:tabs>
          <w:tab w:val="num" w:pos="360"/>
        </w:tabs>
        <w:ind w:left="0" w:firstLine="0"/>
        <w:rPr>
          <w:rFonts w:ascii="Verdana" w:hAnsi="Verdana" w:cs="Arial"/>
          <w:bCs/>
          <w:color w:val="0070C0"/>
          <w:sz w:val="20"/>
          <w:szCs w:val="20"/>
        </w:rPr>
      </w:pPr>
      <w:r w:rsidRPr="00A31690">
        <w:rPr>
          <w:rFonts w:ascii="Verdana" w:hAnsi="Verdana" w:cs="Arial"/>
          <w:bCs/>
          <w:color w:val="0070C0"/>
          <w:sz w:val="20"/>
          <w:szCs w:val="20"/>
        </w:rPr>
        <w:t>Aplicações na Usina Angra 3</w:t>
      </w:r>
    </w:p>
    <w:p w14:paraId="7378C9CA" w14:textId="77777777" w:rsidR="00E61229" w:rsidRPr="00A31690" w:rsidRDefault="00E61229" w:rsidP="00E61229">
      <w:pPr>
        <w:tabs>
          <w:tab w:val="num" w:pos="315"/>
        </w:tabs>
        <w:rPr>
          <w:rFonts w:ascii="Arial" w:hAnsi="Arial" w:cs="Arial"/>
          <w:sz w:val="20"/>
          <w:szCs w:val="20"/>
        </w:rPr>
      </w:pPr>
    </w:p>
    <w:p w14:paraId="7BE249E8" w14:textId="77777777" w:rsidR="00E61229" w:rsidRPr="00A31690" w:rsidRDefault="00E61229" w:rsidP="00E61229">
      <w:pPr>
        <w:rPr>
          <w:rFonts w:ascii="Verdana" w:hAnsi="Verdana" w:cs="Arial"/>
          <w:sz w:val="20"/>
          <w:szCs w:val="20"/>
        </w:rPr>
      </w:pPr>
      <w:r w:rsidRPr="00A31690">
        <w:rPr>
          <w:rFonts w:ascii="Verdana" w:hAnsi="Verdana" w:cs="Arial"/>
          <w:sz w:val="20"/>
          <w:szCs w:val="20"/>
        </w:rPr>
        <w:t xml:space="preserve">Trata-se de financiamentos captados com a Eletrobras com </w:t>
      </w:r>
      <w:r>
        <w:rPr>
          <w:rFonts w:ascii="Verdana" w:hAnsi="Verdana" w:cs="Arial"/>
          <w:sz w:val="20"/>
          <w:szCs w:val="20"/>
        </w:rPr>
        <w:t>cobertura</w:t>
      </w:r>
      <w:r w:rsidRPr="00A31690">
        <w:rPr>
          <w:rFonts w:ascii="Verdana" w:hAnsi="Verdana" w:cs="Arial"/>
          <w:sz w:val="20"/>
          <w:szCs w:val="20"/>
        </w:rPr>
        <w:t xml:space="preserve"> de recursos da Reserva Global de Reversão – RGR; com o Banco Nacional de Desenvolvimento Econômico e Social – BNDES e com a Caixa Econômica Federal – CEF destinados à implantação da Usina Angra 3.</w:t>
      </w:r>
    </w:p>
    <w:p w14:paraId="333A4F7B" w14:textId="77777777" w:rsidR="00E61229" w:rsidRPr="00A31690" w:rsidRDefault="00E61229" w:rsidP="00E61229">
      <w:pPr>
        <w:rPr>
          <w:rFonts w:ascii="Verdana" w:hAnsi="Verdana" w:cs="Arial"/>
          <w:sz w:val="20"/>
          <w:szCs w:val="20"/>
        </w:rPr>
      </w:pPr>
    </w:p>
    <w:p w14:paraId="5F07E172" w14:textId="77777777" w:rsidR="00E61229" w:rsidRPr="00A31690" w:rsidRDefault="00E61229" w:rsidP="00E61229">
      <w:pPr>
        <w:rPr>
          <w:rFonts w:ascii="Verdana" w:hAnsi="Verdana" w:cs="Arial"/>
          <w:sz w:val="20"/>
          <w:szCs w:val="20"/>
        </w:rPr>
      </w:pPr>
      <w:r w:rsidRPr="00A31690">
        <w:rPr>
          <w:rFonts w:ascii="Verdana" w:hAnsi="Verdana" w:cs="Arial"/>
          <w:sz w:val="20"/>
          <w:szCs w:val="20"/>
        </w:rPr>
        <w:t xml:space="preserve">Em garantia dos compromissos assumidos com o contrato do BNDES citado, a </w:t>
      </w:r>
      <w:r>
        <w:rPr>
          <w:rFonts w:ascii="Verdana" w:hAnsi="Verdana" w:cs="Arial"/>
          <w:sz w:val="20"/>
          <w:szCs w:val="20"/>
        </w:rPr>
        <w:t>ELETRONUCLEAR</w:t>
      </w:r>
      <w:r w:rsidRPr="00A31690">
        <w:rPr>
          <w:rFonts w:ascii="Verdana" w:hAnsi="Verdana" w:cs="Arial"/>
          <w:sz w:val="20"/>
          <w:szCs w:val="20"/>
        </w:rPr>
        <w:t xml:space="preserve"> constituiu uma cessão fiduciária em favor do BNDES, em caráter irrevogável e irretratável, até o final da liquidação de todas as obrigações deste contrato, decorrentes da venda de energia produzida pela Usina Angra 3.   </w:t>
      </w:r>
    </w:p>
    <w:p w14:paraId="4C60C25B" w14:textId="77777777" w:rsidR="00E61229" w:rsidRPr="00A31690" w:rsidRDefault="00E61229" w:rsidP="00E61229">
      <w:pPr>
        <w:rPr>
          <w:rFonts w:ascii="Verdana" w:hAnsi="Verdana" w:cs="Arial"/>
          <w:sz w:val="20"/>
          <w:szCs w:val="20"/>
        </w:rPr>
      </w:pPr>
    </w:p>
    <w:p w14:paraId="370D0523" w14:textId="77777777" w:rsidR="00E61229" w:rsidRPr="00A31690" w:rsidRDefault="00E61229" w:rsidP="00E61229">
      <w:pPr>
        <w:rPr>
          <w:rFonts w:ascii="Verdana" w:hAnsi="Verdana" w:cs="Arial"/>
          <w:sz w:val="20"/>
          <w:szCs w:val="20"/>
        </w:rPr>
      </w:pPr>
      <w:r w:rsidRPr="00A31690">
        <w:rPr>
          <w:rFonts w:ascii="Verdana" w:hAnsi="Verdana" w:cs="Arial"/>
          <w:sz w:val="20"/>
          <w:szCs w:val="20"/>
        </w:rPr>
        <w:t xml:space="preserve">Originalmente, o Contrato nº 10.2.2032.1 previa o início das amortizações do principal da dívida em 30 de julho de 2016. Em virtude de renegociações realizadas entre BNDES e </w:t>
      </w:r>
      <w:r>
        <w:rPr>
          <w:rFonts w:ascii="Verdana" w:hAnsi="Verdana" w:cs="Arial"/>
          <w:sz w:val="20"/>
          <w:szCs w:val="20"/>
        </w:rPr>
        <w:t>ELETRONUCLEAR</w:t>
      </w:r>
      <w:r w:rsidRPr="00A31690">
        <w:rPr>
          <w:rFonts w:ascii="Verdana" w:hAnsi="Verdana" w:cs="Arial"/>
          <w:sz w:val="20"/>
          <w:szCs w:val="20"/>
        </w:rPr>
        <w:t xml:space="preserve">, foram </w:t>
      </w:r>
      <w:r w:rsidRPr="00A31690">
        <w:rPr>
          <w:rFonts w:ascii="Verdana" w:hAnsi="Verdana" w:cs="Arial"/>
          <w:sz w:val="20"/>
          <w:szCs w:val="20"/>
        </w:rPr>
        <w:lastRenderedPageBreak/>
        <w:t xml:space="preserve">realizados dois aditamentos contratuais que prorrogaram a data de início de amortização. Por conta destas renegociações, a </w:t>
      </w:r>
      <w:r>
        <w:rPr>
          <w:rFonts w:ascii="Verdana" w:hAnsi="Verdana" w:cs="Arial"/>
          <w:sz w:val="20"/>
          <w:szCs w:val="20"/>
        </w:rPr>
        <w:t>ELETRONUCLEAR</w:t>
      </w:r>
      <w:r w:rsidRPr="00A31690">
        <w:rPr>
          <w:rFonts w:ascii="Verdana" w:hAnsi="Verdana" w:cs="Arial"/>
          <w:sz w:val="20"/>
          <w:szCs w:val="20"/>
        </w:rPr>
        <w:t xml:space="preserve"> foi obrigada a pagar uma Comissão de Renegociação por cada uma destes aditamentos, no valor de 0,5% do saldo devedor. O montante em débito, acrescido de IOF</w:t>
      </w:r>
      <w:r>
        <w:rPr>
          <w:rFonts w:ascii="Verdana" w:hAnsi="Verdana" w:cs="Arial"/>
          <w:sz w:val="20"/>
          <w:szCs w:val="20"/>
        </w:rPr>
        <w:t>,</w:t>
      </w:r>
      <w:r w:rsidRPr="00A31690">
        <w:rPr>
          <w:rFonts w:ascii="Verdana" w:hAnsi="Verdana" w:cs="Arial"/>
          <w:sz w:val="20"/>
          <w:szCs w:val="20"/>
        </w:rPr>
        <w:t xml:space="preserve"> foi incorporado ao saldo devedor do contrato original, na forma dos </w:t>
      </w:r>
      <w:proofErr w:type="spellStart"/>
      <w:r w:rsidRPr="00A31690">
        <w:rPr>
          <w:rFonts w:ascii="Verdana" w:hAnsi="Verdana" w:cs="Arial"/>
          <w:sz w:val="20"/>
          <w:szCs w:val="20"/>
        </w:rPr>
        <w:t>Subcréditos</w:t>
      </w:r>
      <w:proofErr w:type="spellEnd"/>
      <w:r w:rsidRPr="00A31690">
        <w:rPr>
          <w:rFonts w:ascii="Verdana" w:hAnsi="Verdana" w:cs="Arial"/>
          <w:sz w:val="20"/>
          <w:szCs w:val="20"/>
        </w:rPr>
        <w:t xml:space="preserve"> C e D, com prazo de pagamento de 54 parcelas, após um prazo de carência de 6 meses. O </w:t>
      </w:r>
      <w:proofErr w:type="spellStart"/>
      <w:r w:rsidRPr="00A31690">
        <w:rPr>
          <w:rFonts w:ascii="Verdana" w:hAnsi="Verdana" w:cs="Arial"/>
          <w:sz w:val="20"/>
          <w:szCs w:val="20"/>
        </w:rPr>
        <w:t>Subcrédito</w:t>
      </w:r>
      <w:proofErr w:type="spellEnd"/>
      <w:r w:rsidRPr="00A31690">
        <w:rPr>
          <w:rFonts w:ascii="Verdana" w:hAnsi="Verdana" w:cs="Arial"/>
          <w:sz w:val="20"/>
          <w:szCs w:val="20"/>
        </w:rPr>
        <w:t xml:space="preserve"> C começou a ser amortizado em 15 de fevereiro de 2017, enquanto o </w:t>
      </w:r>
      <w:proofErr w:type="spellStart"/>
      <w:r w:rsidRPr="00A31690">
        <w:rPr>
          <w:rFonts w:ascii="Verdana" w:hAnsi="Verdana" w:cs="Arial"/>
          <w:sz w:val="20"/>
          <w:szCs w:val="20"/>
        </w:rPr>
        <w:t>Subcrédito</w:t>
      </w:r>
      <w:proofErr w:type="spellEnd"/>
      <w:r w:rsidRPr="00A31690">
        <w:rPr>
          <w:rFonts w:ascii="Verdana" w:hAnsi="Verdana" w:cs="Arial"/>
          <w:sz w:val="20"/>
          <w:szCs w:val="20"/>
        </w:rPr>
        <w:t xml:space="preserve"> D teve sua amortização iniciada em 16 de novembro de 2017.</w:t>
      </w:r>
    </w:p>
    <w:p w14:paraId="098ACEA9" w14:textId="77777777" w:rsidR="00E61229" w:rsidRPr="00A31690" w:rsidRDefault="00E61229" w:rsidP="00E61229">
      <w:pPr>
        <w:rPr>
          <w:rFonts w:ascii="Verdana" w:hAnsi="Verdana" w:cs="Arial"/>
          <w:sz w:val="20"/>
          <w:szCs w:val="20"/>
        </w:rPr>
      </w:pPr>
    </w:p>
    <w:p w14:paraId="2D26CCB0" w14:textId="77777777" w:rsidR="00E61229" w:rsidRPr="00A31690" w:rsidRDefault="00E61229" w:rsidP="00E61229">
      <w:pPr>
        <w:rPr>
          <w:rFonts w:ascii="Verdana" w:hAnsi="Verdana" w:cs="Arial"/>
          <w:sz w:val="20"/>
          <w:szCs w:val="20"/>
        </w:rPr>
      </w:pPr>
      <w:r w:rsidRPr="00A31690">
        <w:rPr>
          <w:rFonts w:ascii="Verdana" w:hAnsi="Verdana" w:cs="Arial"/>
          <w:sz w:val="20"/>
          <w:szCs w:val="20"/>
        </w:rPr>
        <w:t xml:space="preserve">Em 16 de outubro de 2017, a </w:t>
      </w:r>
      <w:r>
        <w:rPr>
          <w:rFonts w:ascii="Verdana" w:hAnsi="Verdana" w:cs="Arial"/>
          <w:sz w:val="20"/>
          <w:szCs w:val="20"/>
        </w:rPr>
        <w:t>ELETRONUCLEAR</w:t>
      </w:r>
      <w:r w:rsidRPr="00A31690">
        <w:rPr>
          <w:rFonts w:ascii="Verdana" w:hAnsi="Verdana" w:cs="Arial"/>
          <w:sz w:val="20"/>
          <w:szCs w:val="20"/>
        </w:rPr>
        <w:t xml:space="preserve"> iniciou a amortização do principal e passou a realizar o pagamento de 100% dos encargos dos </w:t>
      </w:r>
      <w:proofErr w:type="spellStart"/>
      <w:r w:rsidRPr="00A31690">
        <w:rPr>
          <w:rFonts w:ascii="Verdana" w:hAnsi="Verdana" w:cs="Arial"/>
          <w:sz w:val="20"/>
          <w:szCs w:val="20"/>
        </w:rPr>
        <w:t>Subcréditos</w:t>
      </w:r>
      <w:proofErr w:type="spellEnd"/>
      <w:r w:rsidRPr="00A31690">
        <w:rPr>
          <w:rFonts w:ascii="Verdana" w:hAnsi="Verdana" w:cs="Arial"/>
          <w:sz w:val="20"/>
          <w:szCs w:val="20"/>
        </w:rPr>
        <w:t xml:space="preserve"> A e B relativos ao contrato nº 10.2.2032.1, celebrado com o BNDES para investimentos no empreendimento de Angra 3. </w:t>
      </w:r>
    </w:p>
    <w:p w14:paraId="4487449E" w14:textId="77777777" w:rsidR="00E61229" w:rsidRPr="00A31690" w:rsidRDefault="00E61229" w:rsidP="00E61229">
      <w:pPr>
        <w:rPr>
          <w:rFonts w:ascii="Verdana" w:hAnsi="Verdana" w:cs="Arial"/>
          <w:sz w:val="20"/>
          <w:szCs w:val="20"/>
        </w:rPr>
      </w:pPr>
    </w:p>
    <w:p w14:paraId="14604295" w14:textId="77777777" w:rsidR="00E61229" w:rsidRPr="00A31690" w:rsidRDefault="00E61229" w:rsidP="00E61229">
      <w:pPr>
        <w:rPr>
          <w:rFonts w:ascii="Verdana" w:hAnsi="Verdana" w:cs="Arial"/>
          <w:sz w:val="20"/>
          <w:szCs w:val="20"/>
        </w:rPr>
      </w:pPr>
      <w:r w:rsidRPr="00A31690">
        <w:rPr>
          <w:rFonts w:ascii="Verdana" w:hAnsi="Verdana" w:cs="Arial"/>
          <w:sz w:val="20"/>
          <w:szCs w:val="20"/>
        </w:rPr>
        <w:t xml:space="preserve">Em 06 de julho de 2018, a </w:t>
      </w:r>
      <w:r>
        <w:rPr>
          <w:rFonts w:ascii="Verdana" w:hAnsi="Verdana" w:cs="Arial"/>
          <w:sz w:val="20"/>
          <w:szCs w:val="20"/>
        </w:rPr>
        <w:t>ELETRONUCLEAR</w:t>
      </w:r>
      <w:r w:rsidRPr="00A31690">
        <w:rPr>
          <w:rFonts w:ascii="Verdana" w:hAnsi="Verdana" w:cs="Arial"/>
          <w:sz w:val="20"/>
          <w:szCs w:val="20"/>
        </w:rPr>
        <w:t xml:space="preserve"> iniciou a amortização do Contrato nº 0410.351-27/2013 da CEF com o pagamento da primeira prestação no valor de R$ 24.741.</w:t>
      </w:r>
    </w:p>
    <w:p w14:paraId="4BE71828" w14:textId="77777777" w:rsidR="00E61229" w:rsidRPr="00A31690" w:rsidRDefault="00E61229" w:rsidP="00E61229">
      <w:pPr>
        <w:rPr>
          <w:rFonts w:ascii="Verdana" w:hAnsi="Verdana" w:cs="Arial"/>
          <w:sz w:val="20"/>
          <w:szCs w:val="20"/>
        </w:rPr>
      </w:pPr>
    </w:p>
    <w:p w14:paraId="7B96A20D" w14:textId="77777777" w:rsidR="00E61229" w:rsidRPr="00A31690" w:rsidRDefault="00E61229" w:rsidP="00E61229">
      <w:pPr>
        <w:rPr>
          <w:rFonts w:ascii="Verdana" w:hAnsi="Verdana" w:cs="Arial"/>
          <w:color w:val="000000" w:themeColor="text1"/>
          <w:sz w:val="20"/>
          <w:szCs w:val="20"/>
        </w:rPr>
      </w:pPr>
      <w:r w:rsidRPr="00A31690">
        <w:rPr>
          <w:rFonts w:ascii="Verdana" w:hAnsi="Verdana" w:cs="Arial"/>
          <w:color w:val="000000" w:themeColor="text1"/>
          <w:sz w:val="20"/>
          <w:szCs w:val="20"/>
        </w:rPr>
        <w:t xml:space="preserve">Em 13 de janeiro de 2021, foi assinado o Termo Aditivo nº 8 ao Contrato de Financiamento Mediante Abertura de Crédito nº 10.2.2032.1, firmado entre o BNDES e a </w:t>
      </w:r>
      <w:r>
        <w:rPr>
          <w:rFonts w:ascii="Verdana" w:hAnsi="Verdana" w:cs="Arial"/>
          <w:color w:val="000000" w:themeColor="text1"/>
          <w:sz w:val="20"/>
          <w:szCs w:val="20"/>
        </w:rPr>
        <w:t>ELETRONUCLEAR</w:t>
      </w:r>
      <w:r w:rsidRPr="00A31690">
        <w:rPr>
          <w:rFonts w:ascii="Verdana" w:hAnsi="Verdana" w:cs="Arial"/>
          <w:color w:val="000000" w:themeColor="text1"/>
          <w:sz w:val="20"/>
          <w:szCs w:val="20"/>
        </w:rPr>
        <w:t xml:space="preserve">, tendo a Eletrobras como interveniente, formalizando a prorrogação do prazo limite para o cumprimento da obrigação de preenchimento integral da Conta Reserva, conforme previsto nos Parágrafos Primeiro, Terceiro e Quarto, da Cláusula Sétima (Garantia da Operação) para a data de 15 de junho de 2022, com o valor equivalente à soma das últimas  3 (três) prestações vencidas de amortização, juros e demais acessórios. Em 14 de janeiro de 2021, foi assinado o Termo Aditivo nº 3 ao Contrato de Cessão Fiduciária, firmado entre </w:t>
      </w:r>
      <w:r>
        <w:rPr>
          <w:rFonts w:ascii="Verdana" w:hAnsi="Verdana" w:cs="Arial"/>
          <w:color w:val="000000" w:themeColor="text1"/>
          <w:sz w:val="20"/>
          <w:szCs w:val="20"/>
        </w:rPr>
        <w:t>ELETRONUCLEAR</w:t>
      </w:r>
      <w:r w:rsidRPr="00A31690">
        <w:rPr>
          <w:rFonts w:ascii="Verdana" w:hAnsi="Verdana" w:cs="Arial"/>
          <w:color w:val="000000" w:themeColor="text1"/>
          <w:sz w:val="20"/>
          <w:szCs w:val="20"/>
        </w:rPr>
        <w:t>, BNDES e Banco do Brasil, versando também sobre a prorrogação do prazo para o preenchimento da Conta Reserva.</w:t>
      </w:r>
    </w:p>
    <w:p w14:paraId="426CA8CF" w14:textId="77777777" w:rsidR="00E61229" w:rsidRPr="00236ECF" w:rsidRDefault="00E61229" w:rsidP="00E61229">
      <w:pPr>
        <w:rPr>
          <w:rFonts w:ascii="Verdana" w:hAnsi="Verdana" w:cs="Arial"/>
          <w:sz w:val="20"/>
          <w:szCs w:val="20"/>
          <w:highlight w:val="yellow"/>
        </w:rPr>
      </w:pPr>
    </w:p>
    <w:p w14:paraId="5D94F50C" w14:textId="77777777" w:rsidR="00E61229" w:rsidRPr="00A31690" w:rsidRDefault="00E61229" w:rsidP="00E61229">
      <w:pPr>
        <w:pStyle w:val="PargrafodaLista"/>
        <w:numPr>
          <w:ilvl w:val="0"/>
          <w:numId w:val="23"/>
        </w:numPr>
        <w:tabs>
          <w:tab w:val="num" w:pos="360"/>
        </w:tabs>
        <w:ind w:hanging="502"/>
        <w:rPr>
          <w:rFonts w:ascii="Verdana" w:hAnsi="Verdana" w:cs="Arial"/>
          <w:bCs/>
          <w:color w:val="0070C0"/>
          <w:sz w:val="20"/>
          <w:szCs w:val="20"/>
        </w:rPr>
      </w:pPr>
      <w:r w:rsidRPr="00A31690">
        <w:rPr>
          <w:rFonts w:ascii="Verdana" w:hAnsi="Verdana" w:cs="Arial"/>
          <w:bCs/>
          <w:color w:val="0070C0"/>
          <w:sz w:val="20"/>
          <w:szCs w:val="20"/>
        </w:rPr>
        <w:t>Confissão de Dívida</w:t>
      </w:r>
    </w:p>
    <w:p w14:paraId="3689C41F" w14:textId="77777777" w:rsidR="00E61229" w:rsidRPr="00236ECF" w:rsidRDefault="00E61229" w:rsidP="00E61229">
      <w:pPr>
        <w:tabs>
          <w:tab w:val="num" w:pos="360"/>
        </w:tabs>
        <w:rPr>
          <w:rFonts w:ascii="Verdana" w:hAnsi="Verdana" w:cs="Arial"/>
          <w:sz w:val="20"/>
          <w:szCs w:val="20"/>
          <w:highlight w:val="yellow"/>
        </w:rPr>
      </w:pPr>
    </w:p>
    <w:p w14:paraId="5E35AF47" w14:textId="77777777" w:rsidR="00E61229" w:rsidRPr="00494FCE" w:rsidRDefault="00E61229" w:rsidP="00E61229">
      <w:pPr>
        <w:tabs>
          <w:tab w:val="num" w:pos="360"/>
        </w:tabs>
        <w:rPr>
          <w:rFonts w:ascii="Verdana" w:hAnsi="Verdana" w:cs="Arial"/>
          <w:sz w:val="20"/>
          <w:szCs w:val="20"/>
        </w:rPr>
      </w:pPr>
      <w:r w:rsidRPr="00494FCE">
        <w:rPr>
          <w:rFonts w:ascii="Verdana" w:hAnsi="Verdana" w:cs="Arial"/>
          <w:sz w:val="20"/>
          <w:szCs w:val="20"/>
        </w:rPr>
        <w:t xml:space="preserve">Em 30 de outubro de 2019, foi celebrado pela </w:t>
      </w:r>
      <w:r>
        <w:rPr>
          <w:rFonts w:ascii="Verdana" w:hAnsi="Verdana" w:cs="Arial"/>
          <w:sz w:val="20"/>
          <w:szCs w:val="20"/>
        </w:rPr>
        <w:t>ELETRONUCLEAR</w:t>
      </w:r>
      <w:r w:rsidRPr="00494FCE">
        <w:rPr>
          <w:rFonts w:ascii="Verdana" w:hAnsi="Verdana" w:cs="Arial"/>
          <w:sz w:val="20"/>
          <w:szCs w:val="20"/>
        </w:rPr>
        <w:t xml:space="preserve"> e por Furnas Centrais Elétricas S.A. o Instrumento Particular de Confissão de Dívida e Outras Avenças – 001/2019, por meio do qual as duas partes reconhecem a existência de créditos pendentes uma com a outra, que após compensação dos valores somam um crédito líquido em favor de Furnas no montante de R$ 122.560, atualizado à data de 31 de dezembro de 2012. Este montante devido pela </w:t>
      </w:r>
      <w:r>
        <w:rPr>
          <w:rFonts w:ascii="Verdana" w:hAnsi="Verdana" w:cs="Arial"/>
          <w:sz w:val="20"/>
          <w:szCs w:val="20"/>
        </w:rPr>
        <w:t>ELETRONUCLEAR</w:t>
      </w:r>
      <w:r w:rsidRPr="00494FCE">
        <w:rPr>
          <w:rFonts w:ascii="Verdana" w:hAnsi="Verdana" w:cs="Arial"/>
          <w:sz w:val="20"/>
          <w:szCs w:val="20"/>
        </w:rPr>
        <w:t>, atualizado em 31 de dezembro 2018, totalizava R$ 246.142.</w:t>
      </w:r>
    </w:p>
    <w:p w14:paraId="4C9224B6" w14:textId="77777777" w:rsidR="00E61229" w:rsidRPr="00494FCE" w:rsidRDefault="00E61229" w:rsidP="00E61229">
      <w:pPr>
        <w:tabs>
          <w:tab w:val="num" w:pos="360"/>
        </w:tabs>
        <w:rPr>
          <w:rFonts w:ascii="Verdana" w:hAnsi="Verdana" w:cs="Arial"/>
          <w:sz w:val="20"/>
          <w:szCs w:val="20"/>
        </w:rPr>
      </w:pPr>
    </w:p>
    <w:p w14:paraId="1D9745DE" w14:textId="77777777" w:rsidR="00E61229" w:rsidRPr="00494FCE" w:rsidRDefault="00E61229" w:rsidP="00E61229">
      <w:pPr>
        <w:tabs>
          <w:tab w:val="num" w:pos="360"/>
        </w:tabs>
        <w:rPr>
          <w:rFonts w:ascii="Verdana" w:hAnsi="Verdana" w:cs="Arial"/>
          <w:sz w:val="20"/>
          <w:szCs w:val="20"/>
        </w:rPr>
      </w:pPr>
      <w:r w:rsidRPr="00494FCE">
        <w:rPr>
          <w:rFonts w:ascii="Verdana" w:hAnsi="Verdana" w:cs="Arial"/>
          <w:sz w:val="20"/>
          <w:szCs w:val="20"/>
        </w:rPr>
        <w:t xml:space="preserve">Desta forma, conforme as condições firmadas pelas duas partes no Instrumento firmado, a </w:t>
      </w:r>
      <w:r>
        <w:rPr>
          <w:rFonts w:ascii="Verdana" w:hAnsi="Verdana" w:cs="Arial"/>
          <w:sz w:val="20"/>
          <w:szCs w:val="20"/>
        </w:rPr>
        <w:t>ELETRONUCLEAR</w:t>
      </w:r>
      <w:r w:rsidRPr="00494FCE">
        <w:rPr>
          <w:rFonts w:ascii="Verdana" w:hAnsi="Verdana" w:cs="Arial"/>
          <w:sz w:val="20"/>
          <w:szCs w:val="20"/>
        </w:rPr>
        <w:t xml:space="preserve"> obriga-se a pagar o saldo atualizado  pelo </w:t>
      </w:r>
      <w:r w:rsidRPr="00494FCE">
        <w:rPr>
          <w:rFonts w:ascii="Verdana" w:hAnsi="Verdana" w:cs="Arial"/>
          <w:color w:val="3C4043"/>
          <w:sz w:val="20"/>
          <w:szCs w:val="20"/>
          <w:shd w:val="clear" w:color="auto" w:fill="FFFFFF"/>
        </w:rPr>
        <w:t> Índice Nacional de Preços ao Consumidor Amplo</w:t>
      </w:r>
      <w:r w:rsidRPr="00494FCE">
        <w:rPr>
          <w:rFonts w:ascii="Verdana" w:hAnsi="Verdana" w:cs="Arial"/>
          <w:sz w:val="20"/>
          <w:szCs w:val="20"/>
        </w:rPr>
        <w:t xml:space="preserve"> - IPCA, da dívida reconhecida em 96 (noventa e seis) parcelas iguais e sucessivas, pelo Sistema de Amortização Constante – SAC, contados a partir da expiração dos 24 (vinte e quatro) meses de carência do principal, que possui início a partir do mês subsequente à assinatura do referido Instrumento de Confissão de Dívida. </w:t>
      </w:r>
    </w:p>
    <w:p w14:paraId="4F6010C4" w14:textId="77777777" w:rsidR="00E61229" w:rsidRPr="00494FCE" w:rsidRDefault="00E61229" w:rsidP="00E61229">
      <w:pPr>
        <w:tabs>
          <w:tab w:val="num" w:pos="360"/>
        </w:tabs>
        <w:rPr>
          <w:rFonts w:ascii="Verdana" w:hAnsi="Verdana" w:cs="Arial"/>
          <w:sz w:val="20"/>
          <w:szCs w:val="20"/>
        </w:rPr>
      </w:pPr>
    </w:p>
    <w:p w14:paraId="3370151B" w14:textId="77777777" w:rsidR="00E61229" w:rsidRDefault="00E61229" w:rsidP="00E61229">
      <w:pPr>
        <w:tabs>
          <w:tab w:val="num" w:pos="360"/>
        </w:tabs>
        <w:rPr>
          <w:rFonts w:ascii="Verdana" w:hAnsi="Verdana" w:cs="Arial"/>
          <w:sz w:val="20"/>
          <w:szCs w:val="20"/>
        </w:rPr>
      </w:pPr>
      <w:r w:rsidRPr="00494FCE">
        <w:rPr>
          <w:rFonts w:ascii="Verdana" w:hAnsi="Verdana" w:cs="Arial"/>
          <w:sz w:val="20"/>
          <w:szCs w:val="20"/>
        </w:rPr>
        <w:t xml:space="preserve">A partir da assinatura do referido contrato, sobre o saldo devedor atualizado mensalmente pelo IPCA, incidem taxa de juros nominal de 7,83% a.a. e uma taxa de administração de 0,5% a.a., ambos calculados </w:t>
      </w:r>
      <w:proofErr w:type="gramStart"/>
      <w:r w:rsidRPr="00494FCE">
        <w:rPr>
          <w:rFonts w:ascii="Verdana" w:hAnsi="Verdana" w:cs="Arial"/>
          <w:i/>
          <w:sz w:val="20"/>
          <w:szCs w:val="20"/>
        </w:rPr>
        <w:t>pro</w:t>
      </w:r>
      <w:proofErr w:type="gramEnd"/>
      <w:r w:rsidRPr="00494FCE">
        <w:rPr>
          <w:rFonts w:ascii="Verdana" w:hAnsi="Verdana" w:cs="Arial"/>
          <w:i/>
          <w:sz w:val="20"/>
          <w:szCs w:val="20"/>
        </w:rPr>
        <w:t xml:space="preserve"> rata </w:t>
      </w:r>
      <w:proofErr w:type="spellStart"/>
      <w:r w:rsidRPr="00494FCE">
        <w:rPr>
          <w:rFonts w:ascii="Verdana" w:hAnsi="Verdana" w:cs="Arial"/>
          <w:i/>
          <w:sz w:val="20"/>
          <w:szCs w:val="20"/>
        </w:rPr>
        <w:t>temporis</w:t>
      </w:r>
      <w:proofErr w:type="spellEnd"/>
      <w:r w:rsidRPr="00494FCE">
        <w:rPr>
          <w:rFonts w:ascii="Verdana" w:hAnsi="Verdana" w:cs="Arial"/>
          <w:sz w:val="20"/>
          <w:szCs w:val="20"/>
        </w:rPr>
        <w:t>.</w:t>
      </w:r>
    </w:p>
    <w:p w14:paraId="6DE687D8" w14:textId="77777777" w:rsidR="00E61229" w:rsidRDefault="00E61229" w:rsidP="00E61229">
      <w:pPr>
        <w:tabs>
          <w:tab w:val="num" w:pos="360"/>
        </w:tabs>
        <w:rPr>
          <w:rFonts w:ascii="Verdana" w:hAnsi="Verdana" w:cs="Arial"/>
          <w:sz w:val="20"/>
          <w:szCs w:val="20"/>
        </w:rPr>
      </w:pPr>
    </w:p>
    <w:p w14:paraId="3FF65DE8" w14:textId="4F0BB23E" w:rsidR="00E61229" w:rsidRDefault="00E61229" w:rsidP="00E61229">
      <w:pPr>
        <w:tabs>
          <w:tab w:val="num" w:pos="360"/>
        </w:tabs>
        <w:rPr>
          <w:rFonts w:ascii="Verdana" w:hAnsi="Verdana" w:cs="Arial"/>
          <w:sz w:val="20"/>
          <w:szCs w:val="20"/>
        </w:rPr>
      </w:pPr>
      <w:r w:rsidRPr="00A31690">
        <w:rPr>
          <w:rFonts w:ascii="Verdana" w:hAnsi="Verdana" w:cs="Arial"/>
          <w:sz w:val="20"/>
          <w:szCs w:val="20"/>
        </w:rPr>
        <w:t xml:space="preserve">Em novembro de 2021, teve início a amortização do principal do Instrumento Particular de Confissão de Dívida firmado com Furnas. </w:t>
      </w:r>
    </w:p>
    <w:p w14:paraId="0EC1DF86" w14:textId="37CADF9C" w:rsidR="00E16050" w:rsidRDefault="00E16050" w:rsidP="00E61229">
      <w:pPr>
        <w:tabs>
          <w:tab w:val="num" w:pos="360"/>
        </w:tabs>
        <w:rPr>
          <w:rFonts w:ascii="Verdana" w:hAnsi="Verdana" w:cs="Arial"/>
          <w:sz w:val="20"/>
          <w:szCs w:val="20"/>
        </w:rPr>
      </w:pPr>
    </w:p>
    <w:p w14:paraId="7CF13F3B" w14:textId="547407D9" w:rsidR="00E16050" w:rsidRDefault="00E16050" w:rsidP="00E61229">
      <w:pPr>
        <w:tabs>
          <w:tab w:val="num" w:pos="360"/>
        </w:tabs>
        <w:rPr>
          <w:rFonts w:ascii="Verdana" w:hAnsi="Verdana" w:cs="Arial"/>
          <w:sz w:val="20"/>
          <w:szCs w:val="20"/>
        </w:rPr>
      </w:pPr>
    </w:p>
    <w:p w14:paraId="025DF032" w14:textId="0B607ADD" w:rsidR="00E16050" w:rsidRDefault="00E16050" w:rsidP="00E61229">
      <w:pPr>
        <w:tabs>
          <w:tab w:val="num" w:pos="360"/>
        </w:tabs>
        <w:rPr>
          <w:rFonts w:ascii="Verdana" w:hAnsi="Verdana" w:cs="Arial"/>
          <w:sz w:val="20"/>
          <w:szCs w:val="20"/>
        </w:rPr>
      </w:pPr>
    </w:p>
    <w:p w14:paraId="0F5638BE" w14:textId="65357301" w:rsidR="00E16050" w:rsidRDefault="00E16050" w:rsidP="00E61229">
      <w:pPr>
        <w:tabs>
          <w:tab w:val="num" w:pos="360"/>
        </w:tabs>
        <w:rPr>
          <w:rFonts w:ascii="Verdana" w:hAnsi="Verdana" w:cs="Arial"/>
          <w:sz w:val="20"/>
          <w:szCs w:val="20"/>
        </w:rPr>
      </w:pPr>
    </w:p>
    <w:p w14:paraId="4E89D7FC" w14:textId="68F4A3C1" w:rsidR="00E16050" w:rsidRDefault="00E16050" w:rsidP="00E61229">
      <w:pPr>
        <w:tabs>
          <w:tab w:val="num" w:pos="360"/>
        </w:tabs>
        <w:rPr>
          <w:rFonts w:ascii="Verdana" w:hAnsi="Verdana" w:cs="Arial"/>
          <w:sz w:val="20"/>
          <w:szCs w:val="20"/>
        </w:rPr>
      </w:pPr>
    </w:p>
    <w:p w14:paraId="0C3B08F2" w14:textId="01C5B101" w:rsidR="00E16050" w:rsidRDefault="00E16050" w:rsidP="00E61229">
      <w:pPr>
        <w:tabs>
          <w:tab w:val="num" w:pos="360"/>
        </w:tabs>
        <w:rPr>
          <w:rFonts w:ascii="Verdana" w:hAnsi="Verdana" w:cs="Arial"/>
          <w:sz w:val="20"/>
          <w:szCs w:val="20"/>
        </w:rPr>
      </w:pPr>
    </w:p>
    <w:p w14:paraId="1824341B" w14:textId="52D8DE9D" w:rsidR="00E16050" w:rsidRDefault="00E16050" w:rsidP="00E61229">
      <w:pPr>
        <w:tabs>
          <w:tab w:val="num" w:pos="360"/>
        </w:tabs>
        <w:rPr>
          <w:rFonts w:ascii="Verdana" w:hAnsi="Verdana" w:cs="Arial"/>
          <w:sz w:val="20"/>
          <w:szCs w:val="20"/>
        </w:rPr>
      </w:pPr>
    </w:p>
    <w:p w14:paraId="64E1213F" w14:textId="2C3712B0" w:rsidR="00E16050" w:rsidRDefault="00E16050" w:rsidP="00E61229">
      <w:pPr>
        <w:tabs>
          <w:tab w:val="num" w:pos="360"/>
        </w:tabs>
        <w:rPr>
          <w:rFonts w:ascii="Verdana" w:hAnsi="Verdana" w:cs="Arial"/>
          <w:sz w:val="20"/>
          <w:szCs w:val="20"/>
        </w:rPr>
      </w:pPr>
    </w:p>
    <w:p w14:paraId="57D4AFFF" w14:textId="77777777" w:rsidR="00E16050" w:rsidRPr="00A31690" w:rsidRDefault="00E16050" w:rsidP="00E61229">
      <w:pPr>
        <w:tabs>
          <w:tab w:val="num" w:pos="360"/>
        </w:tabs>
        <w:rPr>
          <w:rFonts w:ascii="Verdana" w:hAnsi="Verdana" w:cs="Arial"/>
          <w:sz w:val="20"/>
          <w:szCs w:val="20"/>
        </w:rPr>
      </w:pPr>
    </w:p>
    <w:p w14:paraId="697D719C" w14:textId="77777777" w:rsidR="00E61229" w:rsidRDefault="00E61229" w:rsidP="00E61229">
      <w:pPr>
        <w:widowControl w:val="0"/>
        <w:autoSpaceDE w:val="0"/>
        <w:autoSpaceDN w:val="0"/>
        <w:jc w:val="left"/>
        <w:rPr>
          <w:rFonts w:ascii="Verdana" w:hAnsi="Verdana"/>
          <w:sz w:val="20"/>
          <w:szCs w:val="20"/>
        </w:rPr>
      </w:pPr>
    </w:p>
    <w:p w14:paraId="6FDF3D97" w14:textId="77777777" w:rsidR="00E61229" w:rsidRDefault="00E61229" w:rsidP="00E61229">
      <w:pPr>
        <w:rPr>
          <w:rFonts w:ascii="Verdana" w:hAnsi="Verdana"/>
          <w:color w:val="0D63B5"/>
          <w:sz w:val="20"/>
          <w:szCs w:val="20"/>
        </w:rPr>
      </w:pPr>
      <w:r w:rsidRPr="00494FCE">
        <w:rPr>
          <w:rFonts w:ascii="Verdana" w:hAnsi="Verdana"/>
          <w:color w:val="0D63B5"/>
          <w:sz w:val="20"/>
          <w:szCs w:val="20"/>
        </w:rPr>
        <w:lastRenderedPageBreak/>
        <w:t>2</w:t>
      </w:r>
      <w:r>
        <w:rPr>
          <w:rFonts w:ascii="Verdana" w:hAnsi="Verdana"/>
          <w:color w:val="0D63B5"/>
          <w:sz w:val="20"/>
          <w:szCs w:val="20"/>
        </w:rPr>
        <w:t>0</w:t>
      </w:r>
      <w:r w:rsidRPr="00494FCE">
        <w:rPr>
          <w:rFonts w:ascii="Verdana" w:hAnsi="Verdana"/>
          <w:color w:val="0D63B5"/>
          <w:sz w:val="20"/>
          <w:szCs w:val="20"/>
        </w:rPr>
        <w:t>.1 - Movimentação dos empréstimos e financiamentos.</w:t>
      </w:r>
    </w:p>
    <w:p w14:paraId="624AAD35" w14:textId="77777777" w:rsidR="00E61229" w:rsidRPr="00494FCE" w:rsidRDefault="00E61229" w:rsidP="00E61229">
      <w:pPr>
        <w:rPr>
          <w:rFonts w:ascii="Verdana" w:hAnsi="Verdana"/>
          <w:color w:val="0D63B5"/>
          <w:sz w:val="20"/>
          <w:szCs w:val="20"/>
        </w:rPr>
      </w:pPr>
    </w:p>
    <w:p w14:paraId="65E3C50F" w14:textId="77777777" w:rsidR="00E61229" w:rsidRPr="00494FCE" w:rsidRDefault="00E61229" w:rsidP="00E61229">
      <w:pPr>
        <w:jc w:val="center"/>
        <w:rPr>
          <w:rFonts w:ascii="Verdana" w:hAnsi="Verdana"/>
          <w:sz w:val="14"/>
        </w:rPr>
      </w:pPr>
      <w:r w:rsidRPr="00494FCE" w:rsidDel="00201835">
        <w:rPr>
          <w:rFonts w:ascii="Verdana" w:hAnsi="Verdana"/>
        </w:rPr>
        <w:t xml:space="preserve"> </w:t>
      </w:r>
    </w:p>
    <w:p w14:paraId="1E935DAA" w14:textId="6E0BC57C" w:rsidR="006F2D6A" w:rsidRDefault="00E61229" w:rsidP="00E61229">
      <w:pPr>
        <w:jc w:val="left"/>
        <w:rPr>
          <w:rFonts w:ascii="Verdana" w:hAnsi="Verdana"/>
          <w:sz w:val="20"/>
          <w:szCs w:val="20"/>
        </w:rPr>
      </w:pPr>
      <w:r w:rsidRPr="0027644B">
        <w:rPr>
          <w:rFonts w:ascii="Verdana" w:hAnsi="Verdana"/>
          <w:sz w:val="20"/>
          <w:szCs w:val="20"/>
        </w:rPr>
        <w:t>A movimentação apresentada a seguir compreende os exercícios findos em 31 de dezembro de 2021 e 2020</w:t>
      </w:r>
      <w:r w:rsidR="00D04EF4" w:rsidRPr="0027644B">
        <w:rPr>
          <w:rFonts w:ascii="Verdana" w:hAnsi="Verdana"/>
          <w:sz w:val="20"/>
          <w:szCs w:val="20"/>
        </w:rPr>
        <w:t>.</w:t>
      </w:r>
      <w:r w:rsidR="00DD717A" w:rsidRPr="0027644B">
        <w:rPr>
          <w:rFonts w:ascii="Verdana" w:hAnsi="Verdana"/>
          <w:sz w:val="20"/>
          <w:szCs w:val="20"/>
        </w:rPr>
        <w:t xml:space="preserve"> </w:t>
      </w:r>
    </w:p>
    <w:p w14:paraId="167D134F" w14:textId="77777777" w:rsidR="0027644B" w:rsidRPr="0027644B" w:rsidRDefault="0027644B" w:rsidP="006F2D6A">
      <w:pPr>
        <w:jc w:val="left"/>
        <w:rPr>
          <w:rFonts w:ascii="Verdana" w:hAnsi="Verdana"/>
          <w:sz w:val="20"/>
          <w:szCs w:val="20"/>
        </w:rPr>
      </w:pPr>
    </w:p>
    <w:p w14:paraId="575A7B4A" w14:textId="77777777" w:rsidR="00C14FAA" w:rsidRPr="00236ECF" w:rsidRDefault="00DC15EF" w:rsidP="0027644B">
      <w:pPr>
        <w:jc w:val="center"/>
        <w:rPr>
          <w:rFonts w:ascii="Verdana" w:hAnsi="Verdana"/>
          <w:sz w:val="20"/>
          <w:szCs w:val="20"/>
          <w:highlight w:val="yellow"/>
        </w:rPr>
      </w:pPr>
      <w:r w:rsidRPr="005E4A4C">
        <w:rPr>
          <w:noProof/>
        </w:rPr>
        <w:drawing>
          <wp:inline distT="0" distB="0" distL="0" distR="0" wp14:anchorId="2A469965" wp14:editId="4FCFE5BA">
            <wp:extent cx="5257800" cy="786786"/>
            <wp:effectExtent l="0" t="0" r="0" b="0"/>
            <wp:docPr id="497" name="Imagem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02775" cy="793516"/>
                    </a:xfrm>
                    <a:prstGeom prst="rect">
                      <a:avLst/>
                    </a:prstGeom>
                    <a:noFill/>
                    <a:ln>
                      <a:noFill/>
                    </a:ln>
                  </pic:spPr>
                </pic:pic>
              </a:graphicData>
            </a:graphic>
          </wp:inline>
        </w:drawing>
      </w:r>
      <w:r w:rsidRPr="00DC15EF" w:rsidDel="00DC15EF">
        <w:t xml:space="preserve"> </w:t>
      </w:r>
    </w:p>
    <w:p w14:paraId="4538AB8F" w14:textId="77777777" w:rsidR="002B7181" w:rsidRDefault="002B7181" w:rsidP="006F2D6A">
      <w:pPr>
        <w:jc w:val="center"/>
        <w:rPr>
          <w:rFonts w:ascii="Verdana" w:hAnsi="Verdana"/>
          <w:sz w:val="20"/>
          <w:szCs w:val="20"/>
        </w:rPr>
      </w:pPr>
    </w:p>
    <w:p w14:paraId="2A1A7972" w14:textId="6329C182" w:rsidR="00DF0F38" w:rsidRDefault="00D80F7C" w:rsidP="00DF0F38">
      <w:pPr>
        <w:widowControl w:val="0"/>
        <w:autoSpaceDE w:val="0"/>
        <w:autoSpaceDN w:val="0"/>
        <w:jc w:val="left"/>
        <w:rPr>
          <w:rFonts w:ascii="Verdana" w:hAnsi="Verdana"/>
          <w:sz w:val="20"/>
          <w:szCs w:val="20"/>
        </w:rPr>
      </w:pPr>
      <w:r w:rsidRPr="005C5C69">
        <w:rPr>
          <w:rFonts w:ascii="Verdana" w:hAnsi="Verdana"/>
          <w:sz w:val="20"/>
          <w:szCs w:val="20"/>
        </w:rPr>
        <w:t xml:space="preserve">A parcela </w:t>
      </w:r>
      <w:r w:rsidR="00383703" w:rsidRPr="005C5C69">
        <w:rPr>
          <w:rFonts w:ascii="Verdana" w:hAnsi="Verdana"/>
          <w:sz w:val="20"/>
          <w:szCs w:val="20"/>
        </w:rPr>
        <w:t xml:space="preserve">dos </w:t>
      </w:r>
      <w:r w:rsidRPr="005C5C69">
        <w:rPr>
          <w:rFonts w:ascii="Verdana" w:hAnsi="Verdana"/>
          <w:sz w:val="20"/>
          <w:szCs w:val="20"/>
        </w:rPr>
        <w:t>empréstimos</w:t>
      </w:r>
      <w:r w:rsidR="00D07433">
        <w:rPr>
          <w:rFonts w:ascii="Verdana" w:hAnsi="Verdana"/>
          <w:sz w:val="20"/>
          <w:szCs w:val="20"/>
        </w:rPr>
        <w:t xml:space="preserve"> e</w:t>
      </w:r>
      <w:r w:rsidR="00153248" w:rsidRPr="005C5C69">
        <w:rPr>
          <w:rFonts w:ascii="Verdana" w:hAnsi="Verdana"/>
          <w:sz w:val="20"/>
          <w:szCs w:val="20"/>
        </w:rPr>
        <w:t xml:space="preserve"> financiamentos</w:t>
      </w:r>
      <w:r w:rsidRPr="005C5C69">
        <w:rPr>
          <w:rFonts w:ascii="Verdana" w:hAnsi="Verdana"/>
          <w:sz w:val="20"/>
          <w:szCs w:val="20"/>
        </w:rPr>
        <w:t xml:space="preserve"> tem seu vencimento assim programado:</w:t>
      </w:r>
    </w:p>
    <w:p w14:paraId="54B1E4DA" w14:textId="77777777" w:rsidR="00E33CC7" w:rsidRPr="005C5C69" w:rsidRDefault="00E33CC7" w:rsidP="00DF0F38">
      <w:pPr>
        <w:widowControl w:val="0"/>
        <w:autoSpaceDE w:val="0"/>
        <w:autoSpaceDN w:val="0"/>
        <w:jc w:val="left"/>
        <w:rPr>
          <w:rFonts w:ascii="Verdana" w:hAnsi="Verdana"/>
          <w:sz w:val="14"/>
        </w:rPr>
      </w:pPr>
    </w:p>
    <w:p w14:paraId="47A56240" w14:textId="77777777" w:rsidR="006E71CB" w:rsidRPr="005C5C69" w:rsidRDefault="006E71CB" w:rsidP="00696A5A">
      <w:pPr>
        <w:widowControl w:val="0"/>
        <w:autoSpaceDE w:val="0"/>
        <w:autoSpaceDN w:val="0"/>
        <w:jc w:val="center"/>
        <w:rPr>
          <w:rFonts w:ascii="Verdana" w:hAnsi="Verdana"/>
          <w:sz w:val="20"/>
          <w:szCs w:val="20"/>
        </w:rPr>
      </w:pPr>
    </w:p>
    <w:p w14:paraId="2EB71009" w14:textId="77777777" w:rsidR="00A26B43" w:rsidRDefault="00C546AB" w:rsidP="00696A5A">
      <w:pPr>
        <w:widowControl w:val="0"/>
        <w:autoSpaceDE w:val="0"/>
        <w:autoSpaceDN w:val="0"/>
        <w:jc w:val="center"/>
        <w:rPr>
          <w:rFonts w:ascii="Verdana" w:hAnsi="Verdana"/>
          <w:sz w:val="20"/>
          <w:szCs w:val="20"/>
        </w:rPr>
      </w:pPr>
      <w:r w:rsidRPr="00C546AB">
        <w:rPr>
          <w:noProof/>
        </w:rPr>
        <w:drawing>
          <wp:inline distT="0" distB="0" distL="0" distR="0" wp14:anchorId="30374659" wp14:editId="3EB62B29">
            <wp:extent cx="6652895" cy="251460"/>
            <wp:effectExtent l="0" t="0" r="0" b="0"/>
            <wp:docPr id="448" name="Imagem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652895" cy="251460"/>
                    </a:xfrm>
                    <a:prstGeom prst="rect">
                      <a:avLst/>
                    </a:prstGeom>
                    <a:noFill/>
                    <a:ln>
                      <a:noFill/>
                    </a:ln>
                  </pic:spPr>
                </pic:pic>
              </a:graphicData>
            </a:graphic>
          </wp:inline>
        </w:drawing>
      </w:r>
    </w:p>
    <w:p w14:paraId="3FEEFA7E" w14:textId="77777777" w:rsidR="005F3708" w:rsidRDefault="005F3708">
      <w:pPr>
        <w:widowControl w:val="0"/>
        <w:autoSpaceDE w:val="0"/>
        <w:autoSpaceDN w:val="0"/>
        <w:jc w:val="left"/>
        <w:rPr>
          <w:rFonts w:ascii="Verdana" w:hAnsi="Verdana"/>
          <w:color w:val="FF0000"/>
          <w:sz w:val="20"/>
          <w:szCs w:val="22"/>
        </w:rPr>
      </w:pPr>
      <w:bookmarkStart w:id="19" w:name="_Hlk93311412"/>
    </w:p>
    <w:p w14:paraId="4E0C89B7" w14:textId="77777777" w:rsidR="002543DE" w:rsidRDefault="002543DE">
      <w:pPr>
        <w:widowControl w:val="0"/>
        <w:autoSpaceDE w:val="0"/>
        <w:autoSpaceDN w:val="0"/>
        <w:jc w:val="left"/>
        <w:rPr>
          <w:rFonts w:ascii="Verdana" w:hAnsi="Verdana"/>
          <w:color w:val="FF0000"/>
          <w:sz w:val="20"/>
          <w:szCs w:val="22"/>
        </w:rPr>
      </w:pPr>
    </w:p>
    <w:p w14:paraId="351223D4" w14:textId="77777777" w:rsidR="00CF3CAF" w:rsidRPr="00B94633" w:rsidRDefault="0019634F" w:rsidP="00CF3CAF">
      <w:pPr>
        <w:jc w:val="left"/>
        <w:rPr>
          <w:rFonts w:ascii="Verdana" w:hAnsi="Verdana"/>
          <w:color w:val="0D63B5"/>
          <w:sz w:val="20"/>
          <w:szCs w:val="20"/>
        </w:rPr>
      </w:pPr>
      <w:r w:rsidRPr="00C121AC">
        <w:rPr>
          <w:rFonts w:ascii="Verdana" w:hAnsi="Verdana"/>
          <w:color w:val="0D63B5"/>
          <w:sz w:val="20"/>
          <w:szCs w:val="20"/>
        </w:rPr>
        <w:t>2</w:t>
      </w:r>
      <w:r w:rsidR="00A0460D">
        <w:rPr>
          <w:rFonts w:ascii="Verdana" w:hAnsi="Verdana"/>
          <w:color w:val="0D63B5"/>
          <w:sz w:val="20"/>
          <w:szCs w:val="20"/>
        </w:rPr>
        <w:t>0</w:t>
      </w:r>
      <w:r w:rsidR="00CF3CAF" w:rsidRPr="00C121AC">
        <w:rPr>
          <w:rFonts w:ascii="Verdana" w:hAnsi="Verdana"/>
          <w:color w:val="0D63B5"/>
          <w:sz w:val="20"/>
          <w:szCs w:val="20"/>
        </w:rPr>
        <w:t>.</w:t>
      </w:r>
      <w:r w:rsidR="00236ECF" w:rsidRPr="00C121AC">
        <w:rPr>
          <w:rFonts w:ascii="Verdana" w:hAnsi="Verdana"/>
          <w:color w:val="0D63B5"/>
          <w:sz w:val="20"/>
          <w:szCs w:val="20"/>
        </w:rPr>
        <w:t>2</w:t>
      </w:r>
      <w:r w:rsidR="00CF3CAF" w:rsidRPr="00C121AC">
        <w:rPr>
          <w:rFonts w:ascii="Verdana" w:hAnsi="Verdana"/>
          <w:color w:val="0D63B5"/>
          <w:sz w:val="20"/>
          <w:szCs w:val="20"/>
        </w:rPr>
        <w:t xml:space="preserve"> – Obrigações Assumidas </w:t>
      </w:r>
      <w:r w:rsidR="00D001A5" w:rsidRPr="00C121AC">
        <w:rPr>
          <w:rFonts w:ascii="Verdana" w:hAnsi="Verdana"/>
          <w:color w:val="0D63B5"/>
          <w:sz w:val="20"/>
          <w:szCs w:val="20"/>
        </w:rPr>
        <w:t>–</w:t>
      </w:r>
      <w:r w:rsidR="00CF3CAF" w:rsidRPr="00C121AC">
        <w:rPr>
          <w:rFonts w:ascii="Verdana" w:hAnsi="Verdana"/>
          <w:color w:val="0D63B5"/>
          <w:sz w:val="20"/>
          <w:szCs w:val="20"/>
        </w:rPr>
        <w:t xml:space="preserve"> </w:t>
      </w:r>
      <w:proofErr w:type="spellStart"/>
      <w:r w:rsidR="00CF3CAF" w:rsidRPr="00C121AC">
        <w:rPr>
          <w:rFonts w:ascii="Verdana" w:hAnsi="Verdana"/>
          <w:i/>
          <w:color w:val="0D63B5"/>
          <w:sz w:val="20"/>
          <w:szCs w:val="20"/>
        </w:rPr>
        <w:t>Covenants</w:t>
      </w:r>
      <w:proofErr w:type="spellEnd"/>
      <w:r w:rsidR="00D001A5" w:rsidRPr="00C121AC">
        <w:rPr>
          <w:rFonts w:ascii="Verdana" w:hAnsi="Verdana"/>
          <w:i/>
          <w:color w:val="0D63B5"/>
          <w:sz w:val="20"/>
          <w:szCs w:val="20"/>
        </w:rPr>
        <w:t xml:space="preserve"> </w:t>
      </w:r>
    </w:p>
    <w:p w14:paraId="13F55D20" w14:textId="77777777" w:rsidR="00CF3CAF" w:rsidRPr="00B94633" w:rsidRDefault="00CF3CAF" w:rsidP="002321C7">
      <w:pPr>
        <w:pStyle w:val="FCD"/>
        <w:spacing w:line="240" w:lineRule="auto"/>
        <w:rPr>
          <w:rFonts w:ascii="Verdana" w:hAnsi="Verdana"/>
          <w:sz w:val="20"/>
          <w:szCs w:val="20"/>
        </w:rPr>
      </w:pPr>
    </w:p>
    <w:bookmarkEnd w:id="18"/>
    <w:bookmarkEnd w:id="19"/>
    <w:p w14:paraId="023AA705" w14:textId="77777777" w:rsidR="00E61229" w:rsidRPr="003311E4" w:rsidRDefault="00E61229" w:rsidP="00E61229">
      <w:pPr>
        <w:rPr>
          <w:rFonts w:ascii="Verdana" w:hAnsi="Verdana"/>
          <w:sz w:val="20"/>
          <w:szCs w:val="20"/>
          <w:bdr w:val="nil"/>
        </w:rPr>
      </w:pPr>
      <w:r w:rsidRPr="003311E4">
        <w:rPr>
          <w:rFonts w:ascii="Verdana" w:hAnsi="Verdana"/>
          <w:sz w:val="20"/>
          <w:szCs w:val="20"/>
          <w:bdr w:val="nil"/>
        </w:rPr>
        <w:t xml:space="preserve">A </w:t>
      </w:r>
      <w:r>
        <w:rPr>
          <w:rFonts w:ascii="Verdana" w:hAnsi="Verdana"/>
          <w:sz w:val="20"/>
          <w:szCs w:val="20"/>
          <w:bdr w:val="nil"/>
        </w:rPr>
        <w:t>ELETRONUCLEAR</w:t>
      </w:r>
      <w:r w:rsidRPr="003311E4">
        <w:rPr>
          <w:rFonts w:ascii="Verdana" w:hAnsi="Verdana"/>
          <w:sz w:val="20"/>
          <w:szCs w:val="20"/>
          <w:bdr w:val="nil"/>
        </w:rPr>
        <w:t xml:space="preserve"> possui cláusulas de </w:t>
      </w:r>
      <w:proofErr w:type="spellStart"/>
      <w:r w:rsidRPr="003311E4">
        <w:rPr>
          <w:rFonts w:ascii="Verdana" w:hAnsi="Verdana"/>
          <w:i/>
          <w:iCs/>
          <w:sz w:val="20"/>
          <w:szCs w:val="20"/>
          <w:bdr w:val="nil"/>
        </w:rPr>
        <w:t>covenants</w:t>
      </w:r>
      <w:proofErr w:type="spellEnd"/>
      <w:r w:rsidRPr="003311E4">
        <w:rPr>
          <w:rFonts w:ascii="Verdana" w:hAnsi="Verdana"/>
          <w:i/>
          <w:iCs/>
          <w:sz w:val="20"/>
          <w:szCs w:val="20"/>
          <w:bdr w:val="nil"/>
        </w:rPr>
        <w:t xml:space="preserve"> </w:t>
      </w:r>
      <w:r w:rsidRPr="003311E4">
        <w:rPr>
          <w:rFonts w:ascii="Verdana" w:hAnsi="Verdana"/>
          <w:sz w:val="20"/>
          <w:szCs w:val="20"/>
          <w:bdr w:val="nil"/>
        </w:rPr>
        <w:t xml:space="preserve">em alguns de seus contratos de empréstimos, financiamentos e debêntures. Os principais </w:t>
      </w:r>
      <w:proofErr w:type="spellStart"/>
      <w:r w:rsidRPr="003311E4">
        <w:rPr>
          <w:rFonts w:ascii="Verdana" w:hAnsi="Verdana"/>
          <w:i/>
          <w:iCs/>
          <w:sz w:val="20"/>
          <w:szCs w:val="20"/>
          <w:bdr w:val="nil"/>
        </w:rPr>
        <w:t>covenants</w:t>
      </w:r>
      <w:proofErr w:type="spellEnd"/>
      <w:r w:rsidRPr="003311E4">
        <w:rPr>
          <w:rFonts w:ascii="Verdana" w:hAnsi="Verdana"/>
          <w:sz w:val="20"/>
          <w:szCs w:val="20"/>
          <w:bdr w:val="nil"/>
        </w:rPr>
        <w:t xml:space="preserve"> são referentes a: apresentar demonstrações financeiras consolidadas e auditadas; apresentar trimestralmente Relatório Gerencial sobre a evolução física e financeira do Projeto; cumprir as "Disposições Aplicáveis aos Contratos do BNDES"; permitir ampla inspeção das obras do projeto por parte de representantes do BNDES; </w:t>
      </w:r>
      <w:r>
        <w:rPr>
          <w:rFonts w:ascii="Verdana" w:hAnsi="Verdana"/>
          <w:sz w:val="20"/>
          <w:szCs w:val="20"/>
          <w:bdr w:val="nil"/>
        </w:rPr>
        <w:t>e</w:t>
      </w:r>
      <w:r w:rsidRPr="003311E4">
        <w:rPr>
          <w:rFonts w:ascii="Verdana" w:hAnsi="Verdana"/>
          <w:sz w:val="20"/>
          <w:szCs w:val="20"/>
          <w:bdr w:val="nil"/>
        </w:rPr>
        <w:t xml:space="preserve">nviar </w:t>
      </w:r>
      <w:r>
        <w:rPr>
          <w:rFonts w:ascii="Verdana" w:hAnsi="Verdana"/>
          <w:sz w:val="20"/>
          <w:szCs w:val="20"/>
          <w:bdr w:val="nil"/>
        </w:rPr>
        <w:t>q</w:t>
      </w:r>
      <w:r w:rsidRPr="003311E4">
        <w:rPr>
          <w:rFonts w:ascii="Verdana" w:hAnsi="Verdana"/>
          <w:sz w:val="20"/>
          <w:szCs w:val="20"/>
          <w:bdr w:val="nil"/>
        </w:rPr>
        <w:t xml:space="preserve">uadrimestralmente à </w:t>
      </w:r>
      <w:r>
        <w:rPr>
          <w:rFonts w:ascii="Verdana" w:hAnsi="Verdana"/>
          <w:sz w:val="20"/>
          <w:szCs w:val="20"/>
          <w:bdr w:val="nil"/>
        </w:rPr>
        <w:t xml:space="preserve">Secretaria do Tesouro Nacional - </w:t>
      </w:r>
      <w:r w:rsidRPr="003311E4">
        <w:rPr>
          <w:rFonts w:ascii="Verdana" w:hAnsi="Verdana"/>
          <w:sz w:val="20"/>
          <w:szCs w:val="20"/>
          <w:bdr w:val="nil"/>
        </w:rPr>
        <w:t xml:space="preserve">STN posição dos créditos empenhados no Contrato de </w:t>
      </w:r>
      <w:proofErr w:type="spellStart"/>
      <w:r w:rsidRPr="003311E4">
        <w:rPr>
          <w:rFonts w:ascii="Verdana" w:hAnsi="Verdana"/>
          <w:sz w:val="20"/>
          <w:szCs w:val="20"/>
          <w:bdr w:val="nil"/>
        </w:rPr>
        <w:t>Contragarantia</w:t>
      </w:r>
      <w:proofErr w:type="spellEnd"/>
      <w:r w:rsidRPr="003311E4">
        <w:rPr>
          <w:rFonts w:ascii="Verdana" w:hAnsi="Verdana"/>
          <w:sz w:val="20"/>
          <w:szCs w:val="20"/>
          <w:bdr w:val="nil"/>
        </w:rPr>
        <w:t xml:space="preserve"> junto </w:t>
      </w:r>
      <w:r>
        <w:rPr>
          <w:rFonts w:ascii="Verdana" w:hAnsi="Verdana"/>
          <w:sz w:val="20"/>
          <w:szCs w:val="20"/>
          <w:bdr w:val="nil"/>
        </w:rPr>
        <w:t>à</w:t>
      </w:r>
      <w:r w:rsidRPr="003311E4">
        <w:rPr>
          <w:rFonts w:ascii="Verdana" w:hAnsi="Verdana"/>
          <w:sz w:val="20"/>
          <w:szCs w:val="20"/>
          <w:bdr w:val="nil"/>
        </w:rPr>
        <w:t xml:space="preserve"> União; no caso de FURNAS</w:t>
      </w:r>
      <w:r>
        <w:rPr>
          <w:rFonts w:ascii="Verdana" w:hAnsi="Verdana"/>
          <w:sz w:val="20"/>
          <w:szCs w:val="20"/>
          <w:bdr w:val="nil"/>
        </w:rPr>
        <w:t>,</w:t>
      </w:r>
      <w:r w:rsidRPr="003311E4">
        <w:rPr>
          <w:rFonts w:ascii="Verdana" w:hAnsi="Verdana"/>
          <w:sz w:val="20"/>
          <w:szCs w:val="20"/>
          <w:bdr w:val="nil"/>
        </w:rPr>
        <w:t xml:space="preserve"> emissão de Nota Promissória no ato da assinatura e a cada dois anos, ao final do exercício, com posição em 31 de </w:t>
      </w:r>
      <w:r>
        <w:rPr>
          <w:rFonts w:ascii="Verdana" w:hAnsi="Verdana"/>
          <w:sz w:val="20"/>
          <w:szCs w:val="20"/>
          <w:bdr w:val="nil"/>
        </w:rPr>
        <w:t>d</w:t>
      </w:r>
      <w:r w:rsidRPr="003311E4">
        <w:rPr>
          <w:rFonts w:ascii="Verdana" w:hAnsi="Verdana"/>
          <w:sz w:val="20"/>
          <w:szCs w:val="20"/>
          <w:bdr w:val="nil"/>
        </w:rPr>
        <w:t>ezembro.</w:t>
      </w:r>
    </w:p>
    <w:p w14:paraId="1F261288" w14:textId="77777777" w:rsidR="00E61229" w:rsidRPr="003311E4" w:rsidRDefault="00E61229" w:rsidP="00E61229">
      <w:pPr>
        <w:rPr>
          <w:rFonts w:ascii="Verdana" w:hAnsi="Verdana"/>
          <w:sz w:val="20"/>
          <w:szCs w:val="20"/>
          <w:bdr w:val="nil"/>
        </w:rPr>
      </w:pPr>
    </w:p>
    <w:p w14:paraId="12A1A93A" w14:textId="77777777" w:rsidR="00E61229" w:rsidRPr="007A2358" w:rsidRDefault="00E61229" w:rsidP="00E61229">
      <w:pPr>
        <w:widowControl w:val="0"/>
        <w:autoSpaceDE w:val="0"/>
        <w:autoSpaceDN w:val="0"/>
        <w:rPr>
          <w:rFonts w:ascii="Verdana" w:hAnsi="Verdana"/>
          <w:sz w:val="20"/>
          <w:szCs w:val="20"/>
          <w:bdr w:val="nil"/>
        </w:rPr>
      </w:pPr>
      <w:r w:rsidRPr="003311E4">
        <w:rPr>
          <w:rFonts w:ascii="Verdana" w:hAnsi="Verdana"/>
          <w:sz w:val="20"/>
          <w:szCs w:val="20"/>
          <w:bdr w:val="nil"/>
        </w:rPr>
        <w:t>A Companhia não identificou a ocorrência de evento de não conformidade em 31 de dezembro de 2021</w:t>
      </w:r>
      <w:r w:rsidRPr="007A2358">
        <w:rPr>
          <w:rFonts w:ascii="Verdana" w:hAnsi="Verdana"/>
          <w:sz w:val="20"/>
          <w:szCs w:val="20"/>
          <w:bdr w:val="nil"/>
        </w:rPr>
        <w:t>.</w:t>
      </w:r>
    </w:p>
    <w:p w14:paraId="5EE5DAEE" w14:textId="77777777" w:rsidR="00E61229" w:rsidRDefault="00E61229" w:rsidP="00E61229">
      <w:pPr>
        <w:widowControl w:val="0"/>
        <w:autoSpaceDE w:val="0"/>
        <w:autoSpaceDN w:val="0"/>
        <w:rPr>
          <w:rFonts w:ascii="Verdana" w:hAnsi="Verdana"/>
          <w:color w:val="FF0000"/>
          <w:sz w:val="20"/>
          <w:szCs w:val="20"/>
          <w:bdr w:val="nil"/>
        </w:rPr>
      </w:pPr>
    </w:p>
    <w:p w14:paraId="330CB387" w14:textId="77777777" w:rsidR="00E61229" w:rsidRPr="007A2358" w:rsidRDefault="00E61229" w:rsidP="00E61229">
      <w:pPr>
        <w:widowControl w:val="0"/>
        <w:autoSpaceDE w:val="0"/>
        <w:autoSpaceDN w:val="0"/>
        <w:rPr>
          <w:rFonts w:ascii="Verdana" w:hAnsi="Verdana"/>
          <w:color w:val="FF0000"/>
          <w:sz w:val="20"/>
          <w:szCs w:val="20"/>
          <w:bdr w:val="nil"/>
        </w:rPr>
      </w:pPr>
    </w:p>
    <w:p w14:paraId="09501E6F" w14:textId="77777777" w:rsidR="00E61229" w:rsidRPr="007A2358" w:rsidRDefault="00E61229" w:rsidP="00E61229">
      <w:pPr>
        <w:rPr>
          <w:rFonts w:ascii="Verdana" w:hAnsi="Verdana"/>
          <w:sz w:val="20"/>
          <w:szCs w:val="20"/>
        </w:rPr>
      </w:pPr>
      <w:r w:rsidRPr="007A2358">
        <w:rPr>
          <w:rFonts w:ascii="Verdana" w:hAnsi="Verdana"/>
          <w:color w:val="0D63B5"/>
          <w:sz w:val="20"/>
          <w:szCs w:val="20"/>
        </w:rPr>
        <w:t>Prática contábil</w:t>
      </w:r>
    </w:p>
    <w:p w14:paraId="61AC3A60" w14:textId="77777777" w:rsidR="00E61229" w:rsidRPr="007A2358" w:rsidRDefault="00E61229" w:rsidP="00E61229">
      <w:pPr>
        <w:rPr>
          <w:rFonts w:ascii="Verdana" w:hAnsi="Verdana"/>
          <w:sz w:val="20"/>
          <w:szCs w:val="20"/>
        </w:rPr>
      </w:pPr>
    </w:p>
    <w:p w14:paraId="27485B9B" w14:textId="77777777" w:rsidR="00E61229" w:rsidRDefault="00E61229" w:rsidP="00E61229">
      <w:pPr>
        <w:widowControl w:val="0"/>
        <w:autoSpaceDE w:val="0"/>
        <w:autoSpaceDN w:val="0"/>
        <w:rPr>
          <w:rFonts w:ascii="Verdana" w:hAnsi="Verdana"/>
          <w:sz w:val="20"/>
          <w:szCs w:val="20"/>
        </w:rPr>
      </w:pPr>
      <w:r w:rsidRPr="007A2358">
        <w:rPr>
          <w:rFonts w:ascii="Verdana" w:hAnsi="Verdana"/>
          <w:sz w:val="20"/>
          <w:szCs w:val="20"/>
        </w:rPr>
        <w:t>Os empréstimos</w:t>
      </w:r>
      <w:r>
        <w:rPr>
          <w:rFonts w:ascii="Verdana" w:hAnsi="Verdana"/>
          <w:sz w:val="20"/>
          <w:szCs w:val="20"/>
        </w:rPr>
        <w:t xml:space="preserve"> e</w:t>
      </w:r>
      <w:r w:rsidRPr="007A2358">
        <w:rPr>
          <w:rFonts w:ascii="Verdana" w:hAnsi="Verdana"/>
          <w:sz w:val="20"/>
          <w:szCs w:val="20"/>
        </w:rPr>
        <w:t xml:space="preserve"> financiamentos são reconhecidos incialmente pelo valor justo menos os custos de transação diretamente atribuíveis, e subsequentemente mensurados ao custo amortizado</w:t>
      </w:r>
      <w:r>
        <w:rPr>
          <w:rFonts w:ascii="Verdana" w:hAnsi="Verdana"/>
          <w:sz w:val="20"/>
          <w:szCs w:val="20"/>
        </w:rPr>
        <w:t>,</w:t>
      </w:r>
      <w:r w:rsidRPr="007A2358">
        <w:rPr>
          <w:rFonts w:ascii="Verdana" w:hAnsi="Verdana"/>
          <w:sz w:val="20"/>
          <w:szCs w:val="20"/>
        </w:rPr>
        <w:t xml:space="preserve"> utilizando o método dos juros efetivos. Quando os seus termos contratuais são modificados e tal modificação não for substancial, seus saldos contábeis refletirão o valor presente dos seus fluxos de caixa sob os novos termos, utilizando a taxa de juros efetiva original. A diferença entre o saldo contábil do instrumento </w:t>
      </w:r>
      <w:proofErr w:type="spellStart"/>
      <w:r w:rsidRPr="007A2358">
        <w:rPr>
          <w:rFonts w:ascii="Verdana" w:hAnsi="Verdana"/>
          <w:sz w:val="20"/>
          <w:szCs w:val="20"/>
        </w:rPr>
        <w:t>remensurado</w:t>
      </w:r>
      <w:proofErr w:type="spellEnd"/>
      <w:r w:rsidRPr="007A2358">
        <w:rPr>
          <w:rFonts w:ascii="Verdana" w:hAnsi="Verdana"/>
          <w:sz w:val="20"/>
          <w:szCs w:val="20"/>
        </w:rPr>
        <w:t xml:space="preserve"> quando da modificação não substancial dos seus termos e seu saldo contábil imediatamente anterior a tal modificação é reconhecida como ganho ou perda no resultado do exercício. Quando tal modificação for substancial, o financiamento original é extinto e reconhecido um novo passivo financeiro, com impacto no resultado do exercício.</w:t>
      </w:r>
    </w:p>
    <w:p w14:paraId="05D4C2BA" w14:textId="77777777" w:rsidR="00C121AC" w:rsidRDefault="00C121AC" w:rsidP="00C121AC">
      <w:pPr>
        <w:widowControl w:val="0"/>
        <w:autoSpaceDE w:val="0"/>
        <w:autoSpaceDN w:val="0"/>
        <w:rPr>
          <w:rFonts w:ascii="Verdana" w:hAnsi="Verdana"/>
          <w:sz w:val="20"/>
          <w:szCs w:val="20"/>
        </w:rPr>
      </w:pPr>
    </w:p>
    <w:p w14:paraId="4E3F1C42" w14:textId="2E44F4D7" w:rsidR="006C69B8" w:rsidRDefault="006C69B8" w:rsidP="00C121AC">
      <w:pPr>
        <w:widowControl w:val="0"/>
        <w:autoSpaceDE w:val="0"/>
        <w:autoSpaceDN w:val="0"/>
        <w:rPr>
          <w:rFonts w:ascii="Verdana" w:hAnsi="Verdana"/>
          <w:sz w:val="20"/>
          <w:szCs w:val="20"/>
        </w:rPr>
      </w:pPr>
    </w:p>
    <w:p w14:paraId="2671980D" w14:textId="3759D205" w:rsidR="00E16050" w:rsidRDefault="00E16050" w:rsidP="00C121AC">
      <w:pPr>
        <w:widowControl w:val="0"/>
        <w:autoSpaceDE w:val="0"/>
        <w:autoSpaceDN w:val="0"/>
        <w:rPr>
          <w:rFonts w:ascii="Verdana" w:hAnsi="Verdana"/>
          <w:sz w:val="20"/>
          <w:szCs w:val="20"/>
        </w:rPr>
      </w:pPr>
    </w:p>
    <w:p w14:paraId="0BDACC48" w14:textId="538F97A5" w:rsidR="00E16050" w:rsidRDefault="00E16050" w:rsidP="00C121AC">
      <w:pPr>
        <w:widowControl w:val="0"/>
        <w:autoSpaceDE w:val="0"/>
        <w:autoSpaceDN w:val="0"/>
        <w:rPr>
          <w:rFonts w:ascii="Verdana" w:hAnsi="Verdana"/>
          <w:sz w:val="20"/>
          <w:szCs w:val="20"/>
        </w:rPr>
      </w:pPr>
    </w:p>
    <w:p w14:paraId="46B96B7C" w14:textId="65A44332" w:rsidR="00E16050" w:rsidRDefault="00E16050" w:rsidP="00C121AC">
      <w:pPr>
        <w:widowControl w:val="0"/>
        <w:autoSpaceDE w:val="0"/>
        <w:autoSpaceDN w:val="0"/>
        <w:rPr>
          <w:rFonts w:ascii="Verdana" w:hAnsi="Verdana"/>
          <w:sz w:val="20"/>
          <w:szCs w:val="20"/>
        </w:rPr>
      </w:pPr>
    </w:p>
    <w:p w14:paraId="69B2B119" w14:textId="08D0D857" w:rsidR="00E16050" w:rsidRDefault="00E16050" w:rsidP="00C121AC">
      <w:pPr>
        <w:widowControl w:val="0"/>
        <w:autoSpaceDE w:val="0"/>
        <w:autoSpaceDN w:val="0"/>
        <w:rPr>
          <w:rFonts w:ascii="Verdana" w:hAnsi="Verdana"/>
          <w:sz w:val="20"/>
          <w:szCs w:val="20"/>
        </w:rPr>
      </w:pPr>
    </w:p>
    <w:p w14:paraId="4F0846B0" w14:textId="2CE1C00F" w:rsidR="00E16050" w:rsidRDefault="00E16050" w:rsidP="00C121AC">
      <w:pPr>
        <w:widowControl w:val="0"/>
        <w:autoSpaceDE w:val="0"/>
        <w:autoSpaceDN w:val="0"/>
        <w:rPr>
          <w:rFonts w:ascii="Verdana" w:hAnsi="Verdana"/>
          <w:sz w:val="20"/>
          <w:szCs w:val="20"/>
        </w:rPr>
      </w:pPr>
    </w:p>
    <w:p w14:paraId="6B91D11E" w14:textId="00B43883" w:rsidR="00E16050" w:rsidRDefault="00E16050" w:rsidP="00C121AC">
      <w:pPr>
        <w:widowControl w:val="0"/>
        <w:autoSpaceDE w:val="0"/>
        <w:autoSpaceDN w:val="0"/>
        <w:rPr>
          <w:rFonts w:ascii="Verdana" w:hAnsi="Verdana"/>
          <w:sz w:val="20"/>
          <w:szCs w:val="20"/>
        </w:rPr>
      </w:pPr>
    </w:p>
    <w:p w14:paraId="1CE897F0" w14:textId="1CE4CC40" w:rsidR="00E16050" w:rsidRDefault="00E16050" w:rsidP="00C121AC">
      <w:pPr>
        <w:widowControl w:val="0"/>
        <w:autoSpaceDE w:val="0"/>
        <w:autoSpaceDN w:val="0"/>
        <w:rPr>
          <w:rFonts w:ascii="Verdana" w:hAnsi="Verdana"/>
          <w:sz w:val="20"/>
          <w:szCs w:val="20"/>
        </w:rPr>
      </w:pPr>
    </w:p>
    <w:p w14:paraId="107C8753" w14:textId="4A7AD637" w:rsidR="00E16050" w:rsidRDefault="00E16050" w:rsidP="00C121AC">
      <w:pPr>
        <w:widowControl w:val="0"/>
        <w:autoSpaceDE w:val="0"/>
        <w:autoSpaceDN w:val="0"/>
        <w:rPr>
          <w:rFonts w:ascii="Verdana" w:hAnsi="Verdana"/>
          <w:sz w:val="20"/>
          <w:szCs w:val="20"/>
        </w:rPr>
      </w:pPr>
    </w:p>
    <w:p w14:paraId="6578C974" w14:textId="513E440C" w:rsidR="00E16050" w:rsidRDefault="00E16050" w:rsidP="00C121AC">
      <w:pPr>
        <w:widowControl w:val="0"/>
        <w:autoSpaceDE w:val="0"/>
        <w:autoSpaceDN w:val="0"/>
        <w:rPr>
          <w:rFonts w:ascii="Verdana" w:hAnsi="Verdana"/>
          <w:sz w:val="20"/>
          <w:szCs w:val="20"/>
        </w:rPr>
      </w:pPr>
    </w:p>
    <w:p w14:paraId="5CC55028" w14:textId="4F1FB048" w:rsidR="00E16050" w:rsidRDefault="00E16050" w:rsidP="00C121AC">
      <w:pPr>
        <w:widowControl w:val="0"/>
        <w:autoSpaceDE w:val="0"/>
        <w:autoSpaceDN w:val="0"/>
        <w:rPr>
          <w:rFonts w:ascii="Verdana" w:hAnsi="Verdana"/>
          <w:sz w:val="20"/>
          <w:szCs w:val="20"/>
        </w:rPr>
      </w:pPr>
    </w:p>
    <w:p w14:paraId="0DBAA096" w14:textId="77777777" w:rsidR="00E16050" w:rsidRDefault="00E16050" w:rsidP="00C121AC">
      <w:pPr>
        <w:widowControl w:val="0"/>
        <w:autoSpaceDE w:val="0"/>
        <w:autoSpaceDN w:val="0"/>
        <w:rPr>
          <w:rFonts w:ascii="Verdana" w:hAnsi="Verdana"/>
          <w:sz w:val="20"/>
          <w:szCs w:val="20"/>
        </w:rPr>
      </w:pPr>
    </w:p>
    <w:p w14:paraId="08EB23BA" w14:textId="72482E24" w:rsidR="00604876" w:rsidRDefault="00604876" w:rsidP="00604876">
      <w:pPr>
        <w:tabs>
          <w:tab w:val="left" w:pos="567"/>
          <w:tab w:val="left" w:pos="1134"/>
          <w:tab w:val="left" w:pos="1701"/>
          <w:tab w:val="left" w:pos="2268"/>
          <w:tab w:val="left" w:pos="2835"/>
        </w:tabs>
        <w:outlineLvl w:val="0"/>
        <w:rPr>
          <w:rFonts w:ascii="Verdana" w:hAnsi="Verdana" w:cs="Verdana"/>
          <w:b/>
          <w:color w:val="0D63B5"/>
          <w:sz w:val="20"/>
          <w:szCs w:val="20"/>
        </w:rPr>
      </w:pPr>
      <w:bookmarkStart w:id="20" w:name="_Hlk93921217"/>
      <w:r w:rsidRPr="00E7431C">
        <w:rPr>
          <w:rFonts w:ascii="Verdana" w:hAnsi="Verdana" w:cs="Verdana"/>
          <w:b/>
          <w:color w:val="0D63B5"/>
          <w:sz w:val="20"/>
          <w:szCs w:val="20"/>
        </w:rPr>
        <w:lastRenderedPageBreak/>
        <w:t xml:space="preserve">NOTA 21 – </w:t>
      </w:r>
      <w:proofErr w:type="gramStart"/>
      <w:r w:rsidRPr="00E7431C">
        <w:rPr>
          <w:rFonts w:ascii="Verdana" w:hAnsi="Verdana" w:cs="Verdana"/>
          <w:b/>
          <w:color w:val="0D63B5"/>
          <w:sz w:val="20"/>
          <w:szCs w:val="20"/>
        </w:rPr>
        <w:t xml:space="preserve">TRIBUTOS </w:t>
      </w:r>
      <w:r w:rsidR="003747A3" w:rsidRPr="00E7431C">
        <w:rPr>
          <w:rFonts w:ascii="Verdana" w:hAnsi="Verdana" w:cs="Verdana"/>
          <w:b/>
          <w:color w:val="0D63B5"/>
          <w:sz w:val="20"/>
          <w:szCs w:val="20"/>
        </w:rPr>
        <w:t xml:space="preserve"> </w:t>
      </w:r>
      <w:r w:rsidR="003578F3" w:rsidRPr="00E7431C">
        <w:rPr>
          <w:rFonts w:ascii="Verdana" w:hAnsi="Verdana" w:cs="Verdana"/>
          <w:b/>
          <w:color w:val="0D63B5"/>
          <w:sz w:val="20"/>
          <w:szCs w:val="20"/>
        </w:rPr>
        <w:t>E</w:t>
      </w:r>
      <w:proofErr w:type="gramEnd"/>
      <w:r w:rsidR="003578F3" w:rsidRPr="00E7431C">
        <w:rPr>
          <w:rFonts w:ascii="Verdana" w:hAnsi="Verdana" w:cs="Verdana"/>
          <w:b/>
          <w:color w:val="0D63B5"/>
          <w:sz w:val="20"/>
          <w:szCs w:val="20"/>
        </w:rPr>
        <w:t xml:space="preserve"> CONTRIBUIÇ</w:t>
      </w:r>
      <w:r w:rsidR="00FF5E64">
        <w:rPr>
          <w:rFonts w:ascii="Verdana" w:hAnsi="Verdana" w:cs="Verdana"/>
          <w:b/>
          <w:color w:val="0D63B5"/>
          <w:sz w:val="20"/>
          <w:szCs w:val="20"/>
        </w:rPr>
        <w:t>Õ</w:t>
      </w:r>
      <w:r w:rsidR="003578F3" w:rsidRPr="00E7431C">
        <w:rPr>
          <w:rFonts w:ascii="Verdana" w:hAnsi="Verdana" w:cs="Verdana"/>
          <w:b/>
          <w:color w:val="0D63B5"/>
          <w:sz w:val="20"/>
          <w:szCs w:val="20"/>
        </w:rPr>
        <w:t>ES SOCIAIS</w:t>
      </w:r>
    </w:p>
    <w:p w14:paraId="3FC643AD" w14:textId="77777777" w:rsidR="00E7431C" w:rsidRDefault="00E7431C" w:rsidP="00604876">
      <w:pPr>
        <w:tabs>
          <w:tab w:val="left" w:pos="567"/>
          <w:tab w:val="left" w:pos="1134"/>
          <w:tab w:val="left" w:pos="1701"/>
          <w:tab w:val="left" w:pos="2268"/>
          <w:tab w:val="left" w:pos="2835"/>
        </w:tabs>
        <w:outlineLvl w:val="0"/>
        <w:rPr>
          <w:rFonts w:ascii="Verdana" w:hAnsi="Verdana" w:cs="Verdana"/>
          <w:b/>
          <w:color w:val="0D63B5"/>
          <w:sz w:val="20"/>
          <w:szCs w:val="20"/>
        </w:rPr>
      </w:pPr>
    </w:p>
    <w:p w14:paraId="2AC26397" w14:textId="77777777" w:rsidR="00AA2543" w:rsidRDefault="00E7431C" w:rsidP="00E7431C">
      <w:pPr>
        <w:tabs>
          <w:tab w:val="left" w:pos="567"/>
          <w:tab w:val="left" w:pos="1134"/>
          <w:tab w:val="left" w:pos="1701"/>
          <w:tab w:val="left" w:pos="2268"/>
          <w:tab w:val="left" w:pos="2835"/>
        </w:tabs>
        <w:jc w:val="center"/>
        <w:outlineLvl w:val="0"/>
        <w:rPr>
          <w:rFonts w:ascii="Verdana" w:hAnsi="Verdana" w:cs="Verdana"/>
          <w:b/>
          <w:color w:val="0D63B5"/>
          <w:sz w:val="20"/>
          <w:szCs w:val="20"/>
        </w:rPr>
      </w:pPr>
      <w:r w:rsidRPr="00E7431C">
        <w:rPr>
          <w:noProof/>
        </w:rPr>
        <w:drawing>
          <wp:inline distT="0" distB="0" distL="0" distR="0" wp14:anchorId="33C6456C" wp14:editId="3FE2F819">
            <wp:extent cx="3944126" cy="3019426"/>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952816" cy="3026079"/>
                    </a:xfrm>
                    <a:prstGeom prst="rect">
                      <a:avLst/>
                    </a:prstGeom>
                    <a:noFill/>
                    <a:ln>
                      <a:noFill/>
                    </a:ln>
                  </pic:spPr>
                </pic:pic>
              </a:graphicData>
            </a:graphic>
          </wp:inline>
        </w:drawing>
      </w:r>
    </w:p>
    <w:p w14:paraId="7E736C99" w14:textId="77777777" w:rsidR="00AA2543" w:rsidRDefault="00AA2543" w:rsidP="00FE3CB4">
      <w:pPr>
        <w:tabs>
          <w:tab w:val="left" w:pos="567"/>
          <w:tab w:val="left" w:pos="1134"/>
          <w:tab w:val="left" w:pos="1701"/>
          <w:tab w:val="left" w:pos="2268"/>
          <w:tab w:val="left" w:pos="2835"/>
        </w:tabs>
        <w:jc w:val="center"/>
        <w:outlineLvl w:val="0"/>
        <w:rPr>
          <w:rFonts w:ascii="Verdana" w:hAnsi="Verdana" w:cs="Verdana"/>
          <w:b/>
          <w:color w:val="0D63B5"/>
          <w:sz w:val="20"/>
          <w:szCs w:val="20"/>
        </w:rPr>
      </w:pPr>
    </w:p>
    <w:p w14:paraId="2D1A1422" w14:textId="05250468" w:rsidR="00902850" w:rsidRDefault="00902850" w:rsidP="00D41FEA">
      <w:pPr>
        <w:tabs>
          <w:tab w:val="left" w:pos="567"/>
          <w:tab w:val="left" w:pos="1134"/>
          <w:tab w:val="left" w:pos="1701"/>
          <w:tab w:val="left" w:pos="2268"/>
          <w:tab w:val="left" w:pos="2835"/>
        </w:tabs>
        <w:outlineLvl w:val="0"/>
        <w:rPr>
          <w:rFonts w:ascii="Verdana" w:hAnsi="Verdana"/>
          <w:sz w:val="20"/>
          <w:szCs w:val="20"/>
        </w:rPr>
      </w:pPr>
    </w:p>
    <w:p w14:paraId="7826CCEA" w14:textId="77777777" w:rsidR="00025A9C" w:rsidRDefault="00025A9C" w:rsidP="00D41FEA">
      <w:pPr>
        <w:tabs>
          <w:tab w:val="left" w:pos="567"/>
          <w:tab w:val="left" w:pos="1134"/>
          <w:tab w:val="left" w:pos="1701"/>
          <w:tab w:val="left" w:pos="2268"/>
          <w:tab w:val="left" w:pos="2835"/>
        </w:tabs>
        <w:outlineLvl w:val="0"/>
        <w:rPr>
          <w:rFonts w:ascii="Verdana" w:hAnsi="Verdana"/>
          <w:sz w:val="20"/>
          <w:szCs w:val="20"/>
        </w:rPr>
      </w:pPr>
    </w:p>
    <w:bookmarkEnd w:id="20"/>
    <w:p w14:paraId="28665DB6" w14:textId="77777777" w:rsidR="00673438" w:rsidRDefault="003747A3" w:rsidP="003747A3">
      <w:pPr>
        <w:tabs>
          <w:tab w:val="left" w:pos="567"/>
          <w:tab w:val="left" w:pos="1134"/>
          <w:tab w:val="left" w:pos="1701"/>
          <w:tab w:val="left" w:pos="2268"/>
          <w:tab w:val="left" w:pos="2835"/>
        </w:tabs>
        <w:outlineLvl w:val="0"/>
        <w:rPr>
          <w:rFonts w:ascii="Verdana" w:hAnsi="Verdana" w:cs="Verdana"/>
          <w:b/>
          <w:color w:val="0D63B5"/>
          <w:sz w:val="20"/>
          <w:szCs w:val="20"/>
        </w:rPr>
      </w:pPr>
      <w:r w:rsidRPr="00293868">
        <w:rPr>
          <w:rFonts w:ascii="Verdana" w:hAnsi="Verdana" w:cs="Verdana"/>
          <w:b/>
          <w:color w:val="0D63B5"/>
          <w:sz w:val="20"/>
          <w:szCs w:val="20"/>
        </w:rPr>
        <w:t xml:space="preserve">NOTA </w:t>
      </w:r>
      <w:r>
        <w:rPr>
          <w:rFonts w:ascii="Verdana" w:hAnsi="Verdana" w:cs="Verdana"/>
          <w:b/>
          <w:color w:val="0D63B5"/>
          <w:sz w:val="20"/>
          <w:szCs w:val="20"/>
        </w:rPr>
        <w:t>2</w:t>
      </w:r>
      <w:r w:rsidR="009B550E">
        <w:rPr>
          <w:rFonts w:ascii="Verdana" w:hAnsi="Verdana" w:cs="Verdana"/>
          <w:b/>
          <w:color w:val="0D63B5"/>
          <w:sz w:val="20"/>
          <w:szCs w:val="20"/>
        </w:rPr>
        <w:t>2</w:t>
      </w:r>
      <w:r>
        <w:rPr>
          <w:rFonts w:ascii="Verdana" w:hAnsi="Verdana" w:cs="Verdana"/>
          <w:b/>
          <w:color w:val="0D63B5"/>
          <w:sz w:val="20"/>
          <w:szCs w:val="20"/>
        </w:rPr>
        <w:t xml:space="preserve"> – OBRIGAÇÕES ESTIMADAS</w:t>
      </w:r>
    </w:p>
    <w:p w14:paraId="7A25C98F" w14:textId="77777777" w:rsidR="00673438" w:rsidRDefault="00673438" w:rsidP="003747A3">
      <w:pPr>
        <w:tabs>
          <w:tab w:val="left" w:pos="567"/>
          <w:tab w:val="left" w:pos="1134"/>
          <w:tab w:val="left" w:pos="1701"/>
          <w:tab w:val="left" w:pos="2268"/>
          <w:tab w:val="left" w:pos="2835"/>
        </w:tabs>
        <w:outlineLvl w:val="0"/>
        <w:rPr>
          <w:rFonts w:ascii="Verdana" w:hAnsi="Verdana" w:cs="Verdana"/>
          <w:b/>
          <w:color w:val="0D63B5"/>
          <w:sz w:val="20"/>
          <w:szCs w:val="20"/>
        </w:rPr>
      </w:pPr>
    </w:p>
    <w:p w14:paraId="16B266DE" w14:textId="77777777" w:rsidR="00673438" w:rsidRDefault="00673438" w:rsidP="003747A3">
      <w:pPr>
        <w:tabs>
          <w:tab w:val="left" w:pos="567"/>
          <w:tab w:val="left" w:pos="1134"/>
          <w:tab w:val="left" w:pos="1701"/>
          <w:tab w:val="left" w:pos="2268"/>
          <w:tab w:val="left" w:pos="2835"/>
        </w:tabs>
        <w:outlineLvl w:val="0"/>
        <w:rPr>
          <w:rFonts w:ascii="Verdana" w:hAnsi="Verdana" w:cs="Verdana"/>
          <w:b/>
          <w:color w:val="0D63B5"/>
          <w:sz w:val="20"/>
          <w:szCs w:val="20"/>
        </w:rPr>
      </w:pPr>
    </w:p>
    <w:p w14:paraId="55210620" w14:textId="77777777" w:rsidR="003747A3" w:rsidRPr="00293868" w:rsidRDefault="00A922CD" w:rsidP="00673438">
      <w:pPr>
        <w:tabs>
          <w:tab w:val="left" w:pos="567"/>
          <w:tab w:val="left" w:pos="1134"/>
          <w:tab w:val="left" w:pos="1701"/>
          <w:tab w:val="left" w:pos="2268"/>
          <w:tab w:val="left" w:pos="2835"/>
        </w:tabs>
        <w:jc w:val="center"/>
        <w:outlineLvl w:val="0"/>
        <w:rPr>
          <w:rFonts w:ascii="Verdana" w:hAnsi="Verdana" w:cs="Verdana"/>
          <w:b/>
          <w:color w:val="0D63B5"/>
          <w:sz w:val="20"/>
          <w:szCs w:val="20"/>
        </w:rPr>
      </w:pPr>
      <w:r w:rsidRPr="00A922CD">
        <w:rPr>
          <w:noProof/>
        </w:rPr>
        <w:drawing>
          <wp:inline distT="0" distB="0" distL="0" distR="0" wp14:anchorId="369502CB" wp14:editId="5DF5A635">
            <wp:extent cx="4644735" cy="946150"/>
            <wp:effectExtent l="0" t="0" r="3810" b="6350"/>
            <wp:docPr id="498" name="Imagem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63098" cy="949891"/>
                    </a:xfrm>
                    <a:prstGeom prst="rect">
                      <a:avLst/>
                    </a:prstGeom>
                    <a:noFill/>
                    <a:ln>
                      <a:noFill/>
                    </a:ln>
                  </pic:spPr>
                </pic:pic>
              </a:graphicData>
            </a:graphic>
          </wp:inline>
        </w:drawing>
      </w:r>
      <w:r w:rsidRPr="00A922CD" w:rsidDel="00A922CD">
        <w:t xml:space="preserve"> </w:t>
      </w:r>
    </w:p>
    <w:p w14:paraId="6EF4CB4B" w14:textId="77777777" w:rsidR="003747A3" w:rsidRDefault="003747A3"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32B4141F" w14:textId="77777777" w:rsidR="0053782A" w:rsidRDefault="0053782A" w:rsidP="0027644B">
      <w:pPr>
        <w:widowControl w:val="0"/>
        <w:autoSpaceDE w:val="0"/>
        <w:autoSpaceDN w:val="0"/>
        <w:rPr>
          <w:rFonts w:ascii="Verdana" w:hAnsi="Verdana"/>
          <w:color w:val="0D63B5"/>
          <w:sz w:val="20"/>
          <w:szCs w:val="20"/>
        </w:rPr>
      </w:pPr>
    </w:p>
    <w:p w14:paraId="58FB5A4D" w14:textId="77777777" w:rsidR="0027644B" w:rsidRPr="00D6243C" w:rsidRDefault="0027644B" w:rsidP="0027644B">
      <w:pPr>
        <w:widowControl w:val="0"/>
        <w:autoSpaceDE w:val="0"/>
        <w:autoSpaceDN w:val="0"/>
        <w:rPr>
          <w:rFonts w:ascii="Verdana" w:hAnsi="Verdana"/>
          <w:sz w:val="20"/>
          <w:szCs w:val="20"/>
        </w:rPr>
      </w:pPr>
      <w:r w:rsidRPr="00D6243C">
        <w:rPr>
          <w:rFonts w:ascii="Verdana" w:hAnsi="Verdana"/>
          <w:color w:val="0D63B5"/>
          <w:sz w:val="20"/>
          <w:szCs w:val="20"/>
        </w:rPr>
        <w:t>Prática contábil</w:t>
      </w:r>
      <w:r w:rsidRPr="00D6243C">
        <w:rPr>
          <w:rFonts w:ascii="Verdana" w:hAnsi="Verdana"/>
          <w:sz w:val="20"/>
          <w:szCs w:val="20"/>
        </w:rPr>
        <w:t xml:space="preserve"> </w:t>
      </w:r>
    </w:p>
    <w:p w14:paraId="3DC40EB2" w14:textId="77777777" w:rsidR="0027644B" w:rsidRPr="00FA76F9" w:rsidRDefault="0027644B" w:rsidP="0027644B">
      <w:pPr>
        <w:widowControl w:val="0"/>
        <w:autoSpaceDE w:val="0"/>
        <w:autoSpaceDN w:val="0"/>
        <w:rPr>
          <w:rFonts w:ascii="Verdana" w:hAnsi="Verdana"/>
          <w:sz w:val="20"/>
          <w:szCs w:val="20"/>
          <w:highlight w:val="green"/>
        </w:rPr>
      </w:pPr>
    </w:p>
    <w:p w14:paraId="25748A86" w14:textId="23944D44" w:rsidR="0027644B" w:rsidRDefault="00E61229" w:rsidP="0027644B">
      <w:pPr>
        <w:widowControl w:val="0"/>
        <w:autoSpaceDE w:val="0"/>
        <w:autoSpaceDN w:val="0"/>
        <w:rPr>
          <w:rFonts w:ascii="Verdana" w:hAnsi="Verdana"/>
          <w:sz w:val="20"/>
          <w:szCs w:val="20"/>
        </w:rPr>
      </w:pPr>
      <w:r w:rsidRPr="00CE127C">
        <w:rPr>
          <w:rFonts w:ascii="Verdana" w:hAnsi="Verdana"/>
          <w:sz w:val="20"/>
          <w:szCs w:val="20"/>
        </w:rPr>
        <w:t>Os pagamentos de benefícios tais como salário ou férias, bem como os respectivos encargos trabalhistas incidentes sobre estes benefícios são reconhecidos mensalmente no resultado, respeitando o regime de competência</w:t>
      </w:r>
      <w:r w:rsidR="0027644B" w:rsidRPr="00CE127C">
        <w:rPr>
          <w:rFonts w:ascii="Verdana" w:hAnsi="Verdana"/>
          <w:sz w:val="20"/>
          <w:szCs w:val="20"/>
        </w:rPr>
        <w:t>.</w:t>
      </w:r>
      <w:r w:rsidR="0027644B" w:rsidRPr="00BB77C4">
        <w:rPr>
          <w:rFonts w:ascii="Verdana" w:hAnsi="Verdana"/>
          <w:sz w:val="20"/>
          <w:szCs w:val="20"/>
        </w:rPr>
        <w:t xml:space="preserve"> </w:t>
      </w:r>
    </w:p>
    <w:p w14:paraId="02F2F194" w14:textId="77777777" w:rsidR="003747A3" w:rsidRDefault="003747A3"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3D2A6566" w14:textId="77777777" w:rsidR="00297900" w:rsidRDefault="00297900"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3CD8E1D8" w14:textId="77777777" w:rsidR="00297900" w:rsidRDefault="00297900"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675CECB0" w14:textId="77777777" w:rsidR="009B550E" w:rsidRDefault="009B550E" w:rsidP="009B550E">
      <w:pPr>
        <w:tabs>
          <w:tab w:val="left" w:pos="567"/>
          <w:tab w:val="left" w:pos="1134"/>
          <w:tab w:val="left" w:pos="1701"/>
          <w:tab w:val="left" w:pos="2268"/>
          <w:tab w:val="left" w:pos="2835"/>
        </w:tabs>
        <w:outlineLvl w:val="0"/>
        <w:rPr>
          <w:rFonts w:ascii="Verdana" w:hAnsi="Verdana" w:cs="Verdana"/>
          <w:b/>
          <w:color w:val="0D63B5"/>
          <w:sz w:val="20"/>
          <w:szCs w:val="20"/>
        </w:rPr>
      </w:pPr>
      <w:r w:rsidRPr="00293868">
        <w:rPr>
          <w:rFonts w:ascii="Verdana" w:hAnsi="Verdana" w:cs="Verdana"/>
          <w:b/>
          <w:color w:val="0D63B5"/>
          <w:sz w:val="20"/>
          <w:szCs w:val="20"/>
        </w:rPr>
        <w:t xml:space="preserve">NOTA </w:t>
      </w:r>
      <w:r>
        <w:rPr>
          <w:rFonts w:ascii="Verdana" w:hAnsi="Verdana" w:cs="Verdana"/>
          <w:b/>
          <w:color w:val="0D63B5"/>
          <w:sz w:val="20"/>
          <w:szCs w:val="20"/>
        </w:rPr>
        <w:t>23 – ENCARGOS SETORIAIS</w:t>
      </w:r>
    </w:p>
    <w:p w14:paraId="72F1183E" w14:textId="77777777" w:rsidR="009B550E" w:rsidRDefault="009B550E"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263BE97A" w14:textId="77777777" w:rsidR="0027644B" w:rsidRDefault="0027644B"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6378B6F9" w14:textId="77777777" w:rsidR="005D78D9" w:rsidRDefault="005D78D9" w:rsidP="005D78D9">
      <w:pPr>
        <w:tabs>
          <w:tab w:val="left" w:pos="567"/>
          <w:tab w:val="left" w:pos="1134"/>
          <w:tab w:val="left" w:pos="1701"/>
          <w:tab w:val="left" w:pos="2268"/>
          <w:tab w:val="left" w:pos="2835"/>
        </w:tabs>
        <w:jc w:val="center"/>
        <w:outlineLvl w:val="0"/>
        <w:rPr>
          <w:rFonts w:ascii="Verdana" w:hAnsi="Verdana" w:cs="Verdana"/>
          <w:b/>
          <w:color w:val="0D63B5"/>
          <w:sz w:val="20"/>
          <w:szCs w:val="20"/>
        </w:rPr>
      </w:pPr>
      <w:r w:rsidRPr="005D78D9">
        <w:rPr>
          <w:noProof/>
        </w:rPr>
        <w:drawing>
          <wp:inline distT="0" distB="0" distL="0" distR="0" wp14:anchorId="5171D444" wp14:editId="24BCF607">
            <wp:extent cx="4713050" cy="781050"/>
            <wp:effectExtent l="0" t="0" r="0" b="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729023" cy="783697"/>
                    </a:xfrm>
                    <a:prstGeom prst="rect">
                      <a:avLst/>
                    </a:prstGeom>
                    <a:noFill/>
                    <a:ln>
                      <a:noFill/>
                    </a:ln>
                  </pic:spPr>
                </pic:pic>
              </a:graphicData>
            </a:graphic>
          </wp:inline>
        </w:drawing>
      </w:r>
    </w:p>
    <w:p w14:paraId="29105D81" w14:textId="502C4DC3" w:rsidR="005D78D9" w:rsidRDefault="005D78D9"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4EB0004A" w14:textId="06068AAD" w:rsidR="00A10581" w:rsidRDefault="00A10581"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4402D355" w14:textId="3BE73323" w:rsidR="00A10581" w:rsidRDefault="00A10581"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2FA19391" w14:textId="77777777" w:rsidR="00A10581" w:rsidRDefault="00A10581"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73DFD8AE" w14:textId="77777777" w:rsidR="005D78D9" w:rsidRDefault="005D78D9"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6D887B9A" w14:textId="77777777" w:rsidR="005D78D9" w:rsidRPr="001433B7" w:rsidRDefault="005D78D9" w:rsidP="005D78D9">
      <w:pPr>
        <w:rPr>
          <w:rFonts w:ascii="Verdana" w:hAnsi="Verdana"/>
          <w:sz w:val="20"/>
          <w:szCs w:val="20"/>
        </w:rPr>
      </w:pPr>
      <w:r w:rsidRPr="001433B7">
        <w:rPr>
          <w:rFonts w:ascii="Verdana" w:hAnsi="Verdana"/>
          <w:color w:val="0D63B5"/>
          <w:sz w:val="20"/>
          <w:szCs w:val="20"/>
        </w:rPr>
        <w:lastRenderedPageBreak/>
        <w:t>Prática contábil</w:t>
      </w:r>
    </w:p>
    <w:p w14:paraId="27FAAE78" w14:textId="77777777" w:rsidR="005D78D9" w:rsidRPr="001433B7" w:rsidRDefault="005D78D9" w:rsidP="005D78D9">
      <w:pPr>
        <w:rPr>
          <w:rFonts w:ascii="Verdana" w:hAnsi="Verdana"/>
          <w:sz w:val="20"/>
          <w:szCs w:val="20"/>
        </w:rPr>
      </w:pPr>
    </w:p>
    <w:p w14:paraId="5703FE3F" w14:textId="7B6CD00F" w:rsidR="005D78D9" w:rsidRDefault="00E61229" w:rsidP="005D78D9">
      <w:pPr>
        <w:rPr>
          <w:rFonts w:ascii="Verdana" w:hAnsi="Verdana"/>
          <w:sz w:val="20"/>
          <w:szCs w:val="20"/>
        </w:rPr>
      </w:pPr>
      <w:r w:rsidRPr="001433B7">
        <w:rPr>
          <w:rFonts w:ascii="Verdana" w:hAnsi="Verdana"/>
          <w:sz w:val="20"/>
          <w:szCs w:val="20"/>
        </w:rPr>
        <w:t>Os encargos setoriais são reconhecidos como obrigações a recolher, derivadas dos encargos estabelecidos em lei e são registrados na rubrica de passivo circulante de acordo com a competência</w:t>
      </w:r>
      <w:r w:rsidR="005D78D9" w:rsidRPr="001433B7">
        <w:rPr>
          <w:rFonts w:ascii="Verdana" w:hAnsi="Verdana"/>
          <w:sz w:val="20"/>
          <w:szCs w:val="20"/>
        </w:rPr>
        <w:t>.</w:t>
      </w:r>
    </w:p>
    <w:p w14:paraId="4F3D89C2" w14:textId="77777777" w:rsidR="00A533ED" w:rsidRDefault="00A533ED" w:rsidP="005D78D9">
      <w:pPr>
        <w:rPr>
          <w:rFonts w:ascii="Verdana" w:hAnsi="Verdana"/>
          <w:sz w:val="20"/>
          <w:szCs w:val="20"/>
        </w:rPr>
      </w:pPr>
    </w:p>
    <w:p w14:paraId="06DAAD46" w14:textId="77777777" w:rsidR="00A533ED" w:rsidRDefault="00A533ED" w:rsidP="005D78D9">
      <w:pPr>
        <w:rPr>
          <w:rFonts w:ascii="Verdana" w:hAnsi="Verdana"/>
          <w:sz w:val="20"/>
          <w:szCs w:val="20"/>
        </w:rPr>
      </w:pPr>
    </w:p>
    <w:p w14:paraId="0E360916" w14:textId="77777777" w:rsidR="00A533ED" w:rsidRDefault="00A533ED" w:rsidP="005D78D9">
      <w:pPr>
        <w:rPr>
          <w:rFonts w:ascii="Verdana" w:hAnsi="Verdana"/>
          <w:sz w:val="20"/>
          <w:szCs w:val="20"/>
        </w:rPr>
      </w:pPr>
    </w:p>
    <w:p w14:paraId="4A073C60" w14:textId="77777777" w:rsidR="00A533ED" w:rsidRPr="00390FDD" w:rsidRDefault="00A533ED" w:rsidP="00A533ED">
      <w:pPr>
        <w:tabs>
          <w:tab w:val="left" w:pos="567"/>
          <w:tab w:val="left" w:pos="1134"/>
          <w:tab w:val="left" w:pos="1701"/>
          <w:tab w:val="left" w:pos="2268"/>
          <w:tab w:val="left" w:pos="2835"/>
        </w:tabs>
        <w:outlineLvl w:val="0"/>
        <w:rPr>
          <w:rFonts w:ascii="Verdana" w:hAnsi="Verdana" w:cs="Times-Roman"/>
          <w:b/>
          <w:color w:val="0D63B5"/>
          <w:sz w:val="20"/>
          <w:szCs w:val="20"/>
        </w:rPr>
      </w:pPr>
      <w:r w:rsidRPr="00390FDD">
        <w:rPr>
          <w:rFonts w:ascii="Verdana" w:hAnsi="Verdana" w:cs="Times-Roman"/>
          <w:b/>
          <w:color w:val="0D63B5"/>
          <w:sz w:val="20"/>
          <w:szCs w:val="20"/>
        </w:rPr>
        <w:t xml:space="preserve">NOTA </w:t>
      </w:r>
      <w:r>
        <w:rPr>
          <w:rFonts w:ascii="Verdana" w:hAnsi="Verdana" w:cs="Times-Roman"/>
          <w:b/>
          <w:color w:val="0D63B5"/>
          <w:sz w:val="20"/>
          <w:szCs w:val="20"/>
        </w:rPr>
        <w:t>24</w:t>
      </w:r>
      <w:r w:rsidRPr="00390FDD">
        <w:rPr>
          <w:rFonts w:ascii="Verdana" w:hAnsi="Verdana" w:cs="Times-Roman"/>
          <w:b/>
          <w:color w:val="0D63B5"/>
          <w:sz w:val="20"/>
          <w:szCs w:val="20"/>
        </w:rPr>
        <w:t xml:space="preserve"> – BENEFÍCIOS </w:t>
      </w:r>
      <w:r w:rsidR="00E94167">
        <w:rPr>
          <w:rFonts w:ascii="Verdana" w:hAnsi="Verdana" w:cs="Times-Roman"/>
          <w:b/>
          <w:color w:val="0D63B5"/>
          <w:sz w:val="20"/>
          <w:szCs w:val="20"/>
        </w:rPr>
        <w:t xml:space="preserve">PÓS-EMPREGO </w:t>
      </w:r>
    </w:p>
    <w:p w14:paraId="12A40F3C" w14:textId="77777777" w:rsidR="00A533ED" w:rsidRDefault="00A533ED" w:rsidP="00A533ED">
      <w:pPr>
        <w:rPr>
          <w:rFonts w:ascii="Verdana" w:hAnsi="Verdana"/>
          <w:sz w:val="20"/>
          <w:szCs w:val="20"/>
        </w:rPr>
      </w:pPr>
    </w:p>
    <w:p w14:paraId="3AE93AE7" w14:textId="77777777" w:rsidR="00A533ED" w:rsidRPr="00390FDD" w:rsidRDefault="00A533ED" w:rsidP="00A533ED">
      <w:pPr>
        <w:rPr>
          <w:rFonts w:ascii="Verdana" w:hAnsi="Verdana"/>
          <w:sz w:val="20"/>
          <w:szCs w:val="20"/>
        </w:rPr>
      </w:pPr>
    </w:p>
    <w:p w14:paraId="7A25FF32" w14:textId="77777777" w:rsidR="00E61229" w:rsidRPr="00FD2BC3" w:rsidRDefault="00E61229" w:rsidP="00E61229">
      <w:pPr>
        <w:rPr>
          <w:rFonts w:ascii="Verdana" w:hAnsi="Verdana"/>
          <w:sz w:val="20"/>
          <w:szCs w:val="20"/>
        </w:rPr>
      </w:pPr>
      <w:r w:rsidRPr="00FD2BC3">
        <w:rPr>
          <w:rFonts w:ascii="Verdana" w:hAnsi="Verdana"/>
          <w:sz w:val="20"/>
          <w:szCs w:val="20"/>
        </w:rPr>
        <w:t>A ELETRONUCLEAR</w:t>
      </w:r>
      <w:r w:rsidRPr="00FD2BC3">
        <w:rPr>
          <w:rFonts w:ascii="Verdana" w:hAnsi="Verdana"/>
          <w:color w:val="FF0000"/>
          <w:sz w:val="20"/>
          <w:szCs w:val="20"/>
        </w:rPr>
        <w:t xml:space="preserve"> </w:t>
      </w:r>
      <w:r w:rsidRPr="00FD2BC3">
        <w:rPr>
          <w:rFonts w:ascii="Verdana" w:hAnsi="Verdana"/>
          <w:sz w:val="20"/>
          <w:szCs w:val="20"/>
        </w:rPr>
        <w:t xml:space="preserve">patrocina planos de previdência aos seus empregados, bem como planos de assistência médica e outros benefícios. Esses benefícios são classificados como Benefícios Definidos (BD) e de Contribuição Definida (CD). </w:t>
      </w:r>
    </w:p>
    <w:p w14:paraId="1EBC1E4C" w14:textId="77777777" w:rsidR="00E61229" w:rsidRPr="00FD2BC3" w:rsidRDefault="00E61229" w:rsidP="00E61229">
      <w:pPr>
        <w:rPr>
          <w:rFonts w:ascii="Verdana" w:hAnsi="Verdana"/>
          <w:sz w:val="20"/>
          <w:szCs w:val="20"/>
        </w:rPr>
      </w:pPr>
    </w:p>
    <w:p w14:paraId="31E30A46" w14:textId="77777777" w:rsidR="00E61229" w:rsidRPr="00FD2BC3" w:rsidRDefault="00E61229" w:rsidP="00E61229">
      <w:pPr>
        <w:rPr>
          <w:rFonts w:ascii="Verdana" w:hAnsi="Verdana"/>
          <w:sz w:val="20"/>
          <w:szCs w:val="20"/>
        </w:rPr>
      </w:pPr>
      <w:r w:rsidRPr="00FD2BC3">
        <w:rPr>
          <w:rFonts w:ascii="Verdana" w:hAnsi="Verdana"/>
          <w:sz w:val="20"/>
          <w:szCs w:val="20"/>
        </w:rPr>
        <w:t xml:space="preserve">A ELETRONUCLEAR é uma das </w:t>
      </w:r>
      <w:proofErr w:type="spellStart"/>
      <w:r w:rsidRPr="00FD2BC3">
        <w:rPr>
          <w:rFonts w:ascii="Verdana" w:hAnsi="Verdana"/>
          <w:sz w:val="20"/>
          <w:szCs w:val="20"/>
        </w:rPr>
        <w:t>patricionadoreas</w:t>
      </w:r>
      <w:proofErr w:type="spellEnd"/>
      <w:r w:rsidRPr="00FD2BC3">
        <w:rPr>
          <w:rFonts w:ascii="Verdana" w:hAnsi="Verdana"/>
          <w:sz w:val="20"/>
          <w:szCs w:val="20"/>
        </w:rPr>
        <w:t xml:space="preserve"> da REAL GRANDEZA – Fundação de Previdência e Assistência Social e do Núcleos – Instituto de Seguridade Social, entidades fechadas sem fins lucrativos, que tem por finalidade complementar benefícios previdenciários de seus participantes.</w:t>
      </w:r>
    </w:p>
    <w:p w14:paraId="6E0DEFE6" w14:textId="77777777" w:rsidR="00E61229" w:rsidRPr="00FD2BC3" w:rsidRDefault="00E61229" w:rsidP="00E61229">
      <w:pPr>
        <w:rPr>
          <w:rFonts w:ascii="Verdana" w:hAnsi="Verdana"/>
          <w:sz w:val="20"/>
          <w:szCs w:val="20"/>
        </w:rPr>
      </w:pPr>
    </w:p>
    <w:p w14:paraId="27B94DE8" w14:textId="77777777" w:rsidR="00E61229" w:rsidRPr="00FD2BC3" w:rsidRDefault="00E61229" w:rsidP="00E61229">
      <w:pPr>
        <w:rPr>
          <w:rFonts w:ascii="Verdana" w:hAnsi="Verdana"/>
          <w:sz w:val="20"/>
          <w:szCs w:val="20"/>
          <w:lang w:eastAsia="en-AU"/>
        </w:rPr>
      </w:pPr>
      <w:r w:rsidRPr="00FD2BC3">
        <w:rPr>
          <w:rFonts w:ascii="Verdana" w:hAnsi="Verdana"/>
          <w:sz w:val="20"/>
          <w:szCs w:val="20"/>
          <w:lang w:eastAsia="en-AU"/>
        </w:rPr>
        <w:t xml:space="preserve">O plano de benefício previdenciário normalmente expõe a Companhia a riscos atuariais, tais como risco de investimento, risco de taxa de juros, risco de longevidade e risco de salário. </w:t>
      </w:r>
    </w:p>
    <w:p w14:paraId="0AEE80CC" w14:textId="77777777" w:rsidR="00E61229" w:rsidRPr="00FD2BC3" w:rsidRDefault="00E61229" w:rsidP="00E61229">
      <w:pPr>
        <w:pStyle w:val="Bodycopy"/>
        <w:spacing w:before="0" w:line="240" w:lineRule="auto"/>
        <w:rPr>
          <w:sz w:val="20"/>
          <w:szCs w:val="20"/>
          <w:lang w:val="pt-BR" w:eastAsia="en-AU"/>
        </w:rPr>
      </w:pPr>
    </w:p>
    <w:p w14:paraId="7ACFB878" w14:textId="77777777" w:rsidR="00E61229" w:rsidRPr="00FD2BC3" w:rsidRDefault="00E61229" w:rsidP="00E61229">
      <w:pPr>
        <w:pStyle w:val="FCD"/>
        <w:numPr>
          <w:ilvl w:val="0"/>
          <w:numId w:val="10"/>
        </w:numPr>
        <w:spacing w:line="240" w:lineRule="auto"/>
        <w:rPr>
          <w:rFonts w:ascii="Verdana" w:hAnsi="Verdana" w:cs="Verdana"/>
          <w:sz w:val="20"/>
          <w:szCs w:val="20"/>
        </w:rPr>
      </w:pPr>
      <w:r w:rsidRPr="00FD2BC3">
        <w:rPr>
          <w:rFonts w:ascii="Verdana" w:hAnsi="Verdana" w:cs="Verdana"/>
          <w:sz w:val="20"/>
          <w:szCs w:val="20"/>
        </w:rPr>
        <w:t xml:space="preserve">Risco de investimento: O valor presente do passivo do plano de benefício definido previdenciário é calculado usando uma taxa de desconto determinada em virtude da remuneração de títulos privados de alta qualidade; se o retorno sobre o ativo do plano for abaixo dessa taxa, haverá um déficit do plano. Atualmente, o plano </w:t>
      </w:r>
      <w:proofErr w:type="gramStart"/>
      <w:r w:rsidRPr="00FD2BC3">
        <w:rPr>
          <w:rFonts w:ascii="Verdana" w:hAnsi="Verdana" w:cs="Verdana"/>
          <w:sz w:val="20"/>
          <w:szCs w:val="20"/>
        </w:rPr>
        <w:t>tem  um</w:t>
      </w:r>
      <w:proofErr w:type="gramEnd"/>
      <w:r w:rsidRPr="00FD2BC3">
        <w:rPr>
          <w:rFonts w:ascii="Verdana" w:hAnsi="Verdana" w:cs="Verdana"/>
          <w:sz w:val="20"/>
          <w:szCs w:val="20"/>
        </w:rPr>
        <w:t xml:space="preserve"> investimento relativamente equilibrado em renda fixa e variável considerando os limites por segmento de aplicação de acordo com as diretrizes  da Resolução 4.661/18 do Conselho Monetário Nacional e suas alterações, além dos critérios de </w:t>
      </w:r>
      <w:proofErr w:type="spellStart"/>
      <w:r w:rsidRPr="00FD2BC3">
        <w:rPr>
          <w:rFonts w:ascii="Verdana" w:hAnsi="Verdana" w:cs="Verdana"/>
          <w:sz w:val="20"/>
          <w:szCs w:val="20"/>
        </w:rPr>
        <w:t>segurança,liquidez</w:t>
      </w:r>
      <w:proofErr w:type="spellEnd"/>
      <w:r w:rsidRPr="00FD2BC3">
        <w:rPr>
          <w:rFonts w:ascii="Verdana" w:hAnsi="Verdana" w:cs="Verdana"/>
          <w:sz w:val="20"/>
          <w:szCs w:val="20"/>
        </w:rPr>
        <w:t xml:space="preserve">, rentabilidade e maturidade do plano. </w:t>
      </w:r>
    </w:p>
    <w:p w14:paraId="0DE4D3CD" w14:textId="77777777" w:rsidR="00E61229" w:rsidRPr="00FD2BC3" w:rsidRDefault="00E61229" w:rsidP="00E61229">
      <w:pPr>
        <w:pStyle w:val="FCD"/>
        <w:numPr>
          <w:ilvl w:val="0"/>
          <w:numId w:val="10"/>
        </w:numPr>
        <w:spacing w:line="240" w:lineRule="auto"/>
        <w:rPr>
          <w:rFonts w:ascii="Verdana" w:hAnsi="Verdana" w:cs="Verdana"/>
          <w:sz w:val="20"/>
          <w:szCs w:val="20"/>
        </w:rPr>
      </w:pPr>
      <w:r w:rsidRPr="00FD2BC3">
        <w:rPr>
          <w:rFonts w:ascii="Verdana" w:hAnsi="Verdana" w:cs="Verdana"/>
          <w:sz w:val="20"/>
          <w:szCs w:val="20"/>
        </w:rPr>
        <w:t>Risco de taxa de juros: Uma redução na taxa de juros dos títulos aumentará o passivo do plano. Entretanto, isso será parcialmente compensado por um aumento do retorno sobre os títulos de dívida do plano;</w:t>
      </w:r>
    </w:p>
    <w:p w14:paraId="1E9E0ADC" w14:textId="77777777" w:rsidR="00E61229" w:rsidRPr="00FD2BC3" w:rsidRDefault="00E61229" w:rsidP="00E61229">
      <w:pPr>
        <w:pStyle w:val="FCD"/>
        <w:numPr>
          <w:ilvl w:val="0"/>
          <w:numId w:val="10"/>
        </w:numPr>
        <w:spacing w:line="240" w:lineRule="auto"/>
        <w:rPr>
          <w:rFonts w:ascii="Verdana" w:hAnsi="Verdana" w:cs="Verdana"/>
          <w:sz w:val="20"/>
          <w:szCs w:val="20"/>
        </w:rPr>
      </w:pPr>
      <w:r w:rsidRPr="00FD2BC3">
        <w:rPr>
          <w:rFonts w:ascii="Verdana" w:hAnsi="Verdana" w:cs="Verdana"/>
          <w:sz w:val="20"/>
          <w:szCs w:val="20"/>
        </w:rPr>
        <w:t xml:space="preserve">Risco de longevidade: O valor presente do passivo do plano de benefício definido é calculado por referência à melhor estimativa da mortalidade dos participantes do plano durante e após sua permanência no trabalho. Um aumento na expectativa de vida dos </w:t>
      </w:r>
      <w:proofErr w:type="gramStart"/>
      <w:r w:rsidRPr="00FD2BC3">
        <w:rPr>
          <w:rFonts w:ascii="Verdana" w:hAnsi="Verdana" w:cs="Verdana"/>
          <w:sz w:val="20"/>
          <w:szCs w:val="20"/>
        </w:rPr>
        <w:t>participantes  aumentará</w:t>
      </w:r>
      <w:proofErr w:type="gramEnd"/>
      <w:r w:rsidRPr="00FD2BC3">
        <w:rPr>
          <w:rFonts w:ascii="Verdana" w:hAnsi="Verdana" w:cs="Verdana"/>
          <w:sz w:val="20"/>
          <w:szCs w:val="20"/>
        </w:rPr>
        <w:t xml:space="preserve"> o passivo do plano; e</w:t>
      </w:r>
    </w:p>
    <w:p w14:paraId="301353EB" w14:textId="77777777" w:rsidR="00E61229" w:rsidRPr="00FD2BC3" w:rsidRDefault="00E61229" w:rsidP="00E61229">
      <w:pPr>
        <w:pStyle w:val="FCD"/>
        <w:numPr>
          <w:ilvl w:val="0"/>
          <w:numId w:val="10"/>
        </w:numPr>
        <w:spacing w:line="240" w:lineRule="auto"/>
        <w:rPr>
          <w:rFonts w:ascii="Verdana" w:hAnsi="Verdana" w:cs="Verdana"/>
          <w:sz w:val="20"/>
          <w:szCs w:val="20"/>
        </w:rPr>
      </w:pPr>
      <w:r w:rsidRPr="00FD2BC3">
        <w:rPr>
          <w:rFonts w:ascii="Verdana" w:hAnsi="Verdana" w:cs="Verdana"/>
          <w:sz w:val="20"/>
          <w:szCs w:val="20"/>
        </w:rPr>
        <w:t>Risco de salário: O valor presente do passivo do plano de benefício definido é calculado por referência aos salários futuros dos participantes do plano. Portanto, um aumento do salário dos participantes aumentará o passivo do plano.</w:t>
      </w:r>
    </w:p>
    <w:p w14:paraId="70872879" w14:textId="77777777" w:rsidR="00E61229" w:rsidRPr="00FD2BC3" w:rsidRDefault="00E61229" w:rsidP="00E61229">
      <w:pPr>
        <w:pStyle w:val="Bodycopy"/>
        <w:snapToGrid w:val="0"/>
        <w:spacing w:before="60" w:after="60"/>
        <w:ind w:left="360" w:right="360"/>
        <w:jc w:val="both"/>
        <w:rPr>
          <w:sz w:val="20"/>
          <w:szCs w:val="20"/>
          <w:lang w:val="pt-BR" w:eastAsia="en-AU"/>
        </w:rPr>
      </w:pPr>
    </w:p>
    <w:p w14:paraId="0C289C73" w14:textId="77777777" w:rsidR="00E61229" w:rsidRDefault="00E61229" w:rsidP="00E61229">
      <w:pPr>
        <w:rPr>
          <w:rFonts w:ascii="Verdana" w:hAnsi="Verdana"/>
          <w:sz w:val="20"/>
          <w:szCs w:val="20"/>
        </w:rPr>
      </w:pPr>
      <w:r w:rsidRPr="00FD2BC3">
        <w:rPr>
          <w:rFonts w:ascii="Verdana" w:hAnsi="Verdana"/>
          <w:sz w:val="20"/>
          <w:szCs w:val="20"/>
        </w:rPr>
        <w:t xml:space="preserve">As tabelas abaixo apresentam a conciliação do valor presente das obrigações de benefício definido e do valor justo dos ativos com os valores registrados no balanço patrimonial para os benefícios previdenciários e para os demais benefícios pós-emprego. A seguir estão apresentados os resultados da Companhia.  </w:t>
      </w:r>
    </w:p>
    <w:p w14:paraId="13AE3C6C" w14:textId="03B976CF" w:rsidR="00A533ED" w:rsidRPr="008506C9" w:rsidRDefault="00A533ED" w:rsidP="00A533ED">
      <w:pPr>
        <w:rPr>
          <w:rFonts w:ascii="Verdana" w:hAnsi="Verdana"/>
          <w:sz w:val="20"/>
          <w:szCs w:val="20"/>
        </w:rPr>
      </w:pPr>
      <w:r w:rsidRPr="008506C9">
        <w:rPr>
          <w:rFonts w:ascii="Verdana" w:hAnsi="Verdana"/>
          <w:sz w:val="20"/>
          <w:szCs w:val="20"/>
        </w:rPr>
        <w:t xml:space="preserve">  </w:t>
      </w:r>
    </w:p>
    <w:p w14:paraId="1B05CE5E" w14:textId="77777777" w:rsidR="00A533ED" w:rsidRPr="008506C9" w:rsidRDefault="00A533ED" w:rsidP="00A533ED">
      <w:pPr>
        <w:rPr>
          <w:rFonts w:ascii="Verdana" w:hAnsi="Verdana"/>
          <w:sz w:val="20"/>
          <w:szCs w:val="20"/>
        </w:rPr>
      </w:pPr>
      <w:r w:rsidRPr="008506C9">
        <w:rPr>
          <w:rFonts w:ascii="Verdana" w:hAnsi="Verdana"/>
          <w:sz w:val="20"/>
          <w:szCs w:val="20"/>
        </w:rPr>
        <w:t xml:space="preserve">Obrigações de benefício pós-emprego </w:t>
      </w:r>
      <w:r w:rsidR="002876C8">
        <w:rPr>
          <w:rFonts w:ascii="Verdana" w:hAnsi="Verdana"/>
          <w:sz w:val="20"/>
          <w:szCs w:val="20"/>
        </w:rPr>
        <w:t>–</w:t>
      </w:r>
      <w:r w:rsidRPr="008506C9">
        <w:rPr>
          <w:rFonts w:ascii="Verdana" w:hAnsi="Verdana"/>
          <w:sz w:val="20"/>
          <w:szCs w:val="20"/>
        </w:rPr>
        <w:t xml:space="preserve"> valores reconhecidos no balanço patrimonial:</w:t>
      </w:r>
    </w:p>
    <w:p w14:paraId="48CA9B34" w14:textId="77777777" w:rsidR="00A533ED" w:rsidRPr="008635C6" w:rsidRDefault="00A533ED" w:rsidP="00A533ED">
      <w:pPr>
        <w:jc w:val="center"/>
        <w:rPr>
          <w:sz w:val="20"/>
          <w:szCs w:val="20"/>
        </w:rPr>
      </w:pPr>
    </w:p>
    <w:p w14:paraId="1FB0F66E" w14:textId="77777777" w:rsidR="00A533ED" w:rsidRPr="008635C6" w:rsidRDefault="00760053" w:rsidP="00A533ED">
      <w:pPr>
        <w:jc w:val="center"/>
        <w:rPr>
          <w:sz w:val="20"/>
          <w:szCs w:val="20"/>
        </w:rPr>
      </w:pPr>
      <w:r w:rsidRPr="00760053">
        <w:rPr>
          <w:noProof/>
        </w:rPr>
        <w:drawing>
          <wp:inline distT="0" distB="0" distL="0" distR="0" wp14:anchorId="7C592569" wp14:editId="4E7EABE2">
            <wp:extent cx="5808990" cy="1116092"/>
            <wp:effectExtent l="0" t="0" r="1270" b="8255"/>
            <wp:docPr id="485" name="Imagem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822033" cy="1118598"/>
                    </a:xfrm>
                    <a:prstGeom prst="rect">
                      <a:avLst/>
                    </a:prstGeom>
                    <a:noFill/>
                    <a:ln>
                      <a:noFill/>
                    </a:ln>
                  </pic:spPr>
                </pic:pic>
              </a:graphicData>
            </a:graphic>
          </wp:inline>
        </w:drawing>
      </w:r>
    </w:p>
    <w:p w14:paraId="62EA99F3" w14:textId="620D4A12" w:rsidR="00A533ED" w:rsidRDefault="00A533ED" w:rsidP="00A533ED">
      <w:pPr>
        <w:rPr>
          <w:sz w:val="20"/>
          <w:szCs w:val="20"/>
          <w:highlight w:val="green"/>
        </w:rPr>
      </w:pPr>
    </w:p>
    <w:p w14:paraId="32DF6F47" w14:textId="0175D9DF" w:rsidR="003475BB" w:rsidRDefault="003475BB" w:rsidP="00A533ED">
      <w:pPr>
        <w:rPr>
          <w:sz w:val="20"/>
          <w:szCs w:val="20"/>
          <w:highlight w:val="green"/>
        </w:rPr>
      </w:pPr>
    </w:p>
    <w:p w14:paraId="5D20DDC3" w14:textId="77777777" w:rsidR="00A533ED" w:rsidRPr="00F373E5" w:rsidRDefault="00A533ED" w:rsidP="002876C8">
      <w:pPr>
        <w:pStyle w:val="PargrafodaLista"/>
        <w:numPr>
          <w:ilvl w:val="0"/>
          <w:numId w:val="15"/>
        </w:numPr>
        <w:ind w:left="284"/>
        <w:rPr>
          <w:rFonts w:ascii="Verdana" w:hAnsi="Verdana"/>
          <w:sz w:val="20"/>
          <w:szCs w:val="20"/>
        </w:rPr>
      </w:pPr>
      <w:r w:rsidRPr="00F373E5">
        <w:rPr>
          <w:rFonts w:ascii="Verdana" w:hAnsi="Verdana"/>
          <w:sz w:val="20"/>
          <w:szCs w:val="20"/>
        </w:rPr>
        <w:lastRenderedPageBreak/>
        <w:t>Conciliação dos passivos dos planos de previdência e outros benefícios</w:t>
      </w:r>
    </w:p>
    <w:p w14:paraId="50E85D8D" w14:textId="77777777" w:rsidR="00A533ED" w:rsidRPr="00F373E5" w:rsidRDefault="00A533ED" w:rsidP="00A533ED">
      <w:pPr>
        <w:pStyle w:val="PargrafodaLista"/>
        <w:tabs>
          <w:tab w:val="left" w:pos="992"/>
        </w:tabs>
        <w:ind w:left="720"/>
        <w:rPr>
          <w:rFonts w:ascii="Verdana" w:hAnsi="Verdana"/>
          <w:sz w:val="20"/>
          <w:szCs w:val="20"/>
        </w:rPr>
      </w:pPr>
    </w:p>
    <w:p w14:paraId="7D59D0A5" w14:textId="77777777" w:rsidR="00A533ED" w:rsidRDefault="00A533ED" w:rsidP="00A533ED">
      <w:pPr>
        <w:pStyle w:val="PargrafodaLista"/>
        <w:tabs>
          <w:tab w:val="left" w:pos="992"/>
        </w:tabs>
        <w:ind w:left="0"/>
        <w:rPr>
          <w:rFonts w:ascii="Verdana" w:hAnsi="Verdana"/>
          <w:sz w:val="20"/>
          <w:szCs w:val="20"/>
        </w:rPr>
      </w:pPr>
      <w:r w:rsidRPr="00F373E5">
        <w:rPr>
          <w:rFonts w:ascii="Verdana" w:hAnsi="Verdana"/>
          <w:sz w:val="20"/>
          <w:szCs w:val="20"/>
        </w:rPr>
        <w:t xml:space="preserve">Planos de benefícios definidos previdenciários </w:t>
      </w:r>
      <w:r w:rsidR="002876C8">
        <w:rPr>
          <w:rFonts w:ascii="Verdana" w:hAnsi="Verdana"/>
          <w:sz w:val="20"/>
          <w:szCs w:val="20"/>
        </w:rPr>
        <w:t>–</w:t>
      </w:r>
      <w:r w:rsidRPr="00F373E5">
        <w:rPr>
          <w:rFonts w:ascii="Verdana" w:hAnsi="Verdana"/>
          <w:sz w:val="20"/>
          <w:szCs w:val="20"/>
        </w:rPr>
        <w:t xml:space="preserve"> Valores reconhecidos no balanço patrimonial e demonstração do resultado do exercício:</w:t>
      </w:r>
    </w:p>
    <w:p w14:paraId="79A655C1" w14:textId="77777777" w:rsidR="00F123C7" w:rsidRDefault="00F123C7" w:rsidP="00A533ED">
      <w:pPr>
        <w:pStyle w:val="PargrafodaLista"/>
        <w:tabs>
          <w:tab w:val="left" w:pos="992"/>
        </w:tabs>
        <w:ind w:left="0"/>
        <w:rPr>
          <w:rFonts w:ascii="Verdana" w:hAnsi="Verdana"/>
          <w:sz w:val="20"/>
          <w:szCs w:val="20"/>
        </w:rPr>
      </w:pPr>
    </w:p>
    <w:p w14:paraId="7D34CB37" w14:textId="77777777" w:rsidR="00A533ED" w:rsidRPr="00B75FA1" w:rsidRDefault="00F123C7" w:rsidP="00F123C7">
      <w:pPr>
        <w:pStyle w:val="PargrafodaLista"/>
        <w:tabs>
          <w:tab w:val="left" w:pos="992"/>
        </w:tabs>
        <w:ind w:left="0"/>
        <w:rPr>
          <w:rFonts w:ascii="Verdana" w:hAnsi="Verdana"/>
          <w:sz w:val="20"/>
          <w:szCs w:val="20"/>
          <w:highlight w:val="green"/>
        </w:rPr>
      </w:pPr>
      <w:r>
        <w:rPr>
          <w:rFonts w:ascii="Verdana" w:hAnsi="Verdana"/>
          <w:sz w:val="20"/>
          <w:szCs w:val="20"/>
        </w:rPr>
        <w:t>a.1) Real Grandeza:</w:t>
      </w:r>
    </w:p>
    <w:p w14:paraId="6D64F1CB" w14:textId="77777777" w:rsidR="00A533ED" w:rsidRDefault="00F123C7" w:rsidP="00F123C7">
      <w:pPr>
        <w:jc w:val="center"/>
        <w:rPr>
          <w:rFonts w:ascii="Segoe UI" w:hAnsi="Segoe UI" w:cs="Segoe UI"/>
          <w:color w:val="FF0000"/>
          <w:sz w:val="16"/>
          <w:szCs w:val="16"/>
          <w:highlight w:val="green"/>
          <w:shd w:val="clear" w:color="auto" w:fill="FFFFFF"/>
        </w:rPr>
      </w:pPr>
      <w:r w:rsidRPr="00F123C7">
        <w:rPr>
          <w:noProof/>
        </w:rPr>
        <w:drawing>
          <wp:inline distT="0" distB="0" distL="0" distR="0" wp14:anchorId="05D0B555" wp14:editId="638B7B7F">
            <wp:extent cx="5414404" cy="1488871"/>
            <wp:effectExtent l="0" t="0" r="0" b="0"/>
            <wp:docPr id="57"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41479" cy="1496316"/>
                    </a:xfrm>
                    <a:prstGeom prst="rect">
                      <a:avLst/>
                    </a:prstGeom>
                    <a:noFill/>
                    <a:ln>
                      <a:noFill/>
                    </a:ln>
                  </pic:spPr>
                </pic:pic>
              </a:graphicData>
            </a:graphic>
          </wp:inline>
        </w:drawing>
      </w:r>
    </w:p>
    <w:p w14:paraId="549CD97A" w14:textId="77777777" w:rsidR="00F123C7" w:rsidRPr="00B75FA1" w:rsidRDefault="00F123C7" w:rsidP="00A533ED">
      <w:pPr>
        <w:jc w:val="center"/>
        <w:rPr>
          <w:color w:val="FF0000"/>
          <w:sz w:val="16"/>
          <w:szCs w:val="16"/>
          <w:highlight w:val="green"/>
          <w:lang w:val="pt-PT"/>
        </w:rPr>
      </w:pPr>
    </w:p>
    <w:p w14:paraId="39A99076" w14:textId="1A73DF06" w:rsidR="00F123C7" w:rsidRDefault="00F123C7" w:rsidP="00F123C7">
      <w:pPr>
        <w:pStyle w:val="PargrafodaLista"/>
        <w:tabs>
          <w:tab w:val="left" w:pos="992"/>
        </w:tabs>
        <w:ind w:left="0"/>
        <w:rPr>
          <w:rFonts w:ascii="Verdana" w:hAnsi="Verdana"/>
          <w:sz w:val="20"/>
          <w:szCs w:val="20"/>
        </w:rPr>
      </w:pPr>
      <w:r>
        <w:rPr>
          <w:rFonts w:ascii="Verdana" w:hAnsi="Verdana"/>
          <w:sz w:val="20"/>
          <w:szCs w:val="20"/>
        </w:rPr>
        <w:t>a.</w:t>
      </w:r>
      <w:r w:rsidR="00A03290">
        <w:rPr>
          <w:rFonts w:ascii="Verdana" w:hAnsi="Verdana"/>
          <w:sz w:val="20"/>
          <w:szCs w:val="20"/>
        </w:rPr>
        <w:t>2</w:t>
      </w:r>
      <w:r>
        <w:rPr>
          <w:rFonts w:ascii="Verdana" w:hAnsi="Verdana"/>
          <w:sz w:val="20"/>
          <w:szCs w:val="20"/>
        </w:rPr>
        <w:t xml:space="preserve">) </w:t>
      </w:r>
      <w:proofErr w:type="spellStart"/>
      <w:r w:rsidR="003E3133">
        <w:rPr>
          <w:rFonts w:ascii="Verdana" w:hAnsi="Verdana"/>
          <w:sz w:val="20"/>
          <w:szCs w:val="20"/>
        </w:rPr>
        <w:t>Nucleos</w:t>
      </w:r>
      <w:proofErr w:type="spellEnd"/>
      <w:r w:rsidR="0012173A">
        <w:rPr>
          <w:rFonts w:ascii="Verdana" w:hAnsi="Verdana"/>
          <w:sz w:val="20"/>
          <w:szCs w:val="20"/>
        </w:rPr>
        <w:t>:</w:t>
      </w:r>
    </w:p>
    <w:p w14:paraId="3917C513" w14:textId="77777777" w:rsidR="00F123C7" w:rsidRPr="00F373E5" w:rsidRDefault="00254AC9" w:rsidP="00F123C7">
      <w:pPr>
        <w:pStyle w:val="PargrafodaLista"/>
        <w:tabs>
          <w:tab w:val="left" w:pos="992"/>
        </w:tabs>
        <w:ind w:left="0"/>
        <w:jc w:val="center"/>
        <w:rPr>
          <w:rFonts w:ascii="Verdana" w:hAnsi="Verdana"/>
          <w:sz w:val="20"/>
          <w:szCs w:val="20"/>
        </w:rPr>
      </w:pPr>
      <w:r w:rsidRPr="00254AC9" w:rsidDel="00254AC9">
        <w:t xml:space="preserve"> </w:t>
      </w:r>
      <w:r w:rsidR="00AD0C4E" w:rsidRPr="00AD0C4E">
        <w:rPr>
          <w:noProof/>
        </w:rPr>
        <w:drawing>
          <wp:inline distT="0" distB="0" distL="0" distR="0" wp14:anchorId="46D738D8" wp14:editId="05A8BB1B">
            <wp:extent cx="5476490" cy="1226454"/>
            <wp:effectExtent l="0" t="0" r="0" b="0"/>
            <wp:docPr id="499" name="Imagem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496691" cy="1230978"/>
                    </a:xfrm>
                    <a:prstGeom prst="rect">
                      <a:avLst/>
                    </a:prstGeom>
                    <a:noFill/>
                    <a:ln>
                      <a:noFill/>
                    </a:ln>
                  </pic:spPr>
                </pic:pic>
              </a:graphicData>
            </a:graphic>
          </wp:inline>
        </w:drawing>
      </w:r>
    </w:p>
    <w:p w14:paraId="5FF04B4F" w14:textId="77777777" w:rsidR="00A533ED" w:rsidRPr="00B75FA1" w:rsidRDefault="00A533ED" w:rsidP="00A533ED">
      <w:pPr>
        <w:tabs>
          <w:tab w:val="left" w:pos="992"/>
        </w:tabs>
        <w:rPr>
          <w:rFonts w:ascii="Verdana" w:hAnsi="Verdana"/>
          <w:sz w:val="20"/>
          <w:szCs w:val="20"/>
          <w:highlight w:val="green"/>
          <w:lang w:val="pt-PT"/>
        </w:rPr>
      </w:pPr>
    </w:p>
    <w:p w14:paraId="2085F4A3" w14:textId="77777777" w:rsidR="00A533ED" w:rsidRDefault="00A533ED" w:rsidP="00A533ED">
      <w:pPr>
        <w:tabs>
          <w:tab w:val="left" w:pos="992"/>
        </w:tabs>
        <w:rPr>
          <w:rFonts w:ascii="Verdana" w:hAnsi="Verdana"/>
          <w:sz w:val="20"/>
          <w:szCs w:val="20"/>
        </w:rPr>
      </w:pPr>
      <w:r w:rsidRPr="00F123C7">
        <w:rPr>
          <w:rFonts w:ascii="Verdana" w:hAnsi="Verdana"/>
          <w:sz w:val="20"/>
          <w:szCs w:val="20"/>
        </w:rPr>
        <w:t xml:space="preserve">Outros benefícios pós-emprego </w:t>
      </w:r>
      <w:r w:rsidR="002876C8" w:rsidRPr="00F123C7">
        <w:rPr>
          <w:rFonts w:ascii="Verdana" w:hAnsi="Verdana"/>
          <w:sz w:val="20"/>
          <w:szCs w:val="20"/>
        </w:rPr>
        <w:t>–</w:t>
      </w:r>
      <w:r w:rsidRPr="00F123C7">
        <w:rPr>
          <w:rFonts w:ascii="Verdana" w:hAnsi="Verdana"/>
          <w:sz w:val="20"/>
          <w:szCs w:val="20"/>
        </w:rPr>
        <w:t xml:space="preserve"> Valores reconhecidos no balanço patrimonial e </w:t>
      </w:r>
      <w:r w:rsidR="000D678A">
        <w:rPr>
          <w:rFonts w:ascii="Verdana" w:hAnsi="Verdana"/>
          <w:sz w:val="20"/>
          <w:szCs w:val="20"/>
        </w:rPr>
        <w:t xml:space="preserve">na </w:t>
      </w:r>
      <w:r w:rsidRPr="00F123C7">
        <w:rPr>
          <w:rFonts w:ascii="Verdana" w:hAnsi="Verdana"/>
          <w:sz w:val="20"/>
          <w:szCs w:val="20"/>
        </w:rPr>
        <w:t>demonstração do resultado do exercício:</w:t>
      </w:r>
    </w:p>
    <w:p w14:paraId="4E06CA03" w14:textId="77777777" w:rsidR="00A03290" w:rsidRDefault="00A03290" w:rsidP="00A533ED">
      <w:pPr>
        <w:tabs>
          <w:tab w:val="left" w:pos="992"/>
        </w:tabs>
        <w:rPr>
          <w:rFonts w:ascii="Verdana" w:hAnsi="Verdana"/>
          <w:sz w:val="20"/>
          <w:szCs w:val="20"/>
        </w:rPr>
      </w:pPr>
    </w:p>
    <w:p w14:paraId="7580A2CA" w14:textId="77777777" w:rsidR="00A03290" w:rsidRDefault="00A03290" w:rsidP="00A533ED">
      <w:pPr>
        <w:tabs>
          <w:tab w:val="left" w:pos="992"/>
        </w:tabs>
        <w:rPr>
          <w:rFonts w:ascii="Verdana" w:hAnsi="Verdana"/>
          <w:sz w:val="20"/>
          <w:szCs w:val="20"/>
        </w:rPr>
      </w:pPr>
    </w:p>
    <w:p w14:paraId="7A069973" w14:textId="48B26105" w:rsidR="00A03290" w:rsidRPr="00F123C7" w:rsidRDefault="00A03290" w:rsidP="00712BD2">
      <w:pPr>
        <w:pStyle w:val="PargrafodaLista"/>
        <w:tabs>
          <w:tab w:val="left" w:pos="992"/>
        </w:tabs>
        <w:ind w:left="0"/>
        <w:rPr>
          <w:rFonts w:ascii="Verdana" w:hAnsi="Verdana"/>
          <w:sz w:val="20"/>
          <w:szCs w:val="20"/>
        </w:rPr>
      </w:pPr>
      <w:r>
        <w:rPr>
          <w:rFonts w:ascii="Verdana" w:hAnsi="Verdana"/>
          <w:sz w:val="20"/>
          <w:szCs w:val="20"/>
        </w:rPr>
        <w:t>a.3) Saúde:</w:t>
      </w:r>
    </w:p>
    <w:p w14:paraId="6A39D566" w14:textId="77777777" w:rsidR="00A533ED" w:rsidRDefault="00A03290" w:rsidP="00A533ED">
      <w:pPr>
        <w:tabs>
          <w:tab w:val="left" w:pos="992"/>
        </w:tabs>
        <w:jc w:val="center"/>
        <w:rPr>
          <w:rFonts w:ascii="Segoe UI" w:hAnsi="Segoe UI" w:cs="Segoe UI"/>
          <w:color w:val="FF0000"/>
          <w:sz w:val="16"/>
          <w:szCs w:val="16"/>
          <w:highlight w:val="green"/>
          <w:shd w:val="clear" w:color="auto" w:fill="FFFFFF"/>
        </w:rPr>
      </w:pPr>
      <w:r w:rsidRPr="00A03290">
        <w:rPr>
          <w:noProof/>
        </w:rPr>
        <w:drawing>
          <wp:inline distT="0" distB="0" distL="0" distR="0" wp14:anchorId="22B93A79" wp14:editId="4E25E4AB">
            <wp:extent cx="5489639" cy="1075187"/>
            <wp:effectExtent l="0" t="0" r="0" b="0"/>
            <wp:docPr id="452" name="Imagem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50247" cy="1087057"/>
                    </a:xfrm>
                    <a:prstGeom prst="rect">
                      <a:avLst/>
                    </a:prstGeom>
                    <a:noFill/>
                    <a:ln>
                      <a:noFill/>
                    </a:ln>
                  </pic:spPr>
                </pic:pic>
              </a:graphicData>
            </a:graphic>
          </wp:inline>
        </w:drawing>
      </w:r>
    </w:p>
    <w:p w14:paraId="4F272BCB" w14:textId="77777777" w:rsidR="006C69B8" w:rsidRDefault="006C69B8" w:rsidP="00A533ED">
      <w:pPr>
        <w:rPr>
          <w:sz w:val="20"/>
          <w:szCs w:val="20"/>
          <w:highlight w:val="green"/>
        </w:rPr>
      </w:pPr>
    </w:p>
    <w:p w14:paraId="0A402FB0" w14:textId="4154A593" w:rsidR="00A03290" w:rsidRDefault="00A03290" w:rsidP="00712BD2">
      <w:pPr>
        <w:pStyle w:val="PargrafodaLista"/>
        <w:tabs>
          <w:tab w:val="left" w:pos="992"/>
        </w:tabs>
        <w:ind w:left="0"/>
        <w:jc w:val="left"/>
        <w:rPr>
          <w:rFonts w:ascii="Verdana" w:hAnsi="Verdana"/>
          <w:sz w:val="20"/>
          <w:szCs w:val="20"/>
        </w:rPr>
      </w:pPr>
      <w:r>
        <w:rPr>
          <w:rFonts w:ascii="Verdana" w:hAnsi="Verdana"/>
          <w:sz w:val="20"/>
          <w:szCs w:val="20"/>
        </w:rPr>
        <w:t>a.</w:t>
      </w:r>
      <w:r w:rsidR="000B0E6B">
        <w:rPr>
          <w:rFonts w:ascii="Verdana" w:hAnsi="Verdana"/>
          <w:sz w:val="20"/>
          <w:szCs w:val="20"/>
        </w:rPr>
        <w:t>4</w:t>
      </w:r>
      <w:r>
        <w:rPr>
          <w:rFonts w:ascii="Verdana" w:hAnsi="Verdana"/>
          <w:sz w:val="20"/>
          <w:szCs w:val="20"/>
        </w:rPr>
        <w:t xml:space="preserve">) </w:t>
      </w:r>
      <w:r w:rsidR="000B0E6B">
        <w:rPr>
          <w:rFonts w:ascii="Verdana" w:hAnsi="Verdana"/>
          <w:sz w:val="20"/>
          <w:szCs w:val="20"/>
        </w:rPr>
        <w:t>PAE:</w:t>
      </w:r>
    </w:p>
    <w:p w14:paraId="5B7221C4" w14:textId="77777777" w:rsidR="000B0E6B" w:rsidRDefault="000B0E6B" w:rsidP="000B0E6B">
      <w:pPr>
        <w:pStyle w:val="PargrafodaLista"/>
        <w:tabs>
          <w:tab w:val="left" w:pos="992"/>
        </w:tabs>
        <w:ind w:left="0"/>
        <w:jc w:val="center"/>
        <w:rPr>
          <w:rFonts w:ascii="Verdana" w:hAnsi="Verdana"/>
          <w:sz w:val="20"/>
          <w:szCs w:val="20"/>
        </w:rPr>
      </w:pPr>
      <w:r w:rsidRPr="000B0E6B">
        <w:rPr>
          <w:noProof/>
        </w:rPr>
        <w:drawing>
          <wp:inline distT="0" distB="0" distL="0" distR="0" wp14:anchorId="01936B20" wp14:editId="39BEE4C3">
            <wp:extent cx="5518576" cy="1135635"/>
            <wp:effectExtent l="0" t="0" r="6350" b="0"/>
            <wp:docPr id="455" name="Imagem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578230" cy="1147911"/>
                    </a:xfrm>
                    <a:prstGeom prst="rect">
                      <a:avLst/>
                    </a:prstGeom>
                    <a:noFill/>
                    <a:ln>
                      <a:noFill/>
                    </a:ln>
                  </pic:spPr>
                </pic:pic>
              </a:graphicData>
            </a:graphic>
          </wp:inline>
        </w:drawing>
      </w:r>
    </w:p>
    <w:p w14:paraId="44864A33" w14:textId="0306ED25" w:rsidR="000B0E6B" w:rsidRDefault="000B0E6B" w:rsidP="000B0E6B">
      <w:pPr>
        <w:pStyle w:val="PargrafodaLista"/>
        <w:tabs>
          <w:tab w:val="left" w:pos="992"/>
        </w:tabs>
        <w:ind w:left="0"/>
        <w:jc w:val="center"/>
        <w:rPr>
          <w:rFonts w:ascii="Verdana" w:hAnsi="Verdana"/>
          <w:sz w:val="20"/>
          <w:szCs w:val="20"/>
        </w:rPr>
      </w:pPr>
    </w:p>
    <w:p w14:paraId="3BC462C8" w14:textId="4DD0EE2E" w:rsidR="00301739" w:rsidRDefault="00301739" w:rsidP="000B0E6B">
      <w:pPr>
        <w:pStyle w:val="PargrafodaLista"/>
        <w:tabs>
          <w:tab w:val="left" w:pos="992"/>
        </w:tabs>
        <w:ind w:left="0"/>
        <w:jc w:val="center"/>
        <w:rPr>
          <w:rFonts w:ascii="Verdana" w:hAnsi="Verdana"/>
          <w:sz w:val="20"/>
          <w:szCs w:val="20"/>
        </w:rPr>
      </w:pPr>
    </w:p>
    <w:p w14:paraId="634E323A" w14:textId="662EEF4D" w:rsidR="00301739" w:rsidRDefault="00301739" w:rsidP="000B0E6B">
      <w:pPr>
        <w:pStyle w:val="PargrafodaLista"/>
        <w:tabs>
          <w:tab w:val="left" w:pos="992"/>
        </w:tabs>
        <w:ind w:left="0"/>
        <w:jc w:val="center"/>
        <w:rPr>
          <w:rFonts w:ascii="Verdana" w:hAnsi="Verdana"/>
          <w:sz w:val="20"/>
          <w:szCs w:val="20"/>
        </w:rPr>
      </w:pPr>
    </w:p>
    <w:p w14:paraId="319F3F21" w14:textId="6C72A209" w:rsidR="00301739" w:rsidRDefault="00301739" w:rsidP="000B0E6B">
      <w:pPr>
        <w:pStyle w:val="PargrafodaLista"/>
        <w:tabs>
          <w:tab w:val="left" w:pos="992"/>
        </w:tabs>
        <w:ind w:left="0"/>
        <w:jc w:val="center"/>
        <w:rPr>
          <w:rFonts w:ascii="Verdana" w:hAnsi="Verdana"/>
          <w:sz w:val="20"/>
          <w:szCs w:val="20"/>
        </w:rPr>
      </w:pPr>
    </w:p>
    <w:p w14:paraId="04BF32E0" w14:textId="70BAC352" w:rsidR="00301739" w:rsidRDefault="00301739" w:rsidP="000B0E6B">
      <w:pPr>
        <w:pStyle w:val="PargrafodaLista"/>
        <w:tabs>
          <w:tab w:val="left" w:pos="992"/>
        </w:tabs>
        <w:ind w:left="0"/>
        <w:jc w:val="center"/>
        <w:rPr>
          <w:rFonts w:ascii="Verdana" w:hAnsi="Verdana"/>
          <w:sz w:val="20"/>
          <w:szCs w:val="20"/>
        </w:rPr>
      </w:pPr>
    </w:p>
    <w:p w14:paraId="47E41261" w14:textId="5000DD6D" w:rsidR="00301739" w:rsidRDefault="00301739" w:rsidP="000B0E6B">
      <w:pPr>
        <w:pStyle w:val="PargrafodaLista"/>
        <w:tabs>
          <w:tab w:val="left" w:pos="992"/>
        </w:tabs>
        <w:ind w:left="0"/>
        <w:jc w:val="center"/>
        <w:rPr>
          <w:rFonts w:ascii="Verdana" w:hAnsi="Verdana"/>
          <w:sz w:val="20"/>
          <w:szCs w:val="20"/>
        </w:rPr>
      </w:pPr>
    </w:p>
    <w:p w14:paraId="4C3B8FF7" w14:textId="77777777" w:rsidR="00301739" w:rsidRDefault="00301739" w:rsidP="000B0E6B">
      <w:pPr>
        <w:pStyle w:val="PargrafodaLista"/>
        <w:tabs>
          <w:tab w:val="left" w:pos="992"/>
        </w:tabs>
        <w:ind w:left="0"/>
        <w:jc w:val="center"/>
        <w:rPr>
          <w:rFonts w:ascii="Verdana" w:hAnsi="Verdana"/>
          <w:sz w:val="20"/>
          <w:szCs w:val="20"/>
        </w:rPr>
      </w:pPr>
    </w:p>
    <w:p w14:paraId="6ED952E0" w14:textId="77777777" w:rsidR="00DD26C1" w:rsidRDefault="00DD26C1" w:rsidP="000B0E6B">
      <w:pPr>
        <w:pStyle w:val="PargrafodaLista"/>
        <w:tabs>
          <w:tab w:val="left" w:pos="992"/>
        </w:tabs>
        <w:ind w:left="0"/>
        <w:jc w:val="center"/>
        <w:rPr>
          <w:rFonts w:ascii="Verdana" w:hAnsi="Verdana"/>
          <w:sz w:val="20"/>
          <w:szCs w:val="20"/>
        </w:rPr>
      </w:pPr>
    </w:p>
    <w:p w14:paraId="224D5F1A" w14:textId="77777777" w:rsidR="000B0E6B" w:rsidRDefault="000B0E6B" w:rsidP="000B0E6B">
      <w:pPr>
        <w:pStyle w:val="PargrafodaLista"/>
        <w:tabs>
          <w:tab w:val="left" w:pos="992"/>
        </w:tabs>
        <w:ind w:left="0"/>
        <w:jc w:val="left"/>
        <w:rPr>
          <w:rFonts w:ascii="Verdana" w:hAnsi="Verdana"/>
          <w:sz w:val="20"/>
          <w:szCs w:val="20"/>
        </w:rPr>
      </w:pPr>
      <w:r>
        <w:rPr>
          <w:rFonts w:ascii="Verdana" w:hAnsi="Verdana"/>
          <w:sz w:val="20"/>
          <w:szCs w:val="20"/>
        </w:rPr>
        <w:lastRenderedPageBreak/>
        <w:t>a.4) P</w:t>
      </w:r>
      <w:r w:rsidR="00DD26C1">
        <w:rPr>
          <w:rFonts w:ascii="Verdana" w:hAnsi="Verdana"/>
          <w:sz w:val="20"/>
          <w:szCs w:val="20"/>
        </w:rPr>
        <w:t>ID</w:t>
      </w:r>
      <w:r>
        <w:rPr>
          <w:rFonts w:ascii="Verdana" w:hAnsi="Verdana"/>
          <w:sz w:val="20"/>
          <w:szCs w:val="20"/>
        </w:rPr>
        <w:t>:</w:t>
      </w:r>
    </w:p>
    <w:p w14:paraId="0D462883" w14:textId="77777777" w:rsidR="00A03290" w:rsidRDefault="00DD26C1" w:rsidP="00DD26C1">
      <w:pPr>
        <w:jc w:val="center"/>
        <w:rPr>
          <w:sz w:val="20"/>
          <w:szCs w:val="20"/>
          <w:highlight w:val="green"/>
        </w:rPr>
      </w:pPr>
      <w:r w:rsidRPr="00DD26C1">
        <w:rPr>
          <w:noProof/>
        </w:rPr>
        <w:drawing>
          <wp:inline distT="0" distB="0" distL="0" distR="0" wp14:anchorId="2FF27C10" wp14:editId="2684E369">
            <wp:extent cx="5539266" cy="1232417"/>
            <wp:effectExtent l="0" t="0" r="4445" b="0"/>
            <wp:docPr id="459" name="Imagem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612339" cy="1248675"/>
                    </a:xfrm>
                    <a:prstGeom prst="rect">
                      <a:avLst/>
                    </a:prstGeom>
                    <a:noFill/>
                    <a:ln>
                      <a:noFill/>
                    </a:ln>
                  </pic:spPr>
                </pic:pic>
              </a:graphicData>
            </a:graphic>
          </wp:inline>
        </w:drawing>
      </w:r>
    </w:p>
    <w:p w14:paraId="578CE8AE" w14:textId="77777777" w:rsidR="000B0E6B" w:rsidRPr="00B75FA1" w:rsidRDefault="000B0E6B" w:rsidP="00A533ED">
      <w:pPr>
        <w:rPr>
          <w:sz w:val="20"/>
          <w:szCs w:val="20"/>
          <w:highlight w:val="green"/>
        </w:rPr>
      </w:pPr>
    </w:p>
    <w:p w14:paraId="53C732CD" w14:textId="77777777" w:rsidR="00A533ED" w:rsidRPr="00EA2BAF" w:rsidRDefault="00A533ED" w:rsidP="00EA2BAF">
      <w:pPr>
        <w:pStyle w:val="PargrafodaLista"/>
        <w:numPr>
          <w:ilvl w:val="0"/>
          <w:numId w:val="15"/>
        </w:numPr>
        <w:ind w:left="284"/>
        <w:rPr>
          <w:rFonts w:ascii="Verdana" w:hAnsi="Verdana"/>
          <w:sz w:val="20"/>
          <w:szCs w:val="20"/>
        </w:rPr>
      </w:pPr>
      <w:r w:rsidRPr="00EA2BAF">
        <w:rPr>
          <w:rFonts w:ascii="Verdana" w:hAnsi="Verdana"/>
          <w:sz w:val="20"/>
          <w:szCs w:val="20"/>
        </w:rPr>
        <w:t>Divulgação de Benefícios Definidos Previdenciários</w:t>
      </w:r>
    </w:p>
    <w:p w14:paraId="1BF4C947" w14:textId="77777777" w:rsidR="00A533ED" w:rsidRPr="00B75FA1" w:rsidRDefault="00A533ED" w:rsidP="00A533ED">
      <w:pPr>
        <w:rPr>
          <w:rFonts w:ascii="Verdana" w:hAnsi="Verdana"/>
          <w:sz w:val="20"/>
          <w:szCs w:val="20"/>
          <w:highlight w:val="green"/>
        </w:rPr>
      </w:pPr>
    </w:p>
    <w:p w14:paraId="18DA645D" w14:textId="77777777" w:rsidR="00A533ED" w:rsidRDefault="00A533ED" w:rsidP="00A533ED">
      <w:pPr>
        <w:rPr>
          <w:rFonts w:ascii="Verdana" w:hAnsi="Verdana"/>
          <w:sz w:val="20"/>
          <w:szCs w:val="20"/>
          <w:highlight w:val="green"/>
        </w:rPr>
      </w:pPr>
      <w:r w:rsidRPr="00D35686">
        <w:rPr>
          <w:rFonts w:ascii="Verdana" w:hAnsi="Verdana"/>
          <w:sz w:val="20"/>
          <w:szCs w:val="20"/>
        </w:rPr>
        <w:t xml:space="preserve">Resultados de benefícios definidos previdenciários </w:t>
      </w:r>
      <w:r w:rsidR="002876C8" w:rsidRPr="00D35686">
        <w:rPr>
          <w:rFonts w:ascii="Verdana" w:hAnsi="Verdana"/>
          <w:sz w:val="20"/>
          <w:szCs w:val="20"/>
        </w:rPr>
        <w:t>–</w:t>
      </w:r>
      <w:r w:rsidRPr="00D35686">
        <w:rPr>
          <w:rFonts w:ascii="Verdana" w:hAnsi="Verdana"/>
          <w:sz w:val="20"/>
          <w:szCs w:val="20"/>
        </w:rPr>
        <w:t xml:space="preserve"> conciliação do valor presente das obrigações de benefício definido.</w:t>
      </w:r>
      <w:r w:rsidR="00363163" w:rsidRPr="00B75FA1">
        <w:rPr>
          <w:rFonts w:ascii="Verdana" w:hAnsi="Verdana"/>
          <w:sz w:val="20"/>
          <w:szCs w:val="20"/>
          <w:highlight w:val="green"/>
        </w:rPr>
        <w:t xml:space="preserve"> </w:t>
      </w:r>
    </w:p>
    <w:p w14:paraId="0D4906C6" w14:textId="77777777" w:rsidR="00363163" w:rsidRPr="00B75FA1" w:rsidRDefault="00363163" w:rsidP="00A533ED">
      <w:pPr>
        <w:rPr>
          <w:rFonts w:ascii="Verdana" w:hAnsi="Verdana"/>
          <w:sz w:val="20"/>
          <w:szCs w:val="20"/>
          <w:highlight w:val="green"/>
        </w:rPr>
      </w:pPr>
    </w:p>
    <w:p w14:paraId="45959C3E" w14:textId="77777777" w:rsidR="00C10D80" w:rsidRDefault="00C10D80" w:rsidP="00A533ED">
      <w:pPr>
        <w:rPr>
          <w:rFonts w:ascii="Verdana" w:hAnsi="Verdana"/>
          <w:sz w:val="20"/>
          <w:szCs w:val="20"/>
        </w:rPr>
      </w:pPr>
    </w:p>
    <w:p w14:paraId="34B441E2" w14:textId="1AE77488" w:rsidR="003E3133" w:rsidRPr="003E3133" w:rsidRDefault="003E3133" w:rsidP="004D6896">
      <w:pPr>
        <w:pStyle w:val="PargrafodaLista"/>
        <w:tabs>
          <w:tab w:val="left" w:pos="992"/>
        </w:tabs>
        <w:ind w:left="0"/>
        <w:rPr>
          <w:rFonts w:ascii="Verdana" w:hAnsi="Verdana"/>
          <w:sz w:val="20"/>
          <w:szCs w:val="20"/>
        </w:rPr>
      </w:pPr>
      <w:r>
        <w:rPr>
          <w:rFonts w:ascii="Verdana" w:hAnsi="Verdana"/>
          <w:sz w:val="20"/>
          <w:szCs w:val="20"/>
        </w:rPr>
        <w:t>b.1) Real Grandeza:</w:t>
      </w:r>
    </w:p>
    <w:p w14:paraId="025046C9" w14:textId="226446BD" w:rsidR="00A533ED" w:rsidRPr="00B75FA1" w:rsidRDefault="00E12483" w:rsidP="00A533ED">
      <w:pPr>
        <w:jc w:val="center"/>
        <w:rPr>
          <w:sz w:val="20"/>
          <w:szCs w:val="20"/>
          <w:highlight w:val="green"/>
        </w:rPr>
      </w:pPr>
      <w:r w:rsidRPr="00A7192B">
        <w:rPr>
          <w:noProof/>
        </w:rPr>
        <w:drawing>
          <wp:inline distT="0" distB="0" distL="0" distR="0" wp14:anchorId="0514E743" wp14:editId="1DB2BA87">
            <wp:extent cx="5566702" cy="133832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85987" cy="1342956"/>
                    </a:xfrm>
                    <a:prstGeom prst="rect">
                      <a:avLst/>
                    </a:prstGeom>
                    <a:noFill/>
                    <a:ln>
                      <a:noFill/>
                    </a:ln>
                  </pic:spPr>
                </pic:pic>
              </a:graphicData>
            </a:graphic>
          </wp:inline>
        </w:drawing>
      </w:r>
    </w:p>
    <w:p w14:paraId="5CB82BAA" w14:textId="492EF060" w:rsidR="00A533ED" w:rsidRDefault="00A533ED" w:rsidP="00A533ED">
      <w:pPr>
        <w:tabs>
          <w:tab w:val="left" w:pos="992"/>
        </w:tabs>
        <w:jc w:val="center"/>
        <w:rPr>
          <w:rFonts w:ascii="Segoe UI" w:hAnsi="Segoe UI" w:cs="Segoe UI"/>
          <w:color w:val="FF0000"/>
          <w:sz w:val="16"/>
          <w:szCs w:val="16"/>
          <w:highlight w:val="green"/>
          <w:shd w:val="clear" w:color="auto" w:fill="FFFFFF"/>
        </w:rPr>
      </w:pPr>
    </w:p>
    <w:p w14:paraId="28C860E1" w14:textId="77777777" w:rsidR="00392419" w:rsidRDefault="00392419" w:rsidP="00A533ED">
      <w:pPr>
        <w:tabs>
          <w:tab w:val="left" w:pos="992"/>
        </w:tabs>
        <w:jc w:val="center"/>
        <w:rPr>
          <w:rFonts w:ascii="Segoe UI" w:hAnsi="Segoe UI" w:cs="Segoe UI"/>
          <w:color w:val="FF0000"/>
          <w:sz w:val="16"/>
          <w:szCs w:val="16"/>
          <w:highlight w:val="green"/>
          <w:shd w:val="clear" w:color="auto" w:fill="FFFFFF"/>
        </w:rPr>
      </w:pPr>
    </w:p>
    <w:p w14:paraId="206FFDC4" w14:textId="77777777" w:rsidR="003E3133" w:rsidRDefault="003E3133" w:rsidP="003E3133">
      <w:pPr>
        <w:tabs>
          <w:tab w:val="left" w:pos="992"/>
        </w:tabs>
        <w:rPr>
          <w:rFonts w:ascii="Segoe UI" w:hAnsi="Segoe UI" w:cs="Segoe UI"/>
          <w:color w:val="FF0000"/>
          <w:sz w:val="16"/>
          <w:szCs w:val="16"/>
          <w:highlight w:val="green"/>
          <w:shd w:val="clear" w:color="auto" w:fill="FFFFFF"/>
        </w:rPr>
      </w:pPr>
    </w:p>
    <w:p w14:paraId="236A1603" w14:textId="72E5B1E0" w:rsidR="00A533ED" w:rsidRPr="00B75FA1" w:rsidRDefault="003E3133" w:rsidP="004D6896">
      <w:pPr>
        <w:pStyle w:val="PargrafodaLista"/>
        <w:tabs>
          <w:tab w:val="left" w:pos="992"/>
        </w:tabs>
        <w:ind w:left="0"/>
        <w:rPr>
          <w:sz w:val="20"/>
          <w:szCs w:val="20"/>
          <w:highlight w:val="green"/>
        </w:rPr>
      </w:pPr>
      <w:r>
        <w:rPr>
          <w:rFonts w:ascii="Verdana" w:hAnsi="Verdana"/>
          <w:sz w:val="20"/>
          <w:szCs w:val="20"/>
        </w:rPr>
        <w:t xml:space="preserve">b.2) </w:t>
      </w:r>
      <w:proofErr w:type="spellStart"/>
      <w:r>
        <w:rPr>
          <w:rFonts w:ascii="Verdana" w:hAnsi="Verdana"/>
          <w:sz w:val="20"/>
          <w:szCs w:val="20"/>
        </w:rPr>
        <w:t>Nucleos</w:t>
      </w:r>
      <w:proofErr w:type="spellEnd"/>
      <w:r>
        <w:rPr>
          <w:rFonts w:ascii="Verdana" w:hAnsi="Verdana"/>
          <w:sz w:val="20"/>
          <w:szCs w:val="20"/>
        </w:rPr>
        <w:t>:</w:t>
      </w:r>
    </w:p>
    <w:p w14:paraId="37DB2B3C" w14:textId="6D08660D" w:rsidR="00A533ED" w:rsidRDefault="00295B29" w:rsidP="00C10D80">
      <w:pPr>
        <w:jc w:val="center"/>
        <w:rPr>
          <w:sz w:val="20"/>
          <w:szCs w:val="20"/>
          <w:highlight w:val="green"/>
        </w:rPr>
      </w:pPr>
      <w:r w:rsidRPr="00A7192B">
        <w:rPr>
          <w:noProof/>
        </w:rPr>
        <w:drawing>
          <wp:inline distT="0" distB="0" distL="0" distR="0" wp14:anchorId="6C2B25CC" wp14:editId="0089A198">
            <wp:extent cx="5573762" cy="1446864"/>
            <wp:effectExtent l="0" t="0" r="8255"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93151" cy="1451897"/>
                    </a:xfrm>
                    <a:prstGeom prst="rect">
                      <a:avLst/>
                    </a:prstGeom>
                    <a:noFill/>
                    <a:ln>
                      <a:noFill/>
                    </a:ln>
                  </pic:spPr>
                </pic:pic>
              </a:graphicData>
            </a:graphic>
          </wp:inline>
        </w:drawing>
      </w:r>
    </w:p>
    <w:p w14:paraId="593EE432" w14:textId="77777777" w:rsidR="004D6896" w:rsidRDefault="004D6896" w:rsidP="004A5CD2">
      <w:pPr>
        <w:rPr>
          <w:rFonts w:ascii="Verdana" w:hAnsi="Verdana"/>
          <w:sz w:val="20"/>
          <w:szCs w:val="20"/>
          <w:highlight w:val="green"/>
        </w:rPr>
      </w:pPr>
    </w:p>
    <w:p w14:paraId="6E8D1FFD" w14:textId="77777777" w:rsidR="004A5CD2" w:rsidRPr="004A5CD2" w:rsidRDefault="004A5CD2" w:rsidP="004A5CD2">
      <w:pPr>
        <w:rPr>
          <w:rFonts w:ascii="Verdana" w:hAnsi="Verdana"/>
          <w:sz w:val="20"/>
          <w:szCs w:val="20"/>
          <w:highlight w:val="green"/>
        </w:rPr>
      </w:pPr>
    </w:p>
    <w:p w14:paraId="35C24192" w14:textId="77777777" w:rsidR="00A533ED" w:rsidRDefault="00A533ED" w:rsidP="00A533ED">
      <w:pPr>
        <w:rPr>
          <w:rFonts w:ascii="Verdana" w:hAnsi="Verdana"/>
          <w:sz w:val="20"/>
          <w:szCs w:val="20"/>
        </w:rPr>
      </w:pPr>
      <w:r w:rsidRPr="004A5CD2">
        <w:rPr>
          <w:rFonts w:ascii="Verdana" w:hAnsi="Verdana"/>
          <w:sz w:val="20"/>
          <w:szCs w:val="20"/>
        </w:rPr>
        <w:t xml:space="preserve">Planos de benefícios definidos previdenciários </w:t>
      </w:r>
      <w:r w:rsidR="002876C8" w:rsidRPr="004A5CD2">
        <w:rPr>
          <w:rFonts w:ascii="Verdana" w:hAnsi="Verdana"/>
          <w:sz w:val="20"/>
          <w:szCs w:val="20"/>
        </w:rPr>
        <w:t>–</w:t>
      </w:r>
      <w:r w:rsidR="00175F99">
        <w:rPr>
          <w:rFonts w:ascii="Verdana" w:hAnsi="Verdana"/>
          <w:sz w:val="20"/>
          <w:szCs w:val="20"/>
        </w:rPr>
        <w:t xml:space="preserve"> </w:t>
      </w:r>
      <w:r w:rsidR="00175F99" w:rsidRPr="00D35686">
        <w:rPr>
          <w:rFonts w:ascii="Verdana" w:hAnsi="Verdana"/>
          <w:sz w:val="20"/>
          <w:szCs w:val="20"/>
        </w:rPr>
        <w:t>conciliação</w:t>
      </w:r>
      <w:r w:rsidR="00175F99" w:rsidRPr="004A5CD2">
        <w:rPr>
          <w:rFonts w:ascii="Verdana" w:hAnsi="Verdana"/>
          <w:sz w:val="20"/>
          <w:szCs w:val="20"/>
        </w:rPr>
        <w:t xml:space="preserve"> </w:t>
      </w:r>
      <w:r w:rsidRPr="004A5CD2">
        <w:rPr>
          <w:rFonts w:ascii="Verdana" w:hAnsi="Verdana"/>
          <w:sz w:val="20"/>
          <w:szCs w:val="20"/>
        </w:rPr>
        <w:t>do valor justo dos ativos:</w:t>
      </w:r>
    </w:p>
    <w:p w14:paraId="785A4272" w14:textId="77777777" w:rsidR="004A5CD2" w:rsidRDefault="004A5CD2" w:rsidP="00A533ED">
      <w:pPr>
        <w:rPr>
          <w:rFonts w:ascii="Verdana" w:hAnsi="Verdana"/>
          <w:sz w:val="20"/>
          <w:szCs w:val="20"/>
        </w:rPr>
      </w:pPr>
    </w:p>
    <w:p w14:paraId="39B40966" w14:textId="77777777" w:rsidR="00AA70C1" w:rsidRDefault="00AA70C1" w:rsidP="00A533ED">
      <w:pPr>
        <w:rPr>
          <w:rFonts w:ascii="Verdana" w:hAnsi="Verdana"/>
          <w:sz w:val="20"/>
          <w:szCs w:val="20"/>
        </w:rPr>
      </w:pPr>
    </w:p>
    <w:p w14:paraId="4AD95CCE" w14:textId="77777777" w:rsidR="004A5CD2" w:rsidRPr="00B75FA1" w:rsidRDefault="004A5CD2" w:rsidP="004A5CD2">
      <w:pPr>
        <w:pStyle w:val="PargrafodaLista"/>
        <w:tabs>
          <w:tab w:val="left" w:pos="992"/>
        </w:tabs>
        <w:ind w:left="0"/>
        <w:rPr>
          <w:rFonts w:ascii="Verdana" w:hAnsi="Verdana"/>
          <w:sz w:val="20"/>
          <w:szCs w:val="20"/>
          <w:highlight w:val="green"/>
        </w:rPr>
      </w:pPr>
      <w:r>
        <w:rPr>
          <w:rFonts w:ascii="Verdana" w:hAnsi="Verdana"/>
          <w:sz w:val="20"/>
          <w:szCs w:val="20"/>
        </w:rPr>
        <w:t>b.3) Real Grandeza:</w:t>
      </w:r>
    </w:p>
    <w:p w14:paraId="0FCA2102" w14:textId="77777777" w:rsidR="004A5CD2" w:rsidRDefault="004A5CD2" w:rsidP="00A533ED">
      <w:pPr>
        <w:rPr>
          <w:rFonts w:ascii="Verdana" w:hAnsi="Verdana"/>
          <w:sz w:val="20"/>
          <w:szCs w:val="20"/>
        </w:rPr>
      </w:pPr>
    </w:p>
    <w:p w14:paraId="5860F8DB" w14:textId="77777777" w:rsidR="004A5CD2" w:rsidRPr="004A5CD2" w:rsidRDefault="00081E17" w:rsidP="00AA70C1">
      <w:pPr>
        <w:jc w:val="center"/>
        <w:rPr>
          <w:rFonts w:ascii="Verdana" w:hAnsi="Verdana"/>
          <w:sz w:val="20"/>
          <w:szCs w:val="20"/>
        </w:rPr>
      </w:pPr>
      <w:r w:rsidRPr="00081E17">
        <w:rPr>
          <w:noProof/>
        </w:rPr>
        <w:drawing>
          <wp:inline distT="0" distB="0" distL="0" distR="0" wp14:anchorId="64119055" wp14:editId="1688A115">
            <wp:extent cx="5410200" cy="1067284"/>
            <wp:effectExtent l="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64414" cy="1077979"/>
                    </a:xfrm>
                    <a:prstGeom prst="rect">
                      <a:avLst/>
                    </a:prstGeom>
                    <a:noFill/>
                    <a:ln>
                      <a:noFill/>
                    </a:ln>
                  </pic:spPr>
                </pic:pic>
              </a:graphicData>
            </a:graphic>
          </wp:inline>
        </w:drawing>
      </w:r>
      <w:r w:rsidRPr="00081E17" w:rsidDel="00081E17">
        <w:t xml:space="preserve"> </w:t>
      </w:r>
    </w:p>
    <w:p w14:paraId="7A44FB81" w14:textId="77777777" w:rsidR="00301739" w:rsidRDefault="00301739" w:rsidP="00A533ED">
      <w:pPr>
        <w:jc w:val="center"/>
        <w:rPr>
          <w:sz w:val="20"/>
          <w:szCs w:val="20"/>
          <w:highlight w:val="green"/>
        </w:rPr>
      </w:pPr>
    </w:p>
    <w:p w14:paraId="7D923503" w14:textId="77777777" w:rsidR="00301739" w:rsidRDefault="00301739" w:rsidP="00A533ED">
      <w:pPr>
        <w:jc w:val="center"/>
        <w:rPr>
          <w:sz w:val="20"/>
          <w:szCs w:val="20"/>
          <w:highlight w:val="green"/>
        </w:rPr>
      </w:pPr>
    </w:p>
    <w:p w14:paraId="1B37CD11" w14:textId="3D5EEC0B" w:rsidR="00A533ED" w:rsidRPr="00B75FA1" w:rsidRDefault="00A533ED" w:rsidP="00A533ED">
      <w:pPr>
        <w:jc w:val="center"/>
        <w:rPr>
          <w:sz w:val="20"/>
          <w:szCs w:val="20"/>
          <w:highlight w:val="green"/>
        </w:rPr>
      </w:pPr>
      <w:r w:rsidRPr="00B75FA1">
        <w:rPr>
          <w:sz w:val="20"/>
          <w:szCs w:val="20"/>
          <w:highlight w:val="green"/>
        </w:rPr>
        <w:lastRenderedPageBreak/>
        <w:t xml:space="preserve"> </w:t>
      </w:r>
    </w:p>
    <w:p w14:paraId="46C2C10B" w14:textId="77777777" w:rsidR="00AA70C1" w:rsidRPr="00B75FA1" w:rsidRDefault="00AA70C1" w:rsidP="00AA70C1">
      <w:pPr>
        <w:pStyle w:val="PargrafodaLista"/>
        <w:tabs>
          <w:tab w:val="left" w:pos="992"/>
        </w:tabs>
        <w:ind w:left="0"/>
        <w:rPr>
          <w:rFonts w:ascii="Verdana" w:hAnsi="Verdana"/>
          <w:sz w:val="20"/>
          <w:szCs w:val="20"/>
          <w:highlight w:val="green"/>
        </w:rPr>
      </w:pPr>
      <w:r>
        <w:rPr>
          <w:rFonts w:ascii="Verdana" w:hAnsi="Verdana"/>
          <w:sz w:val="20"/>
          <w:szCs w:val="20"/>
        </w:rPr>
        <w:t xml:space="preserve">b.4) </w:t>
      </w:r>
      <w:proofErr w:type="spellStart"/>
      <w:r>
        <w:rPr>
          <w:rFonts w:ascii="Verdana" w:hAnsi="Verdana"/>
          <w:sz w:val="20"/>
          <w:szCs w:val="20"/>
        </w:rPr>
        <w:t>Nucleos</w:t>
      </w:r>
      <w:proofErr w:type="spellEnd"/>
      <w:r>
        <w:rPr>
          <w:rFonts w:ascii="Verdana" w:hAnsi="Verdana"/>
          <w:sz w:val="20"/>
          <w:szCs w:val="20"/>
        </w:rPr>
        <w:t>:</w:t>
      </w:r>
    </w:p>
    <w:p w14:paraId="3874A1DB" w14:textId="77777777" w:rsidR="00A533ED" w:rsidRPr="00AA70C1" w:rsidRDefault="00081E17" w:rsidP="00AA70C1">
      <w:pPr>
        <w:jc w:val="center"/>
        <w:rPr>
          <w:sz w:val="20"/>
          <w:szCs w:val="20"/>
        </w:rPr>
      </w:pPr>
      <w:r w:rsidRPr="00081E17">
        <w:rPr>
          <w:noProof/>
        </w:rPr>
        <w:drawing>
          <wp:inline distT="0" distB="0" distL="0" distR="0" wp14:anchorId="02F212FB" wp14:editId="5205DB6E">
            <wp:extent cx="5410200" cy="1067284"/>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455295" cy="1076180"/>
                    </a:xfrm>
                    <a:prstGeom prst="rect">
                      <a:avLst/>
                    </a:prstGeom>
                    <a:noFill/>
                    <a:ln>
                      <a:noFill/>
                    </a:ln>
                  </pic:spPr>
                </pic:pic>
              </a:graphicData>
            </a:graphic>
          </wp:inline>
        </w:drawing>
      </w:r>
      <w:r w:rsidRPr="00081E17" w:rsidDel="00081E17">
        <w:t xml:space="preserve"> </w:t>
      </w:r>
    </w:p>
    <w:p w14:paraId="6D7226BF" w14:textId="77777777" w:rsidR="00A533ED" w:rsidRPr="00D35686" w:rsidRDefault="00A533ED" w:rsidP="00A533ED">
      <w:pPr>
        <w:rPr>
          <w:rFonts w:ascii="Verdana" w:hAnsi="Verdana"/>
          <w:sz w:val="20"/>
          <w:szCs w:val="20"/>
        </w:rPr>
      </w:pPr>
    </w:p>
    <w:p w14:paraId="4F456592" w14:textId="77777777" w:rsidR="00895BC8" w:rsidRDefault="00895BC8" w:rsidP="00A533ED">
      <w:pPr>
        <w:rPr>
          <w:rFonts w:ascii="Verdana" w:hAnsi="Verdana"/>
          <w:sz w:val="20"/>
          <w:szCs w:val="20"/>
        </w:rPr>
      </w:pPr>
    </w:p>
    <w:p w14:paraId="747AD121" w14:textId="13609E74" w:rsidR="00895BC8" w:rsidRDefault="00895BC8" w:rsidP="00A533ED">
      <w:pPr>
        <w:rPr>
          <w:rFonts w:ascii="Verdana" w:hAnsi="Verdana"/>
          <w:sz w:val="20"/>
          <w:szCs w:val="20"/>
        </w:rPr>
      </w:pPr>
      <w:r w:rsidRPr="00D35686">
        <w:rPr>
          <w:rFonts w:ascii="Verdana" w:hAnsi="Verdana"/>
          <w:sz w:val="20"/>
          <w:szCs w:val="20"/>
        </w:rPr>
        <w:t>Resultados de benef</w:t>
      </w:r>
      <w:r>
        <w:rPr>
          <w:rFonts w:ascii="Verdana" w:hAnsi="Verdana"/>
          <w:sz w:val="20"/>
          <w:szCs w:val="20"/>
        </w:rPr>
        <w:t xml:space="preserve">ícios definidos </w:t>
      </w:r>
      <w:r w:rsidRPr="00C32351">
        <w:rPr>
          <w:rFonts w:ascii="Verdana" w:hAnsi="Verdana"/>
          <w:sz w:val="20"/>
          <w:szCs w:val="20"/>
        </w:rPr>
        <w:t>previdenciários</w:t>
      </w:r>
      <w:r>
        <w:rPr>
          <w:rFonts w:ascii="Verdana" w:hAnsi="Verdana"/>
          <w:sz w:val="20"/>
          <w:szCs w:val="20"/>
        </w:rPr>
        <w:t xml:space="preserve"> </w:t>
      </w:r>
      <w:r w:rsidRPr="00C32351">
        <w:rPr>
          <w:rFonts w:ascii="Verdana" w:hAnsi="Verdana"/>
          <w:sz w:val="20"/>
          <w:szCs w:val="20"/>
        </w:rPr>
        <w:t>–</w:t>
      </w:r>
      <w:r>
        <w:rPr>
          <w:rFonts w:ascii="Verdana" w:hAnsi="Verdana"/>
          <w:sz w:val="20"/>
          <w:szCs w:val="20"/>
        </w:rPr>
        <w:t xml:space="preserve"> </w:t>
      </w:r>
      <w:r w:rsidRPr="00C32351">
        <w:rPr>
          <w:rFonts w:ascii="Verdana" w:hAnsi="Verdana"/>
          <w:sz w:val="20"/>
          <w:szCs w:val="20"/>
        </w:rPr>
        <w:t>Montantes</w:t>
      </w:r>
      <w:r w:rsidRPr="00D35686">
        <w:rPr>
          <w:rFonts w:ascii="Verdana" w:hAnsi="Verdana"/>
          <w:sz w:val="20"/>
          <w:szCs w:val="20"/>
        </w:rPr>
        <w:t xml:space="preserve"> reconhecidos </w:t>
      </w:r>
      <w:r>
        <w:rPr>
          <w:rFonts w:ascii="Verdana" w:hAnsi="Verdana"/>
          <w:sz w:val="20"/>
          <w:szCs w:val="20"/>
        </w:rPr>
        <w:t>no resultado</w:t>
      </w:r>
      <w:r w:rsidRPr="00D35686">
        <w:rPr>
          <w:rFonts w:ascii="Verdana" w:hAnsi="Verdana"/>
          <w:sz w:val="20"/>
          <w:szCs w:val="20"/>
        </w:rPr>
        <w:t>:</w:t>
      </w:r>
    </w:p>
    <w:p w14:paraId="26B5D1DB" w14:textId="7E783C15" w:rsidR="00895BC8" w:rsidRDefault="00895BC8" w:rsidP="005E4A4C">
      <w:pPr>
        <w:jc w:val="center"/>
        <w:rPr>
          <w:rFonts w:ascii="Verdana" w:hAnsi="Verdana"/>
          <w:sz w:val="20"/>
          <w:szCs w:val="20"/>
        </w:rPr>
      </w:pPr>
    </w:p>
    <w:p w14:paraId="28408392" w14:textId="5EEF79C4" w:rsidR="00895BC8" w:rsidRDefault="003576EE" w:rsidP="00DD050D">
      <w:pPr>
        <w:jc w:val="center"/>
        <w:rPr>
          <w:rFonts w:ascii="Verdana" w:hAnsi="Verdana"/>
          <w:sz w:val="20"/>
          <w:szCs w:val="20"/>
        </w:rPr>
      </w:pPr>
      <w:r w:rsidRPr="003576EE">
        <w:rPr>
          <w:noProof/>
        </w:rPr>
        <w:drawing>
          <wp:inline distT="0" distB="0" distL="0" distR="0" wp14:anchorId="3EDC40E5" wp14:editId="26442990">
            <wp:extent cx="5400104" cy="1758328"/>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418730" cy="1764393"/>
                    </a:xfrm>
                    <a:prstGeom prst="rect">
                      <a:avLst/>
                    </a:prstGeom>
                    <a:noFill/>
                    <a:ln>
                      <a:noFill/>
                    </a:ln>
                  </pic:spPr>
                </pic:pic>
              </a:graphicData>
            </a:graphic>
          </wp:inline>
        </w:drawing>
      </w:r>
    </w:p>
    <w:p w14:paraId="4E0436AE" w14:textId="3B4FE348" w:rsidR="00895BC8" w:rsidRDefault="00895BC8" w:rsidP="00A533ED">
      <w:pPr>
        <w:rPr>
          <w:rFonts w:ascii="Verdana" w:hAnsi="Verdana"/>
          <w:sz w:val="20"/>
          <w:szCs w:val="20"/>
        </w:rPr>
      </w:pPr>
    </w:p>
    <w:p w14:paraId="02CF10E2" w14:textId="32602AFD" w:rsidR="00392419" w:rsidRDefault="00392419" w:rsidP="00A533ED">
      <w:pPr>
        <w:rPr>
          <w:rFonts w:ascii="Verdana" w:hAnsi="Verdana"/>
          <w:sz w:val="20"/>
          <w:szCs w:val="20"/>
        </w:rPr>
      </w:pPr>
    </w:p>
    <w:p w14:paraId="12B2855C" w14:textId="77777777" w:rsidR="00A533ED" w:rsidRPr="00B75FA1" w:rsidRDefault="00A533ED" w:rsidP="00A533ED">
      <w:pPr>
        <w:rPr>
          <w:rFonts w:ascii="Verdana" w:hAnsi="Verdana"/>
          <w:sz w:val="20"/>
          <w:szCs w:val="20"/>
          <w:highlight w:val="green"/>
        </w:rPr>
      </w:pPr>
      <w:r w:rsidRPr="00D35686">
        <w:rPr>
          <w:rFonts w:ascii="Verdana" w:hAnsi="Verdana"/>
          <w:sz w:val="20"/>
          <w:szCs w:val="20"/>
        </w:rPr>
        <w:t>Resultados de benef</w:t>
      </w:r>
      <w:r w:rsidR="00C32351">
        <w:rPr>
          <w:rFonts w:ascii="Verdana" w:hAnsi="Verdana"/>
          <w:sz w:val="20"/>
          <w:szCs w:val="20"/>
        </w:rPr>
        <w:t xml:space="preserve">ícios definidos </w:t>
      </w:r>
      <w:r w:rsidR="00C32351" w:rsidRPr="00C32351">
        <w:rPr>
          <w:rFonts w:ascii="Verdana" w:hAnsi="Verdana"/>
          <w:sz w:val="20"/>
          <w:szCs w:val="20"/>
        </w:rPr>
        <w:t>previdenciários</w:t>
      </w:r>
      <w:r w:rsidR="00C32351">
        <w:rPr>
          <w:rFonts w:ascii="Verdana" w:hAnsi="Verdana"/>
          <w:sz w:val="20"/>
          <w:szCs w:val="20"/>
        </w:rPr>
        <w:t xml:space="preserve"> </w:t>
      </w:r>
      <w:r w:rsidR="002876C8" w:rsidRPr="00C32351">
        <w:rPr>
          <w:rFonts w:ascii="Verdana" w:hAnsi="Verdana"/>
          <w:sz w:val="20"/>
          <w:szCs w:val="20"/>
        </w:rPr>
        <w:t>–</w:t>
      </w:r>
      <w:r w:rsidR="00C32351">
        <w:rPr>
          <w:rFonts w:ascii="Verdana" w:hAnsi="Verdana"/>
          <w:sz w:val="20"/>
          <w:szCs w:val="20"/>
        </w:rPr>
        <w:t xml:space="preserve"> </w:t>
      </w:r>
      <w:r w:rsidRPr="00C32351">
        <w:rPr>
          <w:rFonts w:ascii="Verdana" w:hAnsi="Verdana"/>
          <w:sz w:val="20"/>
          <w:szCs w:val="20"/>
        </w:rPr>
        <w:t>Montantes</w:t>
      </w:r>
      <w:r w:rsidRPr="00D35686">
        <w:rPr>
          <w:rFonts w:ascii="Verdana" w:hAnsi="Verdana"/>
          <w:sz w:val="20"/>
          <w:szCs w:val="20"/>
        </w:rPr>
        <w:t xml:space="preserve"> reconhecidos em Outros Resultados Abrangentes:</w:t>
      </w:r>
    </w:p>
    <w:p w14:paraId="65B2CD39" w14:textId="77777777" w:rsidR="00A533ED" w:rsidRDefault="00A533ED" w:rsidP="00A533ED">
      <w:pPr>
        <w:rPr>
          <w:sz w:val="20"/>
          <w:szCs w:val="20"/>
          <w:highlight w:val="green"/>
        </w:rPr>
      </w:pPr>
    </w:p>
    <w:p w14:paraId="11963936" w14:textId="7D1B063F" w:rsidR="00DD050D" w:rsidRPr="00B75FA1" w:rsidRDefault="00DD050D" w:rsidP="00A533ED">
      <w:pPr>
        <w:jc w:val="center"/>
        <w:rPr>
          <w:sz w:val="20"/>
          <w:szCs w:val="20"/>
          <w:highlight w:val="green"/>
        </w:rPr>
      </w:pPr>
      <w:r w:rsidRPr="00DD050D">
        <w:rPr>
          <w:noProof/>
        </w:rPr>
        <w:drawing>
          <wp:inline distT="0" distB="0" distL="0" distR="0" wp14:anchorId="586906BB" wp14:editId="15CFBE8C">
            <wp:extent cx="5735255" cy="2219287"/>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44202" cy="2222749"/>
                    </a:xfrm>
                    <a:prstGeom prst="rect">
                      <a:avLst/>
                    </a:prstGeom>
                    <a:noFill/>
                    <a:ln>
                      <a:noFill/>
                    </a:ln>
                  </pic:spPr>
                </pic:pic>
              </a:graphicData>
            </a:graphic>
          </wp:inline>
        </w:drawing>
      </w:r>
    </w:p>
    <w:p w14:paraId="6D5B4B71" w14:textId="1F39BBF4" w:rsidR="00A533ED" w:rsidRDefault="00A533ED" w:rsidP="00A533ED">
      <w:pPr>
        <w:autoSpaceDE w:val="0"/>
        <w:autoSpaceDN w:val="0"/>
        <w:adjustRightInd w:val="0"/>
        <w:ind w:left="-540" w:right="136"/>
        <w:jc w:val="right"/>
        <w:rPr>
          <w:rFonts w:ascii="Verdana" w:hAnsi="Verdana" w:cs="Arial"/>
          <w:sz w:val="20"/>
          <w:szCs w:val="20"/>
          <w:highlight w:val="green"/>
        </w:rPr>
      </w:pPr>
    </w:p>
    <w:p w14:paraId="04EC4388" w14:textId="77777777" w:rsidR="00DD050D" w:rsidRDefault="00DD050D" w:rsidP="00A533ED">
      <w:pPr>
        <w:autoSpaceDE w:val="0"/>
        <w:autoSpaceDN w:val="0"/>
        <w:adjustRightInd w:val="0"/>
        <w:ind w:left="-540" w:right="136"/>
        <w:jc w:val="right"/>
        <w:rPr>
          <w:rFonts w:ascii="Verdana" w:hAnsi="Verdana" w:cs="Arial"/>
          <w:sz w:val="20"/>
          <w:szCs w:val="20"/>
          <w:highlight w:val="green"/>
        </w:rPr>
      </w:pPr>
    </w:p>
    <w:p w14:paraId="626A1F44" w14:textId="77777777" w:rsidR="00A533ED" w:rsidRPr="00D35686" w:rsidRDefault="00A533ED" w:rsidP="00D35686">
      <w:pPr>
        <w:pStyle w:val="PargrafodaLista"/>
        <w:numPr>
          <w:ilvl w:val="0"/>
          <w:numId w:val="15"/>
        </w:numPr>
        <w:ind w:left="284"/>
        <w:rPr>
          <w:rFonts w:ascii="Verdana" w:hAnsi="Verdana"/>
          <w:sz w:val="20"/>
          <w:szCs w:val="20"/>
          <w:u w:val="single"/>
        </w:rPr>
      </w:pPr>
      <w:r w:rsidRPr="00D35686">
        <w:rPr>
          <w:rFonts w:ascii="Verdana" w:hAnsi="Verdana"/>
          <w:sz w:val="20"/>
          <w:szCs w:val="20"/>
        </w:rPr>
        <w:t>Divulgação de Outros Benefícios Pós-Emprego</w:t>
      </w:r>
    </w:p>
    <w:p w14:paraId="1C3E5F3A" w14:textId="77777777" w:rsidR="00A533ED" w:rsidRPr="00B75FA1" w:rsidRDefault="00A533ED" w:rsidP="00A533ED">
      <w:pPr>
        <w:rPr>
          <w:rFonts w:ascii="Verdana" w:hAnsi="Verdana"/>
          <w:sz w:val="20"/>
          <w:szCs w:val="20"/>
          <w:highlight w:val="green"/>
        </w:rPr>
      </w:pPr>
    </w:p>
    <w:p w14:paraId="1FD800A6" w14:textId="6C9F168B" w:rsidR="00A533ED" w:rsidRDefault="00A533ED" w:rsidP="00A533ED">
      <w:pPr>
        <w:rPr>
          <w:rFonts w:ascii="Verdana" w:hAnsi="Verdana"/>
          <w:sz w:val="20"/>
          <w:szCs w:val="20"/>
        </w:rPr>
      </w:pPr>
      <w:r w:rsidRPr="00D35686">
        <w:rPr>
          <w:rFonts w:ascii="Verdana" w:hAnsi="Verdana"/>
          <w:sz w:val="20"/>
          <w:szCs w:val="20"/>
        </w:rPr>
        <w:t xml:space="preserve">Resultados de outros benefícios pós-emprego </w:t>
      </w:r>
      <w:r w:rsidR="002876C8" w:rsidRPr="00D35686">
        <w:rPr>
          <w:rFonts w:ascii="Verdana" w:hAnsi="Verdana"/>
          <w:sz w:val="20"/>
          <w:szCs w:val="20"/>
        </w:rPr>
        <w:t>–</w:t>
      </w:r>
      <w:r w:rsidRPr="00D35686">
        <w:rPr>
          <w:rFonts w:ascii="Verdana" w:hAnsi="Verdana"/>
          <w:sz w:val="20"/>
          <w:szCs w:val="20"/>
        </w:rPr>
        <w:t xml:space="preserve"> conciliação do valor presente das obrigações de benefício definido</w:t>
      </w:r>
    </w:p>
    <w:p w14:paraId="2E30D373" w14:textId="79D4E29B" w:rsidR="001D0CBB" w:rsidRDefault="001D0CBB" w:rsidP="00A533ED">
      <w:pPr>
        <w:rPr>
          <w:rFonts w:ascii="Verdana" w:hAnsi="Verdana"/>
          <w:sz w:val="20"/>
          <w:szCs w:val="20"/>
        </w:rPr>
      </w:pPr>
    </w:p>
    <w:p w14:paraId="77064E24" w14:textId="25192C9D" w:rsidR="001D0CBB" w:rsidRDefault="001D0CBB" w:rsidP="00A533ED">
      <w:pPr>
        <w:rPr>
          <w:rFonts w:ascii="Verdana" w:hAnsi="Verdana"/>
          <w:sz w:val="20"/>
          <w:szCs w:val="20"/>
        </w:rPr>
      </w:pPr>
    </w:p>
    <w:p w14:paraId="51D1408D" w14:textId="78945832" w:rsidR="001D0CBB" w:rsidRDefault="001D0CBB" w:rsidP="00A533ED">
      <w:pPr>
        <w:rPr>
          <w:rFonts w:ascii="Verdana" w:hAnsi="Verdana"/>
          <w:sz w:val="20"/>
          <w:szCs w:val="20"/>
        </w:rPr>
      </w:pPr>
    </w:p>
    <w:p w14:paraId="6E08620F" w14:textId="591E2207" w:rsidR="001D0CBB" w:rsidRDefault="001D0CBB" w:rsidP="00A533ED">
      <w:pPr>
        <w:rPr>
          <w:rFonts w:ascii="Verdana" w:hAnsi="Verdana"/>
          <w:sz w:val="20"/>
          <w:szCs w:val="20"/>
        </w:rPr>
      </w:pPr>
    </w:p>
    <w:p w14:paraId="740C3A16" w14:textId="77777777" w:rsidR="001D0CBB" w:rsidRPr="00D35686" w:rsidRDefault="001D0CBB" w:rsidP="00A533ED">
      <w:pPr>
        <w:rPr>
          <w:rFonts w:ascii="Verdana" w:hAnsi="Verdana"/>
          <w:sz w:val="20"/>
          <w:szCs w:val="20"/>
        </w:rPr>
      </w:pPr>
    </w:p>
    <w:p w14:paraId="3C9DAC35" w14:textId="77777777" w:rsidR="00D35686" w:rsidRDefault="00D35686" w:rsidP="00A533ED">
      <w:pPr>
        <w:rPr>
          <w:rFonts w:ascii="Verdana" w:hAnsi="Verdana"/>
          <w:sz w:val="20"/>
          <w:szCs w:val="20"/>
        </w:rPr>
      </w:pPr>
    </w:p>
    <w:p w14:paraId="01BB809D" w14:textId="28870F06" w:rsidR="00644427" w:rsidRDefault="00D35686" w:rsidP="00F14A81">
      <w:pPr>
        <w:pStyle w:val="PargrafodaLista"/>
        <w:tabs>
          <w:tab w:val="left" w:pos="992"/>
        </w:tabs>
        <w:ind w:left="0"/>
        <w:rPr>
          <w:rFonts w:ascii="Verdana" w:hAnsi="Verdana"/>
          <w:sz w:val="20"/>
          <w:szCs w:val="20"/>
        </w:rPr>
      </w:pPr>
      <w:r>
        <w:rPr>
          <w:rFonts w:ascii="Verdana" w:hAnsi="Verdana"/>
          <w:sz w:val="20"/>
          <w:szCs w:val="20"/>
        </w:rPr>
        <w:lastRenderedPageBreak/>
        <w:t>c.1) Saúde:</w:t>
      </w:r>
    </w:p>
    <w:p w14:paraId="2BD7EDB6" w14:textId="49639A38" w:rsidR="00C4615E" w:rsidRDefault="00C4615E" w:rsidP="00C4615E">
      <w:pPr>
        <w:pStyle w:val="PargrafodaLista"/>
        <w:tabs>
          <w:tab w:val="left" w:pos="992"/>
        </w:tabs>
        <w:ind w:left="0"/>
        <w:jc w:val="center"/>
        <w:rPr>
          <w:rFonts w:ascii="Verdana" w:hAnsi="Verdana"/>
          <w:sz w:val="20"/>
          <w:szCs w:val="20"/>
        </w:rPr>
      </w:pPr>
      <w:r w:rsidRPr="00C4615E">
        <w:rPr>
          <w:noProof/>
        </w:rPr>
        <w:drawing>
          <wp:inline distT="0" distB="0" distL="0" distR="0" wp14:anchorId="1A14E536" wp14:editId="67DB6133">
            <wp:extent cx="5618268" cy="1368916"/>
            <wp:effectExtent l="0" t="0" r="1905" b="317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637294" cy="1373552"/>
                    </a:xfrm>
                    <a:prstGeom prst="rect">
                      <a:avLst/>
                    </a:prstGeom>
                    <a:noFill/>
                    <a:ln>
                      <a:noFill/>
                    </a:ln>
                  </pic:spPr>
                </pic:pic>
              </a:graphicData>
            </a:graphic>
          </wp:inline>
        </w:drawing>
      </w:r>
    </w:p>
    <w:p w14:paraId="11709CFC" w14:textId="77777777" w:rsidR="00C4615E" w:rsidRDefault="00C4615E" w:rsidP="00D35686">
      <w:pPr>
        <w:pStyle w:val="PargrafodaLista"/>
        <w:tabs>
          <w:tab w:val="left" w:pos="992"/>
        </w:tabs>
        <w:ind w:left="0"/>
        <w:jc w:val="left"/>
        <w:rPr>
          <w:rFonts w:ascii="Verdana" w:hAnsi="Verdana"/>
          <w:sz w:val="20"/>
          <w:szCs w:val="20"/>
        </w:rPr>
      </w:pPr>
    </w:p>
    <w:p w14:paraId="029DC023" w14:textId="208181F9" w:rsidR="0089557A" w:rsidRDefault="00D35686" w:rsidP="00F14A81">
      <w:pPr>
        <w:pStyle w:val="PargrafodaLista"/>
        <w:tabs>
          <w:tab w:val="left" w:pos="992"/>
        </w:tabs>
        <w:ind w:left="0"/>
        <w:jc w:val="left"/>
        <w:rPr>
          <w:rFonts w:ascii="Verdana" w:hAnsi="Verdana"/>
          <w:sz w:val="20"/>
          <w:szCs w:val="20"/>
          <w:highlight w:val="green"/>
        </w:rPr>
      </w:pPr>
      <w:r>
        <w:rPr>
          <w:rFonts w:ascii="Verdana" w:hAnsi="Verdana"/>
          <w:sz w:val="20"/>
          <w:szCs w:val="20"/>
        </w:rPr>
        <w:t>c.2) PAE:</w:t>
      </w:r>
    </w:p>
    <w:p w14:paraId="266DAB45" w14:textId="461FE601" w:rsidR="002279F9" w:rsidRDefault="002279F9" w:rsidP="002279F9">
      <w:pPr>
        <w:jc w:val="center"/>
        <w:rPr>
          <w:rFonts w:ascii="Verdana" w:hAnsi="Verdana"/>
          <w:sz w:val="20"/>
          <w:szCs w:val="20"/>
          <w:highlight w:val="green"/>
        </w:rPr>
      </w:pPr>
      <w:r w:rsidRPr="002279F9">
        <w:rPr>
          <w:noProof/>
        </w:rPr>
        <w:drawing>
          <wp:inline distT="0" distB="0" distL="0" distR="0" wp14:anchorId="12DE254D" wp14:editId="08B3AB3F">
            <wp:extent cx="5710866" cy="1391478"/>
            <wp:effectExtent l="0" t="0" r="4445"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45375" cy="1399886"/>
                    </a:xfrm>
                    <a:prstGeom prst="rect">
                      <a:avLst/>
                    </a:prstGeom>
                    <a:noFill/>
                    <a:ln>
                      <a:noFill/>
                    </a:ln>
                  </pic:spPr>
                </pic:pic>
              </a:graphicData>
            </a:graphic>
          </wp:inline>
        </w:drawing>
      </w:r>
    </w:p>
    <w:p w14:paraId="48228057" w14:textId="26DFC4DC" w:rsidR="002279F9" w:rsidRDefault="002279F9" w:rsidP="00A533ED">
      <w:pPr>
        <w:rPr>
          <w:rFonts w:ascii="Verdana" w:hAnsi="Verdana"/>
          <w:sz w:val="20"/>
          <w:szCs w:val="20"/>
          <w:highlight w:val="green"/>
        </w:rPr>
      </w:pPr>
    </w:p>
    <w:p w14:paraId="718FF2A7" w14:textId="3CD0D6EB" w:rsidR="00392419" w:rsidRDefault="00392419" w:rsidP="00A533ED">
      <w:pPr>
        <w:rPr>
          <w:rFonts w:ascii="Verdana" w:hAnsi="Verdana"/>
          <w:sz w:val="20"/>
          <w:szCs w:val="20"/>
          <w:highlight w:val="green"/>
        </w:rPr>
      </w:pPr>
    </w:p>
    <w:p w14:paraId="2CD0E5A5" w14:textId="6ED7D86A" w:rsidR="00A533ED" w:rsidRPr="00B75FA1" w:rsidRDefault="000F4D18" w:rsidP="00F14A81">
      <w:pPr>
        <w:pStyle w:val="PargrafodaLista"/>
        <w:tabs>
          <w:tab w:val="left" w:pos="992"/>
        </w:tabs>
        <w:ind w:left="0"/>
        <w:jc w:val="left"/>
        <w:rPr>
          <w:rFonts w:ascii="Verdana" w:hAnsi="Verdana"/>
          <w:sz w:val="20"/>
          <w:szCs w:val="20"/>
          <w:highlight w:val="green"/>
        </w:rPr>
      </w:pPr>
      <w:r>
        <w:rPr>
          <w:rFonts w:ascii="Verdana" w:hAnsi="Verdana"/>
          <w:sz w:val="20"/>
          <w:szCs w:val="20"/>
        </w:rPr>
        <w:t>c.</w:t>
      </w:r>
      <w:r w:rsidR="0089557A">
        <w:rPr>
          <w:rFonts w:ascii="Verdana" w:hAnsi="Verdana"/>
          <w:sz w:val="20"/>
          <w:szCs w:val="20"/>
        </w:rPr>
        <w:t>3</w:t>
      </w:r>
      <w:r>
        <w:rPr>
          <w:rFonts w:ascii="Verdana" w:hAnsi="Verdana"/>
          <w:sz w:val="20"/>
          <w:szCs w:val="20"/>
        </w:rPr>
        <w:t>) PID:</w:t>
      </w:r>
    </w:p>
    <w:p w14:paraId="6506B651" w14:textId="27921DA3" w:rsidR="00A533ED" w:rsidRDefault="005F3656" w:rsidP="005F3656">
      <w:pPr>
        <w:widowControl w:val="0"/>
        <w:autoSpaceDE w:val="0"/>
        <w:autoSpaceDN w:val="0"/>
        <w:jc w:val="center"/>
        <w:rPr>
          <w:rFonts w:ascii="Verdana" w:hAnsi="Verdana"/>
          <w:sz w:val="20"/>
          <w:szCs w:val="20"/>
          <w:highlight w:val="green"/>
        </w:rPr>
      </w:pPr>
      <w:r w:rsidRPr="005F3656">
        <w:rPr>
          <w:noProof/>
        </w:rPr>
        <w:drawing>
          <wp:inline distT="0" distB="0" distL="0" distR="0" wp14:anchorId="29D8F074" wp14:editId="306E7A15">
            <wp:extent cx="5616692" cy="1368532"/>
            <wp:effectExtent l="0" t="0" r="3175" b="317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660175" cy="1379127"/>
                    </a:xfrm>
                    <a:prstGeom prst="rect">
                      <a:avLst/>
                    </a:prstGeom>
                    <a:noFill/>
                    <a:ln>
                      <a:noFill/>
                    </a:ln>
                  </pic:spPr>
                </pic:pic>
              </a:graphicData>
            </a:graphic>
          </wp:inline>
        </w:drawing>
      </w:r>
    </w:p>
    <w:p w14:paraId="16107305" w14:textId="232DDFA0" w:rsidR="005F3656" w:rsidRDefault="005F3656" w:rsidP="00A533ED">
      <w:pPr>
        <w:widowControl w:val="0"/>
        <w:autoSpaceDE w:val="0"/>
        <w:autoSpaceDN w:val="0"/>
        <w:jc w:val="left"/>
        <w:rPr>
          <w:rFonts w:ascii="Verdana" w:hAnsi="Verdana"/>
          <w:sz w:val="20"/>
          <w:szCs w:val="20"/>
          <w:highlight w:val="green"/>
        </w:rPr>
      </w:pPr>
    </w:p>
    <w:p w14:paraId="31E8B399" w14:textId="77777777" w:rsidR="00C42BA0" w:rsidRPr="00B75FA1" w:rsidRDefault="00C42BA0" w:rsidP="00A533ED">
      <w:pPr>
        <w:widowControl w:val="0"/>
        <w:autoSpaceDE w:val="0"/>
        <w:autoSpaceDN w:val="0"/>
        <w:jc w:val="left"/>
        <w:rPr>
          <w:rFonts w:ascii="Verdana" w:hAnsi="Verdana"/>
          <w:sz w:val="20"/>
          <w:szCs w:val="20"/>
          <w:highlight w:val="green"/>
        </w:rPr>
      </w:pPr>
    </w:p>
    <w:p w14:paraId="4D8D374A" w14:textId="77777777" w:rsidR="00A533ED" w:rsidRPr="0089557A" w:rsidRDefault="00A533ED" w:rsidP="0089557A">
      <w:pPr>
        <w:pStyle w:val="PargrafodaLista"/>
        <w:numPr>
          <w:ilvl w:val="0"/>
          <w:numId w:val="15"/>
        </w:numPr>
        <w:ind w:left="284"/>
        <w:rPr>
          <w:rFonts w:ascii="Verdana" w:hAnsi="Verdana"/>
          <w:sz w:val="20"/>
          <w:szCs w:val="20"/>
        </w:rPr>
      </w:pPr>
      <w:r w:rsidRPr="0089557A">
        <w:rPr>
          <w:rFonts w:ascii="Verdana" w:hAnsi="Verdana"/>
          <w:sz w:val="20"/>
          <w:szCs w:val="20"/>
        </w:rPr>
        <w:t>Hipóteses Atuariais e Econômicas</w:t>
      </w:r>
    </w:p>
    <w:p w14:paraId="3D8EE102" w14:textId="77777777" w:rsidR="00A533ED" w:rsidRPr="00B75FA1" w:rsidRDefault="00A533ED" w:rsidP="00A533ED">
      <w:pPr>
        <w:rPr>
          <w:rFonts w:ascii="Verdana" w:hAnsi="Verdana"/>
          <w:sz w:val="20"/>
          <w:szCs w:val="20"/>
          <w:highlight w:val="green"/>
        </w:rPr>
      </w:pPr>
    </w:p>
    <w:p w14:paraId="11C50FC4" w14:textId="0E77D993" w:rsidR="00ED275D" w:rsidRDefault="00A533ED" w:rsidP="00A533ED">
      <w:pPr>
        <w:ind w:right="-40"/>
        <w:rPr>
          <w:rFonts w:ascii="Verdana" w:hAnsi="Verdana"/>
          <w:sz w:val="20"/>
          <w:szCs w:val="20"/>
        </w:rPr>
      </w:pPr>
      <w:r w:rsidRPr="0089557A">
        <w:rPr>
          <w:rFonts w:ascii="Verdana" w:hAnsi="Verdana"/>
          <w:sz w:val="20"/>
          <w:szCs w:val="20"/>
        </w:rPr>
        <w:t>As premissas atuariais apresentadas abaixo foram utilizadas na determinação da obrigação de benefício definido e da despesa do exercício.</w:t>
      </w:r>
    </w:p>
    <w:p w14:paraId="4FFA9138" w14:textId="7931FC71" w:rsidR="00A533ED" w:rsidRPr="00B75FA1" w:rsidRDefault="00A533ED" w:rsidP="00ED275D">
      <w:pPr>
        <w:jc w:val="center"/>
        <w:rPr>
          <w:sz w:val="20"/>
          <w:szCs w:val="20"/>
          <w:highlight w:val="green"/>
        </w:rPr>
      </w:pPr>
    </w:p>
    <w:p w14:paraId="5AA1E1F7" w14:textId="252E1053" w:rsidR="00A533ED" w:rsidRDefault="00AC03A8" w:rsidP="00A533ED">
      <w:pPr>
        <w:jc w:val="center"/>
        <w:rPr>
          <w:sz w:val="20"/>
          <w:szCs w:val="20"/>
          <w:highlight w:val="green"/>
        </w:rPr>
      </w:pPr>
      <w:r w:rsidRPr="00A7192B">
        <w:rPr>
          <w:noProof/>
        </w:rPr>
        <w:drawing>
          <wp:inline distT="0" distB="0" distL="0" distR="0" wp14:anchorId="3B808259" wp14:editId="7BA56D26">
            <wp:extent cx="5733396" cy="1397932"/>
            <wp:effectExtent l="0" t="0" r="1270"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60200" cy="1404467"/>
                    </a:xfrm>
                    <a:prstGeom prst="rect">
                      <a:avLst/>
                    </a:prstGeom>
                    <a:noFill/>
                    <a:ln>
                      <a:noFill/>
                    </a:ln>
                  </pic:spPr>
                </pic:pic>
              </a:graphicData>
            </a:graphic>
          </wp:inline>
        </w:drawing>
      </w:r>
    </w:p>
    <w:p w14:paraId="0F66ABA8" w14:textId="77777777" w:rsidR="00ED275D" w:rsidRDefault="00ED275D" w:rsidP="00A533ED">
      <w:pPr>
        <w:jc w:val="center"/>
        <w:rPr>
          <w:sz w:val="20"/>
          <w:szCs w:val="20"/>
          <w:highlight w:val="green"/>
        </w:rPr>
      </w:pPr>
    </w:p>
    <w:p w14:paraId="70D40739" w14:textId="77777777" w:rsidR="00A533ED" w:rsidRPr="00B75FA1" w:rsidRDefault="00ED275D" w:rsidP="00ED275D">
      <w:pPr>
        <w:jc w:val="center"/>
        <w:rPr>
          <w:sz w:val="20"/>
          <w:szCs w:val="20"/>
          <w:highlight w:val="green"/>
        </w:rPr>
      </w:pPr>
      <w:r w:rsidRPr="00ED275D">
        <w:rPr>
          <w:noProof/>
        </w:rPr>
        <w:lastRenderedPageBreak/>
        <w:drawing>
          <wp:inline distT="0" distB="0" distL="0" distR="0" wp14:anchorId="518E371C" wp14:editId="0232029A">
            <wp:extent cx="5580630" cy="2035276"/>
            <wp:effectExtent l="0" t="0" r="1270" b="0"/>
            <wp:docPr id="472" name="Imagem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612542" cy="2046915"/>
                    </a:xfrm>
                    <a:prstGeom prst="rect">
                      <a:avLst/>
                    </a:prstGeom>
                    <a:noFill/>
                    <a:ln>
                      <a:noFill/>
                    </a:ln>
                  </pic:spPr>
                </pic:pic>
              </a:graphicData>
            </a:graphic>
          </wp:inline>
        </w:drawing>
      </w:r>
    </w:p>
    <w:p w14:paraId="11260295" w14:textId="77777777" w:rsidR="00A533ED" w:rsidRPr="00B75FA1" w:rsidRDefault="00A533ED" w:rsidP="00A533ED">
      <w:pPr>
        <w:jc w:val="center"/>
        <w:rPr>
          <w:sz w:val="20"/>
          <w:szCs w:val="20"/>
          <w:highlight w:val="green"/>
        </w:rPr>
      </w:pPr>
    </w:p>
    <w:p w14:paraId="498CB51B" w14:textId="77777777" w:rsidR="00E61229" w:rsidRPr="00594C4D" w:rsidRDefault="00E61229" w:rsidP="00E61229">
      <w:pPr>
        <w:rPr>
          <w:rFonts w:ascii="Arial" w:hAnsi="Arial" w:cs="Arial"/>
        </w:rPr>
      </w:pPr>
      <w:r w:rsidRPr="00594C4D">
        <w:rPr>
          <w:rFonts w:ascii="Verdana" w:hAnsi="Verdana" w:cs="Arial"/>
          <w:sz w:val="20"/>
          <w:szCs w:val="20"/>
        </w:rPr>
        <w:t>A taxa global de retorno esperada corresponde à média ponderada dos retornos esperados das várias categorias de ativos do plano. A avaliação do retorno esperado realizada pela Administração tem como base as tendências históricas de retorno e previsões dos analistas de mercado para o ativo durante a vida da respectiva obrigação. O atual retorno dos ativos do plano REAL GRANDEZA foi ganho de R$ 504.185 em 31 de dezembro de 2021 (perda de R$ 1.079.332 em 31 de dezembro de 2020) e do plano NUCLEOS foi perda de R$ 729.248 em 31 de dezembro de 2021 (perda de R$ 26.359 em 31 de dezembro de 2020).</w:t>
      </w:r>
    </w:p>
    <w:p w14:paraId="360C9DBB" w14:textId="77777777" w:rsidR="00E61229" w:rsidRPr="00BA2EC0" w:rsidRDefault="00E61229" w:rsidP="00E61229">
      <w:pPr>
        <w:rPr>
          <w:rFonts w:ascii="Verdana" w:hAnsi="Verdana"/>
          <w:sz w:val="20"/>
          <w:szCs w:val="20"/>
          <w:highlight w:val="yellow"/>
        </w:rPr>
      </w:pPr>
    </w:p>
    <w:p w14:paraId="1D0BEF5E" w14:textId="77777777" w:rsidR="00E61229" w:rsidRPr="00C144B9" w:rsidRDefault="00E61229" w:rsidP="00E61229">
      <w:pPr>
        <w:ind w:firstLine="709"/>
        <w:rPr>
          <w:rFonts w:ascii="Verdana" w:hAnsi="Verdana" w:cs="Arial"/>
          <w:sz w:val="20"/>
          <w:szCs w:val="20"/>
        </w:rPr>
      </w:pPr>
    </w:p>
    <w:p w14:paraId="6DEABA38" w14:textId="77777777" w:rsidR="00E61229" w:rsidRPr="00C144B9" w:rsidRDefault="00E61229" w:rsidP="00E61229">
      <w:pPr>
        <w:pStyle w:val="PargrafodaLista"/>
        <w:numPr>
          <w:ilvl w:val="0"/>
          <w:numId w:val="15"/>
        </w:numPr>
        <w:ind w:left="284"/>
        <w:rPr>
          <w:rFonts w:ascii="Verdana" w:hAnsi="Verdana" w:cs="Arial"/>
          <w:sz w:val="20"/>
          <w:szCs w:val="20"/>
        </w:rPr>
      </w:pPr>
      <w:r w:rsidRPr="00C144B9">
        <w:rPr>
          <w:rFonts w:ascii="Verdana" w:hAnsi="Verdana" w:cs="Arial"/>
          <w:sz w:val="20"/>
          <w:szCs w:val="20"/>
        </w:rPr>
        <w:t xml:space="preserve">Contribuições </w:t>
      </w:r>
      <w:r w:rsidRPr="00C144B9">
        <w:rPr>
          <w:rFonts w:ascii="Verdana" w:hAnsi="Verdana"/>
          <w:sz w:val="20"/>
          <w:szCs w:val="20"/>
        </w:rPr>
        <w:t>patronais</w:t>
      </w:r>
      <w:r w:rsidRPr="00C144B9">
        <w:rPr>
          <w:rFonts w:ascii="Verdana" w:hAnsi="Verdana" w:cs="Arial"/>
          <w:sz w:val="20"/>
          <w:szCs w:val="20"/>
        </w:rPr>
        <w:t xml:space="preserve"> </w:t>
      </w:r>
    </w:p>
    <w:p w14:paraId="60F6E4B6" w14:textId="77777777" w:rsidR="00E61229" w:rsidRPr="00C144B9" w:rsidRDefault="00E61229" w:rsidP="00E61229">
      <w:pPr>
        <w:pStyle w:val="PargrafodaLista"/>
        <w:rPr>
          <w:rFonts w:ascii="Verdana" w:hAnsi="Verdana" w:cs="Arial"/>
          <w:sz w:val="20"/>
          <w:szCs w:val="20"/>
        </w:rPr>
      </w:pPr>
    </w:p>
    <w:p w14:paraId="7AB10962" w14:textId="77777777" w:rsidR="00E61229" w:rsidRPr="00C144B9" w:rsidRDefault="00E61229" w:rsidP="00E61229">
      <w:pPr>
        <w:rPr>
          <w:rFonts w:ascii="Verdana" w:hAnsi="Verdana"/>
          <w:sz w:val="20"/>
          <w:szCs w:val="20"/>
        </w:rPr>
      </w:pPr>
      <w:r w:rsidRPr="00C144B9">
        <w:rPr>
          <w:rFonts w:ascii="Verdana" w:hAnsi="Verdana"/>
          <w:sz w:val="20"/>
          <w:szCs w:val="20"/>
        </w:rPr>
        <w:t>Em 31 de dezembro de 2021, as contribui</w:t>
      </w:r>
      <w:r>
        <w:rPr>
          <w:rFonts w:ascii="Verdana" w:hAnsi="Verdana"/>
          <w:sz w:val="20"/>
          <w:szCs w:val="20"/>
        </w:rPr>
        <w:t>ções</w:t>
      </w:r>
      <w:r w:rsidRPr="00C144B9">
        <w:rPr>
          <w:rFonts w:ascii="Verdana" w:hAnsi="Verdana"/>
          <w:sz w:val="20"/>
          <w:szCs w:val="20"/>
        </w:rPr>
        <w:t xml:space="preserve"> feitas pela Companhia, para a </w:t>
      </w:r>
      <w:proofErr w:type="spellStart"/>
      <w:r w:rsidRPr="00C144B9">
        <w:rPr>
          <w:rFonts w:ascii="Verdana" w:hAnsi="Verdana"/>
          <w:sz w:val="20"/>
          <w:szCs w:val="20"/>
        </w:rPr>
        <w:t>constituicao</w:t>
      </w:r>
      <w:proofErr w:type="spellEnd"/>
      <w:r w:rsidRPr="00C144B9">
        <w:rPr>
          <w:rFonts w:ascii="Verdana" w:hAnsi="Verdana"/>
          <w:sz w:val="20"/>
          <w:szCs w:val="20"/>
        </w:rPr>
        <w:t xml:space="preserve"> das </w:t>
      </w:r>
      <w:proofErr w:type="spellStart"/>
      <w:r w:rsidRPr="00C144B9">
        <w:rPr>
          <w:rFonts w:ascii="Verdana" w:hAnsi="Verdana"/>
          <w:sz w:val="20"/>
          <w:szCs w:val="20"/>
        </w:rPr>
        <w:t>provis</w:t>
      </w:r>
      <w:r>
        <w:rPr>
          <w:rFonts w:ascii="Verdana" w:hAnsi="Verdana"/>
          <w:sz w:val="20"/>
          <w:szCs w:val="20"/>
        </w:rPr>
        <w:t>õe</w:t>
      </w:r>
      <w:proofErr w:type="spellEnd"/>
      <w:r w:rsidRPr="00C144B9">
        <w:rPr>
          <w:rFonts w:ascii="Verdana" w:hAnsi="Verdana"/>
          <w:sz w:val="20"/>
          <w:szCs w:val="20"/>
        </w:rPr>
        <w:t xml:space="preserve"> matem</w:t>
      </w:r>
      <w:r>
        <w:rPr>
          <w:rFonts w:ascii="Verdana" w:hAnsi="Verdana"/>
          <w:sz w:val="20"/>
          <w:szCs w:val="20"/>
        </w:rPr>
        <w:t>á</w:t>
      </w:r>
      <w:r w:rsidRPr="00C144B9">
        <w:rPr>
          <w:rFonts w:ascii="Verdana" w:hAnsi="Verdana"/>
          <w:sz w:val="20"/>
          <w:szCs w:val="20"/>
        </w:rPr>
        <w:t>ticas de benef</w:t>
      </w:r>
      <w:r>
        <w:rPr>
          <w:rFonts w:ascii="Verdana" w:hAnsi="Verdana"/>
          <w:sz w:val="20"/>
          <w:szCs w:val="20"/>
        </w:rPr>
        <w:t>í</w:t>
      </w:r>
      <w:r w:rsidRPr="00C144B9">
        <w:rPr>
          <w:rFonts w:ascii="Verdana" w:hAnsi="Verdana"/>
          <w:sz w:val="20"/>
          <w:szCs w:val="20"/>
        </w:rPr>
        <w:t xml:space="preserve">cios do </w:t>
      </w:r>
      <w:r w:rsidRPr="00C144B9">
        <w:rPr>
          <w:rFonts w:ascii="Verdana" w:hAnsi="Verdana" w:cs="Arial"/>
          <w:sz w:val="20"/>
          <w:szCs w:val="20"/>
        </w:rPr>
        <w:t xml:space="preserve">plano REAL GRANDEZA </w:t>
      </w:r>
      <w:r w:rsidRPr="00C144B9">
        <w:rPr>
          <w:rFonts w:ascii="Verdana" w:hAnsi="Verdana"/>
          <w:sz w:val="20"/>
          <w:szCs w:val="20"/>
        </w:rPr>
        <w:t xml:space="preserve">atingiram R$ 4.953 (R$ 7.090 em 2020) e do </w:t>
      </w:r>
      <w:r w:rsidRPr="00C144B9">
        <w:rPr>
          <w:rFonts w:ascii="Verdana" w:hAnsi="Verdana" w:cs="Arial"/>
          <w:sz w:val="20"/>
          <w:szCs w:val="20"/>
        </w:rPr>
        <w:t xml:space="preserve">plano NUCLEOS </w:t>
      </w:r>
      <w:r w:rsidRPr="00C144B9">
        <w:rPr>
          <w:rFonts w:ascii="Verdana" w:hAnsi="Verdana"/>
          <w:sz w:val="20"/>
          <w:szCs w:val="20"/>
        </w:rPr>
        <w:t>R$ 21.897 (R$ 20.715 em 2020).</w:t>
      </w:r>
    </w:p>
    <w:p w14:paraId="74C1EAB0" w14:textId="77777777" w:rsidR="00E61229" w:rsidRPr="00C144B9" w:rsidRDefault="00E61229" w:rsidP="00E61229">
      <w:pPr>
        <w:autoSpaceDE w:val="0"/>
        <w:autoSpaceDN w:val="0"/>
        <w:adjustRightInd w:val="0"/>
        <w:rPr>
          <w:rFonts w:ascii="Verdana" w:hAnsi="Verdana"/>
          <w:sz w:val="20"/>
          <w:szCs w:val="20"/>
        </w:rPr>
      </w:pPr>
    </w:p>
    <w:p w14:paraId="4E5545F7" w14:textId="77777777" w:rsidR="00E61229" w:rsidRPr="00C144B9" w:rsidRDefault="00E61229" w:rsidP="00E61229">
      <w:pPr>
        <w:autoSpaceDE w:val="0"/>
        <w:autoSpaceDN w:val="0"/>
        <w:adjustRightInd w:val="0"/>
        <w:rPr>
          <w:rFonts w:ascii="Verdana" w:hAnsi="Verdana"/>
          <w:sz w:val="20"/>
          <w:szCs w:val="20"/>
        </w:rPr>
      </w:pPr>
      <w:r w:rsidRPr="00C144B9">
        <w:rPr>
          <w:rFonts w:ascii="Verdana" w:hAnsi="Verdana"/>
          <w:sz w:val="20"/>
          <w:szCs w:val="20"/>
        </w:rPr>
        <w:t xml:space="preserve">A Companhia espera contribuir com R$ 5.151 para plano </w:t>
      </w:r>
      <w:r w:rsidRPr="00C144B9">
        <w:rPr>
          <w:rFonts w:ascii="Verdana" w:hAnsi="Verdana" w:cs="Arial"/>
          <w:sz w:val="20"/>
          <w:szCs w:val="20"/>
        </w:rPr>
        <w:t xml:space="preserve">REAL </w:t>
      </w:r>
      <w:proofErr w:type="gramStart"/>
      <w:r w:rsidRPr="00C144B9">
        <w:rPr>
          <w:rFonts w:ascii="Verdana" w:hAnsi="Verdana" w:cs="Arial"/>
          <w:sz w:val="20"/>
          <w:szCs w:val="20"/>
        </w:rPr>
        <w:t>GRANDEZA  e</w:t>
      </w:r>
      <w:proofErr w:type="gramEnd"/>
      <w:r w:rsidRPr="00C144B9">
        <w:rPr>
          <w:rFonts w:ascii="Verdana" w:hAnsi="Verdana" w:cs="Arial"/>
          <w:sz w:val="20"/>
          <w:szCs w:val="20"/>
        </w:rPr>
        <w:t xml:space="preserve"> com R$ 22.773 para o plano NUCLEOS </w:t>
      </w:r>
      <w:r w:rsidRPr="00C144B9">
        <w:rPr>
          <w:rFonts w:ascii="Verdana" w:hAnsi="Verdana"/>
          <w:sz w:val="20"/>
          <w:szCs w:val="20"/>
        </w:rPr>
        <w:t>durante o próximo</w:t>
      </w:r>
      <w:r>
        <w:rPr>
          <w:rFonts w:ascii="Verdana" w:hAnsi="Verdana"/>
          <w:sz w:val="20"/>
          <w:szCs w:val="20"/>
        </w:rPr>
        <w:t xml:space="preserve"> ano.</w:t>
      </w:r>
    </w:p>
    <w:p w14:paraId="386A0174" w14:textId="77777777" w:rsidR="00E61229" w:rsidRPr="00C144B9" w:rsidRDefault="00E61229" w:rsidP="00E61229">
      <w:pPr>
        <w:autoSpaceDE w:val="0"/>
        <w:autoSpaceDN w:val="0"/>
        <w:adjustRightInd w:val="0"/>
        <w:rPr>
          <w:rFonts w:ascii="Verdana" w:hAnsi="Verdana"/>
          <w:sz w:val="20"/>
          <w:szCs w:val="20"/>
        </w:rPr>
      </w:pPr>
    </w:p>
    <w:p w14:paraId="3F828B5E" w14:textId="55C6881F" w:rsidR="005E7AA9" w:rsidRPr="005E4A4C" w:rsidRDefault="00E61229" w:rsidP="00E61229">
      <w:pPr>
        <w:autoSpaceDE w:val="0"/>
        <w:autoSpaceDN w:val="0"/>
        <w:adjustRightInd w:val="0"/>
        <w:rPr>
          <w:rFonts w:ascii="Verdana" w:hAnsi="Verdana"/>
          <w:sz w:val="20"/>
          <w:szCs w:val="20"/>
        </w:rPr>
      </w:pPr>
      <w:r w:rsidRPr="00C144B9">
        <w:rPr>
          <w:rFonts w:ascii="Verdana" w:hAnsi="Verdana"/>
          <w:sz w:val="20"/>
          <w:szCs w:val="20"/>
        </w:rPr>
        <w:t>A dura</w:t>
      </w:r>
      <w:r>
        <w:rPr>
          <w:rFonts w:ascii="Verdana" w:hAnsi="Verdana"/>
          <w:sz w:val="20"/>
          <w:szCs w:val="20"/>
        </w:rPr>
        <w:t>ção</w:t>
      </w:r>
      <w:r w:rsidRPr="00C144B9">
        <w:rPr>
          <w:rFonts w:ascii="Verdana" w:hAnsi="Verdana"/>
          <w:sz w:val="20"/>
          <w:szCs w:val="20"/>
        </w:rPr>
        <w:t xml:space="preserve"> média ponderada da </w:t>
      </w:r>
      <w:proofErr w:type="spellStart"/>
      <w:r w:rsidRPr="00C144B9">
        <w:rPr>
          <w:rFonts w:ascii="Verdana" w:hAnsi="Verdana"/>
          <w:sz w:val="20"/>
          <w:szCs w:val="20"/>
        </w:rPr>
        <w:t>obrigacao</w:t>
      </w:r>
      <w:proofErr w:type="spellEnd"/>
      <w:r w:rsidRPr="00C144B9">
        <w:rPr>
          <w:rFonts w:ascii="Verdana" w:hAnsi="Verdana"/>
          <w:sz w:val="20"/>
          <w:szCs w:val="20"/>
        </w:rPr>
        <w:t xml:space="preserve"> do </w:t>
      </w:r>
      <w:r w:rsidRPr="00C144B9">
        <w:rPr>
          <w:rFonts w:ascii="Verdana" w:hAnsi="Verdana" w:cs="Arial"/>
          <w:sz w:val="20"/>
          <w:szCs w:val="20"/>
        </w:rPr>
        <w:t>plano REAL GRANDEZA é de 11,94 anos e do plano NUCLEOS é de 16,59 anos</w:t>
      </w:r>
      <w:r w:rsidR="00DC4504" w:rsidRPr="005E4A4C">
        <w:rPr>
          <w:rFonts w:ascii="Verdana" w:hAnsi="Verdana"/>
          <w:sz w:val="20"/>
          <w:szCs w:val="20"/>
        </w:rPr>
        <w:t>.</w:t>
      </w:r>
    </w:p>
    <w:p w14:paraId="0E297E0D" w14:textId="77777777" w:rsidR="00A533ED" w:rsidRPr="00B75FA1" w:rsidRDefault="00A533ED" w:rsidP="00A533ED">
      <w:pPr>
        <w:pStyle w:val="Default"/>
        <w:jc w:val="both"/>
        <w:rPr>
          <w:rFonts w:cs="Times New Roman"/>
          <w:color w:val="auto"/>
          <w:sz w:val="20"/>
          <w:szCs w:val="20"/>
          <w:highlight w:val="green"/>
        </w:rPr>
      </w:pPr>
    </w:p>
    <w:p w14:paraId="6924074C" w14:textId="62E58FDB" w:rsidR="0072784D" w:rsidRPr="00B75FA1" w:rsidRDefault="00E61229" w:rsidP="00A533ED">
      <w:pPr>
        <w:pStyle w:val="Default"/>
        <w:jc w:val="both"/>
        <w:rPr>
          <w:rFonts w:cs="Times New Roman"/>
          <w:color w:val="auto"/>
          <w:sz w:val="20"/>
          <w:szCs w:val="20"/>
          <w:highlight w:val="green"/>
        </w:rPr>
      </w:pPr>
      <w:r w:rsidRPr="00C144B9">
        <w:rPr>
          <w:rFonts w:cs="Times New Roman"/>
          <w:color w:val="auto"/>
          <w:sz w:val="20"/>
          <w:szCs w:val="20"/>
        </w:rPr>
        <w:t>Análise dos vencimentos esperados de benefícios não descontados de planos de benefício definido pós-emprego para os próximos 10 anos:</w:t>
      </w:r>
    </w:p>
    <w:p w14:paraId="2638CF6B" w14:textId="77C2B5D0" w:rsidR="00A533ED" w:rsidRDefault="00A533ED" w:rsidP="00A533ED">
      <w:pPr>
        <w:jc w:val="center"/>
        <w:rPr>
          <w:rFonts w:cs="Arial"/>
          <w:sz w:val="20"/>
          <w:szCs w:val="20"/>
          <w:highlight w:val="green"/>
        </w:rPr>
      </w:pPr>
    </w:p>
    <w:p w14:paraId="1CFEC428" w14:textId="6D73D8B7" w:rsidR="00AC03A8" w:rsidRPr="00B75FA1" w:rsidRDefault="00AC03A8" w:rsidP="00A533ED">
      <w:pPr>
        <w:jc w:val="center"/>
        <w:rPr>
          <w:rFonts w:cs="Arial"/>
          <w:sz w:val="20"/>
          <w:szCs w:val="20"/>
          <w:highlight w:val="green"/>
        </w:rPr>
      </w:pPr>
      <w:r w:rsidRPr="00AC03A8">
        <w:rPr>
          <w:noProof/>
        </w:rPr>
        <w:drawing>
          <wp:inline distT="0" distB="0" distL="0" distR="0" wp14:anchorId="72C3A641" wp14:editId="1BE1805E">
            <wp:extent cx="6652895" cy="753216"/>
            <wp:effectExtent l="0" t="0" r="0" b="889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652895" cy="753216"/>
                    </a:xfrm>
                    <a:prstGeom prst="rect">
                      <a:avLst/>
                    </a:prstGeom>
                    <a:noFill/>
                    <a:ln>
                      <a:noFill/>
                    </a:ln>
                  </pic:spPr>
                </pic:pic>
              </a:graphicData>
            </a:graphic>
          </wp:inline>
        </w:drawing>
      </w:r>
    </w:p>
    <w:p w14:paraId="6C7A096B" w14:textId="7C70AF99" w:rsidR="00A533ED" w:rsidRDefault="00A533ED" w:rsidP="00A533ED">
      <w:pPr>
        <w:jc w:val="center"/>
        <w:rPr>
          <w:rFonts w:cs="Arial"/>
          <w:sz w:val="20"/>
          <w:szCs w:val="20"/>
          <w:highlight w:val="green"/>
        </w:rPr>
      </w:pPr>
    </w:p>
    <w:p w14:paraId="0A0D7E2A" w14:textId="2A252096" w:rsidR="00C42BA0" w:rsidRDefault="00C42BA0" w:rsidP="00A533ED">
      <w:pPr>
        <w:jc w:val="center"/>
        <w:rPr>
          <w:rFonts w:cs="Arial"/>
          <w:sz w:val="20"/>
          <w:szCs w:val="20"/>
          <w:highlight w:val="green"/>
        </w:rPr>
      </w:pPr>
    </w:p>
    <w:p w14:paraId="6D5FEFE8" w14:textId="475050A0" w:rsidR="00C42BA0" w:rsidRDefault="00C42BA0" w:rsidP="00A533ED">
      <w:pPr>
        <w:jc w:val="center"/>
        <w:rPr>
          <w:rFonts w:cs="Arial"/>
          <w:sz w:val="20"/>
          <w:szCs w:val="20"/>
          <w:highlight w:val="green"/>
        </w:rPr>
      </w:pPr>
    </w:p>
    <w:p w14:paraId="6F31EC21" w14:textId="4DC94A84" w:rsidR="00C42BA0" w:rsidRDefault="00C42BA0" w:rsidP="00A533ED">
      <w:pPr>
        <w:jc w:val="center"/>
        <w:rPr>
          <w:rFonts w:cs="Arial"/>
          <w:sz w:val="20"/>
          <w:szCs w:val="20"/>
          <w:highlight w:val="green"/>
        </w:rPr>
      </w:pPr>
    </w:p>
    <w:p w14:paraId="3E3C9A32" w14:textId="24E8FD84" w:rsidR="00C42BA0" w:rsidRDefault="00C42BA0" w:rsidP="00A533ED">
      <w:pPr>
        <w:jc w:val="center"/>
        <w:rPr>
          <w:rFonts w:cs="Arial"/>
          <w:sz w:val="20"/>
          <w:szCs w:val="20"/>
          <w:highlight w:val="green"/>
        </w:rPr>
      </w:pPr>
    </w:p>
    <w:p w14:paraId="19527810" w14:textId="18596D87" w:rsidR="00C42BA0" w:rsidRDefault="00C42BA0" w:rsidP="00A533ED">
      <w:pPr>
        <w:jc w:val="center"/>
        <w:rPr>
          <w:rFonts w:cs="Arial"/>
          <w:sz w:val="20"/>
          <w:szCs w:val="20"/>
          <w:highlight w:val="green"/>
        </w:rPr>
      </w:pPr>
    </w:p>
    <w:p w14:paraId="39CBA3B1" w14:textId="49841A74" w:rsidR="00C42BA0" w:rsidRDefault="00C42BA0" w:rsidP="00A533ED">
      <w:pPr>
        <w:jc w:val="center"/>
        <w:rPr>
          <w:rFonts w:cs="Arial"/>
          <w:sz w:val="20"/>
          <w:szCs w:val="20"/>
          <w:highlight w:val="green"/>
        </w:rPr>
      </w:pPr>
    </w:p>
    <w:p w14:paraId="6BF7A49C" w14:textId="77777777" w:rsidR="001D0CBB" w:rsidRPr="00B75FA1" w:rsidRDefault="001D0CBB" w:rsidP="00A533ED">
      <w:pPr>
        <w:jc w:val="center"/>
        <w:rPr>
          <w:rFonts w:cs="Arial"/>
          <w:sz w:val="20"/>
          <w:szCs w:val="20"/>
          <w:highlight w:val="green"/>
        </w:rPr>
      </w:pPr>
    </w:p>
    <w:p w14:paraId="6F5C0466" w14:textId="13198FCB" w:rsidR="006C69B8" w:rsidRDefault="00C3380F" w:rsidP="00957F95">
      <w:pPr>
        <w:pStyle w:val="PargrafodaLista"/>
        <w:jc w:val="center"/>
        <w:rPr>
          <w:highlight w:val="green"/>
        </w:rPr>
      </w:pPr>
      <w:r w:rsidRPr="00C3380F" w:rsidDel="000D5EC7">
        <w:rPr>
          <w:highlight w:val="yellow"/>
        </w:rPr>
        <w:t xml:space="preserve"> </w:t>
      </w:r>
    </w:p>
    <w:p w14:paraId="7E9D7ECB" w14:textId="4B928E48" w:rsidR="00A533ED" w:rsidRDefault="00402B84" w:rsidP="00A533ED">
      <w:pPr>
        <w:tabs>
          <w:tab w:val="left" w:pos="425"/>
        </w:tabs>
        <w:ind w:right="-40"/>
        <w:contextualSpacing/>
        <w:rPr>
          <w:rFonts w:ascii="Verdana" w:hAnsi="Verdana"/>
          <w:sz w:val="20"/>
          <w:szCs w:val="20"/>
        </w:rPr>
      </w:pPr>
      <w:r>
        <w:rPr>
          <w:rFonts w:ascii="Verdana" w:hAnsi="Verdana"/>
          <w:sz w:val="20"/>
          <w:szCs w:val="20"/>
        </w:rPr>
        <w:lastRenderedPageBreak/>
        <w:t>f</w:t>
      </w:r>
      <w:r w:rsidR="00A533ED" w:rsidRPr="009D4F8F">
        <w:rPr>
          <w:rFonts w:ascii="Verdana" w:hAnsi="Verdana"/>
          <w:sz w:val="20"/>
          <w:szCs w:val="20"/>
        </w:rPr>
        <w:t>) Montantes incluídos no valor justo dos ativos dos planos</w:t>
      </w:r>
    </w:p>
    <w:p w14:paraId="7B162AAD" w14:textId="77777777" w:rsidR="009D4F8F" w:rsidRPr="009D4F8F" w:rsidRDefault="009D4F8F" w:rsidP="00A533ED">
      <w:pPr>
        <w:tabs>
          <w:tab w:val="left" w:pos="425"/>
        </w:tabs>
        <w:ind w:right="-40"/>
        <w:contextualSpacing/>
        <w:rPr>
          <w:rFonts w:ascii="Verdana" w:hAnsi="Verdana"/>
          <w:sz w:val="20"/>
          <w:szCs w:val="20"/>
        </w:rPr>
      </w:pPr>
    </w:p>
    <w:p w14:paraId="17C6CC17" w14:textId="29933DD0" w:rsidR="00A533ED" w:rsidRPr="00B75FA1" w:rsidRDefault="009D4F8F" w:rsidP="00C63215">
      <w:pPr>
        <w:pStyle w:val="PargrafodaLista"/>
        <w:tabs>
          <w:tab w:val="left" w:pos="992"/>
        </w:tabs>
        <w:ind w:left="0"/>
        <w:jc w:val="left"/>
        <w:rPr>
          <w:noProof/>
          <w:highlight w:val="green"/>
        </w:rPr>
      </w:pPr>
      <w:r>
        <w:rPr>
          <w:rFonts w:ascii="Verdana" w:hAnsi="Verdana"/>
          <w:sz w:val="20"/>
          <w:szCs w:val="20"/>
        </w:rPr>
        <w:t xml:space="preserve"> </w:t>
      </w:r>
      <w:r w:rsidR="00402B84">
        <w:rPr>
          <w:rFonts w:ascii="Verdana" w:hAnsi="Verdana"/>
          <w:sz w:val="20"/>
          <w:szCs w:val="20"/>
        </w:rPr>
        <w:t>f</w:t>
      </w:r>
      <w:r>
        <w:rPr>
          <w:rFonts w:ascii="Verdana" w:hAnsi="Verdana"/>
          <w:sz w:val="20"/>
          <w:szCs w:val="20"/>
        </w:rPr>
        <w:t>.1) Real Grandeza:</w:t>
      </w:r>
    </w:p>
    <w:p w14:paraId="40905D55" w14:textId="77777777" w:rsidR="00A533ED" w:rsidRPr="00B75FA1" w:rsidRDefault="00A533ED" w:rsidP="00A533ED">
      <w:pPr>
        <w:tabs>
          <w:tab w:val="left" w:pos="425"/>
        </w:tabs>
        <w:jc w:val="center"/>
        <w:rPr>
          <w:sz w:val="20"/>
          <w:szCs w:val="20"/>
          <w:highlight w:val="green"/>
        </w:rPr>
      </w:pPr>
    </w:p>
    <w:p w14:paraId="7D594A96" w14:textId="77777777" w:rsidR="00A533ED" w:rsidRDefault="00045F0F" w:rsidP="00A533ED">
      <w:pPr>
        <w:jc w:val="center"/>
        <w:rPr>
          <w:rFonts w:ascii="Segoe UI" w:hAnsi="Segoe UI" w:cs="Segoe UI"/>
          <w:color w:val="FF0000"/>
          <w:sz w:val="16"/>
          <w:szCs w:val="16"/>
          <w:highlight w:val="green"/>
          <w:shd w:val="clear" w:color="auto" w:fill="FFFFFF"/>
        </w:rPr>
      </w:pPr>
      <w:r w:rsidRPr="00076F10">
        <w:rPr>
          <w:noProof/>
        </w:rPr>
        <w:drawing>
          <wp:inline distT="0" distB="0" distL="0" distR="0" wp14:anchorId="38C34A7D" wp14:editId="41B8AD27">
            <wp:extent cx="4991100" cy="2057070"/>
            <wp:effectExtent l="0" t="0" r="0" b="635"/>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004107" cy="2062431"/>
                    </a:xfrm>
                    <a:prstGeom prst="rect">
                      <a:avLst/>
                    </a:prstGeom>
                    <a:noFill/>
                    <a:ln>
                      <a:noFill/>
                    </a:ln>
                  </pic:spPr>
                </pic:pic>
              </a:graphicData>
            </a:graphic>
          </wp:inline>
        </w:drawing>
      </w:r>
    </w:p>
    <w:p w14:paraId="4562E72D" w14:textId="152B4AA6" w:rsidR="009D4F8F" w:rsidRDefault="009D4F8F" w:rsidP="00A533ED">
      <w:pPr>
        <w:jc w:val="center"/>
        <w:rPr>
          <w:sz w:val="20"/>
          <w:szCs w:val="20"/>
          <w:highlight w:val="green"/>
        </w:rPr>
      </w:pPr>
    </w:p>
    <w:p w14:paraId="36777DA1" w14:textId="70167AFA" w:rsidR="009D4F8F" w:rsidRDefault="00402B84" w:rsidP="009D4F8F">
      <w:pPr>
        <w:rPr>
          <w:rFonts w:ascii="Verdana" w:hAnsi="Verdana"/>
          <w:sz w:val="20"/>
          <w:szCs w:val="20"/>
        </w:rPr>
      </w:pPr>
      <w:r>
        <w:rPr>
          <w:rFonts w:ascii="Verdana" w:hAnsi="Verdana"/>
          <w:sz w:val="20"/>
          <w:szCs w:val="20"/>
        </w:rPr>
        <w:t>f</w:t>
      </w:r>
      <w:r w:rsidR="009D4F8F">
        <w:rPr>
          <w:rFonts w:ascii="Verdana" w:hAnsi="Verdana"/>
          <w:sz w:val="20"/>
          <w:szCs w:val="20"/>
        </w:rPr>
        <w:t xml:space="preserve">.2) </w:t>
      </w:r>
      <w:proofErr w:type="spellStart"/>
      <w:r w:rsidR="009D4F8F">
        <w:rPr>
          <w:rFonts w:ascii="Verdana" w:hAnsi="Verdana"/>
          <w:sz w:val="20"/>
          <w:szCs w:val="20"/>
        </w:rPr>
        <w:t>Nucleos</w:t>
      </w:r>
      <w:proofErr w:type="spellEnd"/>
      <w:r w:rsidR="009D4F8F">
        <w:rPr>
          <w:rFonts w:ascii="Verdana" w:hAnsi="Verdana"/>
          <w:sz w:val="20"/>
          <w:szCs w:val="20"/>
        </w:rPr>
        <w:t>:</w:t>
      </w:r>
    </w:p>
    <w:p w14:paraId="211B6640" w14:textId="77777777" w:rsidR="009D4F8F" w:rsidRDefault="009D4F8F" w:rsidP="009D4F8F">
      <w:pPr>
        <w:rPr>
          <w:rFonts w:ascii="Verdana" w:hAnsi="Verdana"/>
          <w:sz w:val="20"/>
          <w:szCs w:val="20"/>
        </w:rPr>
      </w:pPr>
    </w:p>
    <w:p w14:paraId="332E7A25" w14:textId="77777777" w:rsidR="009D4F8F" w:rsidRDefault="000B2154" w:rsidP="009D4F8F">
      <w:pPr>
        <w:jc w:val="center"/>
        <w:rPr>
          <w:rFonts w:ascii="Verdana" w:hAnsi="Verdana"/>
          <w:sz w:val="20"/>
          <w:szCs w:val="20"/>
        </w:rPr>
      </w:pPr>
      <w:r w:rsidRPr="000B2154">
        <w:rPr>
          <w:noProof/>
        </w:rPr>
        <w:drawing>
          <wp:inline distT="0" distB="0" distL="0" distR="0" wp14:anchorId="7FC68DD6" wp14:editId="14F82CDB">
            <wp:extent cx="4965700" cy="2192018"/>
            <wp:effectExtent l="0" t="0" r="6350"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975580" cy="2196379"/>
                    </a:xfrm>
                    <a:prstGeom prst="rect">
                      <a:avLst/>
                    </a:prstGeom>
                    <a:noFill/>
                    <a:ln>
                      <a:noFill/>
                    </a:ln>
                  </pic:spPr>
                </pic:pic>
              </a:graphicData>
            </a:graphic>
          </wp:inline>
        </w:drawing>
      </w:r>
    </w:p>
    <w:p w14:paraId="1910AF91" w14:textId="77777777" w:rsidR="009D4F8F" w:rsidRPr="00B75FA1" w:rsidRDefault="009D4F8F" w:rsidP="009D4F8F">
      <w:pPr>
        <w:rPr>
          <w:sz w:val="20"/>
          <w:szCs w:val="20"/>
          <w:highlight w:val="green"/>
        </w:rPr>
      </w:pPr>
    </w:p>
    <w:p w14:paraId="7D0F8C21" w14:textId="77777777" w:rsidR="00E61229" w:rsidRPr="008C0800" w:rsidRDefault="00E61229" w:rsidP="00E61229">
      <w:pPr>
        <w:rPr>
          <w:rFonts w:ascii="Verdana" w:hAnsi="Verdana"/>
          <w:sz w:val="20"/>
          <w:szCs w:val="20"/>
        </w:rPr>
      </w:pPr>
      <w:r w:rsidRPr="008C0800">
        <w:rPr>
          <w:rFonts w:ascii="Verdana" w:hAnsi="Verdana"/>
          <w:sz w:val="20"/>
          <w:szCs w:val="20"/>
        </w:rPr>
        <w:t>Os valores justos dos instrumentos de capital e de dívida são determinados com base em preços de mercado cotados em mercados ativos enquanto os valores justos de investimentos imobiliários não são baseados em preços de mercado cotados em mercados ativos.</w:t>
      </w:r>
    </w:p>
    <w:p w14:paraId="587FD130" w14:textId="7854B2FA" w:rsidR="00E61229" w:rsidRPr="008C0800" w:rsidRDefault="00E61229" w:rsidP="00E61229">
      <w:pPr>
        <w:widowControl w:val="0"/>
        <w:autoSpaceDE w:val="0"/>
        <w:autoSpaceDN w:val="0"/>
        <w:rPr>
          <w:rFonts w:ascii="Verdana" w:hAnsi="Verdana"/>
          <w:color w:val="0D63B5"/>
          <w:sz w:val="20"/>
          <w:szCs w:val="20"/>
        </w:rPr>
      </w:pPr>
    </w:p>
    <w:p w14:paraId="1A587C90" w14:textId="77777777" w:rsidR="00E61229" w:rsidRPr="008C0800" w:rsidRDefault="00E61229" w:rsidP="00E61229">
      <w:pPr>
        <w:widowControl w:val="0"/>
        <w:autoSpaceDE w:val="0"/>
        <w:autoSpaceDN w:val="0"/>
        <w:rPr>
          <w:rFonts w:ascii="Verdana" w:hAnsi="Verdana"/>
          <w:color w:val="0D63B5"/>
          <w:sz w:val="20"/>
          <w:szCs w:val="20"/>
        </w:rPr>
      </w:pPr>
    </w:p>
    <w:p w14:paraId="4FAF52AA" w14:textId="77777777" w:rsidR="00E61229" w:rsidRPr="008C0800" w:rsidRDefault="00E61229" w:rsidP="00E61229">
      <w:pPr>
        <w:widowControl w:val="0"/>
        <w:autoSpaceDE w:val="0"/>
        <w:autoSpaceDN w:val="0"/>
        <w:rPr>
          <w:rFonts w:ascii="Verdana" w:hAnsi="Verdana"/>
          <w:sz w:val="20"/>
          <w:szCs w:val="20"/>
          <w:bdr w:val="nil"/>
        </w:rPr>
      </w:pPr>
      <w:r w:rsidRPr="008C0800">
        <w:rPr>
          <w:rFonts w:ascii="Verdana" w:hAnsi="Verdana"/>
          <w:color w:val="0D63B5"/>
          <w:sz w:val="20"/>
          <w:szCs w:val="20"/>
        </w:rPr>
        <w:t>Prática contábil</w:t>
      </w:r>
      <w:r w:rsidRPr="008C0800">
        <w:rPr>
          <w:rFonts w:ascii="Verdana" w:hAnsi="Verdana"/>
          <w:sz w:val="20"/>
          <w:szCs w:val="20"/>
          <w:bdr w:val="nil"/>
        </w:rPr>
        <w:t xml:space="preserve"> </w:t>
      </w:r>
    </w:p>
    <w:p w14:paraId="14031FFF" w14:textId="77777777" w:rsidR="00E61229" w:rsidRPr="008C0800" w:rsidRDefault="00E61229" w:rsidP="00E61229">
      <w:pPr>
        <w:widowControl w:val="0"/>
        <w:autoSpaceDE w:val="0"/>
        <w:autoSpaceDN w:val="0"/>
        <w:rPr>
          <w:rFonts w:ascii="Verdana" w:hAnsi="Verdana"/>
          <w:sz w:val="20"/>
          <w:szCs w:val="20"/>
          <w:bdr w:val="nil"/>
        </w:rPr>
      </w:pPr>
    </w:p>
    <w:p w14:paraId="56EF441D" w14:textId="77777777" w:rsidR="00E61229" w:rsidRPr="008C0800" w:rsidRDefault="00E61229" w:rsidP="00E61229">
      <w:pPr>
        <w:rPr>
          <w:rFonts w:ascii="Verdana" w:hAnsi="Verdana"/>
          <w:color w:val="0D63B5"/>
          <w:sz w:val="20"/>
          <w:szCs w:val="20"/>
          <w:bdr w:val="nil"/>
        </w:rPr>
      </w:pPr>
      <w:r w:rsidRPr="008C0800">
        <w:rPr>
          <w:rFonts w:ascii="Verdana" w:hAnsi="Verdana"/>
          <w:color w:val="0D63B5"/>
          <w:sz w:val="20"/>
          <w:szCs w:val="20"/>
          <w:bdr w:val="nil"/>
        </w:rPr>
        <w:t>Obrigações de aposentadoria</w:t>
      </w:r>
    </w:p>
    <w:p w14:paraId="3414FB81" w14:textId="77777777" w:rsidR="00E61229" w:rsidRPr="008C0800" w:rsidRDefault="00E61229" w:rsidP="00E61229">
      <w:pPr>
        <w:widowControl w:val="0"/>
        <w:autoSpaceDE w:val="0"/>
        <w:autoSpaceDN w:val="0"/>
        <w:rPr>
          <w:rFonts w:ascii="Verdana" w:hAnsi="Verdana"/>
          <w:sz w:val="20"/>
          <w:szCs w:val="20"/>
          <w:bdr w:val="nil"/>
        </w:rPr>
      </w:pPr>
    </w:p>
    <w:p w14:paraId="24015E14" w14:textId="77777777" w:rsidR="00E61229" w:rsidRPr="008C0800" w:rsidRDefault="00E61229" w:rsidP="00E61229">
      <w:pPr>
        <w:widowControl w:val="0"/>
        <w:autoSpaceDE w:val="0"/>
        <w:autoSpaceDN w:val="0"/>
        <w:rPr>
          <w:rFonts w:ascii="Verdana" w:hAnsi="Verdana"/>
          <w:sz w:val="20"/>
          <w:szCs w:val="20"/>
          <w:bdr w:val="nil"/>
        </w:rPr>
      </w:pPr>
      <w:r w:rsidRPr="008C0800">
        <w:rPr>
          <w:rFonts w:ascii="Verdana" w:hAnsi="Verdana"/>
          <w:sz w:val="20"/>
          <w:szCs w:val="20"/>
          <w:bdr w:val="nil"/>
        </w:rPr>
        <w:t xml:space="preserve">A Companhia patrocina planos de pensão, os quais são geralmente financiados por pagamentos a estes fundos de pensão, determinados por cálculos atuariais periódicos. A Companhia possui planos de benefício definido e, também, de contribuição definida. Nos planos de contribuição definida, a Companhia faz contribuições fixas a uma entidade separada. Adicionalmente, não tem obrigações legais nem construtivas de fazer contribuições, se o fundo não possuir ativos suficientes para pagar, a todos os empregados, os benefícios relacionados com os serviços prestados nos exercícios correntes e anteriores atrelados a essa modalidade de plano. Um plano de benefício definido é diferente de um plano de contribuição definida, visto que, em tais planos de benefício definido, é estabelecido um valor de benefício de aposentadoria que um empregado receberá em sua aposentadoria, normalmente dependente de um ou mais fatores, como idade, tempo de serviço e remuneração. Nesse tipo de plano, a Companhia tem a obrigação de honrar com o compromisso assumido, caso o fundo não possua ativos suficientes para </w:t>
      </w:r>
      <w:r w:rsidRPr="008C0800">
        <w:rPr>
          <w:rFonts w:ascii="Verdana" w:hAnsi="Verdana"/>
          <w:sz w:val="20"/>
          <w:szCs w:val="20"/>
          <w:bdr w:val="nil"/>
        </w:rPr>
        <w:lastRenderedPageBreak/>
        <w:t>pagar, a todos os empregados, os benefícios relacionados com os serviços prestados nos exercícios correntes e anteriores atrelados a essa modalidade de plano.</w:t>
      </w:r>
    </w:p>
    <w:p w14:paraId="6382F36A" w14:textId="77777777" w:rsidR="00E61229" w:rsidRPr="008C0800" w:rsidRDefault="00E61229" w:rsidP="00E61229">
      <w:pPr>
        <w:widowControl w:val="0"/>
        <w:autoSpaceDE w:val="0"/>
        <w:autoSpaceDN w:val="0"/>
        <w:rPr>
          <w:rFonts w:ascii="Verdana" w:hAnsi="Verdana"/>
          <w:sz w:val="20"/>
          <w:szCs w:val="20"/>
          <w:bdr w:val="nil"/>
        </w:rPr>
      </w:pPr>
    </w:p>
    <w:p w14:paraId="31C114A8" w14:textId="77777777" w:rsidR="00E61229" w:rsidRPr="008C0800" w:rsidRDefault="00E61229" w:rsidP="00E61229">
      <w:pPr>
        <w:widowControl w:val="0"/>
        <w:autoSpaceDE w:val="0"/>
        <w:autoSpaceDN w:val="0"/>
        <w:rPr>
          <w:rFonts w:ascii="Verdana" w:hAnsi="Verdana"/>
          <w:sz w:val="20"/>
          <w:szCs w:val="20"/>
          <w:bdr w:val="nil"/>
        </w:rPr>
      </w:pPr>
      <w:r w:rsidRPr="008C0800">
        <w:rPr>
          <w:rFonts w:ascii="Verdana" w:hAnsi="Verdana"/>
          <w:sz w:val="20"/>
          <w:szCs w:val="20"/>
          <w:bdr w:val="nil"/>
        </w:rPr>
        <w:t xml:space="preserve">O passivo reconhecido no Balanço Patrimonial, com relação aos planos de benefício definido, é o valor presente da obrigação de benefício definido na data do balanço, menos o valor justo dos ativos do plano. A obrigação de benefício definido é calculada anualmente por atuários independentes, usando o método do crédito unitário projetado. O valor presente da obrigação de benefício definido é determinado mediante o desconto das saídas futuras estimadas de caixa. As taxas de juros utilizadas nesse desconto são condizentes com os títulos de mercado, os quais são denominados na moeda em que os benefícios serão pagos e que tenham prazos de vencimento próximos daqueles da respectiva obrigação do plano de pensão. </w:t>
      </w:r>
    </w:p>
    <w:p w14:paraId="57424121" w14:textId="77777777" w:rsidR="00E61229" w:rsidRPr="008C0800" w:rsidRDefault="00E61229" w:rsidP="00E61229">
      <w:pPr>
        <w:widowControl w:val="0"/>
        <w:autoSpaceDE w:val="0"/>
        <w:autoSpaceDN w:val="0"/>
        <w:rPr>
          <w:rFonts w:ascii="Verdana" w:hAnsi="Verdana"/>
          <w:sz w:val="20"/>
          <w:szCs w:val="20"/>
          <w:bdr w:val="nil"/>
        </w:rPr>
      </w:pPr>
    </w:p>
    <w:p w14:paraId="23C96F7F" w14:textId="77777777" w:rsidR="00E61229" w:rsidRPr="008C0800" w:rsidRDefault="00E61229" w:rsidP="00E61229">
      <w:pPr>
        <w:widowControl w:val="0"/>
        <w:autoSpaceDE w:val="0"/>
        <w:autoSpaceDN w:val="0"/>
        <w:rPr>
          <w:rFonts w:ascii="Verdana" w:hAnsi="Verdana"/>
          <w:sz w:val="20"/>
          <w:szCs w:val="20"/>
          <w:bdr w:val="nil"/>
        </w:rPr>
      </w:pPr>
      <w:r w:rsidRPr="008C0800">
        <w:rPr>
          <w:rFonts w:ascii="Verdana" w:hAnsi="Verdana"/>
          <w:sz w:val="20"/>
          <w:szCs w:val="20"/>
          <w:bdr w:val="nil"/>
        </w:rPr>
        <w:t>Os ganhos e as perdas atuariais são decorrentes substancialmente de ajustes, nas mudanças das premissas atuariais e nos rendimentos dos ativos do plano, e são debitados ou creditados em outros resultados abrangentes.</w:t>
      </w:r>
    </w:p>
    <w:p w14:paraId="01C7332E" w14:textId="77777777" w:rsidR="00E61229" w:rsidRPr="008C0800" w:rsidRDefault="00E61229" w:rsidP="00E61229">
      <w:pPr>
        <w:widowControl w:val="0"/>
        <w:autoSpaceDE w:val="0"/>
        <w:autoSpaceDN w:val="0"/>
        <w:rPr>
          <w:rFonts w:ascii="Verdana" w:hAnsi="Verdana"/>
          <w:sz w:val="20"/>
          <w:szCs w:val="20"/>
          <w:bdr w:val="nil"/>
        </w:rPr>
      </w:pPr>
    </w:p>
    <w:p w14:paraId="52032F98" w14:textId="77777777" w:rsidR="00E61229" w:rsidRPr="008C0800" w:rsidRDefault="00E61229" w:rsidP="00E61229">
      <w:pPr>
        <w:widowControl w:val="0"/>
        <w:autoSpaceDE w:val="0"/>
        <w:autoSpaceDN w:val="0"/>
        <w:rPr>
          <w:rFonts w:ascii="Verdana" w:hAnsi="Verdana"/>
          <w:sz w:val="20"/>
          <w:szCs w:val="20"/>
          <w:bdr w:val="nil"/>
        </w:rPr>
      </w:pPr>
      <w:r w:rsidRPr="008C0800">
        <w:rPr>
          <w:rFonts w:ascii="Verdana" w:hAnsi="Verdana"/>
          <w:sz w:val="20"/>
          <w:szCs w:val="20"/>
          <w:bdr w:val="nil"/>
        </w:rPr>
        <w:t xml:space="preserve">Os custos de serviços passados são imediatamente reconhecidos no resultado no período de ocorrência de uma alteração do plano. </w:t>
      </w:r>
    </w:p>
    <w:p w14:paraId="5F45C9CA" w14:textId="77777777" w:rsidR="00E61229" w:rsidRPr="008C0800" w:rsidRDefault="00E61229" w:rsidP="00E61229">
      <w:pPr>
        <w:widowControl w:val="0"/>
        <w:autoSpaceDE w:val="0"/>
        <w:autoSpaceDN w:val="0"/>
        <w:rPr>
          <w:rFonts w:ascii="Verdana" w:hAnsi="Verdana"/>
          <w:sz w:val="20"/>
          <w:szCs w:val="20"/>
          <w:bdr w:val="nil"/>
        </w:rPr>
      </w:pPr>
    </w:p>
    <w:p w14:paraId="135B269F" w14:textId="77777777" w:rsidR="00E61229" w:rsidRPr="008C0800" w:rsidRDefault="00E61229" w:rsidP="00E61229">
      <w:pPr>
        <w:widowControl w:val="0"/>
        <w:autoSpaceDE w:val="0"/>
        <w:autoSpaceDN w:val="0"/>
        <w:rPr>
          <w:rFonts w:ascii="Verdana" w:hAnsi="Verdana"/>
          <w:sz w:val="20"/>
          <w:szCs w:val="20"/>
          <w:bdr w:val="nil"/>
        </w:rPr>
      </w:pPr>
      <w:r w:rsidRPr="008C0800">
        <w:rPr>
          <w:rFonts w:ascii="Verdana" w:hAnsi="Verdana"/>
          <w:sz w:val="20"/>
          <w:szCs w:val="20"/>
          <w:bdr w:val="nil"/>
        </w:rPr>
        <w:t>Com relação aos planos de contribuição definida, a Companhia efetua o pagamento das contribuições de forma obrigatória, contratual ou voluntária. A Companhia não tem qualquer obrigação adicional de pagamento depois que a contribuição é efetuada. As contribuições são reconhecidas como despesa de benefícios a empregados, quando devidas. As contribuições feitas antecipadamente são reconhecidas como um ativo na proporção em que um reembolso em dinheiro ou uma redução dos pagamentos futuros estiver disponível.</w:t>
      </w:r>
    </w:p>
    <w:p w14:paraId="2AE56C3E" w14:textId="77777777" w:rsidR="00E61229" w:rsidRDefault="00E61229" w:rsidP="00E61229">
      <w:pPr>
        <w:widowControl w:val="0"/>
        <w:autoSpaceDE w:val="0"/>
        <w:autoSpaceDN w:val="0"/>
        <w:rPr>
          <w:rFonts w:ascii="Verdana" w:hAnsi="Verdana"/>
          <w:sz w:val="20"/>
          <w:szCs w:val="20"/>
          <w:bdr w:val="nil"/>
        </w:rPr>
      </w:pPr>
    </w:p>
    <w:p w14:paraId="3E764F21" w14:textId="77777777" w:rsidR="00E61229" w:rsidRPr="008C0800" w:rsidRDefault="00E61229" w:rsidP="00E61229">
      <w:pPr>
        <w:widowControl w:val="0"/>
        <w:autoSpaceDE w:val="0"/>
        <w:autoSpaceDN w:val="0"/>
        <w:rPr>
          <w:rFonts w:ascii="Verdana" w:hAnsi="Verdana"/>
          <w:sz w:val="20"/>
          <w:szCs w:val="20"/>
          <w:bdr w:val="nil"/>
        </w:rPr>
      </w:pPr>
    </w:p>
    <w:p w14:paraId="5BC67F33" w14:textId="77777777" w:rsidR="00E61229" w:rsidRPr="008C0800" w:rsidRDefault="00E61229" w:rsidP="00E61229">
      <w:pPr>
        <w:rPr>
          <w:rFonts w:ascii="Verdana" w:hAnsi="Verdana"/>
          <w:color w:val="0D63B5"/>
          <w:sz w:val="20"/>
          <w:szCs w:val="20"/>
          <w:bdr w:val="nil"/>
        </w:rPr>
      </w:pPr>
      <w:r w:rsidRPr="008C0800">
        <w:rPr>
          <w:rFonts w:ascii="Verdana" w:hAnsi="Verdana"/>
          <w:color w:val="0D63B5"/>
          <w:sz w:val="20"/>
          <w:szCs w:val="20"/>
          <w:bdr w:val="nil"/>
        </w:rPr>
        <w:t xml:space="preserve">Outras obrigações pós-emprego </w:t>
      </w:r>
    </w:p>
    <w:p w14:paraId="690ABC0A" w14:textId="77777777" w:rsidR="00E61229" w:rsidRPr="008C0800" w:rsidRDefault="00E61229" w:rsidP="00E61229">
      <w:pPr>
        <w:widowControl w:val="0"/>
        <w:autoSpaceDE w:val="0"/>
        <w:autoSpaceDN w:val="0"/>
        <w:rPr>
          <w:rFonts w:ascii="Verdana" w:hAnsi="Verdana"/>
          <w:sz w:val="20"/>
          <w:szCs w:val="20"/>
          <w:bdr w:val="nil"/>
        </w:rPr>
      </w:pPr>
    </w:p>
    <w:p w14:paraId="5BDCB6C7" w14:textId="77777777" w:rsidR="00E61229" w:rsidRPr="008C0800" w:rsidRDefault="00E61229" w:rsidP="00E61229">
      <w:pPr>
        <w:widowControl w:val="0"/>
        <w:autoSpaceDE w:val="0"/>
        <w:autoSpaceDN w:val="0"/>
        <w:rPr>
          <w:rFonts w:ascii="Verdana" w:hAnsi="Verdana"/>
          <w:sz w:val="20"/>
          <w:szCs w:val="20"/>
          <w:bdr w:val="nil"/>
        </w:rPr>
      </w:pPr>
      <w:r w:rsidRPr="008C0800">
        <w:rPr>
          <w:rFonts w:ascii="Verdana" w:hAnsi="Verdana"/>
          <w:sz w:val="20"/>
          <w:szCs w:val="20"/>
          <w:bdr w:val="nil"/>
        </w:rPr>
        <w:t xml:space="preserve">A Companhia oferece benefício de assistência médica pós-aposentadoria a seus empregados, além de seguro de vida para ativos e inativos. O direito a esses benefícios é, geralmente, condicionado à permanência do empregado no emprego até a idade de aposentadoria e </w:t>
      </w:r>
      <w:r>
        <w:rPr>
          <w:rFonts w:ascii="Verdana" w:hAnsi="Verdana"/>
          <w:sz w:val="20"/>
          <w:szCs w:val="20"/>
          <w:bdr w:val="nil"/>
        </w:rPr>
        <w:t>à</w:t>
      </w:r>
      <w:r w:rsidRPr="008C0800">
        <w:rPr>
          <w:rFonts w:ascii="Verdana" w:hAnsi="Verdana"/>
          <w:sz w:val="20"/>
          <w:szCs w:val="20"/>
          <w:bdr w:val="nil"/>
        </w:rPr>
        <w:t xml:space="preserve"> conclusão de um tempo mínimo de serviço, ou à sua invalidez enquanto funcionário ativo.</w:t>
      </w:r>
    </w:p>
    <w:p w14:paraId="3D5CE6C1" w14:textId="77777777" w:rsidR="00E61229" w:rsidRPr="008C0800" w:rsidRDefault="00E61229" w:rsidP="00E61229">
      <w:pPr>
        <w:widowControl w:val="0"/>
        <w:autoSpaceDE w:val="0"/>
        <w:autoSpaceDN w:val="0"/>
        <w:rPr>
          <w:rFonts w:ascii="Verdana" w:hAnsi="Verdana"/>
          <w:sz w:val="20"/>
          <w:szCs w:val="20"/>
          <w:bdr w:val="nil"/>
        </w:rPr>
      </w:pPr>
    </w:p>
    <w:p w14:paraId="300D5A9F" w14:textId="77777777" w:rsidR="00E61229" w:rsidRPr="008C0800" w:rsidRDefault="00E61229" w:rsidP="00E61229">
      <w:pPr>
        <w:widowControl w:val="0"/>
        <w:autoSpaceDE w:val="0"/>
        <w:autoSpaceDN w:val="0"/>
        <w:rPr>
          <w:rFonts w:ascii="Verdana" w:hAnsi="Verdana"/>
          <w:sz w:val="20"/>
          <w:szCs w:val="20"/>
          <w:bdr w:val="nil"/>
        </w:rPr>
      </w:pPr>
      <w:r w:rsidRPr="008C0800">
        <w:rPr>
          <w:rFonts w:ascii="Verdana" w:hAnsi="Verdana"/>
          <w:sz w:val="20"/>
          <w:szCs w:val="20"/>
          <w:bdr w:val="nil"/>
        </w:rPr>
        <w:t>Os custos esperados desses benefícios são acumulados durante o período do emprego, dispondo da mesma metodologia contábil que é usada para os planos de pensão de benefício definido. Os ganhos e as perdas atuariais, decorrentes de ajustes com base na experiência e nas mudanças das premissas atuariais, são debitados ou creditados em outros resultados abrangentes, no período esperado de serviço remanescente dos funcionários. Essas obrigações são avaliadas, anualmente, por atuários independentes qualificados.</w:t>
      </w:r>
    </w:p>
    <w:p w14:paraId="0B5A5DCE" w14:textId="77777777" w:rsidR="00E61229" w:rsidRDefault="00E61229" w:rsidP="00E61229">
      <w:pPr>
        <w:widowControl w:val="0"/>
        <w:autoSpaceDE w:val="0"/>
        <w:autoSpaceDN w:val="0"/>
        <w:rPr>
          <w:rFonts w:ascii="Verdana" w:hAnsi="Verdana"/>
          <w:sz w:val="20"/>
          <w:szCs w:val="20"/>
          <w:bdr w:val="nil"/>
        </w:rPr>
      </w:pPr>
    </w:p>
    <w:p w14:paraId="24CD6BB9" w14:textId="77777777" w:rsidR="00E61229" w:rsidRPr="008C0800" w:rsidRDefault="00E61229" w:rsidP="00E61229">
      <w:pPr>
        <w:widowControl w:val="0"/>
        <w:autoSpaceDE w:val="0"/>
        <w:autoSpaceDN w:val="0"/>
        <w:rPr>
          <w:rFonts w:ascii="Verdana" w:hAnsi="Verdana"/>
          <w:sz w:val="20"/>
          <w:szCs w:val="20"/>
          <w:bdr w:val="nil"/>
        </w:rPr>
      </w:pPr>
    </w:p>
    <w:p w14:paraId="77AA6169" w14:textId="77777777" w:rsidR="00E61229" w:rsidRPr="008C0800" w:rsidRDefault="00E61229" w:rsidP="00E61229">
      <w:pPr>
        <w:rPr>
          <w:rFonts w:ascii="Verdana" w:hAnsi="Verdana"/>
          <w:color w:val="0D63B5"/>
          <w:sz w:val="20"/>
          <w:szCs w:val="20"/>
          <w:bdr w:val="nil"/>
        </w:rPr>
      </w:pPr>
      <w:r w:rsidRPr="008C0800">
        <w:rPr>
          <w:rFonts w:ascii="Verdana" w:hAnsi="Verdana"/>
          <w:color w:val="0D63B5"/>
          <w:sz w:val="20"/>
          <w:szCs w:val="20"/>
          <w:bdr w:val="nil"/>
        </w:rPr>
        <w:t>Benefícios de Rescisão</w:t>
      </w:r>
    </w:p>
    <w:p w14:paraId="5E67E4BD" w14:textId="77777777" w:rsidR="00E61229" w:rsidRPr="008C0800" w:rsidRDefault="00E61229" w:rsidP="00E61229">
      <w:pPr>
        <w:widowControl w:val="0"/>
        <w:autoSpaceDE w:val="0"/>
        <w:autoSpaceDN w:val="0"/>
        <w:rPr>
          <w:rFonts w:ascii="Verdana" w:hAnsi="Verdana"/>
          <w:sz w:val="20"/>
          <w:szCs w:val="20"/>
          <w:bdr w:val="nil"/>
        </w:rPr>
      </w:pPr>
    </w:p>
    <w:p w14:paraId="57B1F429" w14:textId="52BF2091" w:rsidR="00A533ED" w:rsidRPr="0051187A" w:rsidRDefault="00E61229" w:rsidP="00E61229">
      <w:pPr>
        <w:widowControl w:val="0"/>
        <w:autoSpaceDE w:val="0"/>
        <w:autoSpaceDN w:val="0"/>
        <w:rPr>
          <w:rFonts w:ascii="Verdana" w:hAnsi="Verdana"/>
          <w:sz w:val="20"/>
          <w:szCs w:val="20"/>
          <w:bdr w:val="nil"/>
        </w:rPr>
      </w:pPr>
      <w:r w:rsidRPr="008C0800">
        <w:rPr>
          <w:rFonts w:ascii="Verdana" w:hAnsi="Verdana"/>
          <w:sz w:val="20"/>
          <w:szCs w:val="20"/>
          <w:bdr w:val="nil"/>
        </w:rPr>
        <w:t>Os benefícios de rescisão são exigíveis quando o vínculo empregatício é encerrado antes da data normal de aposentadoria, ou sempre que um empregado aceitar a demissão voluntária em troca desses benefícios. A Companhia reconhece os benefícios de rescisão na primeira das seguintes datas: (i) quando a Companhia não mais puder retirar a oferta desses benefícios; e (</w:t>
      </w:r>
      <w:proofErr w:type="spellStart"/>
      <w:r w:rsidRPr="008C0800">
        <w:rPr>
          <w:rFonts w:ascii="Verdana" w:hAnsi="Verdana"/>
          <w:sz w:val="20"/>
          <w:szCs w:val="20"/>
          <w:bdr w:val="nil"/>
        </w:rPr>
        <w:t>ii</w:t>
      </w:r>
      <w:proofErr w:type="spellEnd"/>
      <w:r w:rsidRPr="008C0800">
        <w:rPr>
          <w:rFonts w:ascii="Verdana" w:hAnsi="Verdana"/>
          <w:sz w:val="20"/>
          <w:szCs w:val="20"/>
          <w:bdr w:val="nil"/>
        </w:rPr>
        <w:t>) quando a Companhia reconhecer custos de reestruturação que estejam no escopo do CPC 25/IAS 37 e envolvam o pagamento de benefícios de rescisão. No caso de uma oferta efetuada para incentivar a demissão voluntária, os benefícios de rescisão são mensurados com base no número de empregados que, segundo se espera, aceitarão a oferta. Os benefícios que vencerem após 12 meses da data do balanço são descontados a valor presente</w:t>
      </w:r>
      <w:r w:rsidR="00A533ED" w:rsidRPr="005E4A4C">
        <w:rPr>
          <w:rFonts w:ascii="Verdana" w:hAnsi="Verdana"/>
          <w:sz w:val="20"/>
          <w:szCs w:val="20"/>
          <w:bdr w:val="nil"/>
        </w:rPr>
        <w:t>.</w:t>
      </w:r>
    </w:p>
    <w:p w14:paraId="60F0A761" w14:textId="77777777" w:rsidR="00A533ED" w:rsidRPr="00AF3755" w:rsidRDefault="00A533ED" w:rsidP="005D78D9">
      <w:pPr>
        <w:rPr>
          <w:rFonts w:ascii="Verdana" w:hAnsi="Verdana"/>
          <w:sz w:val="20"/>
          <w:szCs w:val="20"/>
        </w:rPr>
      </w:pPr>
    </w:p>
    <w:p w14:paraId="0B520FF4" w14:textId="77777777" w:rsidR="005D78D9" w:rsidRDefault="005D78D9" w:rsidP="002876C8">
      <w:pPr>
        <w:widowControl w:val="0"/>
        <w:tabs>
          <w:tab w:val="left" w:pos="9214"/>
        </w:tabs>
        <w:autoSpaceDE w:val="0"/>
        <w:autoSpaceDN w:val="0"/>
        <w:rPr>
          <w:rFonts w:ascii="Verdana" w:hAnsi="Verdana"/>
          <w:color w:val="0D63B5"/>
          <w:sz w:val="20"/>
          <w:szCs w:val="20"/>
        </w:rPr>
      </w:pPr>
    </w:p>
    <w:p w14:paraId="663AC3B4" w14:textId="7F36EDC3" w:rsidR="002876C8" w:rsidRDefault="002876C8" w:rsidP="002876C8">
      <w:pPr>
        <w:widowControl w:val="0"/>
        <w:tabs>
          <w:tab w:val="left" w:pos="9214"/>
        </w:tabs>
        <w:autoSpaceDE w:val="0"/>
        <w:autoSpaceDN w:val="0"/>
        <w:rPr>
          <w:rFonts w:ascii="Verdana" w:hAnsi="Verdana"/>
          <w:color w:val="0D63B5"/>
          <w:sz w:val="20"/>
          <w:szCs w:val="20"/>
        </w:rPr>
      </w:pPr>
    </w:p>
    <w:p w14:paraId="794C5483" w14:textId="77777777" w:rsidR="002339D2" w:rsidRDefault="002339D2" w:rsidP="002876C8">
      <w:pPr>
        <w:widowControl w:val="0"/>
        <w:tabs>
          <w:tab w:val="left" w:pos="9214"/>
        </w:tabs>
        <w:autoSpaceDE w:val="0"/>
        <w:autoSpaceDN w:val="0"/>
        <w:rPr>
          <w:rFonts w:ascii="Verdana" w:hAnsi="Verdana"/>
          <w:color w:val="0D63B5"/>
          <w:sz w:val="20"/>
          <w:szCs w:val="20"/>
        </w:rPr>
      </w:pPr>
    </w:p>
    <w:p w14:paraId="7772B5D7" w14:textId="77777777" w:rsidR="002876C8" w:rsidRPr="00293868" w:rsidRDefault="002876C8" w:rsidP="002876C8">
      <w:pPr>
        <w:tabs>
          <w:tab w:val="left" w:pos="567"/>
          <w:tab w:val="left" w:pos="1134"/>
          <w:tab w:val="left" w:pos="1701"/>
          <w:tab w:val="left" w:pos="2268"/>
          <w:tab w:val="left" w:pos="2835"/>
        </w:tabs>
        <w:outlineLvl w:val="0"/>
        <w:rPr>
          <w:rFonts w:ascii="Verdana" w:hAnsi="Verdana" w:cs="Verdana"/>
          <w:b/>
          <w:color w:val="0D63B5"/>
          <w:sz w:val="20"/>
          <w:szCs w:val="20"/>
        </w:rPr>
      </w:pPr>
      <w:r w:rsidRPr="00293868">
        <w:rPr>
          <w:rFonts w:ascii="Verdana" w:hAnsi="Verdana" w:cs="Verdana"/>
          <w:b/>
          <w:color w:val="0D63B5"/>
          <w:sz w:val="20"/>
          <w:szCs w:val="20"/>
        </w:rPr>
        <w:lastRenderedPageBreak/>
        <w:t>NOTA 2</w:t>
      </w:r>
      <w:r w:rsidR="00BF3932">
        <w:rPr>
          <w:rFonts w:ascii="Verdana" w:hAnsi="Verdana" w:cs="Verdana"/>
          <w:b/>
          <w:color w:val="0D63B5"/>
          <w:sz w:val="20"/>
          <w:szCs w:val="20"/>
        </w:rPr>
        <w:t>5</w:t>
      </w:r>
      <w:r w:rsidRPr="00293868">
        <w:rPr>
          <w:rFonts w:ascii="Verdana" w:hAnsi="Verdana" w:cs="Verdana"/>
          <w:b/>
          <w:color w:val="0D63B5"/>
          <w:sz w:val="20"/>
          <w:szCs w:val="20"/>
        </w:rPr>
        <w:t xml:space="preserve"> – </w:t>
      </w:r>
      <w:r>
        <w:rPr>
          <w:rFonts w:ascii="Verdana" w:hAnsi="Verdana" w:cs="Verdana"/>
          <w:b/>
          <w:color w:val="0D63B5"/>
          <w:sz w:val="20"/>
          <w:szCs w:val="20"/>
        </w:rPr>
        <w:t>PROVISÃO PARA PLANO DE INCENTIVO DE DESLIGAMENTO</w:t>
      </w:r>
      <w:r w:rsidRPr="00293868">
        <w:rPr>
          <w:rFonts w:ascii="Verdana" w:hAnsi="Verdana" w:cs="Verdana"/>
          <w:b/>
          <w:color w:val="0D63B5"/>
          <w:sz w:val="20"/>
          <w:szCs w:val="20"/>
        </w:rPr>
        <w:t xml:space="preserve"> </w:t>
      </w:r>
    </w:p>
    <w:p w14:paraId="06B6F710" w14:textId="77777777" w:rsidR="002876C8" w:rsidRDefault="002876C8" w:rsidP="002876C8">
      <w:pPr>
        <w:widowControl w:val="0"/>
        <w:tabs>
          <w:tab w:val="left" w:pos="9214"/>
        </w:tabs>
        <w:autoSpaceDE w:val="0"/>
        <w:autoSpaceDN w:val="0"/>
        <w:rPr>
          <w:rFonts w:ascii="Verdana" w:hAnsi="Verdana"/>
          <w:color w:val="0D63B5"/>
          <w:sz w:val="20"/>
          <w:szCs w:val="20"/>
        </w:rPr>
      </w:pPr>
    </w:p>
    <w:p w14:paraId="3430E154" w14:textId="77777777" w:rsidR="00F908E9" w:rsidRDefault="00F908E9" w:rsidP="002876C8">
      <w:pPr>
        <w:widowControl w:val="0"/>
        <w:tabs>
          <w:tab w:val="left" w:pos="9214"/>
        </w:tabs>
        <w:autoSpaceDE w:val="0"/>
        <w:autoSpaceDN w:val="0"/>
        <w:rPr>
          <w:rFonts w:ascii="Verdana" w:hAnsi="Verdana"/>
          <w:color w:val="0D63B5"/>
          <w:sz w:val="20"/>
          <w:szCs w:val="20"/>
        </w:rPr>
      </w:pPr>
    </w:p>
    <w:p w14:paraId="0F6CAF65" w14:textId="77777777" w:rsidR="00E61229" w:rsidRPr="00F238C5" w:rsidRDefault="00E61229" w:rsidP="00E61229">
      <w:pPr>
        <w:keepNext/>
        <w:outlineLvl w:val="0"/>
        <w:rPr>
          <w:rFonts w:ascii="Verdana" w:hAnsi="Verdana"/>
          <w:sz w:val="20"/>
          <w:szCs w:val="20"/>
        </w:rPr>
      </w:pPr>
      <w:r w:rsidRPr="00F238C5">
        <w:rPr>
          <w:rFonts w:ascii="Verdana" w:hAnsi="Verdana"/>
          <w:sz w:val="20"/>
          <w:szCs w:val="20"/>
        </w:rPr>
        <w:t>A Companhia instituiu, em fevereiro de 2014, o Plano de Sucessão Programada dos Empregados – PSPE conforme aprovado na 282ª reunião do Conselho de Administração da ELETRONUCLEAR de 19 de dezembro de 2012, com o início das adesões em março de 2014 e término em abril de 2014. Ocorreram 341 desligamentos até 31 de dezembro de 2014, 277 até 31 até dezembro de 2015, 1 em fevereiro de 2016, e o último em maio de 2016. O incentivo de desligamento PSPE incluiu uma indenização financeira no momento do desligamento e garantia de continuidade no plano de saúde da Companhia pelo período de 5 anos, incluindo os respectivos dependentes.</w:t>
      </w:r>
    </w:p>
    <w:p w14:paraId="57916904" w14:textId="77777777" w:rsidR="00E61229" w:rsidRPr="00F238C5" w:rsidRDefault="00E61229" w:rsidP="00E61229">
      <w:pPr>
        <w:keepNext/>
        <w:outlineLvl w:val="0"/>
        <w:rPr>
          <w:rFonts w:ascii="Verdana" w:hAnsi="Verdana"/>
          <w:sz w:val="20"/>
          <w:szCs w:val="20"/>
        </w:rPr>
      </w:pPr>
    </w:p>
    <w:p w14:paraId="0076A88E" w14:textId="77777777" w:rsidR="00E61229" w:rsidRPr="00F238C5" w:rsidRDefault="00E61229" w:rsidP="00E61229">
      <w:pPr>
        <w:keepNext/>
        <w:outlineLvl w:val="0"/>
        <w:rPr>
          <w:rFonts w:ascii="Verdana" w:hAnsi="Verdana"/>
          <w:sz w:val="20"/>
          <w:szCs w:val="20"/>
        </w:rPr>
      </w:pPr>
      <w:r w:rsidRPr="00F238C5">
        <w:rPr>
          <w:rFonts w:ascii="Verdana" w:hAnsi="Verdana"/>
          <w:sz w:val="20"/>
          <w:szCs w:val="20"/>
        </w:rPr>
        <w:t>Em 2017, o Plano de Aposentadoria Extraordinária – PAE foi aprovado pela Diretoria Executiva na 1352ª reunião realizada em 23 de maio de 2017 e pelo Conselho de Administração da ELETRONUCLEAR na 360ª reunião realizada em 25 de maio de 2017, com início das adesões para maio de 2017 e término em 31 de julho de 2017. Ocorreram 185 desligamentos entre julho de 2017 e dezembro 2017. O incentivo de desligamento PAE incluiu uma indenização financeira no momento do desligamento e garantia de continuidade no plano de saúde da Companhia pelo período de 5 anos, incluindo os respectivos dependentes.</w:t>
      </w:r>
    </w:p>
    <w:p w14:paraId="632D0ADA" w14:textId="77777777" w:rsidR="00E61229" w:rsidRPr="00F238C5" w:rsidRDefault="00E61229" w:rsidP="00E61229">
      <w:pPr>
        <w:keepNext/>
        <w:outlineLvl w:val="0"/>
        <w:rPr>
          <w:rFonts w:ascii="Verdana" w:hAnsi="Verdana"/>
          <w:sz w:val="20"/>
          <w:szCs w:val="20"/>
        </w:rPr>
      </w:pPr>
    </w:p>
    <w:p w14:paraId="52064109" w14:textId="77777777" w:rsidR="00E61229" w:rsidRPr="00F238C5" w:rsidRDefault="00E61229" w:rsidP="00E61229">
      <w:pPr>
        <w:keepNext/>
        <w:outlineLvl w:val="0"/>
        <w:rPr>
          <w:rFonts w:ascii="Verdana" w:hAnsi="Verdana"/>
          <w:sz w:val="20"/>
          <w:szCs w:val="20"/>
        </w:rPr>
      </w:pPr>
      <w:r w:rsidRPr="00F238C5">
        <w:rPr>
          <w:rFonts w:ascii="Verdana" w:hAnsi="Verdana"/>
          <w:sz w:val="20"/>
          <w:szCs w:val="20"/>
        </w:rPr>
        <w:t>O Plano de Demissão Consensual – PDC foi aprovado pelo Conselho de Administração na 374ª reunião realizada em 23 de março de 2018, com período de adesão entre 26/03/2018 e 27/04/2018. Os desligamentos, que se iniciaram em 04 de junho de 2018, foram efetuados até 14 de dezembro de 2018.O incentivo de desligamento PDC incluiu uma indenização financeira no momento do desligamento e garantia de continuidade no plano de saúde da Companhia pelo período de 5 anos, incluindo os respectivos dependentes.</w:t>
      </w:r>
    </w:p>
    <w:p w14:paraId="54F9D487" w14:textId="77777777" w:rsidR="00E61229" w:rsidRPr="00F238C5" w:rsidRDefault="00E61229" w:rsidP="00E61229">
      <w:pPr>
        <w:keepNext/>
        <w:outlineLvl w:val="0"/>
        <w:rPr>
          <w:rFonts w:ascii="Verdana" w:hAnsi="Verdana"/>
          <w:sz w:val="20"/>
          <w:szCs w:val="20"/>
        </w:rPr>
      </w:pPr>
    </w:p>
    <w:p w14:paraId="371C0190" w14:textId="0F5B2C37" w:rsidR="009C0F81" w:rsidRDefault="00E61229" w:rsidP="00E61229">
      <w:pPr>
        <w:tabs>
          <w:tab w:val="left" w:pos="567"/>
          <w:tab w:val="left" w:pos="1134"/>
          <w:tab w:val="left" w:pos="1701"/>
          <w:tab w:val="left" w:pos="2268"/>
          <w:tab w:val="left" w:pos="2835"/>
        </w:tabs>
        <w:outlineLvl w:val="0"/>
        <w:rPr>
          <w:rFonts w:ascii="Verdana" w:hAnsi="Verdana"/>
          <w:sz w:val="20"/>
          <w:szCs w:val="20"/>
        </w:rPr>
      </w:pPr>
      <w:r w:rsidRPr="00F238C5">
        <w:rPr>
          <w:rFonts w:ascii="Verdana" w:hAnsi="Verdana"/>
          <w:sz w:val="20"/>
          <w:szCs w:val="20"/>
        </w:rPr>
        <w:t>A ELETRONUCLEAR reconheceu a baixa de provisão de R$ 9.411 referente ao plano de incentivo de desligamento dos funcionários, permanecendo o saldo da provisão em 31 de dezembro de 2021 de R$ 8.888 - (R$ 18.299 em 31 de dezembro de 2020)</w:t>
      </w:r>
      <w:r w:rsidR="00F908E9" w:rsidRPr="000632AD">
        <w:rPr>
          <w:rFonts w:ascii="Verdana" w:hAnsi="Verdana"/>
          <w:sz w:val="20"/>
          <w:szCs w:val="20"/>
        </w:rPr>
        <w:t>.</w:t>
      </w:r>
      <w:r w:rsidR="009C0F81" w:rsidRPr="009C0F81">
        <w:rPr>
          <w:rFonts w:ascii="Verdana" w:hAnsi="Verdana"/>
          <w:sz w:val="20"/>
          <w:szCs w:val="20"/>
        </w:rPr>
        <w:t xml:space="preserve"> </w:t>
      </w:r>
    </w:p>
    <w:p w14:paraId="4874B400" w14:textId="77777777" w:rsidR="00E7152C" w:rsidRDefault="00E7152C" w:rsidP="00F908E9">
      <w:pPr>
        <w:tabs>
          <w:tab w:val="left" w:pos="567"/>
          <w:tab w:val="left" w:pos="1134"/>
          <w:tab w:val="left" w:pos="1701"/>
          <w:tab w:val="left" w:pos="2268"/>
          <w:tab w:val="left" w:pos="2835"/>
        </w:tabs>
        <w:outlineLvl w:val="0"/>
        <w:rPr>
          <w:rFonts w:ascii="Verdana" w:hAnsi="Verdana"/>
          <w:sz w:val="20"/>
          <w:szCs w:val="20"/>
        </w:rPr>
      </w:pPr>
    </w:p>
    <w:p w14:paraId="402A30CD" w14:textId="77777777" w:rsidR="005D78D9" w:rsidRDefault="009C0F81" w:rsidP="009C0F81">
      <w:pPr>
        <w:tabs>
          <w:tab w:val="left" w:pos="567"/>
          <w:tab w:val="left" w:pos="1134"/>
          <w:tab w:val="left" w:pos="1701"/>
          <w:tab w:val="left" w:pos="2268"/>
          <w:tab w:val="left" w:pos="2835"/>
        </w:tabs>
        <w:jc w:val="center"/>
        <w:outlineLvl w:val="0"/>
        <w:rPr>
          <w:rFonts w:ascii="Verdana" w:hAnsi="Verdana"/>
          <w:sz w:val="20"/>
          <w:szCs w:val="20"/>
        </w:rPr>
      </w:pPr>
      <w:r w:rsidRPr="009C0F81">
        <w:rPr>
          <w:noProof/>
        </w:rPr>
        <w:drawing>
          <wp:inline distT="0" distB="0" distL="0" distR="0" wp14:anchorId="11117E27" wp14:editId="2DDB4E48">
            <wp:extent cx="5522595" cy="2545971"/>
            <wp:effectExtent l="0" t="0" r="1905" b="6985"/>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545582" cy="2556568"/>
                    </a:xfrm>
                    <a:prstGeom prst="rect">
                      <a:avLst/>
                    </a:prstGeom>
                    <a:noFill/>
                    <a:ln>
                      <a:noFill/>
                    </a:ln>
                  </pic:spPr>
                </pic:pic>
              </a:graphicData>
            </a:graphic>
          </wp:inline>
        </w:drawing>
      </w:r>
    </w:p>
    <w:p w14:paraId="2D9F0948" w14:textId="77777777" w:rsidR="009C0F81" w:rsidRDefault="009C0F81" w:rsidP="00F908E9">
      <w:pPr>
        <w:tabs>
          <w:tab w:val="left" w:pos="567"/>
          <w:tab w:val="left" w:pos="1134"/>
          <w:tab w:val="left" w:pos="1701"/>
          <w:tab w:val="left" w:pos="2268"/>
          <w:tab w:val="left" w:pos="2835"/>
        </w:tabs>
        <w:outlineLvl w:val="0"/>
        <w:rPr>
          <w:rFonts w:ascii="Verdana" w:hAnsi="Verdana"/>
          <w:sz w:val="20"/>
          <w:szCs w:val="20"/>
        </w:rPr>
      </w:pPr>
    </w:p>
    <w:p w14:paraId="4933DCB5" w14:textId="77777777" w:rsidR="009C0F81" w:rsidRDefault="009C0F81" w:rsidP="00F908E9">
      <w:pPr>
        <w:tabs>
          <w:tab w:val="left" w:pos="567"/>
          <w:tab w:val="left" w:pos="1134"/>
          <w:tab w:val="left" w:pos="1701"/>
          <w:tab w:val="left" w:pos="2268"/>
          <w:tab w:val="left" w:pos="2835"/>
        </w:tabs>
        <w:outlineLvl w:val="0"/>
        <w:rPr>
          <w:rFonts w:ascii="Verdana" w:hAnsi="Verdana"/>
          <w:sz w:val="20"/>
          <w:szCs w:val="20"/>
        </w:rPr>
      </w:pPr>
    </w:p>
    <w:p w14:paraId="65A6E584" w14:textId="77777777" w:rsidR="000632AD" w:rsidRDefault="000632AD" w:rsidP="00F908E9">
      <w:pPr>
        <w:tabs>
          <w:tab w:val="left" w:pos="567"/>
          <w:tab w:val="left" w:pos="1134"/>
          <w:tab w:val="left" w:pos="1701"/>
          <w:tab w:val="left" w:pos="2268"/>
          <w:tab w:val="left" w:pos="2835"/>
        </w:tabs>
        <w:outlineLvl w:val="0"/>
        <w:rPr>
          <w:rFonts w:ascii="Verdana" w:hAnsi="Verdana"/>
          <w:sz w:val="20"/>
          <w:szCs w:val="20"/>
        </w:rPr>
      </w:pPr>
    </w:p>
    <w:p w14:paraId="4EBFEA05" w14:textId="77777777" w:rsidR="00BA2DE2" w:rsidRPr="00A0434D" w:rsidRDefault="00BA2DE2" w:rsidP="00BA2DE2">
      <w:pPr>
        <w:tabs>
          <w:tab w:val="left" w:pos="567"/>
          <w:tab w:val="left" w:pos="1134"/>
          <w:tab w:val="left" w:pos="1701"/>
          <w:tab w:val="left" w:pos="2268"/>
          <w:tab w:val="left" w:pos="2835"/>
        </w:tabs>
        <w:outlineLvl w:val="0"/>
        <w:rPr>
          <w:rFonts w:ascii="Verdana" w:hAnsi="Verdana"/>
          <w:b/>
          <w:color w:val="0D63B5"/>
          <w:sz w:val="20"/>
          <w:szCs w:val="20"/>
        </w:rPr>
      </w:pPr>
      <w:bookmarkStart w:id="21" w:name="_Hlk94186373"/>
      <w:r w:rsidRPr="00A0434D">
        <w:rPr>
          <w:rFonts w:ascii="Verdana" w:hAnsi="Verdana"/>
          <w:b/>
          <w:color w:val="0D63B5"/>
          <w:sz w:val="20"/>
          <w:szCs w:val="20"/>
        </w:rPr>
        <w:t>NOTA 26 – PROVIS</w:t>
      </w:r>
      <w:r w:rsidR="008D55F3" w:rsidRPr="00A0434D">
        <w:rPr>
          <w:rFonts w:ascii="Verdana" w:hAnsi="Verdana"/>
          <w:b/>
          <w:color w:val="0D63B5"/>
          <w:sz w:val="20"/>
          <w:szCs w:val="20"/>
        </w:rPr>
        <w:t xml:space="preserve">ÃO PARA RISCO </w:t>
      </w:r>
      <w:r w:rsidRPr="00A0434D">
        <w:rPr>
          <w:rFonts w:ascii="Verdana" w:hAnsi="Verdana"/>
          <w:b/>
          <w:color w:val="0D63B5"/>
          <w:sz w:val="20"/>
          <w:szCs w:val="20"/>
        </w:rPr>
        <w:t xml:space="preserve">E PASSIVOS CONTINGENTES </w:t>
      </w:r>
    </w:p>
    <w:p w14:paraId="33819F54" w14:textId="77777777" w:rsidR="00BA2DE2" w:rsidRPr="00F10172" w:rsidRDefault="00BA2DE2" w:rsidP="00BA2DE2">
      <w:pPr>
        <w:rPr>
          <w:rFonts w:ascii="Verdana" w:hAnsi="Verdana"/>
          <w:sz w:val="20"/>
          <w:szCs w:val="20"/>
          <w:highlight w:val="green"/>
        </w:rPr>
      </w:pPr>
    </w:p>
    <w:p w14:paraId="0ECA275F" w14:textId="77777777" w:rsidR="00BA2DE2" w:rsidRPr="00A0434D" w:rsidRDefault="00BA2DE2" w:rsidP="00BA2DE2">
      <w:pPr>
        <w:rPr>
          <w:rFonts w:ascii="Verdana" w:hAnsi="Verdana"/>
          <w:sz w:val="20"/>
          <w:szCs w:val="20"/>
        </w:rPr>
      </w:pPr>
    </w:p>
    <w:p w14:paraId="7C55106B" w14:textId="7FAF34CB" w:rsidR="00BA2DE2" w:rsidRPr="00A0434D" w:rsidRDefault="00E61229" w:rsidP="00BA2DE2">
      <w:pPr>
        <w:rPr>
          <w:rFonts w:ascii="Verdana" w:hAnsi="Verdana"/>
          <w:sz w:val="20"/>
          <w:szCs w:val="20"/>
        </w:rPr>
      </w:pPr>
      <w:r w:rsidRPr="00E87390">
        <w:rPr>
          <w:rFonts w:ascii="Verdana" w:hAnsi="Verdana"/>
          <w:sz w:val="20"/>
          <w:szCs w:val="20"/>
        </w:rPr>
        <w:t>A Companhia é parte envolvida em diversas ações em andamento no âmbito do judiciário, principalmente nas esferas trabalhista e tributária, que se encontram em vários estágios de julgamento</w:t>
      </w:r>
      <w:r w:rsidR="00BA2DE2" w:rsidRPr="00A0434D">
        <w:rPr>
          <w:rFonts w:ascii="Verdana" w:hAnsi="Verdana"/>
          <w:sz w:val="20"/>
          <w:szCs w:val="20"/>
        </w:rPr>
        <w:t>.</w:t>
      </w:r>
    </w:p>
    <w:p w14:paraId="6663DFD1" w14:textId="77777777" w:rsidR="00BA2DE2" w:rsidRPr="00A0434D" w:rsidRDefault="00BA2DE2" w:rsidP="00BA2DE2">
      <w:pPr>
        <w:rPr>
          <w:rFonts w:ascii="Verdana" w:hAnsi="Verdana"/>
          <w:sz w:val="20"/>
          <w:szCs w:val="20"/>
        </w:rPr>
      </w:pPr>
    </w:p>
    <w:p w14:paraId="208E3403" w14:textId="77777777" w:rsidR="00BA2DE2" w:rsidRPr="00A0434D" w:rsidRDefault="00BA2DE2" w:rsidP="00BA2DE2">
      <w:pPr>
        <w:rPr>
          <w:rFonts w:ascii="Verdana" w:hAnsi="Verdana"/>
          <w:sz w:val="20"/>
          <w:szCs w:val="20"/>
        </w:rPr>
      </w:pPr>
    </w:p>
    <w:p w14:paraId="0A6E1DD3" w14:textId="77777777" w:rsidR="00BA2DE2" w:rsidRPr="00A0434D" w:rsidRDefault="00BA2DE2" w:rsidP="00BA2DE2">
      <w:pPr>
        <w:rPr>
          <w:rFonts w:ascii="Verdana" w:hAnsi="Verdana"/>
          <w:color w:val="0D63B5"/>
          <w:sz w:val="20"/>
          <w:szCs w:val="20"/>
        </w:rPr>
      </w:pPr>
      <w:r w:rsidRPr="00A0434D">
        <w:rPr>
          <w:rFonts w:ascii="Verdana" w:hAnsi="Verdana"/>
          <w:color w:val="0D63B5"/>
          <w:sz w:val="20"/>
          <w:szCs w:val="20"/>
        </w:rPr>
        <w:lastRenderedPageBreak/>
        <w:t xml:space="preserve">26.1 – Provisões </w:t>
      </w:r>
    </w:p>
    <w:p w14:paraId="3D7AED1D" w14:textId="77777777" w:rsidR="00BA2DE2" w:rsidRPr="00A0434D" w:rsidRDefault="00BA2DE2" w:rsidP="00BA2DE2">
      <w:pPr>
        <w:rPr>
          <w:rFonts w:ascii="Verdana" w:hAnsi="Verdana"/>
          <w:sz w:val="20"/>
          <w:szCs w:val="20"/>
        </w:rPr>
      </w:pPr>
    </w:p>
    <w:p w14:paraId="2FE733A0" w14:textId="77777777" w:rsidR="00BA2DE2" w:rsidRPr="00A0434D" w:rsidRDefault="00BA2DE2" w:rsidP="00BA2DE2">
      <w:pPr>
        <w:tabs>
          <w:tab w:val="left" w:pos="6116"/>
        </w:tabs>
        <w:rPr>
          <w:rFonts w:ascii="Verdana" w:hAnsi="Verdana"/>
          <w:sz w:val="20"/>
          <w:szCs w:val="20"/>
        </w:rPr>
      </w:pPr>
    </w:p>
    <w:p w14:paraId="53B43C8B" w14:textId="4818DC20" w:rsidR="00BA2DE2" w:rsidRPr="00A0434D" w:rsidRDefault="00E61229" w:rsidP="00BA2DE2">
      <w:pPr>
        <w:rPr>
          <w:rFonts w:ascii="Verdana" w:hAnsi="Verdana"/>
          <w:sz w:val="20"/>
          <w:szCs w:val="20"/>
        </w:rPr>
      </w:pPr>
      <w:r w:rsidRPr="00E87390">
        <w:rPr>
          <w:rFonts w:ascii="Verdana" w:hAnsi="Verdana"/>
          <w:sz w:val="20"/>
          <w:szCs w:val="20"/>
        </w:rPr>
        <w:t>A Companhia constitui provisões em montante suficiente para cobrir as perdas consideradas prováveis e para as quais uma estimativa confiável possa ser realizada nos seguintes valores</w:t>
      </w:r>
      <w:r w:rsidR="00BA2DE2" w:rsidRPr="00A0434D">
        <w:rPr>
          <w:rFonts w:ascii="Verdana" w:hAnsi="Verdana"/>
          <w:sz w:val="20"/>
          <w:szCs w:val="20"/>
        </w:rPr>
        <w:t xml:space="preserve">: </w:t>
      </w:r>
    </w:p>
    <w:p w14:paraId="44837BE9" w14:textId="77777777" w:rsidR="00BA2DE2" w:rsidRPr="00F10172" w:rsidRDefault="00BA2DE2" w:rsidP="00BA2DE2">
      <w:pPr>
        <w:rPr>
          <w:rFonts w:ascii="Verdana" w:hAnsi="Verdana"/>
          <w:sz w:val="20"/>
          <w:szCs w:val="20"/>
          <w:highlight w:val="green"/>
        </w:rPr>
      </w:pPr>
    </w:p>
    <w:p w14:paraId="03356434" w14:textId="77777777" w:rsidR="00BA2DE2" w:rsidRPr="00A0434D" w:rsidRDefault="00A0434D" w:rsidP="00BA2DE2">
      <w:pPr>
        <w:jc w:val="center"/>
        <w:rPr>
          <w:rFonts w:ascii="Verdana" w:hAnsi="Verdana"/>
          <w:sz w:val="20"/>
          <w:szCs w:val="20"/>
          <w:highlight w:val="green"/>
        </w:rPr>
      </w:pPr>
      <w:r w:rsidRPr="00A0434D">
        <w:rPr>
          <w:noProof/>
        </w:rPr>
        <w:drawing>
          <wp:inline distT="0" distB="0" distL="0" distR="0" wp14:anchorId="7ED7E9AE" wp14:editId="222B035E">
            <wp:extent cx="2967371" cy="1138192"/>
            <wp:effectExtent l="0" t="0" r="4445" b="0"/>
            <wp:docPr id="482" name="Imagem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000515" cy="1150905"/>
                    </a:xfrm>
                    <a:prstGeom prst="rect">
                      <a:avLst/>
                    </a:prstGeom>
                    <a:noFill/>
                    <a:ln>
                      <a:noFill/>
                    </a:ln>
                  </pic:spPr>
                </pic:pic>
              </a:graphicData>
            </a:graphic>
          </wp:inline>
        </w:drawing>
      </w:r>
    </w:p>
    <w:p w14:paraId="3251C81A" w14:textId="77777777" w:rsidR="00BA2DE2" w:rsidRDefault="00BA2DE2" w:rsidP="00BA2DE2">
      <w:pPr>
        <w:jc w:val="center"/>
        <w:rPr>
          <w:rFonts w:ascii="Verdana" w:hAnsi="Verdana"/>
          <w:sz w:val="20"/>
          <w:szCs w:val="20"/>
          <w:highlight w:val="green"/>
        </w:rPr>
      </w:pPr>
    </w:p>
    <w:p w14:paraId="1DE29A53" w14:textId="77777777" w:rsidR="00BA2DE2" w:rsidRPr="00A0434D" w:rsidRDefault="00BA2DE2" w:rsidP="00BA2DE2">
      <w:pPr>
        <w:widowControl w:val="0"/>
        <w:autoSpaceDE w:val="0"/>
        <w:autoSpaceDN w:val="0"/>
        <w:rPr>
          <w:rFonts w:ascii="Verdana" w:hAnsi="Verdana"/>
          <w:sz w:val="20"/>
          <w:szCs w:val="20"/>
        </w:rPr>
      </w:pPr>
      <w:r w:rsidRPr="00A0434D">
        <w:rPr>
          <w:rFonts w:ascii="Verdana" w:hAnsi="Verdana"/>
          <w:sz w:val="20"/>
          <w:szCs w:val="20"/>
        </w:rPr>
        <w:t>Estas provisões tiveram, no exercício findo em 31 de dezembro de 2021, a seguinte evolução:</w:t>
      </w:r>
    </w:p>
    <w:p w14:paraId="19471E19" w14:textId="77777777" w:rsidR="00BA2DE2" w:rsidRDefault="00BA2DE2" w:rsidP="00BA2DE2">
      <w:pPr>
        <w:widowControl w:val="0"/>
        <w:autoSpaceDE w:val="0"/>
        <w:autoSpaceDN w:val="0"/>
        <w:rPr>
          <w:rFonts w:ascii="Verdana" w:hAnsi="Verdana"/>
          <w:sz w:val="20"/>
          <w:szCs w:val="20"/>
          <w:highlight w:val="green"/>
        </w:rPr>
      </w:pPr>
    </w:p>
    <w:p w14:paraId="585A648C" w14:textId="77777777" w:rsidR="00A0434D" w:rsidRPr="00F10172" w:rsidRDefault="00A0434D" w:rsidP="00BA2DE2">
      <w:pPr>
        <w:widowControl w:val="0"/>
        <w:autoSpaceDE w:val="0"/>
        <w:autoSpaceDN w:val="0"/>
        <w:rPr>
          <w:rFonts w:ascii="Verdana" w:hAnsi="Verdana"/>
          <w:sz w:val="20"/>
          <w:szCs w:val="20"/>
          <w:highlight w:val="green"/>
        </w:rPr>
      </w:pPr>
    </w:p>
    <w:p w14:paraId="1ED022EE" w14:textId="77777777" w:rsidR="00BA2DE2" w:rsidRPr="00F10172" w:rsidRDefault="00A0434D" w:rsidP="00BA2DE2">
      <w:pPr>
        <w:widowControl w:val="0"/>
        <w:autoSpaceDE w:val="0"/>
        <w:autoSpaceDN w:val="0"/>
        <w:jc w:val="center"/>
        <w:rPr>
          <w:rFonts w:ascii="Verdana" w:hAnsi="Verdana"/>
          <w:sz w:val="20"/>
          <w:szCs w:val="20"/>
          <w:highlight w:val="green"/>
        </w:rPr>
      </w:pPr>
      <w:r w:rsidRPr="00A0434D">
        <w:rPr>
          <w:noProof/>
        </w:rPr>
        <w:drawing>
          <wp:inline distT="0" distB="0" distL="0" distR="0" wp14:anchorId="299C9222" wp14:editId="5B7B6C0E">
            <wp:extent cx="3611277" cy="875198"/>
            <wp:effectExtent l="0" t="0" r="8255" b="0"/>
            <wp:docPr id="483" name="Imagem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31817" cy="880176"/>
                    </a:xfrm>
                    <a:prstGeom prst="rect">
                      <a:avLst/>
                    </a:prstGeom>
                    <a:noFill/>
                    <a:ln>
                      <a:noFill/>
                    </a:ln>
                  </pic:spPr>
                </pic:pic>
              </a:graphicData>
            </a:graphic>
          </wp:inline>
        </w:drawing>
      </w:r>
    </w:p>
    <w:p w14:paraId="31D8D6A9" w14:textId="77777777" w:rsidR="00BA2DE2" w:rsidRPr="00F10172" w:rsidRDefault="00BA2DE2" w:rsidP="00BA2DE2">
      <w:pPr>
        <w:pStyle w:val="Corpodetexto"/>
        <w:tabs>
          <w:tab w:val="left" w:pos="0"/>
        </w:tabs>
        <w:rPr>
          <w:rFonts w:ascii="Verdana" w:hAnsi="Verdana"/>
          <w:highlight w:val="green"/>
        </w:rPr>
      </w:pPr>
    </w:p>
    <w:p w14:paraId="66AFCED5" w14:textId="77777777" w:rsidR="00BA2DE2" w:rsidRPr="00F10172" w:rsidRDefault="00BA2DE2" w:rsidP="00BA2DE2">
      <w:pPr>
        <w:pStyle w:val="Corpodetexto"/>
        <w:tabs>
          <w:tab w:val="left" w:pos="0"/>
        </w:tabs>
        <w:rPr>
          <w:rFonts w:ascii="Verdana" w:hAnsi="Verdana"/>
          <w:highlight w:val="green"/>
          <w:shd w:val="clear" w:color="auto" w:fill="FFFFFF"/>
          <w:lang w:val="pt-BR"/>
        </w:rPr>
      </w:pPr>
    </w:p>
    <w:p w14:paraId="499F7222" w14:textId="77777777" w:rsidR="00E61229" w:rsidRPr="00E87390" w:rsidRDefault="00E61229" w:rsidP="00E61229">
      <w:pPr>
        <w:pStyle w:val="Corpodetexto"/>
        <w:tabs>
          <w:tab w:val="left" w:pos="0"/>
        </w:tabs>
        <w:rPr>
          <w:rFonts w:ascii="Verdana" w:hAnsi="Verdana"/>
          <w:shd w:val="clear" w:color="auto" w:fill="FFFFFF"/>
          <w:lang w:val="pt-BR"/>
        </w:rPr>
      </w:pPr>
      <w:r w:rsidRPr="00E87390">
        <w:rPr>
          <w:rFonts w:ascii="Verdana" w:hAnsi="Verdana"/>
          <w:shd w:val="clear" w:color="auto" w:fill="FFFFFF"/>
          <w:lang w:val="pt-BR"/>
        </w:rPr>
        <w:t>A movimentação da constituição de provisões está relacionada à revisão de estimativas em razão da evolução de decisões na fase de execução e liquidação dos processos judiciais sem destaques relevantes no período.</w:t>
      </w:r>
    </w:p>
    <w:p w14:paraId="04EA651C" w14:textId="77777777" w:rsidR="00E61229" w:rsidRPr="00E87390" w:rsidRDefault="00E61229" w:rsidP="00E61229">
      <w:pPr>
        <w:pStyle w:val="Corpodetexto"/>
        <w:tabs>
          <w:tab w:val="left" w:pos="0"/>
        </w:tabs>
        <w:rPr>
          <w:rFonts w:ascii="Verdana" w:hAnsi="Verdana"/>
          <w:shd w:val="clear" w:color="auto" w:fill="FFFFFF"/>
          <w:lang w:val="pt-BR"/>
        </w:rPr>
      </w:pPr>
    </w:p>
    <w:p w14:paraId="2F35A616" w14:textId="77777777" w:rsidR="00E61229" w:rsidRDefault="00E61229" w:rsidP="00E61229">
      <w:pPr>
        <w:pStyle w:val="Corpodetexto"/>
        <w:tabs>
          <w:tab w:val="left" w:pos="0"/>
        </w:tabs>
        <w:rPr>
          <w:rFonts w:ascii="Verdana" w:hAnsi="Verdana"/>
          <w:shd w:val="clear" w:color="auto" w:fill="FFFFFF"/>
          <w:lang w:val="pt-BR"/>
        </w:rPr>
      </w:pPr>
    </w:p>
    <w:p w14:paraId="38315556" w14:textId="77777777" w:rsidR="00E61229" w:rsidRPr="00E87390" w:rsidRDefault="00E61229" w:rsidP="00E61229">
      <w:pPr>
        <w:pStyle w:val="Corpodetexto"/>
        <w:tabs>
          <w:tab w:val="left" w:pos="0"/>
        </w:tabs>
        <w:rPr>
          <w:rFonts w:ascii="Verdana" w:hAnsi="Verdana"/>
          <w:shd w:val="clear" w:color="auto" w:fill="FFFFFF"/>
          <w:lang w:val="pt-BR"/>
        </w:rPr>
      </w:pPr>
    </w:p>
    <w:p w14:paraId="57A398AF" w14:textId="77777777" w:rsidR="00E61229" w:rsidRPr="00D045A0" w:rsidRDefault="00E61229" w:rsidP="00E61229">
      <w:pPr>
        <w:rPr>
          <w:rFonts w:ascii="Verdana" w:hAnsi="Verdana"/>
          <w:color w:val="0D63B5"/>
          <w:sz w:val="20"/>
          <w:szCs w:val="20"/>
        </w:rPr>
      </w:pPr>
      <w:r w:rsidRPr="00D045A0">
        <w:rPr>
          <w:rFonts w:ascii="Verdana" w:hAnsi="Verdana"/>
          <w:color w:val="0D63B5"/>
          <w:sz w:val="20"/>
          <w:szCs w:val="20"/>
        </w:rPr>
        <w:t xml:space="preserve">26.2 – Cauções e Depósitos Vinculados a Processos Prováveis  </w:t>
      </w:r>
    </w:p>
    <w:p w14:paraId="3A25669D" w14:textId="77777777" w:rsidR="00E61229" w:rsidRPr="00D045A0" w:rsidRDefault="00E61229" w:rsidP="00E61229">
      <w:pPr>
        <w:rPr>
          <w:rFonts w:ascii="Verdana" w:hAnsi="Verdana"/>
          <w:color w:val="0D63B5"/>
          <w:sz w:val="20"/>
          <w:szCs w:val="20"/>
        </w:rPr>
      </w:pPr>
    </w:p>
    <w:p w14:paraId="47DE643C" w14:textId="77777777" w:rsidR="00E61229" w:rsidRPr="00D045A0" w:rsidRDefault="00E61229" w:rsidP="00E61229">
      <w:pPr>
        <w:rPr>
          <w:rFonts w:ascii="Verdana" w:hAnsi="Verdana"/>
          <w:sz w:val="20"/>
          <w:szCs w:val="20"/>
          <w:shd w:val="clear" w:color="auto" w:fill="FFFFFF"/>
        </w:rPr>
      </w:pPr>
      <w:r w:rsidRPr="00D045A0">
        <w:rPr>
          <w:rFonts w:ascii="Verdana" w:hAnsi="Verdana"/>
          <w:sz w:val="20"/>
          <w:szCs w:val="20"/>
          <w:shd w:val="clear" w:color="auto" w:fill="FFFFFF"/>
        </w:rPr>
        <w:t>A rubrica de cauções e depósitos vinculados refere-se a valores vinculados a processos judiciais e administrativos de probabilidade provável, conforme relacionados a seguir:</w:t>
      </w:r>
    </w:p>
    <w:p w14:paraId="58AA8FD6" w14:textId="3FB0DF6F" w:rsidR="00EE380E" w:rsidRPr="00C26BEE" w:rsidRDefault="00EE380E" w:rsidP="00EE380E">
      <w:pPr>
        <w:rPr>
          <w:rFonts w:ascii="Verdana" w:hAnsi="Verdana"/>
          <w:sz w:val="20"/>
          <w:szCs w:val="20"/>
          <w:shd w:val="clear" w:color="auto" w:fill="FFFFFF"/>
        </w:rPr>
      </w:pPr>
    </w:p>
    <w:p w14:paraId="225CEA7F" w14:textId="77777777" w:rsidR="00EE380E" w:rsidRPr="00C26BEE" w:rsidRDefault="00EE380E" w:rsidP="00EE380E">
      <w:pPr>
        <w:rPr>
          <w:rFonts w:ascii="Verdana" w:hAnsi="Verdana"/>
          <w:color w:val="0D63B5"/>
          <w:sz w:val="20"/>
          <w:szCs w:val="20"/>
        </w:rPr>
      </w:pPr>
    </w:p>
    <w:p w14:paraId="619CD73C" w14:textId="77777777" w:rsidR="00EE380E" w:rsidRPr="00C26BEE" w:rsidRDefault="00EE380E" w:rsidP="00EE380E">
      <w:pPr>
        <w:jc w:val="center"/>
        <w:rPr>
          <w:rFonts w:ascii="Verdana" w:hAnsi="Verdana"/>
          <w:color w:val="0D63B5"/>
          <w:sz w:val="20"/>
          <w:szCs w:val="20"/>
        </w:rPr>
      </w:pPr>
      <w:r w:rsidRPr="00EE380E">
        <w:rPr>
          <w:noProof/>
        </w:rPr>
        <w:drawing>
          <wp:inline distT="0" distB="0" distL="0" distR="0" wp14:anchorId="5E1795B5" wp14:editId="49D725AF">
            <wp:extent cx="2711796" cy="736996"/>
            <wp:effectExtent l="0" t="0" r="0" b="6350"/>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716773" cy="738349"/>
                    </a:xfrm>
                    <a:prstGeom prst="rect">
                      <a:avLst/>
                    </a:prstGeom>
                    <a:noFill/>
                    <a:ln>
                      <a:noFill/>
                    </a:ln>
                  </pic:spPr>
                </pic:pic>
              </a:graphicData>
            </a:graphic>
          </wp:inline>
        </w:drawing>
      </w:r>
    </w:p>
    <w:p w14:paraId="58FA157A" w14:textId="77777777" w:rsidR="00EE380E" w:rsidRDefault="00EE380E" w:rsidP="00BA2DE2">
      <w:pPr>
        <w:pStyle w:val="Corpodetexto"/>
        <w:tabs>
          <w:tab w:val="left" w:pos="0"/>
        </w:tabs>
        <w:rPr>
          <w:rFonts w:ascii="Verdana" w:hAnsi="Verdana"/>
          <w:highlight w:val="green"/>
          <w:shd w:val="clear" w:color="auto" w:fill="FFFFFF"/>
          <w:lang w:val="pt-BR"/>
        </w:rPr>
      </w:pPr>
    </w:p>
    <w:p w14:paraId="0D16CCC1" w14:textId="77777777" w:rsidR="00BA2DE2" w:rsidRPr="00F10172" w:rsidRDefault="00BA2DE2" w:rsidP="00BA2DE2">
      <w:pPr>
        <w:rPr>
          <w:rFonts w:ascii="Verdana" w:hAnsi="Verdana"/>
          <w:sz w:val="20"/>
          <w:szCs w:val="20"/>
          <w:highlight w:val="green"/>
          <w:shd w:val="clear" w:color="auto" w:fill="FFFFFF"/>
        </w:rPr>
      </w:pPr>
      <w:bookmarkStart w:id="22" w:name="_Hlk88228983"/>
    </w:p>
    <w:bookmarkEnd w:id="22"/>
    <w:p w14:paraId="3EB9BD03" w14:textId="77777777" w:rsidR="00BA2DE2" w:rsidRPr="00A0434D" w:rsidRDefault="00BA2DE2" w:rsidP="00BA2DE2">
      <w:pPr>
        <w:rPr>
          <w:rFonts w:ascii="Verdana" w:hAnsi="Verdana"/>
          <w:color w:val="0D63B5"/>
          <w:sz w:val="20"/>
          <w:szCs w:val="20"/>
        </w:rPr>
      </w:pPr>
      <w:r w:rsidRPr="00A0434D">
        <w:rPr>
          <w:rFonts w:ascii="Verdana" w:hAnsi="Verdana"/>
          <w:color w:val="0D63B5"/>
          <w:sz w:val="20"/>
          <w:szCs w:val="20"/>
        </w:rPr>
        <w:t>26.</w:t>
      </w:r>
      <w:r w:rsidR="00EE380E">
        <w:rPr>
          <w:rFonts w:ascii="Verdana" w:hAnsi="Verdana"/>
          <w:color w:val="0D63B5"/>
          <w:sz w:val="20"/>
          <w:szCs w:val="20"/>
        </w:rPr>
        <w:t>3</w:t>
      </w:r>
      <w:r w:rsidRPr="00A0434D">
        <w:rPr>
          <w:rFonts w:ascii="Verdana" w:hAnsi="Verdana"/>
          <w:color w:val="0D63B5"/>
          <w:sz w:val="20"/>
          <w:szCs w:val="20"/>
        </w:rPr>
        <w:t xml:space="preserve"> – Passivos Contingentes</w:t>
      </w:r>
    </w:p>
    <w:p w14:paraId="7694FF11" w14:textId="77777777" w:rsidR="00BA2DE2" w:rsidRPr="00A0434D" w:rsidRDefault="00BA2DE2" w:rsidP="00BA2DE2">
      <w:pPr>
        <w:rPr>
          <w:rFonts w:ascii="Verdana" w:hAnsi="Verdana"/>
          <w:sz w:val="20"/>
          <w:szCs w:val="20"/>
          <w:shd w:val="clear" w:color="auto" w:fill="FFFFFF"/>
        </w:rPr>
      </w:pPr>
    </w:p>
    <w:p w14:paraId="4D0A2D5B" w14:textId="77777777" w:rsidR="00BA2DE2" w:rsidRDefault="00BA2DE2" w:rsidP="00BA2DE2">
      <w:pPr>
        <w:rPr>
          <w:rFonts w:ascii="Verdana" w:hAnsi="Verdana"/>
          <w:sz w:val="20"/>
          <w:szCs w:val="20"/>
          <w:shd w:val="clear" w:color="auto" w:fill="FFFFFF"/>
        </w:rPr>
      </w:pPr>
      <w:r w:rsidRPr="00A0434D">
        <w:rPr>
          <w:rFonts w:ascii="Verdana" w:hAnsi="Verdana"/>
          <w:sz w:val="20"/>
          <w:szCs w:val="20"/>
          <w:shd w:val="clear" w:color="auto" w:fill="FFFFFF"/>
        </w:rPr>
        <w:t>Adicionalmente, a Companhia possui processos avaliados com perda possível nos seguintes montantes:</w:t>
      </w:r>
    </w:p>
    <w:p w14:paraId="1A7AD168" w14:textId="77777777" w:rsidR="00A0434D" w:rsidRPr="00A0434D" w:rsidRDefault="00A0434D" w:rsidP="00BA2DE2">
      <w:pPr>
        <w:rPr>
          <w:rFonts w:ascii="Verdana" w:hAnsi="Verdana"/>
          <w:sz w:val="20"/>
          <w:szCs w:val="20"/>
          <w:shd w:val="clear" w:color="auto" w:fill="FFFFFF"/>
        </w:rPr>
      </w:pPr>
    </w:p>
    <w:p w14:paraId="74C031FC" w14:textId="77777777" w:rsidR="00BA2DE2" w:rsidRPr="00A0434D" w:rsidRDefault="00BA2DE2" w:rsidP="00BA2DE2">
      <w:pPr>
        <w:rPr>
          <w:rFonts w:ascii="Verdana" w:hAnsi="Verdana"/>
          <w:sz w:val="20"/>
          <w:szCs w:val="20"/>
        </w:rPr>
      </w:pPr>
    </w:p>
    <w:p w14:paraId="0C4A7B06" w14:textId="77777777" w:rsidR="00BA2DE2" w:rsidRPr="00F10172" w:rsidRDefault="007832A4" w:rsidP="00BA2DE2">
      <w:pPr>
        <w:jc w:val="center"/>
        <w:rPr>
          <w:rFonts w:ascii="Verdana" w:hAnsi="Verdana"/>
          <w:sz w:val="20"/>
          <w:szCs w:val="20"/>
          <w:highlight w:val="green"/>
        </w:rPr>
      </w:pPr>
      <w:r w:rsidRPr="007832A4" w:rsidDel="007832A4">
        <w:t xml:space="preserve"> </w:t>
      </w:r>
      <w:r w:rsidR="00243591" w:rsidRPr="00243591">
        <w:rPr>
          <w:noProof/>
        </w:rPr>
        <w:drawing>
          <wp:inline distT="0" distB="0" distL="0" distR="0" wp14:anchorId="3F59CFD7" wp14:editId="11A2929D">
            <wp:extent cx="2742338" cy="890230"/>
            <wp:effectExtent l="0" t="0" r="1270" b="571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769782" cy="899139"/>
                    </a:xfrm>
                    <a:prstGeom prst="rect">
                      <a:avLst/>
                    </a:prstGeom>
                    <a:noFill/>
                    <a:ln>
                      <a:noFill/>
                    </a:ln>
                  </pic:spPr>
                </pic:pic>
              </a:graphicData>
            </a:graphic>
          </wp:inline>
        </w:drawing>
      </w:r>
      <w:r w:rsidR="00243591" w:rsidRPr="00243591" w:rsidDel="007832A4">
        <w:t xml:space="preserve"> </w:t>
      </w:r>
    </w:p>
    <w:p w14:paraId="205E4D01" w14:textId="77777777" w:rsidR="00BA2DE2" w:rsidRPr="00F10172" w:rsidRDefault="00BA2DE2" w:rsidP="00BA2DE2">
      <w:pPr>
        <w:rPr>
          <w:rFonts w:ascii="Verdana" w:hAnsi="Verdana"/>
          <w:sz w:val="20"/>
          <w:szCs w:val="20"/>
          <w:highlight w:val="green"/>
        </w:rPr>
      </w:pPr>
    </w:p>
    <w:p w14:paraId="5CBCDF33" w14:textId="55BD82F3" w:rsidR="00BA2DE2" w:rsidRDefault="00114D1C" w:rsidP="00BA2DE2">
      <w:pPr>
        <w:rPr>
          <w:rFonts w:ascii="Verdana" w:hAnsi="Verdana"/>
          <w:sz w:val="20"/>
          <w:szCs w:val="20"/>
        </w:rPr>
      </w:pPr>
      <w:r>
        <w:rPr>
          <w:rFonts w:ascii="Verdana" w:hAnsi="Verdana"/>
          <w:sz w:val="20"/>
          <w:szCs w:val="20"/>
        </w:rPr>
        <w:lastRenderedPageBreak/>
        <w:t>A redução</w:t>
      </w:r>
      <w:r w:rsidR="001B3038">
        <w:rPr>
          <w:rFonts w:ascii="Verdana" w:hAnsi="Verdana"/>
          <w:sz w:val="20"/>
          <w:szCs w:val="20"/>
        </w:rPr>
        <w:t xml:space="preserve"> dos passivos contingentes </w:t>
      </w:r>
      <w:r>
        <w:rPr>
          <w:rFonts w:ascii="Verdana" w:hAnsi="Verdana"/>
          <w:sz w:val="20"/>
          <w:szCs w:val="20"/>
        </w:rPr>
        <w:t>trabalhistas deve-se</w:t>
      </w:r>
      <w:r w:rsidR="00792970">
        <w:rPr>
          <w:rFonts w:ascii="Verdana" w:hAnsi="Verdana"/>
          <w:sz w:val="20"/>
          <w:szCs w:val="20"/>
        </w:rPr>
        <w:t>,</w:t>
      </w:r>
      <w:r>
        <w:rPr>
          <w:rFonts w:ascii="Verdana" w:hAnsi="Verdana"/>
          <w:sz w:val="20"/>
          <w:szCs w:val="20"/>
        </w:rPr>
        <w:t xml:space="preserve"> principalmente</w:t>
      </w:r>
      <w:r w:rsidR="00792970">
        <w:rPr>
          <w:rFonts w:ascii="Verdana" w:hAnsi="Verdana"/>
          <w:sz w:val="20"/>
          <w:szCs w:val="20"/>
        </w:rPr>
        <w:t>,</w:t>
      </w:r>
      <w:r>
        <w:rPr>
          <w:rFonts w:ascii="Verdana" w:hAnsi="Verdana"/>
          <w:sz w:val="20"/>
          <w:szCs w:val="20"/>
        </w:rPr>
        <w:t xml:space="preserve"> a alteração de prognóstico de perda poss</w:t>
      </w:r>
      <w:r w:rsidR="006A3FB8">
        <w:rPr>
          <w:rFonts w:ascii="Verdana" w:hAnsi="Verdana"/>
          <w:sz w:val="20"/>
          <w:szCs w:val="20"/>
        </w:rPr>
        <w:t>ível para perda remota.</w:t>
      </w:r>
    </w:p>
    <w:p w14:paraId="553F8864" w14:textId="77777777" w:rsidR="001B3038" w:rsidRPr="005E4A4C" w:rsidRDefault="001B3038" w:rsidP="00BA2DE2">
      <w:pPr>
        <w:rPr>
          <w:rFonts w:ascii="Verdana" w:hAnsi="Verdana"/>
          <w:sz w:val="20"/>
          <w:szCs w:val="20"/>
        </w:rPr>
      </w:pPr>
    </w:p>
    <w:p w14:paraId="54CB9E70" w14:textId="36DF8E74" w:rsidR="00B23CB0" w:rsidRPr="00FD016C" w:rsidRDefault="00B23CB0" w:rsidP="00B23CB0">
      <w:pPr>
        <w:rPr>
          <w:rFonts w:ascii="Verdana" w:hAnsi="Verdana"/>
          <w:sz w:val="20"/>
          <w:szCs w:val="20"/>
        </w:rPr>
      </w:pPr>
      <w:r w:rsidRPr="00FD016C">
        <w:rPr>
          <w:rFonts w:ascii="Verdana" w:hAnsi="Verdana"/>
          <w:sz w:val="20"/>
          <w:szCs w:val="20"/>
        </w:rPr>
        <w:t>Dentre</w:t>
      </w:r>
      <w:r>
        <w:rPr>
          <w:rFonts w:ascii="Verdana" w:hAnsi="Verdana"/>
          <w:sz w:val="20"/>
          <w:szCs w:val="20"/>
        </w:rPr>
        <w:t xml:space="preserve"> as ações de causas </w:t>
      </w:r>
      <w:r w:rsidRPr="00FD016C">
        <w:rPr>
          <w:rFonts w:ascii="Verdana" w:hAnsi="Verdana"/>
          <w:sz w:val="20"/>
          <w:szCs w:val="20"/>
        </w:rPr>
        <w:t>possíveis</w:t>
      </w:r>
      <w:r w:rsidR="003917B5">
        <w:rPr>
          <w:rFonts w:ascii="Verdana" w:hAnsi="Verdana"/>
          <w:sz w:val="20"/>
          <w:szCs w:val="20"/>
        </w:rPr>
        <w:t xml:space="preserve"> e prováveis</w:t>
      </w:r>
      <w:r w:rsidRPr="00FD016C">
        <w:rPr>
          <w:rFonts w:ascii="Verdana" w:hAnsi="Verdana"/>
          <w:sz w:val="20"/>
          <w:szCs w:val="20"/>
        </w:rPr>
        <w:t xml:space="preserve"> e que apresentam valores avaliados com perda superiores a 1% </w:t>
      </w:r>
      <w:proofErr w:type="gramStart"/>
      <w:r w:rsidRPr="00FD016C">
        <w:rPr>
          <w:rFonts w:ascii="Verdana" w:hAnsi="Verdana"/>
          <w:sz w:val="20"/>
          <w:szCs w:val="20"/>
        </w:rPr>
        <w:t>da Receita Operacional Líquida</w:t>
      </w:r>
      <w:proofErr w:type="gramEnd"/>
      <w:r w:rsidRPr="00FD016C">
        <w:rPr>
          <w:rFonts w:ascii="Verdana" w:hAnsi="Verdana"/>
          <w:sz w:val="20"/>
          <w:szCs w:val="20"/>
        </w:rPr>
        <w:t xml:space="preserve"> ou seja, acima de R$ </w:t>
      </w:r>
      <w:r w:rsidR="00061119">
        <w:rPr>
          <w:rFonts w:ascii="Verdana" w:hAnsi="Verdana"/>
          <w:sz w:val="20"/>
          <w:szCs w:val="20"/>
        </w:rPr>
        <w:t>30.049</w:t>
      </w:r>
      <w:r w:rsidRPr="00FD016C">
        <w:rPr>
          <w:rFonts w:ascii="Verdana" w:hAnsi="Verdana"/>
          <w:sz w:val="20"/>
          <w:szCs w:val="20"/>
        </w:rPr>
        <w:t>, destacam-se:</w:t>
      </w:r>
    </w:p>
    <w:p w14:paraId="228A12A5" w14:textId="77777777" w:rsidR="003761CA" w:rsidRPr="006812BB" w:rsidRDefault="003761CA" w:rsidP="003761CA">
      <w:pPr>
        <w:rPr>
          <w:rFonts w:ascii="Verdana" w:hAnsi="Verdana"/>
          <w:sz w:val="20"/>
          <w:szCs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6215"/>
      </w:tblGrid>
      <w:tr w:rsidR="00865C86" w:rsidRPr="002730A0" w14:paraId="035BC11D" w14:textId="77777777" w:rsidTr="00FA77DF">
        <w:tc>
          <w:tcPr>
            <w:tcW w:w="5000" w:type="pct"/>
            <w:gridSpan w:val="2"/>
            <w:tcBorders>
              <w:bottom w:val="single" w:sz="4" w:space="0" w:color="auto"/>
            </w:tcBorders>
            <w:shd w:val="clear" w:color="auto" w:fill="999999"/>
          </w:tcPr>
          <w:p w14:paraId="25FA0342" w14:textId="77777777" w:rsidR="00865C86" w:rsidRPr="005E4A4C" w:rsidRDefault="006D6B39" w:rsidP="00FA77DF">
            <w:pPr>
              <w:widowControl w:val="0"/>
              <w:autoSpaceDE w:val="0"/>
              <w:autoSpaceDN w:val="0"/>
              <w:adjustRightInd w:val="0"/>
              <w:rPr>
                <w:rFonts w:ascii="Verdana" w:hAnsi="Verdana" w:cs="Arial"/>
                <w:sz w:val="18"/>
                <w:szCs w:val="18"/>
              </w:rPr>
            </w:pPr>
            <w:r>
              <w:rPr>
                <w:rFonts w:ascii="Verdana" w:hAnsi="Verdana" w:cs="Arial"/>
                <w:b/>
                <w:sz w:val="18"/>
                <w:szCs w:val="18"/>
              </w:rPr>
              <w:t>1.</w:t>
            </w:r>
            <w:r w:rsidR="00865C86" w:rsidRPr="005E4A4C">
              <w:rPr>
                <w:rFonts w:ascii="Verdana" w:hAnsi="Verdana" w:cs="Arial"/>
                <w:b/>
                <w:sz w:val="18"/>
                <w:szCs w:val="18"/>
              </w:rPr>
              <w:t xml:space="preserve"> AMBIENTAL - AÇÃO CIVIL PÚBLICA</w:t>
            </w:r>
            <w:r>
              <w:rPr>
                <w:rFonts w:ascii="Verdana" w:hAnsi="Verdana" w:cs="Arial"/>
                <w:b/>
                <w:sz w:val="18"/>
                <w:szCs w:val="18"/>
              </w:rPr>
              <w:t xml:space="preserve"> - </w:t>
            </w:r>
            <w:r w:rsidRPr="00C26BEE">
              <w:rPr>
                <w:rFonts w:ascii="Verdana" w:hAnsi="Verdana" w:cs="Arial"/>
                <w:b/>
                <w:sz w:val="18"/>
                <w:szCs w:val="18"/>
              </w:rPr>
              <w:t>Processo n° 5000837-67.2020.4.02.5111</w:t>
            </w:r>
          </w:p>
        </w:tc>
      </w:tr>
      <w:tr w:rsidR="00865C86" w:rsidRPr="002730A0" w14:paraId="76184680" w14:textId="77777777" w:rsidTr="00FA77DF">
        <w:tc>
          <w:tcPr>
            <w:tcW w:w="2031" w:type="pct"/>
          </w:tcPr>
          <w:p w14:paraId="720C299C" w14:textId="77777777" w:rsidR="00865C86" w:rsidRPr="005E4A4C" w:rsidRDefault="006D6B39">
            <w:pPr>
              <w:widowControl w:val="0"/>
              <w:autoSpaceDE w:val="0"/>
              <w:autoSpaceDN w:val="0"/>
              <w:adjustRightInd w:val="0"/>
              <w:rPr>
                <w:rFonts w:ascii="Verdana" w:hAnsi="Verdana" w:cs="Arial"/>
                <w:b/>
                <w:sz w:val="18"/>
                <w:szCs w:val="18"/>
              </w:rPr>
            </w:pPr>
            <w:r>
              <w:rPr>
                <w:rFonts w:ascii="Verdana" w:hAnsi="Verdana" w:cs="Arial"/>
                <w:b/>
                <w:sz w:val="18"/>
                <w:szCs w:val="18"/>
              </w:rPr>
              <w:t>I</w:t>
            </w:r>
            <w:r w:rsidRPr="00C26BEE">
              <w:rPr>
                <w:rFonts w:ascii="Verdana" w:hAnsi="Verdana" w:cs="Arial"/>
                <w:b/>
                <w:sz w:val="18"/>
                <w:szCs w:val="18"/>
              </w:rPr>
              <w:t>nstância</w:t>
            </w:r>
            <w:r>
              <w:rPr>
                <w:rFonts w:ascii="Verdana" w:hAnsi="Verdana" w:cs="Arial"/>
                <w:b/>
                <w:sz w:val="18"/>
                <w:szCs w:val="18"/>
              </w:rPr>
              <w:t>/J</w:t>
            </w:r>
            <w:r w:rsidR="00865C86" w:rsidRPr="005E4A4C">
              <w:rPr>
                <w:rFonts w:ascii="Verdana" w:hAnsi="Verdana" w:cs="Arial"/>
                <w:b/>
                <w:sz w:val="18"/>
                <w:szCs w:val="18"/>
              </w:rPr>
              <w:t>uízo</w:t>
            </w:r>
          </w:p>
        </w:tc>
        <w:tc>
          <w:tcPr>
            <w:tcW w:w="2969" w:type="pct"/>
          </w:tcPr>
          <w:p w14:paraId="57A528BA" w14:textId="77777777" w:rsidR="00865C86" w:rsidRPr="005E4A4C" w:rsidRDefault="006D6B39" w:rsidP="00FA77DF">
            <w:pPr>
              <w:widowControl w:val="0"/>
              <w:autoSpaceDE w:val="0"/>
              <w:autoSpaceDN w:val="0"/>
              <w:adjustRightInd w:val="0"/>
              <w:rPr>
                <w:rFonts w:ascii="Verdana" w:hAnsi="Verdana" w:cs="Arial"/>
                <w:sz w:val="18"/>
                <w:szCs w:val="18"/>
              </w:rPr>
            </w:pPr>
            <w:r w:rsidRPr="00C26BEE">
              <w:rPr>
                <w:rFonts w:ascii="Verdana" w:hAnsi="Verdana" w:cs="Arial"/>
                <w:sz w:val="18"/>
                <w:szCs w:val="18"/>
              </w:rPr>
              <w:t>1ª Instância</w:t>
            </w:r>
            <w:r w:rsidRPr="002730A0">
              <w:rPr>
                <w:rFonts w:ascii="Verdana" w:hAnsi="Verdana" w:cs="Arial"/>
                <w:sz w:val="18"/>
                <w:szCs w:val="18"/>
              </w:rPr>
              <w:t xml:space="preserve"> </w:t>
            </w:r>
            <w:r>
              <w:rPr>
                <w:rFonts w:ascii="Verdana" w:hAnsi="Verdana" w:cs="Arial"/>
                <w:sz w:val="18"/>
                <w:szCs w:val="18"/>
              </w:rPr>
              <w:t xml:space="preserve"> - </w:t>
            </w:r>
            <w:r w:rsidR="00865C86" w:rsidRPr="005E4A4C">
              <w:rPr>
                <w:rFonts w:ascii="Verdana" w:hAnsi="Verdana" w:cs="Arial"/>
                <w:sz w:val="18"/>
                <w:szCs w:val="18"/>
              </w:rPr>
              <w:t>Vara Única Federal de Angra Dos Reis</w:t>
            </w:r>
          </w:p>
        </w:tc>
      </w:tr>
      <w:tr w:rsidR="00865C86" w:rsidRPr="002730A0" w14:paraId="2558FD4C" w14:textId="77777777" w:rsidTr="00FA77DF">
        <w:tc>
          <w:tcPr>
            <w:tcW w:w="2031" w:type="pct"/>
          </w:tcPr>
          <w:p w14:paraId="1C55A206" w14:textId="77777777" w:rsidR="00865C86" w:rsidRPr="005E4A4C" w:rsidRDefault="006D6B39" w:rsidP="00FA77DF">
            <w:pPr>
              <w:widowControl w:val="0"/>
              <w:autoSpaceDE w:val="0"/>
              <w:autoSpaceDN w:val="0"/>
              <w:adjustRightInd w:val="0"/>
              <w:rPr>
                <w:rFonts w:ascii="Verdana" w:hAnsi="Verdana" w:cs="Arial"/>
                <w:b/>
                <w:sz w:val="18"/>
                <w:szCs w:val="18"/>
              </w:rPr>
            </w:pPr>
            <w:r>
              <w:rPr>
                <w:rFonts w:ascii="Verdana" w:hAnsi="Verdana" w:cs="Arial"/>
                <w:b/>
                <w:sz w:val="18"/>
                <w:szCs w:val="18"/>
              </w:rPr>
              <w:t>P</w:t>
            </w:r>
            <w:r w:rsidR="00865C86" w:rsidRPr="005E4A4C">
              <w:rPr>
                <w:rFonts w:ascii="Verdana" w:hAnsi="Verdana" w:cs="Arial"/>
                <w:b/>
                <w:sz w:val="18"/>
                <w:szCs w:val="18"/>
              </w:rPr>
              <w:t>artes no processo</w:t>
            </w:r>
          </w:p>
        </w:tc>
        <w:tc>
          <w:tcPr>
            <w:tcW w:w="2969" w:type="pct"/>
          </w:tcPr>
          <w:p w14:paraId="1C358E08" w14:textId="77777777" w:rsidR="00865C86" w:rsidRPr="005E4A4C" w:rsidRDefault="00865C86" w:rsidP="00FA77DF">
            <w:pPr>
              <w:widowControl w:val="0"/>
              <w:autoSpaceDE w:val="0"/>
              <w:autoSpaceDN w:val="0"/>
              <w:adjustRightInd w:val="0"/>
              <w:rPr>
                <w:rFonts w:ascii="Verdana" w:hAnsi="Verdana" w:cs="Arial"/>
                <w:bCs/>
                <w:kern w:val="32"/>
                <w:sz w:val="18"/>
                <w:szCs w:val="18"/>
              </w:rPr>
            </w:pPr>
            <w:r w:rsidRPr="005E4A4C">
              <w:rPr>
                <w:rFonts w:ascii="Verdana" w:hAnsi="Verdana" w:cs="Arial"/>
                <w:b/>
                <w:bCs/>
                <w:kern w:val="32"/>
                <w:sz w:val="18"/>
                <w:szCs w:val="18"/>
              </w:rPr>
              <w:t>POLO ATIVO</w:t>
            </w:r>
            <w:r w:rsidRPr="005E4A4C">
              <w:rPr>
                <w:rFonts w:ascii="Verdana" w:hAnsi="Verdana" w:cs="Arial"/>
                <w:bCs/>
                <w:kern w:val="32"/>
                <w:sz w:val="18"/>
                <w:szCs w:val="18"/>
              </w:rPr>
              <w:t>: Ministério Público Federal</w:t>
            </w:r>
          </w:p>
          <w:p w14:paraId="4D96982E" w14:textId="77777777" w:rsidR="00865C86" w:rsidRPr="005E4A4C" w:rsidRDefault="00865C86" w:rsidP="00FA77DF">
            <w:pPr>
              <w:widowControl w:val="0"/>
              <w:autoSpaceDE w:val="0"/>
              <w:autoSpaceDN w:val="0"/>
              <w:adjustRightInd w:val="0"/>
              <w:rPr>
                <w:rFonts w:ascii="Verdana" w:hAnsi="Verdana" w:cs="Arial"/>
                <w:bCs/>
                <w:kern w:val="32"/>
                <w:sz w:val="18"/>
                <w:szCs w:val="18"/>
              </w:rPr>
            </w:pPr>
            <w:r w:rsidRPr="005E4A4C">
              <w:rPr>
                <w:rFonts w:ascii="Verdana" w:hAnsi="Verdana" w:cs="Arial"/>
                <w:b/>
                <w:sz w:val="18"/>
                <w:szCs w:val="18"/>
              </w:rPr>
              <w:t>POLO PASSIVO</w:t>
            </w:r>
            <w:r w:rsidRPr="005E4A4C">
              <w:rPr>
                <w:rFonts w:ascii="Verdana" w:hAnsi="Verdana" w:cs="Arial"/>
                <w:sz w:val="18"/>
                <w:szCs w:val="18"/>
              </w:rPr>
              <w:t>: Eletrobras Termonuclear S.A. - ELETRONUCLEAR e IBAMA</w:t>
            </w:r>
          </w:p>
        </w:tc>
      </w:tr>
      <w:tr w:rsidR="00865C86" w:rsidRPr="002730A0" w14:paraId="0C93669B" w14:textId="77777777" w:rsidTr="00FA77DF">
        <w:tc>
          <w:tcPr>
            <w:tcW w:w="2031" w:type="pct"/>
          </w:tcPr>
          <w:p w14:paraId="61FA0541" w14:textId="77777777" w:rsidR="00865C86" w:rsidRPr="005E4A4C" w:rsidRDefault="006D6B39" w:rsidP="00FA77DF">
            <w:pPr>
              <w:widowControl w:val="0"/>
              <w:autoSpaceDE w:val="0"/>
              <w:autoSpaceDN w:val="0"/>
              <w:adjustRightInd w:val="0"/>
              <w:rPr>
                <w:rFonts w:ascii="Verdana" w:hAnsi="Verdana" w:cs="Arial"/>
                <w:b/>
                <w:sz w:val="18"/>
                <w:szCs w:val="18"/>
              </w:rPr>
            </w:pPr>
            <w:r>
              <w:rPr>
                <w:rFonts w:ascii="Verdana" w:hAnsi="Verdana" w:cs="Arial"/>
                <w:b/>
                <w:sz w:val="18"/>
                <w:szCs w:val="18"/>
              </w:rPr>
              <w:t>V</w:t>
            </w:r>
            <w:r w:rsidR="00865C86" w:rsidRPr="005E4A4C">
              <w:rPr>
                <w:rFonts w:ascii="Verdana" w:hAnsi="Verdana" w:cs="Arial"/>
                <w:b/>
                <w:sz w:val="18"/>
                <w:szCs w:val="18"/>
              </w:rPr>
              <w:t>alores, bens ou direitos envolvidos</w:t>
            </w:r>
          </w:p>
        </w:tc>
        <w:tc>
          <w:tcPr>
            <w:tcW w:w="2969" w:type="pct"/>
          </w:tcPr>
          <w:p w14:paraId="4FA874BD" w14:textId="77777777" w:rsidR="00865C86" w:rsidRPr="005E4A4C" w:rsidRDefault="00865C86" w:rsidP="00FA77DF">
            <w:pPr>
              <w:widowControl w:val="0"/>
              <w:autoSpaceDE w:val="0"/>
              <w:autoSpaceDN w:val="0"/>
              <w:adjustRightInd w:val="0"/>
              <w:rPr>
                <w:rFonts w:ascii="Verdana" w:hAnsi="Verdana" w:cs="Arial"/>
                <w:sz w:val="18"/>
                <w:szCs w:val="18"/>
              </w:rPr>
            </w:pPr>
            <w:r w:rsidRPr="005E4A4C">
              <w:rPr>
                <w:rFonts w:ascii="Verdana" w:hAnsi="Verdana" w:cs="Arial"/>
                <w:sz w:val="18"/>
                <w:szCs w:val="18"/>
              </w:rPr>
              <w:t>R$ 30.223/ OPERAÇÃO DAS USINAS/OBRAS DE ANGRA 3</w:t>
            </w:r>
          </w:p>
        </w:tc>
      </w:tr>
      <w:tr w:rsidR="00865C86" w:rsidRPr="002730A0" w14:paraId="526239EA" w14:textId="77777777" w:rsidTr="00FA77DF">
        <w:tc>
          <w:tcPr>
            <w:tcW w:w="2031" w:type="pct"/>
          </w:tcPr>
          <w:p w14:paraId="0DD40A06" w14:textId="77777777" w:rsidR="00865C86" w:rsidRPr="005E4A4C" w:rsidRDefault="006D6B39">
            <w:pPr>
              <w:widowControl w:val="0"/>
              <w:autoSpaceDE w:val="0"/>
              <w:autoSpaceDN w:val="0"/>
              <w:adjustRightInd w:val="0"/>
              <w:rPr>
                <w:rFonts w:ascii="Verdana" w:hAnsi="Verdana" w:cs="Arial"/>
                <w:b/>
                <w:sz w:val="18"/>
                <w:szCs w:val="18"/>
              </w:rPr>
            </w:pPr>
            <w:r>
              <w:rPr>
                <w:rFonts w:ascii="Verdana" w:hAnsi="Verdana" w:cs="Arial"/>
                <w:b/>
                <w:sz w:val="18"/>
                <w:szCs w:val="18"/>
              </w:rPr>
              <w:t>Objeto</w:t>
            </w:r>
          </w:p>
        </w:tc>
        <w:tc>
          <w:tcPr>
            <w:tcW w:w="2969" w:type="pct"/>
          </w:tcPr>
          <w:p w14:paraId="1A91471F" w14:textId="77777777" w:rsidR="00865C86" w:rsidRPr="005E4A4C" w:rsidRDefault="0075286D">
            <w:pPr>
              <w:widowControl w:val="0"/>
              <w:autoSpaceDE w:val="0"/>
              <w:autoSpaceDN w:val="0"/>
              <w:adjustRightInd w:val="0"/>
              <w:rPr>
                <w:rFonts w:ascii="Verdana" w:hAnsi="Verdana" w:cs="Arial"/>
                <w:b/>
                <w:sz w:val="18"/>
                <w:szCs w:val="18"/>
              </w:rPr>
            </w:pPr>
            <w:r w:rsidRPr="0075286D">
              <w:rPr>
                <w:rFonts w:ascii="Verdana" w:hAnsi="Verdana" w:cs="Arial"/>
                <w:bCs/>
                <w:sz w:val="18"/>
                <w:szCs w:val="18"/>
              </w:rPr>
              <w:t xml:space="preserve">ACP proposta pelo MPF em face da ELETRONUCLEAR e IBAMA, alegando descumprimento das condicionantes socioambientais da LP e da LI de Angra 3 e objetivando a anulação/não concessão de novas licenças de instalação e operação até que todas as condicionantes da LP sejam cumpridas. O juízo da 1ª Vara Federal de Angra dos Reis vem marcando audiências periódicas para se inteirar das providências tomadas pela ELETRONUCLEAR e pelo IBAMA quanto às condicionantes, com vistas à celebração de um acordo judicial. </w:t>
            </w:r>
            <w:r w:rsidR="00865C86" w:rsidRPr="005E4A4C">
              <w:rPr>
                <w:rFonts w:ascii="Verdana" w:hAnsi="Verdana" w:cs="Arial"/>
                <w:sz w:val="18"/>
                <w:szCs w:val="18"/>
              </w:rPr>
              <w:t>Foram apresentadas as contestações pela ETN e pelo IBAMA. Houve a realização de audiência e a juntada de documentação complementar. Não há nenhuma decisão proferida nos autos, seja de mérito, seja de cunho liminar.</w:t>
            </w:r>
            <w:r w:rsidRPr="0075286D">
              <w:rPr>
                <w:rFonts w:ascii="Verdana" w:hAnsi="Verdana" w:cs="Arial"/>
                <w:sz w:val="18"/>
                <w:szCs w:val="18"/>
              </w:rPr>
              <w:t xml:space="preserve"> </w:t>
            </w:r>
            <w:r w:rsidR="00865C86" w:rsidRPr="005E4A4C">
              <w:rPr>
                <w:rFonts w:ascii="Verdana" w:hAnsi="Verdana" w:cs="Arial"/>
                <w:sz w:val="18"/>
                <w:szCs w:val="18"/>
              </w:rPr>
              <w:t xml:space="preserve">Audiência realizada, em 14.12.2021, para o acompanhamento das medidas a cargo da ETN. </w:t>
            </w:r>
            <w:r w:rsidRPr="0075286D">
              <w:rPr>
                <w:rFonts w:ascii="Verdana" w:hAnsi="Verdana" w:cs="Arial"/>
                <w:bCs/>
                <w:sz w:val="18"/>
                <w:szCs w:val="18"/>
              </w:rPr>
              <w:t xml:space="preserve">Ainda não há </w:t>
            </w:r>
            <w:proofErr w:type="spellStart"/>
            <w:r w:rsidRPr="0075286D">
              <w:rPr>
                <w:rFonts w:ascii="Verdana" w:hAnsi="Verdana" w:cs="Arial"/>
                <w:bCs/>
                <w:sz w:val="18"/>
                <w:szCs w:val="18"/>
              </w:rPr>
              <w:t>decisão.</w:t>
            </w:r>
            <w:r w:rsidR="00865C86" w:rsidRPr="005E4A4C">
              <w:rPr>
                <w:rFonts w:ascii="Verdana" w:hAnsi="Verdana" w:cs="Arial"/>
                <w:sz w:val="18"/>
                <w:szCs w:val="18"/>
              </w:rPr>
              <w:t>Nova</w:t>
            </w:r>
            <w:proofErr w:type="spellEnd"/>
            <w:r w:rsidR="00865C86" w:rsidRPr="005E4A4C">
              <w:rPr>
                <w:rFonts w:ascii="Verdana" w:hAnsi="Verdana" w:cs="Arial"/>
                <w:sz w:val="18"/>
                <w:szCs w:val="18"/>
              </w:rPr>
              <w:t xml:space="preserve"> audiência marcada para maio de 2022.</w:t>
            </w:r>
          </w:p>
        </w:tc>
      </w:tr>
      <w:tr w:rsidR="00865C86" w:rsidRPr="002730A0" w14:paraId="3F075250" w14:textId="77777777" w:rsidTr="00FA77DF">
        <w:tc>
          <w:tcPr>
            <w:tcW w:w="2031" w:type="pct"/>
          </w:tcPr>
          <w:p w14:paraId="1D54B50E" w14:textId="77777777" w:rsidR="00865C86" w:rsidRPr="005E4A4C" w:rsidRDefault="00877819" w:rsidP="00FA77DF">
            <w:pPr>
              <w:widowControl w:val="0"/>
              <w:autoSpaceDE w:val="0"/>
              <w:autoSpaceDN w:val="0"/>
              <w:adjustRightInd w:val="0"/>
              <w:rPr>
                <w:rFonts w:ascii="Verdana" w:hAnsi="Verdana" w:cs="Arial"/>
                <w:b/>
                <w:sz w:val="18"/>
                <w:szCs w:val="18"/>
              </w:rPr>
            </w:pPr>
            <w:r>
              <w:rPr>
                <w:rFonts w:ascii="Verdana" w:hAnsi="Verdana" w:cs="Arial"/>
                <w:b/>
                <w:sz w:val="18"/>
                <w:szCs w:val="18"/>
              </w:rPr>
              <w:t>E</w:t>
            </w:r>
            <w:r w:rsidR="00865C86" w:rsidRPr="005E4A4C">
              <w:rPr>
                <w:rFonts w:ascii="Verdana" w:hAnsi="Verdana" w:cs="Arial"/>
                <w:b/>
                <w:sz w:val="18"/>
                <w:szCs w:val="18"/>
              </w:rPr>
              <w:t>xpectativa de perda</w:t>
            </w:r>
          </w:p>
        </w:tc>
        <w:tc>
          <w:tcPr>
            <w:tcW w:w="2969" w:type="pct"/>
          </w:tcPr>
          <w:p w14:paraId="55B294E7" w14:textId="77777777" w:rsidR="00865C86" w:rsidRPr="005E4A4C" w:rsidRDefault="00865C86" w:rsidP="00FA77DF">
            <w:pPr>
              <w:widowControl w:val="0"/>
              <w:autoSpaceDE w:val="0"/>
              <w:autoSpaceDN w:val="0"/>
              <w:adjustRightInd w:val="0"/>
              <w:rPr>
                <w:rFonts w:ascii="Verdana" w:hAnsi="Verdana" w:cs="Arial"/>
                <w:sz w:val="18"/>
                <w:szCs w:val="18"/>
              </w:rPr>
            </w:pPr>
            <w:r w:rsidRPr="005E4A4C">
              <w:rPr>
                <w:rFonts w:ascii="Verdana" w:hAnsi="Verdana" w:cs="Arial"/>
                <w:sz w:val="18"/>
                <w:szCs w:val="18"/>
              </w:rPr>
              <w:t>Possível</w:t>
            </w:r>
          </w:p>
        </w:tc>
      </w:tr>
    </w:tbl>
    <w:p w14:paraId="71A1436B" w14:textId="77777777" w:rsidR="00E54DCF" w:rsidRDefault="00E54DCF" w:rsidP="00BA2DE2">
      <w:pPr>
        <w:rPr>
          <w:rFonts w:ascii="Verdana" w:hAnsi="Verdana"/>
          <w:sz w:val="20"/>
          <w:szCs w:val="20"/>
          <w:highlight w:val="green"/>
        </w:rPr>
      </w:pPr>
    </w:p>
    <w:p w14:paraId="52A46026" w14:textId="77777777" w:rsidR="00877819" w:rsidRPr="00F10172" w:rsidRDefault="00877819" w:rsidP="00BA2DE2">
      <w:pPr>
        <w:rPr>
          <w:rFonts w:ascii="Verdana" w:hAnsi="Verdana"/>
          <w:sz w:val="20"/>
          <w:szCs w:val="2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6215"/>
      </w:tblGrid>
      <w:tr w:rsidR="00877819" w:rsidRPr="00C26BEE" w14:paraId="0F456CB0" w14:textId="77777777" w:rsidTr="00FA77DF">
        <w:tc>
          <w:tcPr>
            <w:tcW w:w="5000" w:type="pct"/>
            <w:gridSpan w:val="2"/>
            <w:tcBorders>
              <w:bottom w:val="single" w:sz="4" w:space="0" w:color="auto"/>
            </w:tcBorders>
            <w:shd w:val="clear" w:color="auto" w:fill="999999"/>
          </w:tcPr>
          <w:p w14:paraId="07096A73" w14:textId="77777777" w:rsidR="00877819" w:rsidRPr="00C26BEE" w:rsidRDefault="00877819" w:rsidP="00FA77DF">
            <w:pPr>
              <w:widowControl w:val="0"/>
              <w:autoSpaceDE w:val="0"/>
              <w:autoSpaceDN w:val="0"/>
              <w:adjustRightInd w:val="0"/>
              <w:rPr>
                <w:rFonts w:ascii="Verdana" w:hAnsi="Verdana" w:cs="Arial"/>
                <w:sz w:val="18"/>
                <w:szCs w:val="18"/>
              </w:rPr>
            </w:pPr>
            <w:r>
              <w:rPr>
                <w:rFonts w:ascii="Verdana" w:hAnsi="Verdana" w:cs="Arial"/>
                <w:b/>
                <w:sz w:val="18"/>
                <w:szCs w:val="18"/>
              </w:rPr>
              <w:t>2.</w:t>
            </w:r>
            <w:r w:rsidRPr="00C26BEE">
              <w:rPr>
                <w:rFonts w:ascii="Verdana" w:hAnsi="Verdana" w:cs="Arial"/>
                <w:b/>
                <w:sz w:val="18"/>
                <w:szCs w:val="18"/>
              </w:rPr>
              <w:t xml:space="preserve"> AMBIENTAL - AÇÃO CIVIL PÚBLICA</w:t>
            </w:r>
            <w:r>
              <w:rPr>
                <w:rFonts w:ascii="Verdana" w:hAnsi="Verdana" w:cs="Arial"/>
                <w:b/>
                <w:sz w:val="18"/>
                <w:szCs w:val="18"/>
              </w:rPr>
              <w:t xml:space="preserve"> - </w:t>
            </w:r>
            <w:r w:rsidRPr="00C26BEE">
              <w:rPr>
                <w:rFonts w:ascii="Verdana" w:hAnsi="Verdana" w:cs="Arial"/>
                <w:b/>
                <w:sz w:val="18"/>
                <w:szCs w:val="18"/>
              </w:rPr>
              <w:t xml:space="preserve">Processo n° </w:t>
            </w:r>
            <w:r w:rsidRPr="00FD016C">
              <w:rPr>
                <w:rFonts w:ascii="Verdana" w:hAnsi="Verdana" w:cs="Arial"/>
                <w:b/>
                <w:bCs/>
                <w:sz w:val="18"/>
                <w:szCs w:val="18"/>
              </w:rPr>
              <w:t>5000859-28.2020.4.01.5111</w:t>
            </w:r>
          </w:p>
        </w:tc>
      </w:tr>
      <w:tr w:rsidR="00877819" w:rsidRPr="00C26BEE" w14:paraId="7E671D7F" w14:textId="77777777" w:rsidTr="00FA77DF">
        <w:tc>
          <w:tcPr>
            <w:tcW w:w="2031" w:type="pct"/>
          </w:tcPr>
          <w:p w14:paraId="7567442C" w14:textId="77777777" w:rsidR="00877819" w:rsidRPr="00C26BEE" w:rsidRDefault="00877819" w:rsidP="00FA77DF">
            <w:pPr>
              <w:widowControl w:val="0"/>
              <w:autoSpaceDE w:val="0"/>
              <w:autoSpaceDN w:val="0"/>
              <w:adjustRightInd w:val="0"/>
              <w:rPr>
                <w:rFonts w:ascii="Verdana" w:hAnsi="Verdana" w:cs="Arial"/>
                <w:b/>
                <w:sz w:val="18"/>
                <w:szCs w:val="18"/>
              </w:rPr>
            </w:pPr>
            <w:r>
              <w:rPr>
                <w:rFonts w:ascii="Verdana" w:hAnsi="Verdana" w:cs="Arial"/>
                <w:b/>
                <w:sz w:val="18"/>
                <w:szCs w:val="18"/>
              </w:rPr>
              <w:t>I</w:t>
            </w:r>
            <w:r w:rsidRPr="00C26BEE">
              <w:rPr>
                <w:rFonts w:ascii="Verdana" w:hAnsi="Verdana" w:cs="Arial"/>
                <w:b/>
                <w:sz w:val="18"/>
                <w:szCs w:val="18"/>
              </w:rPr>
              <w:t>nstância</w:t>
            </w:r>
            <w:r>
              <w:rPr>
                <w:rFonts w:ascii="Verdana" w:hAnsi="Verdana" w:cs="Arial"/>
                <w:b/>
                <w:sz w:val="18"/>
                <w:szCs w:val="18"/>
              </w:rPr>
              <w:t>/J</w:t>
            </w:r>
            <w:r w:rsidRPr="00C26BEE">
              <w:rPr>
                <w:rFonts w:ascii="Verdana" w:hAnsi="Verdana" w:cs="Arial"/>
                <w:b/>
                <w:sz w:val="18"/>
                <w:szCs w:val="18"/>
              </w:rPr>
              <w:t>uízo</w:t>
            </w:r>
          </w:p>
        </w:tc>
        <w:tc>
          <w:tcPr>
            <w:tcW w:w="2969" w:type="pct"/>
          </w:tcPr>
          <w:p w14:paraId="15AF3A95" w14:textId="77777777" w:rsidR="00877819" w:rsidRPr="00C26BEE" w:rsidRDefault="00877819" w:rsidP="00FA77DF">
            <w:pPr>
              <w:widowControl w:val="0"/>
              <w:autoSpaceDE w:val="0"/>
              <w:autoSpaceDN w:val="0"/>
              <w:adjustRightInd w:val="0"/>
              <w:rPr>
                <w:rFonts w:ascii="Verdana" w:hAnsi="Verdana" w:cs="Arial"/>
                <w:sz w:val="18"/>
                <w:szCs w:val="18"/>
              </w:rPr>
            </w:pPr>
          </w:p>
        </w:tc>
      </w:tr>
      <w:tr w:rsidR="00877819" w:rsidRPr="00C26BEE" w14:paraId="0BE62637" w14:textId="77777777" w:rsidTr="00FA77DF">
        <w:tc>
          <w:tcPr>
            <w:tcW w:w="2031" w:type="pct"/>
          </w:tcPr>
          <w:p w14:paraId="54E39A41" w14:textId="77777777" w:rsidR="00877819" w:rsidRPr="00C26BEE" w:rsidRDefault="00877819" w:rsidP="00FA77DF">
            <w:pPr>
              <w:widowControl w:val="0"/>
              <w:autoSpaceDE w:val="0"/>
              <w:autoSpaceDN w:val="0"/>
              <w:adjustRightInd w:val="0"/>
              <w:rPr>
                <w:rFonts w:ascii="Verdana" w:hAnsi="Verdana" w:cs="Arial"/>
                <w:b/>
                <w:sz w:val="18"/>
                <w:szCs w:val="18"/>
              </w:rPr>
            </w:pPr>
            <w:r>
              <w:rPr>
                <w:rFonts w:ascii="Verdana" w:hAnsi="Verdana" w:cs="Arial"/>
                <w:b/>
                <w:sz w:val="18"/>
                <w:szCs w:val="18"/>
              </w:rPr>
              <w:t>P</w:t>
            </w:r>
            <w:r w:rsidRPr="00C26BEE">
              <w:rPr>
                <w:rFonts w:ascii="Verdana" w:hAnsi="Verdana" w:cs="Arial"/>
                <w:b/>
                <w:sz w:val="18"/>
                <w:szCs w:val="18"/>
              </w:rPr>
              <w:t>artes no processo</w:t>
            </w:r>
          </w:p>
        </w:tc>
        <w:tc>
          <w:tcPr>
            <w:tcW w:w="2969" w:type="pct"/>
          </w:tcPr>
          <w:p w14:paraId="3AA1990A" w14:textId="77777777" w:rsidR="00877819" w:rsidRPr="00C26BEE" w:rsidRDefault="00877819" w:rsidP="00FA77DF">
            <w:pPr>
              <w:widowControl w:val="0"/>
              <w:autoSpaceDE w:val="0"/>
              <w:autoSpaceDN w:val="0"/>
              <w:adjustRightInd w:val="0"/>
              <w:rPr>
                <w:rFonts w:ascii="Verdana" w:hAnsi="Verdana" w:cs="Arial"/>
                <w:bCs/>
                <w:kern w:val="32"/>
                <w:sz w:val="18"/>
                <w:szCs w:val="18"/>
              </w:rPr>
            </w:pPr>
            <w:r w:rsidRPr="00C26BEE">
              <w:rPr>
                <w:rFonts w:ascii="Verdana" w:hAnsi="Verdana" w:cs="Arial"/>
                <w:b/>
                <w:bCs/>
                <w:kern w:val="32"/>
                <w:sz w:val="18"/>
                <w:szCs w:val="18"/>
              </w:rPr>
              <w:t>POLO ATIVO</w:t>
            </w:r>
            <w:r w:rsidRPr="00C26BEE">
              <w:rPr>
                <w:rFonts w:ascii="Verdana" w:hAnsi="Verdana" w:cs="Arial"/>
                <w:bCs/>
                <w:kern w:val="32"/>
                <w:sz w:val="18"/>
                <w:szCs w:val="18"/>
              </w:rPr>
              <w:t>: Ministério Público Federal</w:t>
            </w:r>
          </w:p>
          <w:p w14:paraId="6478DDE9" w14:textId="77777777" w:rsidR="00877819" w:rsidRPr="00C26BEE" w:rsidRDefault="00877819">
            <w:pPr>
              <w:widowControl w:val="0"/>
              <w:autoSpaceDE w:val="0"/>
              <w:autoSpaceDN w:val="0"/>
              <w:adjustRightInd w:val="0"/>
              <w:rPr>
                <w:rFonts w:ascii="Verdana" w:hAnsi="Verdana" w:cs="Arial"/>
                <w:bCs/>
                <w:kern w:val="32"/>
                <w:sz w:val="18"/>
                <w:szCs w:val="18"/>
              </w:rPr>
            </w:pPr>
            <w:r w:rsidRPr="00C26BEE">
              <w:rPr>
                <w:rFonts w:ascii="Verdana" w:hAnsi="Verdana" w:cs="Arial"/>
                <w:b/>
                <w:sz w:val="18"/>
                <w:szCs w:val="18"/>
              </w:rPr>
              <w:t>POLO PASSIVO</w:t>
            </w:r>
            <w:r w:rsidRPr="00C26BEE">
              <w:rPr>
                <w:rFonts w:ascii="Verdana" w:hAnsi="Verdana" w:cs="Arial"/>
                <w:sz w:val="18"/>
                <w:szCs w:val="18"/>
              </w:rPr>
              <w:t xml:space="preserve">: Eletrobras Termonuclear S.A. - ELETRONUCLEAR </w:t>
            </w:r>
          </w:p>
        </w:tc>
      </w:tr>
      <w:tr w:rsidR="00877819" w:rsidRPr="00C26BEE" w14:paraId="79C7C1EF" w14:textId="77777777" w:rsidTr="00FA77DF">
        <w:tc>
          <w:tcPr>
            <w:tcW w:w="2031" w:type="pct"/>
          </w:tcPr>
          <w:p w14:paraId="1754B50B" w14:textId="77777777" w:rsidR="00877819" w:rsidRPr="00C26BEE" w:rsidRDefault="00877819" w:rsidP="00FA77DF">
            <w:pPr>
              <w:widowControl w:val="0"/>
              <w:autoSpaceDE w:val="0"/>
              <w:autoSpaceDN w:val="0"/>
              <w:adjustRightInd w:val="0"/>
              <w:rPr>
                <w:rFonts w:ascii="Verdana" w:hAnsi="Verdana" w:cs="Arial"/>
                <w:b/>
                <w:sz w:val="18"/>
                <w:szCs w:val="18"/>
              </w:rPr>
            </w:pPr>
            <w:r>
              <w:rPr>
                <w:rFonts w:ascii="Verdana" w:hAnsi="Verdana" w:cs="Arial"/>
                <w:b/>
                <w:sz w:val="18"/>
                <w:szCs w:val="18"/>
              </w:rPr>
              <w:t>V</w:t>
            </w:r>
            <w:r w:rsidRPr="00C26BEE">
              <w:rPr>
                <w:rFonts w:ascii="Verdana" w:hAnsi="Verdana" w:cs="Arial"/>
                <w:b/>
                <w:sz w:val="18"/>
                <w:szCs w:val="18"/>
              </w:rPr>
              <w:t>alores, bens ou direitos envolvidos</w:t>
            </w:r>
          </w:p>
        </w:tc>
        <w:tc>
          <w:tcPr>
            <w:tcW w:w="2969" w:type="pct"/>
          </w:tcPr>
          <w:p w14:paraId="27B22F27" w14:textId="77777777" w:rsidR="00877819" w:rsidRPr="00C26BEE" w:rsidRDefault="00877819">
            <w:pPr>
              <w:widowControl w:val="0"/>
              <w:autoSpaceDE w:val="0"/>
              <w:autoSpaceDN w:val="0"/>
              <w:adjustRightInd w:val="0"/>
              <w:rPr>
                <w:rFonts w:ascii="Verdana" w:hAnsi="Verdana" w:cs="Arial"/>
                <w:sz w:val="18"/>
                <w:szCs w:val="18"/>
              </w:rPr>
            </w:pPr>
            <w:r w:rsidRPr="00C26BEE">
              <w:rPr>
                <w:rFonts w:ascii="Verdana" w:hAnsi="Verdana" w:cs="Arial"/>
                <w:sz w:val="18"/>
                <w:szCs w:val="18"/>
              </w:rPr>
              <w:t xml:space="preserve">R$ </w:t>
            </w:r>
            <w:r>
              <w:rPr>
                <w:rFonts w:ascii="Verdana" w:hAnsi="Verdana" w:cs="Arial"/>
                <w:sz w:val="18"/>
                <w:szCs w:val="18"/>
              </w:rPr>
              <w:t>241.042</w:t>
            </w:r>
          </w:p>
        </w:tc>
      </w:tr>
      <w:tr w:rsidR="00877819" w:rsidRPr="00C26BEE" w14:paraId="1C76BEF7" w14:textId="77777777" w:rsidTr="00FA77DF">
        <w:tc>
          <w:tcPr>
            <w:tcW w:w="2031" w:type="pct"/>
          </w:tcPr>
          <w:p w14:paraId="7F67D4B2" w14:textId="77777777" w:rsidR="00877819" w:rsidRPr="00C26BEE" w:rsidRDefault="00877819" w:rsidP="00FA77DF">
            <w:pPr>
              <w:widowControl w:val="0"/>
              <w:autoSpaceDE w:val="0"/>
              <w:autoSpaceDN w:val="0"/>
              <w:adjustRightInd w:val="0"/>
              <w:rPr>
                <w:rFonts w:ascii="Verdana" w:hAnsi="Verdana" w:cs="Arial"/>
                <w:b/>
                <w:sz w:val="18"/>
                <w:szCs w:val="18"/>
              </w:rPr>
            </w:pPr>
            <w:r>
              <w:rPr>
                <w:rFonts w:ascii="Verdana" w:hAnsi="Verdana" w:cs="Arial"/>
                <w:b/>
                <w:sz w:val="18"/>
                <w:szCs w:val="18"/>
              </w:rPr>
              <w:t>Objeto</w:t>
            </w:r>
          </w:p>
        </w:tc>
        <w:tc>
          <w:tcPr>
            <w:tcW w:w="2969" w:type="pct"/>
          </w:tcPr>
          <w:p w14:paraId="4D57C000" w14:textId="77777777" w:rsidR="00877819" w:rsidRPr="00FD016C" w:rsidRDefault="00877819" w:rsidP="00877819">
            <w:pPr>
              <w:rPr>
                <w:rFonts w:ascii="Verdana" w:hAnsi="Verdana" w:cs="Arial"/>
                <w:sz w:val="18"/>
                <w:szCs w:val="18"/>
              </w:rPr>
            </w:pPr>
            <w:r w:rsidRPr="00FD016C">
              <w:rPr>
                <w:rFonts w:ascii="Verdana" w:hAnsi="Verdana" w:cs="Arial"/>
                <w:sz w:val="18"/>
                <w:szCs w:val="18"/>
              </w:rPr>
              <w:t>ACP proposta pelo Ministério Público Federal em face da ELETRONUCLEAR, COMISSÃO NACIONAL DE ENERGIA NUCLEAR- CNEN e INSTITUTO BRASILEIRO DO MEIO AMBIENTE E DOS RECURSOS NATURAIS RENOVÁVEIS - IBAMA objetivando a declaração de nulidade das licenças concedidas à 1ª RÉ para o desenvolvimento da UNIDADE DE ARMAZENAMENTO COMPLEMENTAR A SECO - UAS da Central Nuclear Almirante Álvaro Alberto – CNAAA.</w:t>
            </w:r>
          </w:p>
          <w:p w14:paraId="3A6DAC46" w14:textId="77777777" w:rsidR="00877819" w:rsidRPr="00C26BEE" w:rsidRDefault="00877819" w:rsidP="00877819">
            <w:pPr>
              <w:widowControl w:val="0"/>
              <w:autoSpaceDE w:val="0"/>
              <w:autoSpaceDN w:val="0"/>
              <w:adjustRightInd w:val="0"/>
              <w:rPr>
                <w:rFonts w:ascii="Verdana" w:hAnsi="Verdana" w:cs="Arial"/>
                <w:b/>
                <w:sz w:val="18"/>
                <w:szCs w:val="18"/>
              </w:rPr>
            </w:pPr>
            <w:r w:rsidRPr="00FD016C">
              <w:rPr>
                <w:rFonts w:ascii="Verdana" w:hAnsi="Verdana" w:cs="Arial"/>
                <w:sz w:val="18"/>
                <w:szCs w:val="18"/>
              </w:rPr>
              <w:t xml:space="preserve">Em 21.01.2021: Apresentação de contestação pela </w:t>
            </w:r>
            <w:r>
              <w:rPr>
                <w:rFonts w:ascii="Verdana" w:hAnsi="Verdana" w:cs="Arial"/>
                <w:sz w:val="18"/>
                <w:szCs w:val="18"/>
              </w:rPr>
              <w:t>ELETRONUCLEAR</w:t>
            </w:r>
            <w:r w:rsidRPr="00FD016C">
              <w:rPr>
                <w:rFonts w:ascii="Verdana" w:hAnsi="Verdana" w:cs="Arial"/>
                <w:sz w:val="18"/>
                <w:szCs w:val="18"/>
              </w:rPr>
              <w:t>.</w:t>
            </w:r>
            <w:r w:rsidRPr="00FD016C">
              <w:rPr>
                <w:rFonts w:ascii="Verdana" w:hAnsi="Verdana"/>
                <w:sz w:val="18"/>
                <w:szCs w:val="18"/>
              </w:rPr>
              <w:t xml:space="preserve"> </w:t>
            </w:r>
            <w:r w:rsidRPr="00FD016C">
              <w:rPr>
                <w:rFonts w:ascii="Verdana" w:hAnsi="Verdana" w:cs="Arial"/>
                <w:sz w:val="18"/>
                <w:szCs w:val="18"/>
              </w:rPr>
              <w:t xml:space="preserve">Realizada audiência em 03.02.2021, sem acordo. Em 18.02.2021, a liminar que impedia a transferência dos elementos combustíveis usados para a UAS foi revogada. Em primeira instância, os autos foram encaminhados para saneamento. Em segunda instância, houve a apresentação de agravo de instrumento contra a decisão de revogação da liminar por associação ambiental. Em 23.04.2021, o recurso foi respondido pela </w:t>
            </w:r>
            <w:r>
              <w:rPr>
                <w:rFonts w:ascii="Verdana" w:hAnsi="Verdana" w:cs="Arial"/>
                <w:sz w:val="18"/>
                <w:szCs w:val="18"/>
              </w:rPr>
              <w:t>ELETRONUCLEAR.</w:t>
            </w:r>
            <w:r w:rsidRPr="00FD016C">
              <w:rPr>
                <w:rFonts w:ascii="Verdana" w:hAnsi="Verdana"/>
                <w:sz w:val="18"/>
                <w:szCs w:val="18"/>
              </w:rPr>
              <w:t> </w:t>
            </w:r>
          </w:p>
        </w:tc>
      </w:tr>
      <w:tr w:rsidR="00877819" w:rsidRPr="00C26BEE" w14:paraId="19A35D00" w14:textId="77777777" w:rsidTr="00FA77DF">
        <w:tc>
          <w:tcPr>
            <w:tcW w:w="2031" w:type="pct"/>
          </w:tcPr>
          <w:p w14:paraId="1288D2CA" w14:textId="77777777" w:rsidR="00877819" w:rsidRPr="00C26BEE" w:rsidRDefault="00877819" w:rsidP="00FA77DF">
            <w:pPr>
              <w:widowControl w:val="0"/>
              <w:autoSpaceDE w:val="0"/>
              <w:autoSpaceDN w:val="0"/>
              <w:adjustRightInd w:val="0"/>
              <w:rPr>
                <w:rFonts w:ascii="Verdana" w:hAnsi="Verdana" w:cs="Arial"/>
                <w:b/>
                <w:sz w:val="18"/>
                <w:szCs w:val="18"/>
              </w:rPr>
            </w:pPr>
            <w:r>
              <w:rPr>
                <w:rFonts w:ascii="Verdana" w:hAnsi="Verdana" w:cs="Arial"/>
                <w:b/>
                <w:sz w:val="18"/>
                <w:szCs w:val="18"/>
              </w:rPr>
              <w:t>E</w:t>
            </w:r>
            <w:r w:rsidRPr="00C26BEE">
              <w:rPr>
                <w:rFonts w:ascii="Verdana" w:hAnsi="Verdana" w:cs="Arial"/>
                <w:b/>
                <w:sz w:val="18"/>
                <w:szCs w:val="18"/>
              </w:rPr>
              <w:t>xpectativa de perda</w:t>
            </w:r>
          </w:p>
        </w:tc>
        <w:tc>
          <w:tcPr>
            <w:tcW w:w="2969" w:type="pct"/>
          </w:tcPr>
          <w:p w14:paraId="260B46AF" w14:textId="77777777" w:rsidR="00877819" w:rsidRPr="00C26BEE" w:rsidRDefault="00877819" w:rsidP="00FA77DF">
            <w:pPr>
              <w:widowControl w:val="0"/>
              <w:autoSpaceDE w:val="0"/>
              <w:autoSpaceDN w:val="0"/>
              <w:adjustRightInd w:val="0"/>
              <w:rPr>
                <w:rFonts w:ascii="Verdana" w:hAnsi="Verdana" w:cs="Arial"/>
                <w:sz w:val="18"/>
                <w:szCs w:val="18"/>
              </w:rPr>
            </w:pPr>
            <w:r w:rsidRPr="00C26BEE">
              <w:rPr>
                <w:rFonts w:ascii="Verdana" w:hAnsi="Verdana" w:cs="Arial"/>
                <w:sz w:val="18"/>
                <w:szCs w:val="18"/>
              </w:rPr>
              <w:t>Possível</w:t>
            </w:r>
          </w:p>
        </w:tc>
      </w:tr>
    </w:tbl>
    <w:p w14:paraId="2B339009" w14:textId="77777777" w:rsidR="00061119" w:rsidRPr="00F10172" w:rsidRDefault="00061119" w:rsidP="006838C5">
      <w:pPr>
        <w:rPr>
          <w:rFonts w:ascii="Verdana" w:hAnsi="Verdana"/>
          <w:sz w:val="20"/>
          <w:szCs w:val="20"/>
          <w:highlight w:val="green"/>
        </w:rPr>
      </w:pPr>
    </w:p>
    <w:p w14:paraId="7429643C" w14:textId="77777777" w:rsidR="00BA2DE2" w:rsidRDefault="00BA2DE2" w:rsidP="005E4A4C">
      <w:pPr>
        <w:pStyle w:val="NormalWeb"/>
        <w:shd w:val="clear" w:color="auto" w:fill="FFFFFF"/>
        <w:spacing w:before="0" w:beforeAutospacing="0" w:after="0" w:afterAutospacing="0"/>
        <w:rPr>
          <w:rFonts w:ascii="Verdana" w:hAnsi="Verdana"/>
          <w:highlight w:val="yellow"/>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6215"/>
      </w:tblGrid>
      <w:tr w:rsidR="008A1278" w:rsidRPr="002E63CE" w14:paraId="14C9BF0F" w14:textId="77777777" w:rsidTr="00FA77DF">
        <w:tc>
          <w:tcPr>
            <w:tcW w:w="5000" w:type="pct"/>
            <w:gridSpan w:val="2"/>
            <w:tcBorders>
              <w:bottom w:val="single" w:sz="4" w:space="0" w:color="auto"/>
            </w:tcBorders>
            <w:shd w:val="clear" w:color="auto" w:fill="999999"/>
          </w:tcPr>
          <w:p w14:paraId="72F75020" w14:textId="77777777" w:rsidR="008A1278" w:rsidRPr="005E4A4C" w:rsidRDefault="00877819" w:rsidP="00FA77DF">
            <w:pPr>
              <w:widowControl w:val="0"/>
              <w:autoSpaceDE w:val="0"/>
              <w:autoSpaceDN w:val="0"/>
              <w:adjustRightInd w:val="0"/>
              <w:rPr>
                <w:rFonts w:ascii="Verdana" w:hAnsi="Verdana" w:cs="Arial"/>
                <w:sz w:val="18"/>
                <w:szCs w:val="18"/>
              </w:rPr>
            </w:pPr>
            <w:r>
              <w:rPr>
                <w:rFonts w:ascii="Verdana" w:hAnsi="Verdana" w:cs="Arial"/>
                <w:b/>
                <w:sz w:val="18"/>
                <w:szCs w:val="18"/>
              </w:rPr>
              <w:t>3</w:t>
            </w:r>
            <w:r w:rsidR="008A1278" w:rsidRPr="005E4A4C">
              <w:rPr>
                <w:rFonts w:ascii="Verdana" w:hAnsi="Verdana" w:cs="Arial"/>
                <w:b/>
                <w:sz w:val="18"/>
                <w:szCs w:val="18"/>
              </w:rPr>
              <w:t>. CÍVEL - AÇÃO DE COBRANÇA</w:t>
            </w:r>
            <w:r w:rsidR="006963B0" w:rsidRPr="005E4A4C">
              <w:rPr>
                <w:rFonts w:ascii="Verdana" w:hAnsi="Verdana" w:cs="Arial"/>
                <w:b/>
                <w:sz w:val="18"/>
                <w:szCs w:val="18"/>
              </w:rPr>
              <w:t xml:space="preserve"> - Processo n° 0022780-32.2018.4.02.5101</w:t>
            </w:r>
          </w:p>
        </w:tc>
      </w:tr>
      <w:tr w:rsidR="008A1278" w:rsidRPr="002E63CE" w14:paraId="0D6642C6" w14:textId="77777777" w:rsidTr="00FA77DF">
        <w:tc>
          <w:tcPr>
            <w:tcW w:w="2031" w:type="pct"/>
          </w:tcPr>
          <w:p w14:paraId="1AB3576D" w14:textId="77777777" w:rsidR="008A1278" w:rsidRPr="005E4A4C" w:rsidRDefault="006963B0" w:rsidP="00FA77DF">
            <w:pPr>
              <w:widowControl w:val="0"/>
              <w:autoSpaceDE w:val="0"/>
              <w:autoSpaceDN w:val="0"/>
              <w:adjustRightInd w:val="0"/>
              <w:rPr>
                <w:rFonts w:ascii="Verdana" w:hAnsi="Verdana" w:cs="Arial"/>
                <w:b/>
                <w:sz w:val="18"/>
                <w:szCs w:val="18"/>
              </w:rPr>
            </w:pPr>
            <w:r w:rsidRPr="005E4A4C">
              <w:rPr>
                <w:rFonts w:ascii="Verdana" w:hAnsi="Verdana" w:cs="Arial"/>
                <w:b/>
                <w:sz w:val="18"/>
                <w:szCs w:val="18"/>
              </w:rPr>
              <w:t>Instância / J</w:t>
            </w:r>
            <w:r w:rsidR="008A1278" w:rsidRPr="005E4A4C">
              <w:rPr>
                <w:rFonts w:ascii="Verdana" w:hAnsi="Verdana" w:cs="Arial"/>
                <w:b/>
                <w:sz w:val="18"/>
                <w:szCs w:val="18"/>
              </w:rPr>
              <w:t>uízo</w:t>
            </w:r>
          </w:p>
        </w:tc>
        <w:tc>
          <w:tcPr>
            <w:tcW w:w="2969" w:type="pct"/>
          </w:tcPr>
          <w:p w14:paraId="6D2DB42E" w14:textId="77777777" w:rsidR="008A1278" w:rsidRPr="005E4A4C" w:rsidRDefault="006963B0" w:rsidP="00FA77DF">
            <w:pPr>
              <w:widowControl w:val="0"/>
              <w:autoSpaceDE w:val="0"/>
              <w:autoSpaceDN w:val="0"/>
              <w:adjustRightInd w:val="0"/>
              <w:rPr>
                <w:rFonts w:ascii="Verdana" w:hAnsi="Verdana" w:cs="Arial"/>
                <w:sz w:val="18"/>
                <w:szCs w:val="18"/>
              </w:rPr>
            </w:pPr>
            <w:r w:rsidRPr="005E4A4C">
              <w:rPr>
                <w:rFonts w:ascii="Verdana" w:hAnsi="Verdana" w:cs="Arial"/>
                <w:sz w:val="18"/>
                <w:szCs w:val="18"/>
              </w:rPr>
              <w:t xml:space="preserve">1ª instância  - </w:t>
            </w:r>
            <w:r w:rsidR="008A1278" w:rsidRPr="005E4A4C">
              <w:rPr>
                <w:rFonts w:ascii="Verdana" w:hAnsi="Verdana" w:cs="Arial"/>
                <w:sz w:val="18"/>
                <w:szCs w:val="18"/>
              </w:rPr>
              <w:t>10ª Vara Federal - RJ</w:t>
            </w:r>
          </w:p>
        </w:tc>
      </w:tr>
      <w:tr w:rsidR="008A1278" w:rsidRPr="002E63CE" w14:paraId="1E334FAF" w14:textId="77777777" w:rsidTr="00FA77DF">
        <w:tc>
          <w:tcPr>
            <w:tcW w:w="2031" w:type="pct"/>
          </w:tcPr>
          <w:p w14:paraId="271C555C" w14:textId="77777777" w:rsidR="008A1278" w:rsidRPr="005E4A4C" w:rsidRDefault="006963B0" w:rsidP="00FA77DF">
            <w:pPr>
              <w:widowControl w:val="0"/>
              <w:autoSpaceDE w:val="0"/>
              <w:autoSpaceDN w:val="0"/>
              <w:adjustRightInd w:val="0"/>
              <w:rPr>
                <w:rFonts w:ascii="Verdana" w:hAnsi="Verdana" w:cs="Arial"/>
                <w:b/>
                <w:sz w:val="18"/>
                <w:szCs w:val="18"/>
              </w:rPr>
            </w:pPr>
            <w:r w:rsidRPr="005E4A4C">
              <w:rPr>
                <w:rFonts w:ascii="Verdana" w:hAnsi="Verdana" w:cs="Arial"/>
                <w:b/>
                <w:sz w:val="18"/>
                <w:szCs w:val="18"/>
              </w:rPr>
              <w:t>P</w:t>
            </w:r>
            <w:r w:rsidR="008A1278" w:rsidRPr="005E4A4C">
              <w:rPr>
                <w:rFonts w:ascii="Verdana" w:hAnsi="Verdana" w:cs="Arial"/>
                <w:b/>
                <w:sz w:val="18"/>
                <w:szCs w:val="18"/>
              </w:rPr>
              <w:t>artes no processo</w:t>
            </w:r>
          </w:p>
        </w:tc>
        <w:tc>
          <w:tcPr>
            <w:tcW w:w="2969" w:type="pct"/>
          </w:tcPr>
          <w:p w14:paraId="05038371" w14:textId="77777777" w:rsidR="008A1278" w:rsidRPr="005E4A4C" w:rsidRDefault="008A1278" w:rsidP="00FA77DF">
            <w:pPr>
              <w:rPr>
                <w:rFonts w:ascii="Verdana" w:hAnsi="Verdana" w:cs="Arial"/>
                <w:sz w:val="18"/>
                <w:szCs w:val="18"/>
              </w:rPr>
            </w:pPr>
            <w:r w:rsidRPr="005E4A4C">
              <w:rPr>
                <w:rFonts w:ascii="Verdana" w:hAnsi="Verdana" w:cs="Arial"/>
                <w:b/>
                <w:sz w:val="18"/>
                <w:szCs w:val="18"/>
              </w:rPr>
              <w:t>POLO ATIVO</w:t>
            </w:r>
            <w:r w:rsidRPr="005E4A4C">
              <w:rPr>
                <w:rFonts w:ascii="Verdana" w:hAnsi="Verdana" w:cs="Arial"/>
                <w:sz w:val="18"/>
                <w:szCs w:val="18"/>
              </w:rPr>
              <w:t>: Andrade Gutierrez Engenharia S.A.</w:t>
            </w:r>
          </w:p>
          <w:p w14:paraId="72D6316E" w14:textId="77777777" w:rsidR="008A1278" w:rsidRPr="005E4A4C" w:rsidRDefault="008A1278" w:rsidP="00FA77DF">
            <w:pPr>
              <w:rPr>
                <w:rFonts w:ascii="Verdana" w:hAnsi="Verdana" w:cs="Arial"/>
                <w:sz w:val="18"/>
                <w:szCs w:val="18"/>
              </w:rPr>
            </w:pPr>
            <w:r w:rsidRPr="005E4A4C">
              <w:rPr>
                <w:rFonts w:ascii="Verdana" w:hAnsi="Verdana" w:cs="Arial"/>
                <w:b/>
                <w:sz w:val="18"/>
                <w:szCs w:val="18"/>
              </w:rPr>
              <w:t>POLO PASSIVO</w:t>
            </w:r>
            <w:r w:rsidRPr="005E4A4C">
              <w:rPr>
                <w:rFonts w:ascii="Verdana" w:hAnsi="Verdana" w:cs="Arial"/>
                <w:sz w:val="18"/>
                <w:szCs w:val="18"/>
              </w:rPr>
              <w:t>: Eletrobras Termonuclear S.A. - ELETRONUCLEAR</w:t>
            </w:r>
          </w:p>
        </w:tc>
      </w:tr>
      <w:tr w:rsidR="008A1278" w:rsidRPr="002E63CE" w14:paraId="3F708ED8" w14:textId="77777777" w:rsidTr="00FA77DF">
        <w:tc>
          <w:tcPr>
            <w:tcW w:w="2031" w:type="pct"/>
          </w:tcPr>
          <w:p w14:paraId="3184B6D4" w14:textId="77777777" w:rsidR="008A1278" w:rsidRPr="005E4A4C" w:rsidRDefault="006963B0" w:rsidP="00FA77DF">
            <w:pPr>
              <w:widowControl w:val="0"/>
              <w:autoSpaceDE w:val="0"/>
              <w:autoSpaceDN w:val="0"/>
              <w:adjustRightInd w:val="0"/>
              <w:rPr>
                <w:rFonts w:ascii="Verdana" w:hAnsi="Verdana" w:cs="Arial"/>
                <w:b/>
                <w:sz w:val="18"/>
                <w:szCs w:val="18"/>
              </w:rPr>
            </w:pPr>
            <w:r w:rsidRPr="005E4A4C">
              <w:rPr>
                <w:rFonts w:ascii="Verdana" w:hAnsi="Verdana" w:cs="Arial"/>
                <w:b/>
                <w:sz w:val="18"/>
                <w:szCs w:val="18"/>
              </w:rPr>
              <w:lastRenderedPageBreak/>
              <w:t>V</w:t>
            </w:r>
            <w:r w:rsidR="008A1278" w:rsidRPr="005E4A4C">
              <w:rPr>
                <w:rFonts w:ascii="Verdana" w:hAnsi="Verdana" w:cs="Arial"/>
                <w:b/>
                <w:sz w:val="18"/>
                <w:szCs w:val="18"/>
              </w:rPr>
              <w:t>alores, bens ou direitos envolvidos</w:t>
            </w:r>
          </w:p>
        </w:tc>
        <w:tc>
          <w:tcPr>
            <w:tcW w:w="2969" w:type="pct"/>
          </w:tcPr>
          <w:p w14:paraId="4B66BD14" w14:textId="77777777" w:rsidR="008A1278" w:rsidRPr="005E4A4C" w:rsidRDefault="008A1278" w:rsidP="00FA77DF">
            <w:pPr>
              <w:widowControl w:val="0"/>
              <w:autoSpaceDE w:val="0"/>
              <w:autoSpaceDN w:val="0"/>
              <w:adjustRightInd w:val="0"/>
              <w:rPr>
                <w:rFonts w:ascii="Verdana" w:hAnsi="Verdana" w:cs="Arial"/>
                <w:sz w:val="18"/>
                <w:szCs w:val="18"/>
              </w:rPr>
            </w:pPr>
            <w:r w:rsidRPr="005E4A4C">
              <w:rPr>
                <w:rFonts w:ascii="Verdana" w:hAnsi="Verdana" w:cs="Arial"/>
                <w:sz w:val="18"/>
                <w:szCs w:val="18"/>
              </w:rPr>
              <w:t>R$ 165.668/IMAGEM</w:t>
            </w:r>
          </w:p>
        </w:tc>
      </w:tr>
      <w:tr w:rsidR="008A1278" w:rsidRPr="002E63CE" w14:paraId="1F544724" w14:textId="77777777" w:rsidTr="00FA77DF">
        <w:tc>
          <w:tcPr>
            <w:tcW w:w="2031" w:type="pct"/>
          </w:tcPr>
          <w:p w14:paraId="5C24C17E" w14:textId="77777777" w:rsidR="008A1278" w:rsidRPr="005E4A4C" w:rsidRDefault="002E63CE">
            <w:pPr>
              <w:widowControl w:val="0"/>
              <w:autoSpaceDE w:val="0"/>
              <w:autoSpaceDN w:val="0"/>
              <w:adjustRightInd w:val="0"/>
              <w:rPr>
                <w:rFonts w:ascii="Verdana" w:hAnsi="Verdana" w:cs="Arial"/>
                <w:b/>
                <w:sz w:val="18"/>
                <w:szCs w:val="18"/>
              </w:rPr>
            </w:pPr>
            <w:r w:rsidRPr="005E4A4C">
              <w:rPr>
                <w:rFonts w:ascii="Verdana" w:hAnsi="Verdana" w:cs="Arial"/>
                <w:b/>
                <w:sz w:val="18"/>
                <w:szCs w:val="18"/>
              </w:rPr>
              <w:t>Objeto</w:t>
            </w:r>
          </w:p>
        </w:tc>
        <w:tc>
          <w:tcPr>
            <w:tcW w:w="2969" w:type="pct"/>
          </w:tcPr>
          <w:p w14:paraId="091FF47D" w14:textId="77777777" w:rsidR="008C0F10" w:rsidRPr="002E63CE" w:rsidRDefault="008C0F10" w:rsidP="005E4A4C">
            <w:pPr>
              <w:widowControl w:val="0"/>
              <w:autoSpaceDE w:val="0"/>
              <w:autoSpaceDN w:val="0"/>
              <w:adjustRightInd w:val="0"/>
              <w:rPr>
                <w:rFonts w:ascii="Verdana" w:hAnsi="Verdana" w:cs="Arial"/>
                <w:sz w:val="18"/>
                <w:szCs w:val="18"/>
              </w:rPr>
            </w:pPr>
            <w:r w:rsidRPr="002E63CE">
              <w:rPr>
                <w:rFonts w:ascii="Verdana" w:hAnsi="Verdana" w:cs="Arial"/>
                <w:sz w:val="18"/>
                <w:szCs w:val="18"/>
              </w:rPr>
              <w:t>Trata-se de ação declaratória e condenatória, para (i) reestabelecimento do equilíbrio econômico-financeiro e recomposição de prejuízos, impedindo-se o enriquecimento ilícito da ELETRONUCLEAR; (</w:t>
            </w:r>
            <w:proofErr w:type="spellStart"/>
            <w:r w:rsidRPr="002E63CE">
              <w:rPr>
                <w:rFonts w:ascii="Verdana" w:hAnsi="Verdana" w:cs="Arial"/>
                <w:sz w:val="18"/>
                <w:szCs w:val="18"/>
              </w:rPr>
              <w:t>ii</w:t>
            </w:r>
            <w:proofErr w:type="spellEnd"/>
            <w:r w:rsidRPr="002E63CE">
              <w:rPr>
                <w:rFonts w:ascii="Verdana" w:hAnsi="Verdana" w:cs="Arial"/>
                <w:sz w:val="18"/>
                <w:szCs w:val="18"/>
              </w:rPr>
              <w:t>) revogação da decisão que declarou a nulidade do Contrato e seus aditamentos; (</w:t>
            </w:r>
            <w:proofErr w:type="spellStart"/>
            <w:r w:rsidRPr="002E63CE">
              <w:rPr>
                <w:rFonts w:ascii="Verdana" w:hAnsi="Verdana" w:cs="Arial"/>
                <w:sz w:val="18"/>
                <w:szCs w:val="18"/>
              </w:rPr>
              <w:t>iii</w:t>
            </w:r>
            <w:proofErr w:type="spellEnd"/>
            <w:r w:rsidRPr="002E63CE">
              <w:rPr>
                <w:rFonts w:ascii="Verdana" w:hAnsi="Verdana" w:cs="Arial"/>
                <w:sz w:val="18"/>
                <w:szCs w:val="18"/>
              </w:rPr>
              <w:t>) reconhecimento de rescisão contratual por inadimplemento da ELETRONUCLEAR; (</w:t>
            </w:r>
            <w:proofErr w:type="spellStart"/>
            <w:r w:rsidRPr="002E63CE">
              <w:rPr>
                <w:rFonts w:ascii="Verdana" w:hAnsi="Verdana" w:cs="Arial"/>
                <w:sz w:val="18"/>
                <w:szCs w:val="18"/>
              </w:rPr>
              <w:t>iv</w:t>
            </w:r>
            <w:proofErr w:type="spellEnd"/>
            <w:r w:rsidRPr="002E63CE">
              <w:rPr>
                <w:rFonts w:ascii="Verdana" w:hAnsi="Verdana" w:cs="Arial"/>
                <w:sz w:val="18"/>
                <w:szCs w:val="18"/>
              </w:rPr>
              <w:t>) cobrança dos serviços prestados pela AG e não pagos pela ELETRONUCLEAR.</w:t>
            </w:r>
          </w:p>
          <w:p w14:paraId="29F32099" w14:textId="77777777" w:rsidR="008A1278" w:rsidRPr="005E4A4C" w:rsidRDefault="008A1278" w:rsidP="00FA77DF">
            <w:pPr>
              <w:widowControl w:val="0"/>
              <w:autoSpaceDE w:val="0"/>
              <w:autoSpaceDN w:val="0"/>
              <w:adjustRightInd w:val="0"/>
              <w:rPr>
                <w:rFonts w:ascii="Verdana" w:hAnsi="Verdana" w:cs="Arial"/>
                <w:sz w:val="18"/>
                <w:szCs w:val="18"/>
              </w:rPr>
            </w:pPr>
          </w:p>
          <w:p w14:paraId="6F366878" w14:textId="77777777" w:rsidR="002E63CE" w:rsidRPr="002E63CE" w:rsidRDefault="008A1278" w:rsidP="005E4A4C">
            <w:pPr>
              <w:widowControl w:val="0"/>
              <w:autoSpaceDE w:val="0"/>
              <w:autoSpaceDN w:val="0"/>
              <w:adjustRightInd w:val="0"/>
              <w:rPr>
                <w:rFonts w:ascii="Verdana" w:hAnsi="Verdana" w:cs="Arial"/>
                <w:sz w:val="18"/>
                <w:szCs w:val="18"/>
              </w:rPr>
            </w:pPr>
            <w:r w:rsidRPr="005E4A4C">
              <w:rPr>
                <w:rFonts w:ascii="Verdana" w:hAnsi="Verdana" w:cs="Arial"/>
                <w:b/>
                <w:sz w:val="18"/>
                <w:szCs w:val="18"/>
              </w:rPr>
              <w:t>FASE ATUAL:</w:t>
            </w:r>
            <w:r w:rsidR="002E63CE" w:rsidRPr="005E4A4C">
              <w:rPr>
                <w:rFonts w:ascii="Verdana" w:hAnsi="Verdana" w:cs="Arial"/>
                <w:b/>
                <w:sz w:val="18"/>
                <w:szCs w:val="18"/>
              </w:rPr>
              <w:t xml:space="preserve"> </w:t>
            </w:r>
            <w:r w:rsidR="002E63CE" w:rsidRPr="002E63CE">
              <w:rPr>
                <w:rFonts w:ascii="Verdana" w:hAnsi="Verdana" w:cs="Arial"/>
                <w:sz w:val="18"/>
                <w:szCs w:val="18"/>
              </w:rPr>
              <w:t>Contestação apresentada pela ELETRONUCLEAR em 16.05.18. Réplica pela AG em 10.08.18.</w:t>
            </w:r>
          </w:p>
          <w:p w14:paraId="1552AA19" w14:textId="77777777" w:rsidR="008A1278" w:rsidRPr="005E4A4C" w:rsidRDefault="002E63CE" w:rsidP="00FA77DF">
            <w:pPr>
              <w:widowControl w:val="0"/>
              <w:autoSpaceDE w:val="0"/>
              <w:autoSpaceDN w:val="0"/>
              <w:adjustRightInd w:val="0"/>
              <w:rPr>
                <w:rFonts w:ascii="Verdana" w:hAnsi="Verdana" w:cs="Arial"/>
                <w:sz w:val="18"/>
                <w:szCs w:val="18"/>
              </w:rPr>
            </w:pPr>
            <w:r w:rsidRPr="002E63CE">
              <w:rPr>
                <w:rFonts w:ascii="Verdana" w:hAnsi="Verdana" w:cs="Arial"/>
                <w:sz w:val="18"/>
                <w:szCs w:val="18"/>
              </w:rPr>
              <w:t>Despacho do juiz determinando às partes que especifiquem as provas a serem produzidas. Em 07.01.2020, o juiz proferiu despacho determinando a suspensão do processo até a decisão final da ação de ressarcimento proposta pela ELETRONUCLEAR em face da Andrade Gutierrez. Em 27.01.2020, a Andrade ofereceu embargos de declaração requerendo o acolhimento do seu recurso para que a ação movida pela ELETRONUCLEAR em face da AG seja suspensa alegando que a ação que move contra a ELETRONUCLEAR é prejudicial àquela. Em 17.12.2020: Despacho Saneador. Determinação de prova pericial.</w:t>
            </w:r>
          </w:p>
        </w:tc>
      </w:tr>
      <w:tr w:rsidR="008A1278" w:rsidRPr="002E63CE" w14:paraId="73ACACC0" w14:textId="77777777" w:rsidTr="00FA77DF">
        <w:tc>
          <w:tcPr>
            <w:tcW w:w="2031" w:type="pct"/>
          </w:tcPr>
          <w:p w14:paraId="7F3A038B" w14:textId="77777777" w:rsidR="008A1278" w:rsidRPr="005E4A4C" w:rsidRDefault="006963B0" w:rsidP="00FA77DF">
            <w:pPr>
              <w:widowControl w:val="0"/>
              <w:autoSpaceDE w:val="0"/>
              <w:autoSpaceDN w:val="0"/>
              <w:adjustRightInd w:val="0"/>
              <w:rPr>
                <w:rFonts w:ascii="Verdana" w:hAnsi="Verdana" w:cs="Arial"/>
                <w:b/>
                <w:sz w:val="18"/>
                <w:szCs w:val="18"/>
              </w:rPr>
            </w:pPr>
            <w:r w:rsidRPr="005E4A4C">
              <w:rPr>
                <w:rFonts w:ascii="Verdana" w:hAnsi="Verdana" w:cs="Arial"/>
                <w:b/>
                <w:sz w:val="18"/>
                <w:szCs w:val="18"/>
              </w:rPr>
              <w:t>E</w:t>
            </w:r>
            <w:r w:rsidR="008A1278" w:rsidRPr="005E4A4C">
              <w:rPr>
                <w:rFonts w:ascii="Verdana" w:hAnsi="Verdana" w:cs="Arial"/>
                <w:b/>
                <w:sz w:val="18"/>
                <w:szCs w:val="18"/>
              </w:rPr>
              <w:t>xpectativa de perda</w:t>
            </w:r>
          </w:p>
        </w:tc>
        <w:tc>
          <w:tcPr>
            <w:tcW w:w="2969" w:type="pct"/>
          </w:tcPr>
          <w:p w14:paraId="6FA6F908" w14:textId="77777777" w:rsidR="008A1278" w:rsidRPr="005E4A4C" w:rsidRDefault="008A1278" w:rsidP="00FA77DF">
            <w:pPr>
              <w:widowControl w:val="0"/>
              <w:autoSpaceDE w:val="0"/>
              <w:autoSpaceDN w:val="0"/>
              <w:adjustRightInd w:val="0"/>
              <w:rPr>
                <w:rFonts w:ascii="Verdana" w:hAnsi="Verdana" w:cs="Arial"/>
                <w:sz w:val="18"/>
                <w:szCs w:val="18"/>
              </w:rPr>
            </w:pPr>
            <w:r w:rsidRPr="005E4A4C">
              <w:rPr>
                <w:rFonts w:ascii="Verdana" w:hAnsi="Verdana" w:cs="Arial"/>
                <w:sz w:val="18"/>
                <w:szCs w:val="18"/>
              </w:rPr>
              <w:t>Possível</w:t>
            </w:r>
          </w:p>
        </w:tc>
      </w:tr>
    </w:tbl>
    <w:p w14:paraId="426C43E7" w14:textId="40988AE1" w:rsidR="00865C86" w:rsidRDefault="00865C86" w:rsidP="003761CA">
      <w:pPr>
        <w:pStyle w:val="NormalWeb"/>
        <w:spacing w:before="0" w:beforeAutospacing="0" w:after="0" w:afterAutospacing="0"/>
        <w:rPr>
          <w:rFonts w:ascii="Verdana" w:hAnsi="Verdana"/>
          <w:color w:val="FF0000"/>
          <w:sz w:val="20"/>
          <w:szCs w:val="20"/>
          <w:highlight w:val="yellow"/>
        </w:rPr>
      </w:pPr>
    </w:p>
    <w:p w14:paraId="3714B5FA" w14:textId="77777777" w:rsidR="00EB2BD8" w:rsidRDefault="00EB2BD8" w:rsidP="003761CA">
      <w:pPr>
        <w:pStyle w:val="NormalWeb"/>
        <w:spacing w:before="0" w:beforeAutospacing="0" w:after="0" w:afterAutospacing="0"/>
        <w:rPr>
          <w:rFonts w:ascii="Verdana" w:hAnsi="Verdana"/>
          <w:color w:val="FF0000"/>
          <w:sz w:val="20"/>
          <w:szCs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6215"/>
      </w:tblGrid>
      <w:tr w:rsidR="008A1278" w:rsidRPr="006812DF" w14:paraId="15BB1A7C" w14:textId="77777777" w:rsidTr="00FA77DF">
        <w:tc>
          <w:tcPr>
            <w:tcW w:w="5000" w:type="pct"/>
            <w:gridSpan w:val="2"/>
            <w:tcBorders>
              <w:bottom w:val="single" w:sz="4" w:space="0" w:color="auto"/>
            </w:tcBorders>
            <w:shd w:val="clear" w:color="auto" w:fill="999999"/>
          </w:tcPr>
          <w:p w14:paraId="4E75BC06" w14:textId="77777777" w:rsidR="008A1278" w:rsidRPr="006812DF" w:rsidRDefault="00877819" w:rsidP="00FA77DF">
            <w:pPr>
              <w:widowControl w:val="0"/>
              <w:autoSpaceDE w:val="0"/>
              <w:autoSpaceDN w:val="0"/>
              <w:adjustRightInd w:val="0"/>
              <w:rPr>
                <w:rFonts w:ascii="Calibri" w:hAnsi="Calibri" w:cs="Arial"/>
                <w:szCs w:val="22"/>
              </w:rPr>
            </w:pPr>
            <w:r>
              <w:rPr>
                <w:rFonts w:ascii="Calibri" w:hAnsi="Calibri" w:cs="Arial"/>
                <w:b/>
                <w:szCs w:val="22"/>
              </w:rPr>
              <w:t>4</w:t>
            </w:r>
            <w:r w:rsidR="008A1278">
              <w:rPr>
                <w:rFonts w:ascii="Calibri" w:hAnsi="Calibri" w:cs="Arial"/>
                <w:b/>
                <w:szCs w:val="22"/>
              </w:rPr>
              <w:t xml:space="preserve">. </w:t>
            </w:r>
            <w:r w:rsidR="008A1278" w:rsidRPr="006812DF">
              <w:rPr>
                <w:rFonts w:ascii="Calibri" w:hAnsi="Calibri" w:cs="Arial"/>
                <w:b/>
                <w:szCs w:val="22"/>
              </w:rPr>
              <w:t>TRABALHISTA - AÇÃO COLETIVA</w:t>
            </w:r>
            <w:r w:rsidR="00865C86">
              <w:rPr>
                <w:rFonts w:ascii="Calibri" w:hAnsi="Calibri" w:cs="Arial"/>
                <w:b/>
                <w:szCs w:val="22"/>
              </w:rPr>
              <w:t xml:space="preserve"> - </w:t>
            </w:r>
            <w:r w:rsidR="00865C86" w:rsidRPr="006812DF">
              <w:rPr>
                <w:rFonts w:ascii="Calibri" w:hAnsi="Calibri" w:cs="Arial"/>
                <w:b/>
                <w:szCs w:val="22"/>
              </w:rPr>
              <w:t xml:space="preserve">Processo n° </w:t>
            </w:r>
            <w:r w:rsidR="00865C86" w:rsidRPr="00552A35">
              <w:rPr>
                <w:rFonts w:ascii="Calibri" w:hAnsi="Calibri" w:cs="Arial"/>
                <w:b/>
                <w:szCs w:val="22"/>
              </w:rPr>
              <w:t>0064500-25.1989.5.01.0029</w:t>
            </w:r>
          </w:p>
        </w:tc>
      </w:tr>
      <w:tr w:rsidR="008A1278" w:rsidRPr="006812DF" w14:paraId="04DFD6D6" w14:textId="77777777" w:rsidTr="00FA77DF">
        <w:tc>
          <w:tcPr>
            <w:tcW w:w="2031" w:type="pct"/>
          </w:tcPr>
          <w:p w14:paraId="45F3B487" w14:textId="77777777" w:rsidR="008A1278" w:rsidRPr="006812DF" w:rsidRDefault="00865C86">
            <w:pPr>
              <w:widowControl w:val="0"/>
              <w:autoSpaceDE w:val="0"/>
              <w:autoSpaceDN w:val="0"/>
              <w:adjustRightInd w:val="0"/>
              <w:rPr>
                <w:rFonts w:ascii="Calibri" w:hAnsi="Calibri" w:cs="Arial"/>
                <w:b/>
                <w:szCs w:val="22"/>
              </w:rPr>
            </w:pPr>
            <w:r>
              <w:rPr>
                <w:rFonts w:ascii="Calibri" w:hAnsi="Calibri" w:cs="Arial"/>
                <w:b/>
                <w:szCs w:val="22"/>
              </w:rPr>
              <w:t>I</w:t>
            </w:r>
            <w:r w:rsidRPr="006812DF">
              <w:rPr>
                <w:rFonts w:ascii="Calibri" w:hAnsi="Calibri" w:cs="Arial"/>
                <w:b/>
                <w:szCs w:val="22"/>
              </w:rPr>
              <w:t xml:space="preserve">nstância </w:t>
            </w:r>
            <w:r>
              <w:rPr>
                <w:rFonts w:ascii="Calibri" w:hAnsi="Calibri" w:cs="Arial"/>
                <w:b/>
                <w:szCs w:val="22"/>
              </w:rPr>
              <w:t>/ J</w:t>
            </w:r>
            <w:r w:rsidR="008A1278" w:rsidRPr="006812DF">
              <w:rPr>
                <w:rFonts w:ascii="Calibri" w:hAnsi="Calibri" w:cs="Arial"/>
                <w:b/>
                <w:szCs w:val="22"/>
              </w:rPr>
              <w:t>uízo</w:t>
            </w:r>
          </w:p>
        </w:tc>
        <w:tc>
          <w:tcPr>
            <w:tcW w:w="2969" w:type="pct"/>
          </w:tcPr>
          <w:p w14:paraId="316182B3" w14:textId="77777777" w:rsidR="008A1278" w:rsidRPr="006812DF" w:rsidRDefault="00865C86" w:rsidP="00FA77DF">
            <w:pPr>
              <w:widowControl w:val="0"/>
              <w:autoSpaceDE w:val="0"/>
              <w:autoSpaceDN w:val="0"/>
              <w:adjustRightInd w:val="0"/>
              <w:rPr>
                <w:rFonts w:ascii="Calibri" w:hAnsi="Calibri" w:cs="Arial"/>
                <w:szCs w:val="22"/>
              </w:rPr>
            </w:pPr>
            <w:r w:rsidRPr="00552A35">
              <w:rPr>
                <w:rFonts w:ascii="Calibri" w:hAnsi="Calibri" w:cs="Arial"/>
                <w:szCs w:val="22"/>
              </w:rPr>
              <w:t xml:space="preserve">1ª instância </w:t>
            </w:r>
            <w:r>
              <w:rPr>
                <w:rFonts w:ascii="Calibri" w:hAnsi="Calibri" w:cs="Arial"/>
                <w:szCs w:val="22"/>
              </w:rPr>
              <w:t xml:space="preserve"> - </w:t>
            </w:r>
            <w:r w:rsidR="008A1278" w:rsidRPr="00552A35">
              <w:rPr>
                <w:rFonts w:ascii="Calibri" w:hAnsi="Calibri" w:cs="Arial"/>
                <w:szCs w:val="22"/>
              </w:rPr>
              <w:t>29ª VARA DO TRABALHO de Rio de Janeiro</w:t>
            </w:r>
          </w:p>
        </w:tc>
      </w:tr>
      <w:tr w:rsidR="008A1278" w:rsidRPr="006812DF" w14:paraId="414F12FA" w14:textId="77777777" w:rsidTr="00FA77DF">
        <w:trPr>
          <w:trHeight w:val="366"/>
        </w:trPr>
        <w:tc>
          <w:tcPr>
            <w:tcW w:w="2031" w:type="pct"/>
          </w:tcPr>
          <w:p w14:paraId="1A418000" w14:textId="77777777" w:rsidR="008A1278" w:rsidRPr="006812DF" w:rsidRDefault="00865C86" w:rsidP="00FA77DF">
            <w:pPr>
              <w:widowControl w:val="0"/>
              <w:autoSpaceDE w:val="0"/>
              <w:autoSpaceDN w:val="0"/>
              <w:adjustRightInd w:val="0"/>
              <w:rPr>
                <w:rFonts w:ascii="Calibri" w:hAnsi="Calibri" w:cs="Arial"/>
                <w:b/>
                <w:szCs w:val="22"/>
              </w:rPr>
            </w:pPr>
            <w:r>
              <w:rPr>
                <w:rFonts w:ascii="Calibri" w:hAnsi="Calibri" w:cs="Arial"/>
                <w:b/>
                <w:szCs w:val="22"/>
              </w:rPr>
              <w:t>P</w:t>
            </w:r>
            <w:r w:rsidR="008A1278" w:rsidRPr="006812DF">
              <w:rPr>
                <w:rFonts w:ascii="Calibri" w:hAnsi="Calibri" w:cs="Arial"/>
                <w:b/>
                <w:szCs w:val="22"/>
              </w:rPr>
              <w:t>artes no processo</w:t>
            </w:r>
          </w:p>
        </w:tc>
        <w:tc>
          <w:tcPr>
            <w:tcW w:w="2969" w:type="pct"/>
          </w:tcPr>
          <w:p w14:paraId="5DD83293" w14:textId="77777777" w:rsidR="008A1278" w:rsidRPr="006812DF" w:rsidRDefault="008A1278" w:rsidP="00FA77DF">
            <w:pPr>
              <w:rPr>
                <w:rFonts w:ascii="Calibri" w:hAnsi="Calibri"/>
                <w:szCs w:val="22"/>
              </w:rPr>
            </w:pPr>
            <w:r w:rsidRPr="0084019F">
              <w:rPr>
                <w:rFonts w:ascii="Calibri" w:hAnsi="Calibri"/>
                <w:b/>
                <w:szCs w:val="22"/>
              </w:rPr>
              <w:t>POLO ATIVO</w:t>
            </w:r>
            <w:r w:rsidRPr="006812DF">
              <w:rPr>
                <w:rFonts w:ascii="Calibri" w:hAnsi="Calibri"/>
                <w:szCs w:val="22"/>
              </w:rPr>
              <w:t>: Sindicato dos Engenheiros do Estado do RJ</w:t>
            </w:r>
          </w:p>
          <w:p w14:paraId="4A19228B" w14:textId="77777777" w:rsidR="008A1278" w:rsidRPr="006812DF" w:rsidRDefault="008A1278" w:rsidP="00FA77DF">
            <w:pPr>
              <w:widowControl w:val="0"/>
              <w:autoSpaceDE w:val="0"/>
              <w:autoSpaceDN w:val="0"/>
              <w:adjustRightInd w:val="0"/>
              <w:rPr>
                <w:rFonts w:ascii="Calibri" w:hAnsi="Calibri" w:cs="Arial"/>
                <w:b/>
                <w:bCs/>
                <w:caps/>
                <w:kern w:val="32"/>
                <w:szCs w:val="22"/>
              </w:rPr>
            </w:pPr>
            <w:r w:rsidRPr="0084019F">
              <w:rPr>
                <w:rFonts w:ascii="Calibri" w:hAnsi="Calibri" w:cs="Arial"/>
                <w:b/>
                <w:szCs w:val="22"/>
              </w:rPr>
              <w:t>POLO PASSIVO</w:t>
            </w:r>
            <w:r w:rsidRPr="006812DF">
              <w:rPr>
                <w:rFonts w:ascii="Calibri" w:hAnsi="Calibri" w:cs="Arial"/>
                <w:szCs w:val="22"/>
              </w:rPr>
              <w:t>: Eletrobras Termonuclear S.A. - ELETRONUCLEAR</w:t>
            </w:r>
          </w:p>
        </w:tc>
      </w:tr>
      <w:tr w:rsidR="008A1278" w:rsidRPr="006812DF" w14:paraId="16721213" w14:textId="77777777" w:rsidTr="00FA77DF">
        <w:tc>
          <w:tcPr>
            <w:tcW w:w="2031" w:type="pct"/>
          </w:tcPr>
          <w:p w14:paraId="1197CA8E" w14:textId="77777777" w:rsidR="008A1278" w:rsidRPr="006812DF" w:rsidRDefault="00865C86" w:rsidP="00FA77DF">
            <w:pPr>
              <w:widowControl w:val="0"/>
              <w:autoSpaceDE w:val="0"/>
              <w:autoSpaceDN w:val="0"/>
              <w:adjustRightInd w:val="0"/>
              <w:rPr>
                <w:rFonts w:ascii="Calibri" w:hAnsi="Calibri" w:cs="Arial"/>
                <w:b/>
                <w:szCs w:val="22"/>
              </w:rPr>
            </w:pPr>
            <w:r>
              <w:rPr>
                <w:rFonts w:ascii="Calibri" w:hAnsi="Calibri" w:cs="Arial"/>
                <w:b/>
                <w:szCs w:val="22"/>
              </w:rPr>
              <w:t>V</w:t>
            </w:r>
            <w:r w:rsidR="008A1278" w:rsidRPr="006812DF">
              <w:rPr>
                <w:rFonts w:ascii="Calibri" w:hAnsi="Calibri" w:cs="Arial"/>
                <w:b/>
                <w:szCs w:val="22"/>
              </w:rPr>
              <w:t>alores, bens ou direitos envolvidos</w:t>
            </w:r>
          </w:p>
        </w:tc>
        <w:tc>
          <w:tcPr>
            <w:tcW w:w="2969" w:type="pct"/>
          </w:tcPr>
          <w:p w14:paraId="074252E0" w14:textId="77777777" w:rsidR="008A1278" w:rsidRPr="006812DF" w:rsidRDefault="008A1278">
            <w:pPr>
              <w:widowControl w:val="0"/>
              <w:autoSpaceDE w:val="0"/>
              <w:autoSpaceDN w:val="0"/>
              <w:adjustRightInd w:val="0"/>
              <w:rPr>
                <w:rFonts w:ascii="Calibri" w:hAnsi="Calibri" w:cs="Arial"/>
                <w:szCs w:val="22"/>
              </w:rPr>
            </w:pPr>
            <w:r>
              <w:rPr>
                <w:rFonts w:ascii="Calibri" w:hAnsi="Calibri" w:cs="Arial"/>
                <w:szCs w:val="22"/>
              </w:rPr>
              <w:t xml:space="preserve">R$ </w:t>
            </w:r>
            <w:r w:rsidR="00865C86" w:rsidRPr="00E30C81">
              <w:rPr>
                <w:rFonts w:ascii="Calibri" w:hAnsi="Calibri" w:cs="Arial"/>
                <w:szCs w:val="22"/>
              </w:rPr>
              <w:t>624.</w:t>
            </w:r>
            <w:r w:rsidR="00865C86">
              <w:rPr>
                <w:rFonts w:ascii="Calibri" w:hAnsi="Calibri" w:cs="Arial"/>
                <w:szCs w:val="22"/>
              </w:rPr>
              <w:t>300</w:t>
            </w:r>
          </w:p>
        </w:tc>
      </w:tr>
      <w:tr w:rsidR="008A1278" w:rsidRPr="006812DF" w14:paraId="6FB2BBD5" w14:textId="77777777" w:rsidTr="00FA77DF">
        <w:tc>
          <w:tcPr>
            <w:tcW w:w="2031" w:type="pct"/>
          </w:tcPr>
          <w:p w14:paraId="312C2D4F" w14:textId="77777777" w:rsidR="008A1278" w:rsidRPr="006812DF" w:rsidRDefault="00865C86" w:rsidP="00FA77DF">
            <w:pPr>
              <w:widowControl w:val="0"/>
              <w:autoSpaceDE w:val="0"/>
              <w:autoSpaceDN w:val="0"/>
              <w:adjustRightInd w:val="0"/>
              <w:rPr>
                <w:rFonts w:ascii="Calibri" w:hAnsi="Calibri" w:cs="Arial"/>
                <w:b/>
                <w:szCs w:val="22"/>
              </w:rPr>
            </w:pPr>
            <w:r>
              <w:rPr>
                <w:rFonts w:ascii="Calibri" w:hAnsi="Calibri" w:cs="Arial"/>
                <w:b/>
                <w:szCs w:val="22"/>
              </w:rPr>
              <w:t>P</w:t>
            </w:r>
            <w:r w:rsidR="008A1278" w:rsidRPr="006812DF">
              <w:rPr>
                <w:rFonts w:ascii="Calibri" w:hAnsi="Calibri" w:cs="Arial"/>
                <w:b/>
                <w:szCs w:val="22"/>
              </w:rPr>
              <w:t>rincipais fatos</w:t>
            </w:r>
          </w:p>
        </w:tc>
        <w:tc>
          <w:tcPr>
            <w:tcW w:w="2969" w:type="pct"/>
          </w:tcPr>
          <w:p w14:paraId="06D2F157" w14:textId="77777777" w:rsidR="008A1278" w:rsidRDefault="008A1278" w:rsidP="00FA77DF">
            <w:pPr>
              <w:widowControl w:val="0"/>
              <w:autoSpaceDE w:val="0"/>
              <w:autoSpaceDN w:val="0"/>
              <w:adjustRightInd w:val="0"/>
              <w:rPr>
                <w:rFonts w:ascii="Calibri" w:hAnsi="Calibri" w:cs="Arial"/>
                <w:szCs w:val="22"/>
              </w:rPr>
            </w:pPr>
            <w:r w:rsidRPr="00AA4D49">
              <w:rPr>
                <w:rFonts w:ascii="Calibri" w:hAnsi="Calibri" w:cs="Arial"/>
                <w:b/>
                <w:szCs w:val="22"/>
              </w:rPr>
              <w:t>OBJETO:</w:t>
            </w:r>
            <w:r>
              <w:rPr>
                <w:rFonts w:ascii="Calibri" w:hAnsi="Calibri" w:cs="Arial"/>
                <w:szCs w:val="22"/>
              </w:rPr>
              <w:t xml:space="preserve"> </w:t>
            </w:r>
            <w:r w:rsidRPr="00594566">
              <w:rPr>
                <w:rFonts w:ascii="Calibri" w:hAnsi="Calibri" w:cs="Arial"/>
                <w:szCs w:val="22"/>
              </w:rPr>
              <w:t>URP/1989 – Plano Econômico. A controvérsia principal do processo reside na interpretação da coisa julgada que delimitou o pagamento do índice da URP apenas do mês de fevereiro de 1989. Contudo, em fase de liquidação a outra parte alegou que deve ser aplicado o índice de 26,05% mês a mês até sua incorporação na remuneração dos substituídos ou até sua demissão. Há possibilidade de ter decisão judicial homologando o valor histórico de R$ 359.67</w:t>
            </w:r>
            <w:r>
              <w:rPr>
                <w:rFonts w:ascii="Calibri" w:hAnsi="Calibri" w:cs="Arial"/>
                <w:szCs w:val="22"/>
              </w:rPr>
              <w:t>1</w:t>
            </w:r>
            <w:r w:rsidRPr="00594566">
              <w:rPr>
                <w:rFonts w:ascii="Calibri" w:hAnsi="Calibri" w:cs="Arial"/>
                <w:szCs w:val="22"/>
              </w:rPr>
              <w:t>, calculado pelo perito judicial em 2014. Ressalte-se que a Advocacia Geral da União – AGU ingressou nos autos. A AGU tem tese jurídica que se alinha à defesa da Eletrobras Eletronuclear, ao explicitar que: [1] a decisão em fase de liquidação/execução que estabelece direito à incorporação da URP/1989 na remuneração dos substituídos ofende a decisão já transitada em julgado; [2] o valor exigido com base na decisão transitada em julgado, ou seja, o pagamento da URP relativa apenas ao mês de fevereiro de 1989,  já foi adimplido, por conta da existência de Acordo Coletivo pactuado em 1989, entre as partes da presente ação judicial, cujo conteúdo trata especificadamente da quitação da URP/1989. No momento há laudo</w:t>
            </w:r>
            <w:r>
              <w:rPr>
                <w:rFonts w:ascii="Calibri" w:hAnsi="Calibri" w:cs="Arial"/>
                <w:szCs w:val="22"/>
              </w:rPr>
              <w:t xml:space="preserve"> emitido pelo perito do Juízo. </w:t>
            </w:r>
          </w:p>
          <w:p w14:paraId="65814E93" w14:textId="77777777" w:rsidR="008A1278" w:rsidRDefault="008A1278" w:rsidP="00FA77DF">
            <w:pPr>
              <w:widowControl w:val="0"/>
              <w:autoSpaceDE w:val="0"/>
              <w:autoSpaceDN w:val="0"/>
              <w:adjustRightInd w:val="0"/>
              <w:rPr>
                <w:rFonts w:ascii="Calibri" w:hAnsi="Calibri" w:cs="Arial"/>
                <w:szCs w:val="22"/>
              </w:rPr>
            </w:pPr>
          </w:p>
          <w:p w14:paraId="2CB0518B" w14:textId="77777777" w:rsidR="008A1278" w:rsidRDefault="008A1278" w:rsidP="00FA77DF">
            <w:pPr>
              <w:widowControl w:val="0"/>
              <w:autoSpaceDE w:val="0"/>
              <w:autoSpaceDN w:val="0"/>
              <w:adjustRightInd w:val="0"/>
              <w:rPr>
                <w:rFonts w:ascii="Calibri" w:hAnsi="Calibri" w:cs="Arial"/>
                <w:szCs w:val="22"/>
              </w:rPr>
            </w:pPr>
          </w:p>
          <w:p w14:paraId="033509CE" w14:textId="77777777" w:rsidR="008A1278" w:rsidRDefault="008A1278" w:rsidP="00FA77DF">
            <w:pPr>
              <w:widowControl w:val="0"/>
              <w:autoSpaceDE w:val="0"/>
              <w:autoSpaceDN w:val="0"/>
              <w:adjustRightInd w:val="0"/>
              <w:rPr>
                <w:rFonts w:ascii="Calibri" w:hAnsi="Calibri" w:cs="Arial"/>
                <w:szCs w:val="22"/>
              </w:rPr>
            </w:pPr>
            <w:r w:rsidRPr="00AA4D49">
              <w:rPr>
                <w:rFonts w:ascii="Calibri" w:hAnsi="Calibri" w:cs="Arial"/>
                <w:b/>
                <w:szCs w:val="22"/>
              </w:rPr>
              <w:t>FASE ATUAL</w:t>
            </w:r>
            <w:r>
              <w:rPr>
                <w:rFonts w:ascii="Calibri" w:hAnsi="Calibri" w:cs="Arial"/>
                <w:szCs w:val="22"/>
              </w:rPr>
              <w:t>:</w:t>
            </w:r>
          </w:p>
          <w:p w14:paraId="24C5E22E" w14:textId="77777777" w:rsidR="008A1278" w:rsidRDefault="008A1278" w:rsidP="00FA77DF">
            <w:pPr>
              <w:widowControl w:val="0"/>
              <w:autoSpaceDE w:val="0"/>
              <w:autoSpaceDN w:val="0"/>
              <w:adjustRightInd w:val="0"/>
              <w:rPr>
                <w:rFonts w:ascii="Calibri" w:hAnsi="Calibri" w:cs="Arial"/>
                <w:szCs w:val="22"/>
              </w:rPr>
            </w:pPr>
          </w:p>
          <w:p w14:paraId="5682B6FC" w14:textId="77777777" w:rsidR="008A1278" w:rsidRPr="006812DF" w:rsidRDefault="008A1278" w:rsidP="00FA77DF">
            <w:pPr>
              <w:widowControl w:val="0"/>
              <w:autoSpaceDE w:val="0"/>
              <w:autoSpaceDN w:val="0"/>
              <w:adjustRightInd w:val="0"/>
              <w:rPr>
                <w:rFonts w:ascii="Calibri" w:hAnsi="Calibri" w:cs="Arial"/>
                <w:szCs w:val="22"/>
              </w:rPr>
            </w:pPr>
            <w:r>
              <w:rPr>
                <w:rFonts w:ascii="Calibri" w:hAnsi="Calibri" w:cs="Arial"/>
                <w:szCs w:val="22"/>
              </w:rPr>
              <w:t xml:space="preserve">- </w:t>
            </w:r>
            <w:r w:rsidRPr="00594566">
              <w:rPr>
                <w:rFonts w:ascii="Calibri" w:hAnsi="Calibri" w:cs="Arial"/>
                <w:szCs w:val="22"/>
              </w:rPr>
              <w:t xml:space="preserve">Em 24.11.2017 foi publicada decisão judicial para as partes se manifestarem em relação ao laudo pericial que respondeu os </w:t>
            </w:r>
            <w:r w:rsidRPr="00594566">
              <w:rPr>
                <w:rFonts w:ascii="Calibri" w:hAnsi="Calibri" w:cs="Arial"/>
                <w:szCs w:val="22"/>
              </w:rPr>
              <w:lastRenderedPageBreak/>
              <w:t xml:space="preserve">quesitos apresentados pela Companhia. Nesse laudo o Perito do Juízo, por amostragem, destacou que os valores indicados no acordo coletivo especifico da URP de fevereiro de 1989 foram pagos.  A última decisão publicada em diário oficial é a do dia 16.03.2018, destinada à parte autora (SENGE) para que oferte manifestação em relação a petição apresentada pela parte Ré.  Há outros andamentos processuais que constam no sítio eletrônico do Tribunal Regional do Trabalho da 1ª Região, são eles: [1] autos enviados à contadoria da Vara; [2] homologada a liquidação; [3] petição da União Federal; [4] petição do </w:t>
            </w:r>
            <w:proofErr w:type="spellStart"/>
            <w:r w:rsidRPr="00594566">
              <w:rPr>
                <w:rFonts w:ascii="Calibri" w:hAnsi="Calibri" w:cs="Arial"/>
                <w:szCs w:val="22"/>
              </w:rPr>
              <w:t>Senge</w:t>
            </w:r>
            <w:proofErr w:type="spellEnd"/>
            <w:r w:rsidRPr="00594566">
              <w:rPr>
                <w:rFonts w:ascii="Calibri" w:hAnsi="Calibri" w:cs="Arial"/>
                <w:szCs w:val="22"/>
              </w:rPr>
              <w:t xml:space="preserve"> com impugnação aos cálculos, todos atos processuais aos quais a Companhia ainda não foi intimada para tomar ciência. Em 29 de janeiro de 2019 foi publicada decisão para a Companhia pagar o débito ou ofertar defesa, o que inaugurou a fase de execução do processo. De toda forma, na decisão a Companhia foi isentada de ofertar bens à penhora para ajuizar eventual defesa. Em 19.07.19 foi publicada decisão para a Companhia pagar honorários do perito do Juízo, o que já foi realizado. Em 04/12/2019 foram opostos embargos de declaração pela Eletronuclear. Em 19/08/2021, houve a migração para o processo eletrônico, com a intimação da Eletronuclear para juntar as principais peças dos autos físicos que totalizam 48 volumes. Após, foram julgados e rejeitados os declaratórios da empresa (opostos em 2019). Na sequência, a Eletronuclear interpôs embargos à execução, ainda pendente</w:t>
            </w:r>
            <w:r>
              <w:rPr>
                <w:rFonts w:ascii="Calibri" w:hAnsi="Calibri" w:cs="Arial"/>
                <w:szCs w:val="22"/>
              </w:rPr>
              <w:t>s</w:t>
            </w:r>
            <w:r w:rsidRPr="00594566">
              <w:rPr>
                <w:rFonts w:ascii="Calibri" w:hAnsi="Calibri" w:cs="Arial"/>
                <w:szCs w:val="22"/>
              </w:rPr>
              <w:t xml:space="preserve"> de julgamento.</w:t>
            </w:r>
          </w:p>
        </w:tc>
      </w:tr>
      <w:tr w:rsidR="008A1278" w:rsidRPr="006812DF" w14:paraId="51731DC0" w14:textId="77777777" w:rsidTr="00FA77DF">
        <w:tc>
          <w:tcPr>
            <w:tcW w:w="2031" w:type="pct"/>
          </w:tcPr>
          <w:p w14:paraId="36DCD5DD" w14:textId="77777777" w:rsidR="008A1278" w:rsidRPr="006812DF" w:rsidRDefault="00865C86" w:rsidP="00FA77DF">
            <w:pPr>
              <w:widowControl w:val="0"/>
              <w:autoSpaceDE w:val="0"/>
              <w:autoSpaceDN w:val="0"/>
              <w:adjustRightInd w:val="0"/>
              <w:rPr>
                <w:rFonts w:ascii="Calibri" w:hAnsi="Calibri" w:cs="Arial"/>
                <w:b/>
                <w:szCs w:val="22"/>
              </w:rPr>
            </w:pPr>
            <w:r>
              <w:rPr>
                <w:rFonts w:ascii="Calibri" w:hAnsi="Calibri" w:cs="Arial"/>
                <w:b/>
                <w:szCs w:val="22"/>
              </w:rPr>
              <w:lastRenderedPageBreak/>
              <w:t>E</w:t>
            </w:r>
            <w:r w:rsidR="008A1278">
              <w:rPr>
                <w:rFonts w:ascii="Calibri" w:hAnsi="Calibri" w:cs="Arial"/>
                <w:b/>
                <w:szCs w:val="22"/>
              </w:rPr>
              <w:t>xpectativa</w:t>
            </w:r>
            <w:r w:rsidR="008A1278" w:rsidRPr="006812DF">
              <w:rPr>
                <w:rFonts w:ascii="Calibri" w:hAnsi="Calibri" w:cs="Arial"/>
                <w:b/>
                <w:szCs w:val="22"/>
              </w:rPr>
              <w:t xml:space="preserve"> de perda</w:t>
            </w:r>
          </w:p>
        </w:tc>
        <w:tc>
          <w:tcPr>
            <w:tcW w:w="2969" w:type="pct"/>
          </w:tcPr>
          <w:p w14:paraId="51053FF3" w14:textId="77777777" w:rsidR="008A1278" w:rsidRPr="006812DF" w:rsidRDefault="008A1278">
            <w:pPr>
              <w:widowControl w:val="0"/>
              <w:autoSpaceDE w:val="0"/>
              <w:autoSpaceDN w:val="0"/>
              <w:adjustRightInd w:val="0"/>
              <w:rPr>
                <w:rFonts w:ascii="Calibri" w:hAnsi="Calibri" w:cs="Arial"/>
                <w:szCs w:val="22"/>
              </w:rPr>
            </w:pPr>
            <w:r>
              <w:rPr>
                <w:rFonts w:ascii="Calibri" w:hAnsi="Calibri" w:cs="Arial"/>
                <w:szCs w:val="22"/>
              </w:rPr>
              <w:t>Possível</w:t>
            </w:r>
          </w:p>
        </w:tc>
      </w:tr>
    </w:tbl>
    <w:p w14:paraId="48492BBC" w14:textId="77777777" w:rsidR="008A1278" w:rsidRPr="003917B6" w:rsidRDefault="008A1278" w:rsidP="003761CA">
      <w:pPr>
        <w:pStyle w:val="NormalWeb"/>
        <w:spacing w:before="0" w:beforeAutospacing="0" w:after="0" w:afterAutospacing="0"/>
        <w:rPr>
          <w:rFonts w:ascii="Verdana" w:hAnsi="Verdana"/>
          <w:sz w:val="20"/>
          <w:szCs w:val="20"/>
          <w:highlight w:val="yellow"/>
          <w:shd w:val="clear" w:color="auto" w:fill="FFFFFF"/>
          <w:lang w:val="pt-PT"/>
        </w:rPr>
      </w:pPr>
    </w:p>
    <w:p w14:paraId="245CE922" w14:textId="77777777" w:rsidR="00BA2DE2" w:rsidRPr="003917B6" w:rsidRDefault="00BA2DE2" w:rsidP="00BA2DE2">
      <w:pPr>
        <w:pStyle w:val="Default"/>
        <w:jc w:val="both"/>
        <w:rPr>
          <w:rFonts w:cs="Times New Roman"/>
          <w:color w:val="auto"/>
          <w:sz w:val="20"/>
          <w:szCs w:val="20"/>
          <w:highlight w:val="green"/>
          <w:shd w:val="clear" w:color="auto" w:fill="FFFFFF"/>
        </w:rPr>
      </w:pPr>
    </w:p>
    <w:p w14:paraId="1B6883DD" w14:textId="77777777" w:rsidR="00BA2DE2" w:rsidRPr="003917B6" w:rsidRDefault="00BA2DE2" w:rsidP="00BA2DE2">
      <w:pPr>
        <w:rPr>
          <w:rFonts w:ascii="Verdana" w:hAnsi="Verdana"/>
          <w:color w:val="0D63B5"/>
          <w:sz w:val="20"/>
          <w:szCs w:val="20"/>
          <w:highlight w:val="green"/>
          <w:bdr w:val="nil"/>
        </w:rPr>
      </w:pPr>
    </w:p>
    <w:p w14:paraId="139765D7" w14:textId="77777777" w:rsidR="00BA2DE2" w:rsidRPr="005E4A4C" w:rsidRDefault="00BA2DE2" w:rsidP="00BA2DE2">
      <w:pPr>
        <w:rPr>
          <w:rFonts w:ascii="Verdana" w:hAnsi="Verdana"/>
          <w:color w:val="0D63B5"/>
          <w:sz w:val="20"/>
          <w:szCs w:val="20"/>
          <w:bdr w:val="nil"/>
        </w:rPr>
      </w:pPr>
      <w:r w:rsidRPr="005E4A4C">
        <w:rPr>
          <w:rFonts w:ascii="Verdana" w:hAnsi="Verdana"/>
          <w:color w:val="0D63B5"/>
          <w:sz w:val="20"/>
          <w:szCs w:val="20"/>
          <w:bdr w:val="nil"/>
        </w:rPr>
        <w:t>Prática contábil</w:t>
      </w:r>
    </w:p>
    <w:p w14:paraId="322AB78E" w14:textId="77777777" w:rsidR="00BA2DE2" w:rsidRPr="005E4A4C" w:rsidRDefault="00BA2DE2" w:rsidP="00BA2DE2">
      <w:pPr>
        <w:widowControl w:val="0"/>
        <w:autoSpaceDE w:val="0"/>
        <w:autoSpaceDN w:val="0"/>
        <w:rPr>
          <w:rFonts w:ascii="Verdana" w:hAnsi="Verdana"/>
          <w:sz w:val="20"/>
          <w:szCs w:val="20"/>
          <w:bdr w:val="nil"/>
        </w:rPr>
      </w:pPr>
    </w:p>
    <w:p w14:paraId="59BBDFA2" w14:textId="77777777" w:rsidR="00E61229" w:rsidRPr="009100C4" w:rsidRDefault="00E61229" w:rsidP="00E61229">
      <w:pPr>
        <w:widowControl w:val="0"/>
        <w:autoSpaceDE w:val="0"/>
        <w:autoSpaceDN w:val="0"/>
        <w:rPr>
          <w:rFonts w:ascii="Verdana" w:hAnsi="Verdana"/>
          <w:sz w:val="20"/>
          <w:szCs w:val="20"/>
          <w:bdr w:val="nil"/>
        </w:rPr>
      </w:pPr>
      <w:r w:rsidRPr="009100C4">
        <w:rPr>
          <w:rFonts w:ascii="Verdana" w:hAnsi="Verdana"/>
          <w:sz w:val="20"/>
          <w:szCs w:val="20"/>
          <w:bdr w:val="nil"/>
        </w:rPr>
        <w:t>As provisões são reconhecidas para obrigações presentes resultantes de eventos passados, cuja liquidação seja provável e que seja possível estimar os valores de forma confiável. O valor reconhecido como provisão é a melhor estimativa das considerações requeridas para liquidar a obrigação no final de cada período de relatório, considerando-se os riscos e as incertezas relativos à obrigação. Quando a provisão é mensurada com base nos fluxos de caixa estimados para liquidar a obrigação, seu valor contábil corresponde ao valor presente desses fluxos de caixa (em que o efeito do valor temporal do dinheiro é relevante).</w:t>
      </w:r>
    </w:p>
    <w:p w14:paraId="177F2B30" w14:textId="77777777" w:rsidR="00E61229" w:rsidRPr="009100C4" w:rsidRDefault="00E61229" w:rsidP="00E61229">
      <w:pPr>
        <w:widowControl w:val="0"/>
        <w:autoSpaceDE w:val="0"/>
        <w:autoSpaceDN w:val="0"/>
        <w:rPr>
          <w:rFonts w:ascii="Verdana" w:hAnsi="Verdana"/>
          <w:sz w:val="20"/>
          <w:szCs w:val="20"/>
          <w:bdr w:val="nil"/>
        </w:rPr>
      </w:pPr>
    </w:p>
    <w:p w14:paraId="49767B82" w14:textId="04A8820B" w:rsidR="00BA2DE2" w:rsidRPr="003917B6" w:rsidRDefault="00E61229" w:rsidP="00E61229">
      <w:pPr>
        <w:widowControl w:val="0"/>
        <w:autoSpaceDE w:val="0"/>
        <w:autoSpaceDN w:val="0"/>
        <w:rPr>
          <w:rFonts w:ascii="Verdana" w:hAnsi="Verdana"/>
          <w:sz w:val="20"/>
          <w:szCs w:val="20"/>
          <w:bdr w:val="nil"/>
        </w:rPr>
      </w:pPr>
      <w:r w:rsidRPr="009100C4">
        <w:rPr>
          <w:rFonts w:ascii="Verdana" w:hAnsi="Verdana"/>
          <w:sz w:val="20"/>
          <w:szCs w:val="20"/>
          <w:bdr w:val="nil"/>
        </w:rPr>
        <w:t>As provisões para contingências judiciais são reconhecidas quando contingência representa uma provável saída de recursos para a liquidação das obrigações e os montantes envolvidos seriam mensuráveis com suficiente segurança, levando em conta a opinião dos assessores jurídicos, a natureza das ações, similaridade com processos anteriores, complexidade e o posicionamento de tribunais (jurisprudência)</w:t>
      </w:r>
      <w:r w:rsidR="00BA2DE2" w:rsidRPr="005E4A4C">
        <w:rPr>
          <w:rFonts w:ascii="Verdana" w:hAnsi="Verdana"/>
          <w:sz w:val="20"/>
          <w:szCs w:val="20"/>
          <w:bdr w:val="nil"/>
        </w:rPr>
        <w:t>.</w:t>
      </w:r>
    </w:p>
    <w:bookmarkEnd w:id="21"/>
    <w:p w14:paraId="5BCC9A66" w14:textId="099FF812" w:rsidR="00BA2DE2" w:rsidRPr="005E4A4C" w:rsidRDefault="00BA2DE2" w:rsidP="00BA2DE2">
      <w:pPr>
        <w:outlineLvl w:val="0"/>
        <w:rPr>
          <w:rFonts w:ascii="Verdana" w:hAnsi="Verdana" w:cs="Arial"/>
          <w:sz w:val="20"/>
          <w:szCs w:val="20"/>
          <w:highlight w:val="yellow"/>
        </w:rPr>
      </w:pPr>
    </w:p>
    <w:p w14:paraId="2C651D5A" w14:textId="77777777" w:rsidR="00BA2DE2" w:rsidRPr="005E4A4C" w:rsidRDefault="00BA2DE2" w:rsidP="00BA2DE2">
      <w:pPr>
        <w:outlineLvl w:val="0"/>
        <w:rPr>
          <w:rFonts w:ascii="Verdana" w:hAnsi="Verdana" w:cs="Arial"/>
          <w:sz w:val="20"/>
          <w:szCs w:val="20"/>
        </w:rPr>
      </w:pPr>
    </w:p>
    <w:p w14:paraId="32076D08" w14:textId="007D65A4" w:rsidR="00A901AB" w:rsidRDefault="00A901AB" w:rsidP="00BA2DE2">
      <w:pPr>
        <w:outlineLvl w:val="0"/>
        <w:rPr>
          <w:rFonts w:ascii="Arial" w:hAnsi="Arial" w:cs="Arial"/>
        </w:rPr>
      </w:pPr>
    </w:p>
    <w:p w14:paraId="61EE9449" w14:textId="77777777" w:rsidR="00A901AB" w:rsidRPr="005C5C69" w:rsidRDefault="00A901AB" w:rsidP="00A901AB">
      <w:pPr>
        <w:tabs>
          <w:tab w:val="left" w:pos="567"/>
          <w:tab w:val="left" w:pos="1134"/>
          <w:tab w:val="left" w:pos="1701"/>
          <w:tab w:val="left" w:pos="2268"/>
          <w:tab w:val="left" w:pos="2835"/>
        </w:tabs>
        <w:outlineLvl w:val="0"/>
        <w:rPr>
          <w:rFonts w:ascii="Verdana" w:hAnsi="Verdana"/>
          <w:b/>
          <w:color w:val="0D63B5"/>
          <w:sz w:val="20"/>
          <w:szCs w:val="20"/>
        </w:rPr>
      </w:pPr>
      <w:r w:rsidRPr="005C5C69">
        <w:rPr>
          <w:rFonts w:ascii="Verdana" w:hAnsi="Verdana"/>
          <w:b/>
          <w:color w:val="0D63B5"/>
          <w:sz w:val="20"/>
          <w:szCs w:val="20"/>
        </w:rPr>
        <w:t xml:space="preserve">NOTA </w:t>
      </w:r>
      <w:r>
        <w:rPr>
          <w:rFonts w:ascii="Verdana" w:hAnsi="Verdana"/>
          <w:b/>
          <w:color w:val="0D63B5"/>
          <w:sz w:val="20"/>
          <w:szCs w:val="20"/>
        </w:rPr>
        <w:t>27</w:t>
      </w:r>
      <w:r w:rsidRPr="005C5C69">
        <w:rPr>
          <w:rFonts w:ascii="Verdana" w:hAnsi="Verdana"/>
          <w:b/>
          <w:color w:val="0D63B5"/>
          <w:sz w:val="20"/>
          <w:szCs w:val="20"/>
        </w:rPr>
        <w:t xml:space="preserve"> – OBRIGAÇÃO PARA DESMOBILIZAÇÃO DE ATIVOS</w:t>
      </w:r>
      <w:r>
        <w:rPr>
          <w:rFonts w:ascii="Verdana" w:hAnsi="Verdana"/>
          <w:b/>
          <w:color w:val="0D63B5"/>
          <w:sz w:val="20"/>
          <w:szCs w:val="20"/>
        </w:rPr>
        <w:t xml:space="preserve"> </w:t>
      </w:r>
    </w:p>
    <w:p w14:paraId="70FD5250" w14:textId="77777777" w:rsidR="00A901AB" w:rsidRPr="00EA4A0C" w:rsidRDefault="00A901AB" w:rsidP="00A901AB">
      <w:pPr>
        <w:rPr>
          <w:rFonts w:ascii="Verdana" w:hAnsi="Verdana"/>
          <w:sz w:val="20"/>
          <w:szCs w:val="20"/>
        </w:rPr>
      </w:pPr>
    </w:p>
    <w:p w14:paraId="1A96FB47" w14:textId="77777777" w:rsidR="00E61229" w:rsidRPr="009100C4" w:rsidRDefault="00E61229" w:rsidP="00E61229">
      <w:pPr>
        <w:tabs>
          <w:tab w:val="center" w:pos="4419"/>
          <w:tab w:val="right" w:pos="8838"/>
        </w:tabs>
        <w:rPr>
          <w:rFonts w:ascii="Verdana" w:hAnsi="Verdana" w:cs="Arial"/>
          <w:sz w:val="20"/>
          <w:szCs w:val="20"/>
        </w:rPr>
      </w:pPr>
      <w:r w:rsidRPr="009100C4">
        <w:rPr>
          <w:rFonts w:ascii="Verdana" w:hAnsi="Verdana" w:cs="Arial"/>
          <w:sz w:val="20"/>
          <w:szCs w:val="20"/>
        </w:rPr>
        <w:t xml:space="preserve">O </w:t>
      </w:r>
      <w:proofErr w:type="spellStart"/>
      <w:r w:rsidRPr="009100C4">
        <w:rPr>
          <w:rFonts w:ascii="Verdana" w:hAnsi="Verdana" w:cs="Arial"/>
          <w:sz w:val="20"/>
          <w:szCs w:val="20"/>
        </w:rPr>
        <w:t>descomissionamento</w:t>
      </w:r>
      <w:proofErr w:type="spellEnd"/>
      <w:r w:rsidRPr="009100C4">
        <w:rPr>
          <w:rFonts w:ascii="Verdana" w:hAnsi="Verdana" w:cs="Arial"/>
          <w:sz w:val="20"/>
          <w:szCs w:val="20"/>
        </w:rPr>
        <w:t xml:space="preserve"> de usinas nucleares refere-se à obrigação para desmobilização dos ativos dessas usinas para fazer face aos custos a serem incorridos ao final da vida útil econômica das mesmas. </w:t>
      </w:r>
    </w:p>
    <w:p w14:paraId="2D32849F" w14:textId="77777777" w:rsidR="00E61229" w:rsidRPr="009100C4" w:rsidRDefault="00E61229" w:rsidP="00E61229">
      <w:pPr>
        <w:tabs>
          <w:tab w:val="center" w:pos="4419"/>
          <w:tab w:val="right" w:pos="8838"/>
        </w:tabs>
        <w:rPr>
          <w:rFonts w:ascii="Verdana" w:hAnsi="Verdana" w:cs="Arial"/>
          <w:sz w:val="20"/>
          <w:szCs w:val="20"/>
        </w:rPr>
      </w:pPr>
    </w:p>
    <w:p w14:paraId="06169996" w14:textId="77777777" w:rsidR="00E61229" w:rsidRPr="009100C4" w:rsidRDefault="00E61229" w:rsidP="00E61229">
      <w:pPr>
        <w:tabs>
          <w:tab w:val="center" w:pos="4419"/>
          <w:tab w:val="right" w:pos="8838"/>
        </w:tabs>
        <w:rPr>
          <w:rFonts w:ascii="Verdana" w:hAnsi="Verdana" w:cs="Arial"/>
          <w:sz w:val="20"/>
          <w:szCs w:val="20"/>
        </w:rPr>
      </w:pPr>
      <w:r w:rsidRPr="009100C4">
        <w:rPr>
          <w:rFonts w:ascii="Verdana" w:hAnsi="Verdana" w:cs="Arial"/>
          <w:sz w:val="20"/>
          <w:szCs w:val="20"/>
        </w:rPr>
        <w:t xml:space="preserve">Conforme estabelecido no Pronunciamento Técnico CPC 25, a estimativa inicial dos custos de </w:t>
      </w:r>
      <w:proofErr w:type="spellStart"/>
      <w:r w:rsidRPr="009100C4">
        <w:rPr>
          <w:rFonts w:ascii="Verdana" w:hAnsi="Verdana" w:cs="Arial"/>
          <w:sz w:val="20"/>
          <w:szCs w:val="20"/>
        </w:rPr>
        <w:t>descomissionamento</w:t>
      </w:r>
      <w:proofErr w:type="spellEnd"/>
      <w:r w:rsidRPr="009100C4">
        <w:rPr>
          <w:rFonts w:ascii="Verdana" w:hAnsi="Verdana" w:cs="Arial"/>
          <w:sz w:val="20"/>
          <w:szCs w:val="20"/>
        </w:rPr>
        <w:t xml:space="preserve"> referentes à desmontagem e à remoção do item e de restauração dos locais nos quais as instalações estão localizadas, deve ser contabilizada como custo do empreendimento.</w:t>
      </w:r>
    </w:p>
    <w:p w14:paraId="2C0ED075" w14:textId="77777777" w:rsidR="00E61229" w:rsidRPr="009100C4" w:rsidRDefault="00E61229" w:rsidP="00E61229">
      <w:pPr>
        <w:tabs>
          <w:tab w:val="center" w:pos="4419"/>
          <w:tab w:val="right" w:pos="8838"/>
        </w:tabs>
        <w:rPr>
          <w:rFonts w:ascii="Verdana" w:hAnsi="Verdana" w:cs="Arial"/>
          <w:sz w:val="20"/>
          <w:szCs w:val="20"/>
        </w:rPr>
      </w:pPr>
    </w:p>
    <w:p w14:paraId="4F5FDE7C" w14:textId="77777777" w:rsidR="00E61229" w:rsidRPr="009100C4" w:rsidRDefault="00E61229" w:rsidP="00E61229">
      <w:pPr>
        <w:rPr>
          <w:rFonts w:ascii="Verdana" w:hAnsi="Verdana" w:cs="Arial"/>
          <w:bCs/>
          <w:sz w:val="20"/>
          <w:szCs w:val="20"/>
        </w:rPr>
      </w:pPr>
      <w:r w:rsidRPr="009100C4">
        <w:rPr>
          <w:rFonts w:ascii="Verdana" w:hAnsi="Verdana" w:cs="Arial"/>
          <w:bCs/>
          <w:sz w:val="20"/>
          <w:szCs w:val="20"/>
        </w:rPr>
        <w:lastRenderedPageBreak/>
        <w:t xml:space="preserve">No cálculo do ajuste a valor presente do passivo para </w:t>
      </w:r>
      <w:proofErr w:type="spellStart"/>
      <w:r w:rsidRPr="009100C4">
        <w:rPr>
          <w:rFonts w:ascii="Verdana" w:hAnsi="Verdana" w:cs="Arial"/>
          <w:bCs/>
          <w:sz w:val="20"/>
          <w:szCs w:val="20"/>
        </w:rPr>
        <w:t>descomissionamento</w:t>
      </w:r>
      <w:proofErr w:type="spellEnd"/>
      <w:r w:rsidRPr="009100C4">
        <w:rPr>
          <w:rFonts w:ascii="Verdana" w:hAnsi="Verdana" w:cs="Arial"/>
          <w:bCs/>
          <w:sz w:val="20"/>
          <w:szCs w:val="20"/>
        </w:rPr>
        <w:t xml:space="preserve"> é considerado o custo total estimado para o </w:t>
      </w:r>
      <w:proofErr w:type="spellStart"/>
      <w:r w:rsidRPr="009100C4">
        <w:rPr>
          <w:rFonts w:ascii="Verdana" w:hAnsi="Verdana" w:cs="Arial"/>
          <w:bCs/>
          <w:sz w:val="20"/>
          <w:szCs w:val="20"/>
        </w:rPr>
        <w:t>descomissionamento</w:t>
      </w:r>
      <w:proofErr w:type="spellEnd"/>
      <w:r w:rsidRPr="009100C4">
        <w:rPr>
          <w:rFonts w:ascii="Verdana" w:hAnsi="Verdana" w:cs="Arial"/>
          <w:bCs/>
          <w:sz w:val="20"/>
          <w:szCs w:val="20"/>
        </w:rPr>
        <w:t xml:space="preserve"> e o cronograma de desembolsos, descontado a uma taxa que represente o risco do passivo para </w:t>
      </w:r>
      <w:proofErr w:type="spellStart"/>
      <w:r w:rsidRPr="009100C4">
        <w:rPr>
          <w:rFonts w:ascii="Verdana" w:hAnsi="Verdana" w:cs="Arial"/>
          <w:bCs/>
          <w:sz w:val="20"/>
          <w:szCs w:val="20"/>
        </w:rPr>
        <w:t>descomissionamento</w:t>
      </w:r>
      <w:proofErr w:type="spellEnd"/>
      <w:r w:rsidRPr="009100C4">
        <w:rPr>
          <w:rFonts w:ascii="Verdana" w:hAnsi="Verdana" w:cs="Arial"/>
          <w:bCs/>
          <w:sz w:val="20"/>
          <w:szCs w:val="20"/>
        </w:rPr>
        <w:t xml:space="preserve">. </w:t>
      </w:r>
    </w:p>
    <w:p w14:paraId="2BE72DEA" w14:textId="77777777" w:rsidR="00E61229" w:rsidRPr="009100C4" w:rsidRDefault="00E61229" w:rsidP="00E61229">
      <w:pPr>
        <w:tabs>
          <w:tab w:val="center" w:pos="4419"/>
          <w:tab w:val="right" w:pos="8838"/>
        </w:tabs>
        <w:rPr>
          <w:rFonts w:ascii="Verdana" w:hAnsi="Verdana" w:cs="Arial"/>
          <w:sz w:val="20"/>
          <w:szCs w:val="20"/>
        </w:rPr>
      </w:pPr>
    </w:p>
    <w:p w14:paraId="5ED92EF1" w14:textId="77777777" w:rsidR="00E61229" w:rsidRPr="009100C4" w:rsidRDefault="00E61229" w:rsidP="00E61229">
      <w:pPr>
        <w:pStyle w:val="Textodecomentrio"/>
        <w:rPr>
          <w:rFonts w:ascii="Verdana" w:hAnsi="Verdana" w:cs="Arial"/>
        </w:rPr>
      </w:pPr>
      <w:r w:rsidRPr="009100C4">
        <w:rPr>
          <w:rFonts w:ascii="Verdana" w:hAnsi="Verdana" w:cs="Arial"/>
        </w:rPr>
        <w:t xml:space="preserve">No exercício de 2020, foi registrado a atualização da estimativa de custos necessária para execução das atividades de </w:t>
      </w:r>
      <w:proofErr w:type="spellStart"/>
      <w:r w:rsidRPr="009100C4">
        <w:rPr>
          <w:rFonts w:ascii="Verdana" w:hAnsi="Verdana" w:cs="Arial"/>
        </w:rPr>
        <w:t>descomissionamento</w:t>
      </w:r>
      <w:proofErr w:type="spellEnd"/>
      <w:r w:rsidRPr="009100C4">
        <w:rPr>
          <w:rFonts w:ascii="Verdana" w:hAnsi="Verdana" w:cs="Arial"/>
        </w:rPr>
        <w:t xml:space="preserve"> das Usinas Angra 1 e Angra 2 em função da revisão do fluxo de pagamentos por conta de mudança na estratégia de </w:t>
      </w:r>
      <w:proofErr w:type="spellStart"/>
      <w:r w:rsidRPr="009100C4">
        <w:rPr>
          <w:rFonts w:ascii="Verdana" w:hAnsi="Verdana" w:cs="Arial"/>
        </w:rPr>
        <w:t>descomissionamento</w:t>
      </w:r>
      <w:proofErr w:type="spellEnd"/>
      <w:r w:rsidRPr="009100C4">
        <w:rPr>
          <w:rFonts w:ascii="Verdana" w:hAnsi="Verdana" w:cs="Arial"/>
        </w:rPr>
        <w:t xml:space="preserve">. Com o estudo, concluiu-se por aumentar a mencionada estimativa do custo para </w:t>
      </w:r>
      <w:proofErr w:type="spellStart"/>
      <w:r w:rsidRPr="009100C4">
        <w:rPr>
          <w:rFonts w:ascii="Verdana" w:hAnsi="Verdana" w:cs="Arial"/>
        </w:rPr>
        <w:t>descomissionamento</w:t>
      </w:r>
      <w:proofErr w:type="spellEnd"/>
      <w:r w:rsidRPr="009100C4">
        <w:rPr>
          <w:rFonts w:ascii="Verdana" w:hAnsi="Verdana" w:cs="Arial"/>
        </w:rPr>
        <w:t xml:space="preserve"> para R$ 6.475.093, sendo R$ 3.017.913 para a Usina Angra 1 e R$ 3.457.180 para a Usina Angra 2. A provisão foi estimada a preços correntes e com base no fluxo de caixa projetado utilizando a taxa de desconto nominal média de 7,57% </w:t>
      </w:r>
      <w:proofErr w:type="spellStart"/>
      <w:r w:rsidRPr="009100C4">
        <w:rPr>
          <w:rFonts w:ascii="Verdana" w:hAnsi="Verdana" w:cs="Arial"/>
        </w:rPr>
        <w:t>a.a</w:t>
      </w:r>
      <w:proofErr w:type="spellEnd"/>
      <w:r w:rsidRPr="009100C4">
        <w:rPr>
          <w:rFonts w:ascii="Verdana" w:hAnsi="Verdana" w:cs="Arial"/>
        </w:rPr>
        <w:t xml:space="preserve">, com </w:t>
      </w:r>
      <w:proofErr w:type="spellStart"/>
      <w:r w:rsidRPr="009100C4">
        <w:rPr>
          <w:rFonts w:ascii="Verdana" w:hAnsi="Verdana" w:cs="Arial"/>
          <w:i/>
          <w:iCs/>
        </w:rPr>
        <w:t>maturity</w:t>
      </w:r>
      <w:proofErr w:type="spellEnd"/>
      <w:r w:rsidRPr="009100C4">
        <w:rPr>
          <w:rFonts w:ascii="Verdana" w:hAnsi="Verdana" w:cs="Arial"/>
        </w:rPr>
        <w:t xml:space="preserve"> mais próxima da próxima da data de início da atividade de cada rubrica somado à inflação projetada medida pelo Índice de Preços para o Consumidor Amplo - IPCA. </w:t>
      </w:r>
    </w:p>
    <w:p w14:paraId="4CEAB196" w14:textId="77777777" w:rsidR="00E61229" w:rsidRPr="009100C4" w:rsidRDefault="00E61229" w:rsidP="00E61229">
      <w:pPr>
        <w:pStyle w:val="Textodecomentrio"/>
        <w:rPr>
          <w:rFonts w:ascii="Verdana" w:hAnsi="Verdana" w:cs="Arial"/>
        </w:rPr>
      </w:pPr>
    </w:p>
    <w:p w14:paraId="62AB9FC2" w14:textId="77777777" w:rsidR="00E61229" w:rsidRPr="009100C4" w:rsidRDefault="00E61229" w:rsidP="00E61229">
      <w:pPr>
        <w:pStyle w:val="Textodecomentrio"/>
        <w:rPr>
          <w:rFonts w:ascii="Verdana" w:hAnsi="Verdana" w:cs="Arial"/>
        </w:rPr>
      </w:pPr>
      <w:r w:rsidRPr="009100C4">
        <w:rPr>
          <w:rFonts w:ascii="Verdana" w:hAnsi="Verdana" w:cs="Arial"/>
        </w:rPr>
        <w:t xml:space="preserve">No exercício de 2021, a Companhia não identificou a necessidade de alteração das estimativas de custos relacionadas com as atividades de </w:t>
      </w:r>
      <w:proofErr w:type="spellStart"/>
      <w:r w:rsidRPr="009100C4">
        <w:rPr>
          <w:rFonts w:ascii="Verdana" w:hAnsi="Verdana" w:cs="Arial"/>
        </w:rPr>
        <w:t>descomissionamento</w:t>
      </w:r>
      <w:proofErr w:type="spellEnd"/>
      <w:r w:rsidRPr="009100C4">
        <w:rPr>
          <w:rFonts w:ascii="Verdana" w:hAnsi="Verdana" w:cs="Arial"/>
        </w:rPr>
        <w:t>.</w:t>
      </w:r>
    </w:p>
    <w:p w14:paraId="6D1CAE44" w14:textId="77777777" w:rsidR="00E61229" w:rsidRPr="009100C4" w:rsidRDefault="00E61229" w:rsidP="00E61229">
      <w:pPr>
        <w:tabs>
          <w:tab w:val="center" w:pos="4419"/>
          <w:tab w:val="right" w:pos="8838"/>
        </w:tabs>
        <w:rPr>
          <w:rFonts w:ascii="Verdana" w:hAnsi="Verdana" w:cs="Arial"/>
          <w:sz w:val="20"/>
          <w:szCs w:val="20"/>
        </w:rPr>
      </w:pPr>
    </w:p>
    <w:p w14:paraId="005649EA" w14:textId="77777777" w:rsidR="00E61229" w:rsidRPr="009100C4" w:rsidRDefault="00E61229" w:rsidP="00E61229">
      <w:pPr>
        <w:pStyle w:val="Textodecomentrio"/>
        <w:rPr>
          <w:rFonts w:ascii="Verdana" w:hAnsi="Verdana" w:cs="Arial"/>
        </w:rPr>
      </w:pPr>
      <w:r w:rsidRPr="009100C4">
        <w:rPr>
          <w:rFonts w:ascii="Verdana" w:hAnsi="Verdana" w:cs="Arial"/>
        </w:rPr>
        <w:t xml:space="preserve">O ajuste a valor presente da obrigação para </w:t>
      </w:r>
      <w:proofErr w:type="spellStart"/>
      <w:r w:rsidRPr="009100C4">
        <w:rPr>
          <w:rFonts w:ascii="Verdana" w:hAnsi="Verdana" w:cs="Arial"/>
        </w:rPr>
        <w:t>descomissionamento</w:t>
      </w:r>
      <w:proofErr w:type="spellEnd"/>
      <w:r w:rsidRPr="009100C4">
        <w:rPr>
          <w:rFonts w:ascii="Verdana" w:hAnsi="Verdana" w:cs="Arial"/>
        </w:rPr>
        <w:t xml:space="preserve"> é de R$ 3.206.792, perfazendo um reconhecimento da obrigação na data base de 31 de dezembro de 2021 de R$ 3.268.301 (R$ 3.040.011 em 31 de dezembro de 2020)  </w:t>
      </w:r>
    </w:p>
    <w:p w14:paraId="095E3602" w14:textId="77777777" w:rsidR="00E61229" w:rsidRPr="009100C4" w:rsidRDefault="00E61229" w:rsidP="00E61229">
      <w:pPr>
        <w:tabs>
          <w:tab w:val="center" w:pos="4419"/>
          <w:tab w:val="right" w:pos="8838"/>
        </w:tabs>
        <w:rPr>
          <w:rFonts w:ascii="Verdana" w:hAnsi="Verdana" w:cs="Arial"/>
          <w:sz w:val="20"/>
          <w:szCs w:val="20"/>
        </w:rPr>
      </w:pPr>
    </w:p>
    <w:p w14:paraId="041F19E3" w14:textId="68D0B048" w:rsidR="00A901AB" w:rsidRDefault="00E61229" w:rsidP="009B5AA7">
      <w:pPr>
        <w:rPr>
          <w:rFonts w:ascii="Verdana" w:hAnsi="Verdana" w:cs="Arial"/>
          <w:sz w:val="20"/>
          <w:szCs w:val="20"/>
        </w:rPr>
      </w:pPr>
      <w:r w:rsidRPr="009100C4">
        <w:rPr>
          <w:rFonts w:ascii="Verdana" w:hAnsi="Verdana"/>
          <w:sz w:val="20"/>
          <w:szCs w:val="20"/>
        </w:rPr>
        <w:t>O quadro abaixo resume a posição dos valores correspondentes ao passivo total de desmobilização de ativos</w:t>
      </w:r>
      <w:r w:rsidR="00A901AB" w:rsidRPr="008A5C3D">
        <w:rPr>
          <w:rFonts w:ascii="Verdana" w:hAnsi="Verdana"/>
          <w:sz w:val="20"/>
          <w:szCs w:val="20"/>
        </w:rPr>
        <w:t>:</w:t>
      </w:r>
    </w:p>
    <w:p w14:paraId="3830D0FD" w14:textId="77777777" w:rsidR="00A901AB" w:rsidRDefault="00A901AB" w:rsidP="00A901AB">
      <w:pPr>
        <w:tabs>
          <w:tab w:val="center" w:pos="4419"/>
          <w:tab w:val="right" w:pos="8838"/>
        </w:tabs>
        <w:rPr>
          <w:rFonts w:ascii="Verdana" w:hAnsi="Verdana" w:cs="Arial"/>
          <w:sz w:val="20"/>
          <w:szCs w:val="20"/>
        </w:rPr>
      </w:pPr>
    </w:p>
    <w:p w14:paraId="43CE443D" w14:textId="77777777" w:rsidR="00A901AB" w:rsidRDefault="00007643" w:rsidP="00007643">
      <w:pPr>
        <w:tabs>
          <w:tab w:val="center" w:pos="4419"/>
          <w:tab w:val="right" w:pos="8838"/>
        </w:tabs>
        <w:jc w:val="center"/>
        <w:rPr>
          <w:rFonts w:ascii="Verdana" w:hAnsi="Verdana" w:cs="Arial"/>
          <w:sz w:val="20"/>
          <w:szCs w:val="20"/>
        </w:rPr>
      </w:pPr>
      <w:r w:rsidRPr="00007643">
        <w:rPr>
          <w:noProof/>
        </w:rPr>
        <w:drawing>
          <wp:inline distT="0" distB="0" distL="0" distR="0" wp14:anchorId="013AEED3" wp14:editId="04E050BE">
            <wp:extent cx="4946683" cy="958850"/>
            <wp:effectExtent l="0" t="0" r="6350" b="0"/>
            <wp:docPr id="450" name="Imagem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956273" cy="960709"/>
                    </a:xfrm>
                    <a:prstGeom prst="rect">
                      <a:avLst/>
                    </a:prstGeom>
                    <a:noFill/>
                    <a:ln>
                      <a:noFill/>
                    </a:ln>
                  </pic:spPr>
                </pic:pic>
              </a:graphicData>
            </a:graphic>
          </wp:inline>
        </w:drawing>
      </w:r>
    </w:p>
    <w:p w14:paraId="5B1CB931" w14:textId="77777777" w:rsidR="00A901AB" w:rsidRDefault="00A901AB" w:rsidP="00A901AB">
      <w:pPr>
        <w:rPr>
          <w:rFonts w:ascii="Verdana" w:hAnsi="Verdana"/>
          <w:sz w:val="20"/>
          <w:szCs w:val="20"/>
        </w:rPr>
      </w:pPr>
    </w:p>
    <w:p w14:paraId="77F96F41" w14:textId="77777777" w:rsidR="00A901AB" w:rsidRPr="007974B5" w:rsidRDefault="00A901AB" w:rsidP="00A901AB">
      <w:pPr>
        <w:widowControl w:val="0"/>
        <w:autoSpaceDE w:val="0"/>
        <w:autoSpaceDN w:val="0"/>
        <w:jc w:val="left"/>
        <w:rPr>
          <w:rFonts w:ascii="Verdana" w:hAnsi="Verdana"/>
          <w:color w:val="0D63B5"/>
          <w:sz w:val="20"/>
          <w:szCs w:val="20"/>
          <w:bdr w:val="nil"/>
        </w:rPr>
      </w:pPr>
      <w:r w:rsidRPr="007974B5">
        <w:rPr>
          <w:rFonts w:ascii="Verdana" w:hAnsi="Verdana"/>
          <w:color w:val="0D63B5"/>
          <w:sz w:val="20"/>
          <w:szCs w:val="20"/>
          <w:bdr w:val="nil"/>
        </w:rPr>
        <w:t>Prática contábil</w:t>
      </w:r>
    </w:p>
    <w:p w14:paraId="372E0461" w14:textId="77777777" w:rsidR="00A901AB" w:rsidRPr="007974B5" w:rsidRDefault="00A901AB" w:rsidP="00A901AB">
      <w:pPr>
        <w:widowControl w:val="0"/>
        <w:autoSpaceDE w:val="0"/>
        <w:autoSpaceDN w:val="0"/>
        <w:rPr>
          <w:rFonts w:ascii="Verdana" w:hAnsi="Verdana"/>
          <w:sz w:val="20"/>
          <w:szCs w:val="20"/>
          <w:bdr w:val="nil"/>
        </w:rPr>
      </w:pPr>
    </w:p>
    <w:p w14:paraId="415B823B" w14:textId="77777777" w:rsidR="00E61229" w:rsidRPr="007974B5" w:rsidRDefault="00E61229" w:rsidP="00E61229">
      <w:pPr>
        <w:widowControl w:val="0"/>
        <w:autoSpaceDE w:val="0"/>
        <w:autoSpaceDN w:val="0"/>
        <w:rPr>
          <w:rFonts w:ascii="Verdana" w:hAnsi="Verdana"/>
          <w:sz w:val="20"/>
          <w:szCs w:val="20"/>
          <w:bdr w:val="nil"/>
        </w:rPr>
      </w:pPr>
      <w:r w:rsidRPr="007974B5">
        <w:rPr>
          <w:rFonts w:ascii="Verdana" w:hAnsi="Verdana"/>
          <w:sz w:val="20"/>
          <w:szCs w:val="20"/>
          <w:bdr w:val="nil"/>
        </w:rPr>
        <w:t xml:space="preserve">O </w:t>
      </w:r>
      <w:proofErr w:type="spellStart"/>
      <w:r w:rsidRPr="007974B5">
        <w:rPr>
          <w:rFonts w:ascii="Verdana" w:hAnsi="Verdana"/>
          <w:sz w:val="20"/>
          <w:szCs w:val="20"/>
          <w:bdr w:val="nil"/>
        </w:rPr>
        <w:t>descomissionamento</w:t>
      </w:r>
      <w:proofErr w:type="spellEnd"/>
      <w:r w:rsidRPr="007974B5">
        <w:rPr>
          <w:rFonts w:ascii="Verdana" w:hAnsi="Verdana"/>
          <w:sz w:val="20"/>
          <w:szCs w:val="20"/>
          <w:bdr w:val="nil"/>
        </w:rPr>
        <w:t xml:space="preserve"> de usinas nucleares pode ser entendido como um conjunto de medidas tomadas para retirar de serviço, com segurança, uma instalação nuclear, reduzindo a radioatividade residual a níveis que permitam liberar o local para uso restrito ou irrestrito.</w:t>
      </w:r>
    </w:p>
    <w:p w14:paraId="6E9FE101" w14:textId="77777777" w:rsidR="00E61229" w:rsidRPr="007974B5" w:rsidRDefault="00E61229" w:rsidP="00E61229">
      <w:pPr>
        <w:widowControl w:val="0"/>
        <w:autoSpaceDE w:val="0"/>
        <w:autoSpaceDN w:val="0"/>
        <w:rPr>
          <w:rFonts w:ascii="Verdana" w:hAnsi="Verdana"/>
          <w:sz w:val="20"/>
          <w:szCs w:val="20"/>
          <w:bdr w:val="nil"/>
        </w:rPr>
      </w:pPr>
    </w:p>
    <w:p w14:paraId="0687DFD3" w14:textId="77777777" w:rsidR="00E61229" w:rsidRPr="007974B5" w:rsidRDefault="00E61229" w:rsidP="00E61229">
      <w:pPr>
        <w:widowControl w:val="0"/>
        <w:autoSpaceDE w:val="0"/>
        <w:autoSpaceDN w:val="0"/>
        <w:rPr>
          <w:rFonts w:ascii="Verdana" w:hAnsi="Verdana"/>
          <w:sz w:val="20"/>
          <w:szCs w:val="20"/>
          <w:bdr w:val="nil"/>
        </w:rPr>
      </w:pPr>
      <w:r w:rsidRPr="007974B5">
        <w:rPr>
          <w:rFonts w:ascii="Verdana" w:hAnsi="Verdana"/>
          <w:sz w:val="20"/>
          <w:szCs w:val="20"/>
          <w:bdr w:val="nil"/>
        </w:rPr>
        <w:t xml:space="preserve">É premissa fundamental para a formação desse passivo para o </w:t>
      </w:r>
      <w:proofErr w:type="spellStart"/>
      <w:r w:rsidRPr="007974B5">
        <w:rPr>
          <w:rFonts w:ascii="Verdana" w:hAnsi="Verdana"/>
          <w:sz w:val="20"/>
          <w:szCs w:val="20"/>
          <w:bdr w:val="nil"/>
        </w:rPr>
        <w:t>descomissionamento</w:t>
      </w:r>
      <w:proofErr w:type="spellEnd"/>
      <w:r w:rsidRPr="007974B5">
        <w:rPr>
          <w:rFonts w:ascii="Verdana" w:hAnsi="Verdana"/>
          <w:sz w:val="20"/>
          <w:szCs w:val="20"/>
          <w:bdr w:val="nil"/>
        </w:rPr>
        <w:t xml:space="preserve">, que o valor estimado para a sua realização deva ser atualizado ao longo da vida útil econômica das usinas, considerando os avanços tecnológicos, com o objetivo de alocar ao respectivo período de competência da operação os custos a serem incorridos com a desativação técnico-operacional das usinas. </w:t>
      </w:r>
    </w:p>
    <w:p w14:paraId="25A249E4" w14:textId="77777777" w:rsidR="00E61229" w:rsidRPr="00E56887" w:rsidRDefault="00E61229" w:rsidP="00E61229">
      <w:pPr>
        <w:widowControl w:val="0"/>
        <w:autoSpaceDE w:val="0"/>
        <w:autoSpaceDN w:val="0"/>
        <w:rPr>
          <w:rFonts w:ascii="Verdana" w:hAnsi="Verdana"/>
          <w:sz w:val="20"/>
          <w:szCs w:val="20"/>
          <w:highlight w:val="green"/>
          <w:bdr w:val="nil"/>
        </w:rPr>
      </w:pPr>
    </w:p>
    <w:p w14:paraId="5DF9780F" w14:textId="77777777" w:rsidR="00E61229" w:rsidRPr="000628DC" w:rsidRDefault="00E61229" w:rsidP="00E61229">
      <w:pPr>
        <w:widowControl w:val="0"/>
        <w:autoSpaceDE w:val="0"/>
        <w:autoSpaceDN w:val="0"/>
        <w:rPr>
          <w:rFonts w:ascii="Verdana" w:hAnsi="Verdana"/>
          <w:sz w:val="20"/>
          <w:szCs w:val="20"/>
          <w:bdr w:val="nil"/>
        </w:rPr>
      </w:pPr>
      <w:r w:rsidRPr="000628DC">
        <w:rPr>
          <w:rFonts w:ascii="Verdana" w:hAnsi="Verdana"/>
          <w:sz w:val="20"/>
          <w:szCs w:val="20"/>
          <w:bdr w:val="nil"/>
        </w:rPr>
        <w:t xml:space="preserve">Conforme previsto no pronunciamento IAS 37 – Provisões, Passivos Contingentes e Ativos Contingentes (equivalente ao CPC 25), é constituída provisão ao longo do tempo de vida útil econômica de usinas termonucleares. O objetivo de tal provisão é alocar ao respectivo período de operação os custos a serem incorridos com sua desativação técnico-operacional, ao término da sua vida útil, estimada em quarenta anos. </w:t>
      </w:r>
    </w:p>
    <w:p w14:paraId="467FB52F" w14:textId="77777777" w:rsidR="00E61229" w:rsidRPr="000628DC" w:rsidRDefault="00E61229" w:rsidP="00E61229">
      <w:pPr>
        <w:widowControl w:val="0"/>
        <w:autoSpaceDE w:val="0"/>
        <w:autoSpaceDN w:val="0"/>
        <w:rPr>
          <w:rFonts w:ascii="Verdana" w:hAnsi="Verdana"/>
          <w:sz w:val="20"/>
          <w:szCs w:val="20"/>
          <w:bdr w:val="nil"/>
        </w:rPr>
      </w:pPr>
    </w:p>
    <w:p w14:paraId="2C56AED5" w14:textId="77777777" w:rsidR="00E61229" w:rsidRPr="000628DC" w:rsidRDefault="00E61229" w:rsidP="00E61229">
      <w:pPr>
        <w:spacing w:line="264" w:lineRule="auto"/>
        <w:rPr>
          <w:rFonts w:ascii="Verdana" w:hAnsi="Verdana"/>
          <w:sz w:val="20"/>
          <w:szCs w:val="20"/>
        </w:rPr>
      </w:pPr>
      <w:r w:rsidRPr="000628DC">
        <w:rPr>
          <w:rFonts w:ascii="Verdana" w:hAnsi="Verdana"/>
          <w:sz w:val="20"/>
          <w:szCs w:val="20"/>
        </w:rPr>
        <w:t xml:space="preserve">Nos termos do Pronunciamento Técnico 27 e ICPC 12, do Comitê de Pronunciamentos Contábeis, a Companhia contabilizou no Ativo Imobilizado, em contrapartida ao Passivo Não Circulante, os valores das estimativas aprovadas. </w:t>
      </w:r>
    </w:p>
    <w:p w14:paraId="147DE44B" w14:textId="77777777" w:rsidR="00E61229" w:rsidRPr="000628DC" w:rsidRDefault="00E61229" w:rsidP="00E61229">
      <w:pPr>
        <w:tabs>
          <w:tab w:val="center" w:pos="4419"/>
          <w:tab w:val="right" w:pos="8838"/>
        </w:tabs>
        <w:spacing w:line="264" w:lineRule="auto"/>
        <w:rPr>
          <w:rFonts w:ascii="Verdana" w:hAnsi="Verdana" w:cs="Arial"/>
          <w:b/>
          <w:sz w:val="24"/>
        </w:rPr>
      </w:pPr>
    </w:p>
    <w:p w14:paraId="3CABCC97" w14:textId="77777777" w:rsidR="00E61229" w:rsidRPr="00A5282B" w:rsidRDefault="00E61229" w:rsidP="00E61229">
      <w:pPr>
        <w:tabs>
          <w:tab w:val="center" w:pos="4419"/>
          <w:tab w:val="right" w:pos="8838"/>
        </w:tabs>
        <w:spacing w:line="264" w:lineRule="auto"/>
        <w:rPr>
          <w:rFonts w:ascii="Verdana" w:hAnsi="Verdana"/>
          <w:sz w:val="20"/>
          <w:szCs w:val="20"/>
        </w:rPr>
      </w:pPr>
      <w:r w:rsidRPr="000628DC">
        <w:rPr>
          <w:rFonts w:ascii="Verdana" w:hAnsi="Verdana"/>
          <w:sz w:val="20"/>
          <w:szCs w:val="20"/>
        </w:rPr>
        <w:t xml:space="preserve">O custo total estimado é descontado a valor presente, com base em taxa que represente o custo de capital da Companhia e registrado no Imobilizado, em contrapartida </w:t>
      </w:r>
      <w:r>
        <w:rPr>
          <w:rFonts w:ascii="Verdana" w:hAnsi="Verdana"/>
          <w:sz w:val="20"/>
          <w:szCs w:val="20"/>
        </w:rPr>
        <w:t>à</w:t>
      </w:r>
      <w:r w:rsidRPr="000628DC">
        <w:rPr>
          <w:rFonts w:ascii="Verdana" w:hAnsi="Verdana"/>
          <w:sz w:val="20"/>
          <w:szCs w:val="20"/>
        </w:rPr>
        <w:t xml:space="preserve"> obrigação para desmobilização de ativos.</w:t>
      </w:r>
      <w:r w:rsidRPr="00A5282B">
        <w:rPr>
          <w:rFonts w:ascii="Verdana" w:hAnsi="Verdana"/>
          <w:sz w:val="20"/>
          <w:szCs w:val="20"/>
        </w:rPr>
        <w:t xml:space="preserve"> </w:t>
      </w:r>
    </w:p>
    <w:p w14:paraId="25D4914D" w14:textId="77777777" w:rsidR="00E61229" w:rsidRPr="00B340A2" w:rsidRDefault="00E61229" w:rsidP="00E61229">
      <w:pPr>
        <w:widowControl w:val="0"/>
        <w:autoSpaceDE w:val="0"/>
        <w:autoSpaceDN w:val="0"/>
        <w:rPr>
          <w:rFonts w:ascii="Verdana" w:hAnsi="Verdana"/>
          <w:sz w:val="20"/>
          <w:szCs w:val="20"/>
        </w:rPr>
      </w:pPr>
    </w:p>
    <w:p w14:paraId="66D705A5" w14:textId="77777777" w:rsidR="00E61229" w:rsidRPr="00B340A2" w:rsidRDefault="00E61229" w:rsidP="00E61229">
      <w:pPr>
        <w:rPr>
          <w:rFonts w:ascii="Verdana" w:hAnsi="Verdana"/>
          <w:sz w:val="20"/>
          <w:szCs w:val="20"/>
        </w:rPr>
      </w:pPr>
      <w:r w:rsidRPr="00B340A2">
        <w:rPr>
          <w:rFonts w:ascii="Verdana" w:hAnsi="Verdana"/>
          <w:sz w:val="20"/>
          <w:szCs w:val="20"/>
        </w:rPr>
        <w:lastRenderedPageBreak/>
        <w:t xml:space="preserve">A Companhia revisa anualmente os valores da provisão do passivo para </w:t>
      </w:r>
      <w:proofErr w:type="spellStart"/>
      <w:r w:rsidRPr="00B340A2">
        <w:rPr>
          <w:rFonts w:ascii="Verdana" w:hAnsi="Verdana"/>
          <w:sz w:val="20"/>
          <w:szCs w:val="20"/>
        </w:rPr>
        <w:t>descomissionamento</w:t>
      </w:r>
      <w:proofErr w:type="spellEnd"/>
      <w:r w:rsidRPr="00B340A2">
        <w:rPr>
          <w:rFonts w:ascii="Verdana" w:hAnsi="Verdana"/>
          <w:sz w:val="20"/>
          <w:szCs w:val="20"/>
        </w:rPr>
        <w:t xml:space="preserve">. </w:t>
      </w:r>
    </w:p>
    <w:p w14:paraId="62008081" w14:textId="77777777" w:rsidR="00E61229" w:rsidRPr="00B340A2" w:rsidRDefault="00E61229" w:rsidP="00E61229">
      <w:pPr>
        <w:rPr>
          <w:rFonts w:ascii="Verdana" w:hAnsi="Verdana"/>
          <w:sz w:val="20"/>
          <w:szCs w:val="20"/>
        </w:rPr>
      </w:pPr>
    </w:p>
    <w:p w14:paraId="1D72F6A3" w14:textId="484EAE7A" w:rsidR="00A901AB" w:rsidRPr="00B340A2" w:rsidRDefault="00E61229" w:rsidP="00E61229">
      <w:pPr>
        <w:widowControl w:val="0"/>
        <w:autoSpaceDE w:val="0"/>
        <w:autoSpaceDN w:val="0"/>
        <w:rPr>
          <w:rFonts w:ascii="Verdana" w:hAnsi="Verdana"/>
          <w:sz w:val="20"/>
          <w:szCs w:val="20"/>
        </w:rPr>
      </w:pPr>
      <w:r w:rsidRPr="00B340A2">
        <w:rPr>
          <w:rFonts w:ascii="Verdana" w:hAnsi="Verdana"/>
          <w:sz w:val="20"/>
          <w:szCs w:val="20"/>
        </w:rPr>
        <w:t>Mensurada pelo valor presente dos gastos e classificada no passivo não circulante, essa provisão destina-se ao custeio dos gastos com a desmobilização das usinas nucleares, quais sejam: o desmantelamento e a descontaminação dos materiais, equipamentos e instalações, os quais incorrerão no término da vida útil econômica das usinas, tendo como contrapartida o imobilizado</w:t>
      </w:r>
      <w:r w:rsidR="00A901AB" w:rsidRPr="00B340A2">
        <w:rPr>
          <w:rFonts w:ascii="Verdana" w:hAnsi="Verdana"/>
          <w:sz w:val="20"/>
          <w:szCs w:val="20"/>
        </w:rPr>
        <w:t>.</w:t>
      </w:r>
    </w:p>
    <w:p w14:paraId="5E6C7E77" w14:textId="77777777" w:rsidR="004C1033" w:rsidRDefault="004C1033" w:rsidP="00BA2DE2">
      <w:pPr>
        <w:widowControl w:val="0"/>
        <w:autoSpaceDE w:val="0"/>
        <w:autoSpaceDN w:val="0"/>
        <w:jc w:val="left"/>
        <w:rPr>
          <w:rFonts w:ascii="Verdana" w:hAnsi="Verdana"/>
          <w:sz w:val="20"/>
          <w:szCs w:val="20"/>
          <w:shd w:val="clear" w:color="auto" w:fill="FFFFFF"/>
        </w:rPr>
      </w:pPr>
    </w:p>
    <w:p w14:paraId="033C7E5D" w14:textId="77777777" w:rsidR="004C1033" w:rsidRDefault="004C1033" w:rsidP="00BA2DE2">
      <w:pPr>
        <w:widowControl w:val="0"/>
        <w:autoSpaceDE w:val="0"/>
        <w:autoSpaceDN w:val="0"/>
        <w:jc w:val="left"/>
        <w:rPr>
          <w:rFonts w:ascii="Verdana" w:hAnsi="Verdana"/>
          <w:sz w:val="20"/>
          <w:szCs w:val="20"/>
          <w:shd w:val="clear" w:color="auto" w:fill="FFFFFF"/>
        </w:rPr>
      </w:pPr>
    </w:p>
    <w:p w14:paraId="42C8752D" w14:textId="77777777" w:rsidR="0036320F" w:rsidRDefault="0036320F" w:rsidP="00BA2DE2">
      <w:pPr>
        <w:widowControl w:val="0"/>
        <w:autoSpaceDE w:val="0"/>
        <w:autoSpaceDN w:val="0"/>
        <w:jc w:val="left"/>
        <w:rPr>
          <w:rFonts w:ascii="Verdana" w:hAnsi="Verdana"/>
          <w:sz w:val="20"/>
          <w:szCs w:val="20"/>
          <w:shd w:val="clear" w:color="auto" w:fill="FFFFFF"/>
        </w:rPr>
      </w:pPr>
    </w:p>
    <w:p w14:paraId="1F440C74" w14:textId="77777777" w:rsidR="00007643" w:rsidRPr="005C5C69" w:rsidRDefault="00007643" w:rsidP="00007643">
      <w:pPr>
        <w:tabs>
          <w:tab w:val="left" w:pos="567"/>
          <w:tab w:val="left" w:pos="1134"/>
          <w:tab w:val="left" w:pos="1701"/>
          <w:tab w:val="left" w:pos="2268"/>
          <w:tab w:val="left" w:pos="2835"/>
        </w:tabs>
        <w:outlineLvl w:val="0"/>
        <w:rPr>
          <w:rFonts w:ascii="Verdana" w:hAnsi="Verdana"/>
          <w:b/>
          <w:color w:val="0D63B5"/>
          <w:sz w:val="20"/>
          <w:szCs w:val="20"/>
        </w:rPr>
      </w:pPr>
      <w:r w:rsidRPr="005C5C69">
        <w:rPr>
          <w:rFonts w:ascii="Verdana" w:hAnsi="Verdana"/>
          <w:b/>
          <w:color w:val="0D63B5"/>
          <w:sz w:val="20"/>
          <w:szCs w:val="20"/>
        </w:rPr>
        <w:t xml:space="preserve">NOTA </w:t>
      </w:r>
      <w:r>
        <w:rPr>
          <w:rFonts w:ascii="Verdana" w:hAnsi="Verdana"/>
          <w:b/>
          <w:color w:val="0D63B5"/>
          <w:sz w:val="20"/>
          <w:szCs w:val="20"/>
        </w:rPr>
        <w:t>28</w:t>
      </w:r>
      <w:r w:rsidRPr="005C5C69">
        <w:rPr>
          <w:rFonts w:ascii="Verdana" w:hAnsi="Verdana"/>
          <w:b/>
          <w:color w:val="0D63B5"/>
          <w:sz w:val="20"/>
          <w:szCs w:val="20"/>
        </w:rPr>
        <w:t xml:space="preserve"> – </w:t>
      </w:r>
      <w:r>
        <w:rPr>
          <w:rFonts w:ascii="Verdana" w:hAnsi="Verdana"/>
          <w:b/>
          <w:color w:val="0D63B5"/>
          <w:sz w:val="20"/>
          <w:szCs w:val="20"/>
        </w:rPr>
        <w:t xml:space="preserve">ADIANTAMENTO PARA FUTURO AUMENTO DE CAPITAL - AFAC </w:t>
      </w:r>
    </w:p>
    <w:p w14:paraId="109E851A" w14:textId="77777777" w:rsidR="00BA2DE2" w:rsidRDefault="00BA2DE2" w:rsidP="00F908E9">
      <w:pPr>
        <w:tabs>
          <w:tab w:val="left" w:pos="567"/>
          <w:tab w:val="left" w:pos="1134"/>
          <w:tab w:val="left" w:pos="1701"/>
          <w:tab w:val="left" w:pos="2268"/>
          <w:tab w:val="left" w:pos="2835"/>
        </w:tabs>
        <w:outlineLvl w:val="0"/>
        <w:rPr>
          <w:rFonts w:ascii="Verdana" w:hAnsi="Verdana" w:cs="Verdana"/>
          <w:b/>
          <w:color w:val="0D63B5"/>
          <w:sz w:val="20"/>
          <w:szCs w:val="20"/>
        </w:rPr>
      </w:pPr>
    </w:p>
    <w:p w14:paraId="2C64EA72" w14:textId="77777777" w:rsidR="0086101E" w:rsidRPr="00AC138B" w:rsidRDefault="0086101E" w:rsidP="0086101E">
      <w:pPr>
        <w:pStyle w:val="Corpodetexto"/>
        <w:ind w:right="17"/>
        <w:rPr>
          <w:rFonts w:ascii="Verdana" w:hAnsi="Verdana"/>
          <w:lang w:val="pt-BR"/>
        </w:rPr>
      </w:pPr>
      <w:bookmarkStart w:id="23" w:name="_Hlk94185039"/>
    </w:p>
    <w:p w14:paraId="3682F380" w14:textId="77777777" w:rsidR="0086101E" w:rsidRDefault="0086101E" w:rsidP="0086101E">
      <w:pPr>
        <w:rPr>
          <w:rFonts w:ascii="Verdana" w:hAnsi="Verdana"/>
          <w:sz w:val="20"/>
          <w:szCs w:val="20"/>
        </w:rPr>
      </w:pPr>
      <w:r w:rsidRPr="00133925">
        <w:rPr>
          <w:rFonts w:ascii="Verdana" w:hAnsi="Verdana"/>
          <w:sz w:val="20"/>
          <w:szCs w:val="20"/>
        </w:rPr>
        <w:t>A Companhia apresenta no passivo não circulante, valores correspondentes a AFAC, conforme movimentação abaixo:</w:t>
      </w:r>
    </w:p>
    <w:p w14:paraId="58C45867" w14:textId="77777777" w:rsidR="009037F8" w:rsidRDefault="009037F8" w:rsidP="0086101E">
      <w:pPr>
        <w:rPr>
          <w:rFonts w:ascii="Verdana" w:hAnsi="Verdana"/>
          <w:sz w:val="20"/>
          <w:szCs w:val="20"/>
        </w:rPr>
      </w:pPr>
    </w:p>
    <w:p w14:paraId="7F805EA0" w14:textId="77777777" w:rsidR="0086101E" w:rsidRPr="00902821" w:rsidRDefault="0086101E" w:rsidP="0086101E">
      <w:pPr>
        <w:rPr>
          <w:rFonts w:ascii="Verdana" w:hAnsi="Verdana"/>
          <w:sz w:val="20"/>
          <w:szCs w:val="20"/>
        </w:rPr>
      </w:pPr>
    </w:p>
    <w:p w14:paraId="7ABB1FF3" w14:textId="77777777" w:rsidR="0086101E" w:rsidRPr="00902821" w:rsidRDefault="00085ED0" w:rsidP="000141AE">
      <w:pPr>
        <w:pStyle w:val="Textodecomentrio"/>
        <w:tabs>
          <w:tab w:val="left" w:pos="1985"/>
        </w:tabs>
        <w:jc w:val="center"/>
        <w:rPr>
          <w:rFonts w:ascii="Verdana" w:hAnsi="Verdana"/>
          <w:sz w:val="14"/>
          <w:szCs w:val="14"/>
        </w:rPr>
      </w:pPr>
      <w:r w:rsidRPr="00085ED0">
        <w:rPr>
          <w:noProof/>
        </w:rPr>
        <w:drawing>
          <wp:inline distT="0" distB="0" distL="0" distR="0" wp14:anchorId="110CD2EC" wp14:editId="6046C5A2">
            <wp:extent cx="3681096" cy="1279622"/>
            <wp:effectExtent l="0" t="0" r="0" b="0"/>
            <wp:docPr id="503" name="Imagem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707440" cy="1288780"/>
                    </a:xfrm>
                    <a:prstGeom prst="rect">
                      <a:avLst/>
                    </a:prstGeom>
                    <a:noFill/>
                    <a:ln>
                      <a:noFill/>
                    </a:ln>
                  </pic:spPr>
                </pic:pic>
              </a:graphicData>
            </a:graphic>
          </wp:inline>
        </w:drawing>
      </w:r>
    </w:p>
    <w:p w14:paraId="77C5A8FB" w14:textId="77777777" w:rsidR="00A53222" w:rsidRDefault="00A53222" w:rsidP="0086101E">
      <w:pPr>
        <w:rPr>
          <w:rFonts w:ascii="Verdana" w:hAnsi="Verdana"/>
          <w:sz w:val="20"/>
          <w:szCs w:val="20"/>
        </w:rPr>
      </w:pPr>
    </w:p>
    <w:p w14:paraId="6FAE6096" w14:textId="77777777" w:rsidR="00E61229" w:rsidRPr="00902821" w:rsidRDefault="00E61229" w:rsidP="00E61229">
      <w:pPr>
        <w:tabs>
          <w:tab w:val="num" w:pos="360"/>
        </w:tabs>
        <w:rPr>
          <w:rFonts w:ascii="Verdana" w:hAnsi="Verdana" w:cs="Arial"/>
          <w:color w:val="000000" w:themeColor="text1"/>
          <w:sz w:val="20"/>
          <w:szCs w:val="20"/>
        </w:rPr>
      </w:pPr>
      <w:r w:rsidRPr="00902821">
        <w:rPr>
          <w:rFonts w:ascii="Verdana" w:hAnsi="Verdana" w:cs="Arial"/>
          <w:color w:val="000000" w:themeColor="text1"/>
          <w:sz w:val="20"/>
          <w:szCs w:val="20"/>
        </w:rPr>
        <w:t xml:space="preserve">Em de junho de 2020, ocorreu a aprovação pelas instâncias de governança da </w:t>
      </w:r>
      <w:r>
        <w:rPr>
          <w:rFonts w:ascii="Verdana" w:hAnsi="Verdana" w:cs="Arial"/>
          <w:color w:val="000000" w:themeColor="text1"/>
          <w:sz w:val="20"/>
          <w:szCs w:val="20"/>
        </w:rPr>
        <w:t>ELETRONUCLEAR</w:t>
      </w:r>
      <w:r w:rsidRPr="00902821">
        <w:rPr>
          <w:rFonts w:ascii="Verdana" w:hAnsi="Verdana" w:cs="Arial"/>
          <w:color w:val="000000" w:themeColor="text1"/>
          <w:sz w:val="20"/>
          <w:szCs w:val="20"/>
        </w:rPr>
        <w:t xml:space="preserve"> da conversão do valor de R$ 850.000, referentes aos Contratos de Adiantamentos para Futuro Aumento de Capital nº ECF 3381/19 e nº ECF 3384/19 firmados com a Eletrobras, em capital social da companhia. </w:t>
      </w:r>
    </w:p>
    <w:p w14:paraId="0FBC4771" w14:textId="77777777" w:rsidR="00E61229" w:rsidRPr="00902821" w:rsidRDefault="00E61229" w:rsidP="00E61229">
      <w:pPr>
        <w:tabs>
          <w:tab w:val="num" w:pos="360"/>
        </w:tabs>
        <w:rPr>
          <w:rFonts w:ascii="Verdana" w:hAnsi="Verdana" w:cs="Arial"/>
          <w:sz w:val="20"/>
          <w:szCs w:val="20"/>
        </w:rPr>
      </w:pPr>
    </w:p>
    <w:p w14:paraId="450D71B9" w14:textId="77777777" w:rsidR="00E61229" w:rsidRPr="00902821" w:rsidRDefault="00E61229" w:rsidP="00E61229">
      <w:pPr>
        <w:tabs>
          <w:tab w:val="num" w:pos="360"/>
        </w:tabs>
        <w:rPr>
          <w:rFonts w:ascii="Verdana" w:hAnsi="Verdana" w:cs="Arial"/>
          <w:sz w:val="20"/>
          <w:szCs w:val="20"/>
        </w:rPr>
      </w:pPr>
      <w:r w:rsidRPr="00902821">
        <w:rPr>
          <w:rFonts w:ascii="Verdana" w:hAnsi="Verdana" w:cs="Arial"/>
          <w:sz w:val="20"/>
          <w:szCs w:val="20"/>
        </w:rPr>
        <w:t xml:space="preserve">Em 17 de Julho de 2020, o Conselho de Administração da Eletrobras aprovou o Plano de Aceleração da Linha Crítica do empreendimento de Angra 3, que prevê o aporte pela </w:t>
      </w:r>
      <w:r w:rsidRPr="00DB680D">
        <w:rPr>
          <w:rFonts w:ascii="Verdana" w:hAnsi="Verdana" w:cs="Arial"/>
          <w:i/>
          <w:iCs/>
          <w:sz w:val="20"/>
          <w:szCs w:val="20"/>
        </w:rPr>
        <w:t>Holding</w:t>
      </w:r>
      <w:r w:rsidRPr="00902821">
        <w:rPr>
          <w:rFonts w:ascii="Verdana" w:hAnsi="Verdana" w:cs="Arial"/>
          <w:sz w:val="20"/>
          <w:szCs w:val="20"/>
        </w:rPr>
        <w:t xml:space="preserve"> na </w:t>
      </w:r>
      <w:r>
        <w:rPr>
          <w:rFonts w:ascii="Verdana" w:hAnsi="Verdana" w:cs="Arial"/>
          <w:sz w:val="20"/>
          <w:szCs w:val="20"/>
        </w:rPr>
        <w:t>ELETRONUCLEAR</w:t>
      </w:r>
      <w:r w:rsidRPr="00902821">
        <w:rPr>
          <w:rFonts w:ascii="Verdana" w:hAnsi="Verdana" w:cs="Arial"/>
          <w:sz w:val="20"/>
          <w:szCs w:val="20"/>
        </w:rPr>
        <w:t>, por meio de Adiantamentos para Futuro Aumento de Capital – AFAC, de cerca de R$ 1.052.000 no ano de 2020 e de aproximadamente R$ 2.447.000 em 2021, para viabilizar a retomada das obras de construção da Usina de Angra 3. O referido plano de aceleração do empreendimento foi aprovado nas instâncias de governança internas da ELETRONCULEAR pela sua Diretoria Executiva em 15 de maio e pelo seu Conselho de Administração em 19 de maio de 2020.</w:t>
      </w:r>
    </w:p>
    <w:p w14:paraId="2FD09E79" w14:textId="77777777" w:rsidR="00E61229" w:rsidRPr="00902821" w:rsidRDefault="00E61229" w:rsidP="00E61229">
      <w:pPr>
        <w:tabs>
          <w:tab w:val="num" w:pos="360"/>
        </w:tabs>
        <w:rPr>
          <w:rFonts w:ascii="Verdana" w:hAnsi="Verdana" w:cs="Arial"/>
          <w:sz w:val="20"/>
          <w:szCs w:val="20"/>
        </w:rPr>
      </w:pPr>
    </w:p>
    <w:p w14:paraId="715C60BF" w14:textId="77777777" w:rsidR="00E61229" w:rsidRPr="00902821" w:rsidRDefault="00E61229" w:rsidP="00E61229">
      <w:pPr>
        <w:tabs>
          <w:tab w:val="num" w:pos="360"/>
        </w:tabs>
        <w:rPr>
          <w:rFonts w:ascii="Verdana" w:hAnsi="Verdana" w:cs="Arial"/>
          <w:sz w:val="20"/>
          <w:szCs w:val="20"/>
        </w:rPr>
      </w:pPr>
      <w:r w:rsidRPr="00902821">
        <w:rPr>
          <w:rFonts w:ascii="Verdana" w:hAnsi="Verdana" w:cs="Arial"/>
          <w:sz w:val="20"/>
          <w:szCs w:val="20"/>
        </w:rPr>
        <w:t xml:space="preserve">Em 05 de Agosto de 2020, foi formalizado o contrato nº ECF 3387/20, assinado pelas diretorias da </w:t>
      </w:r>
      <w:r>
        <w:rPr>
          <w:rFonts w:ascii="Verdana" w:hAnsi="Verdana" w:cs="Arial"/>
          <w:sz w:val="20"/>
          <w:szCs w:val="20"/>
        </w:rPr>
        <w:t>ELETRONUCLEAR</w:t>
      </w:r>
      <w:r w:rsidRPr="00902821">
        <w:rPr>
          <w:rFonts w:ascii="Verdana" w:hAnsi="Verdana" w:cs="Arial"/>
          <w:sz w:val="20"/>
          <w:szCs w:val="20"/>
        </w:rPr>
        <w:t xml:space="preserve"> e da Eletrobras, com a previsão de aportes na forma de Adiantamento para Futuro Aumento de Capital – AFAC, previstos no Plano de Aceleração da Linha Crítica de Angra 3 em 2020 e 2021.</w:t>
      </w:r>
    </w:p>
    <w:p w14:paraId="7FF86297" w14:textId="77777777" w:rsidR="00E61229" w:rsidRPr="00902821" w:rsidRDefault="00E61229" w:rsidP="00E61229">
      <w:pPr>
        <w:tabs>
          <w:tab w:val="num" w:pos="360"/>
        </w:tabs>
        <w:rPr>
          <w:rFonts w:ascii="Verdana" w:hAnsi="Verdana" w:cs="Arial"/>
          <w:sz w:val="20"/>
          <w:szCs w:val="20"/>
        </w:rPr>
      </w:pPr>
    </w:p>
    <w:p w14:paraId="76EB2793" w14:textId="77777777" w:rsidR="00E61229" w:rsidRPr="00902821" w:rsidRDefault="00E61229" w:rsidP="00E61229">
      <w:pPr>
        <w:tabs>
          <w:tab w:val="num" w:pos="360"/>
        </w:tabs>
        <w:rPr>
          <w:rFonts w:ascii="Verdana" w:hAnsi="Verdana" w:cs="Arial"/>
          <w:sz w:val="20"/>
          <w:szCs w:val="20"/>
        </w:rPr>
      </w:pPr>
      <w:r w:rsidRPr="00902821">
        <w:rPr>
          <w:rFonts w:ascii="Verdana" w:hAnsi="Verdana" w:cs="Arial"/>
          <w:sz w:val="20"/>
          <w:szCs w:val="20"/>
        </w:rPr>
        <w:t xml:space="preserve">Conforme cláusulas contratuais, assim como, os contratos anteriores da mesma natureza, o valor do AFAC será capitalizado, por meio de aumento de capital, após a </w:t>
      </w:r>
      <w:r>
        <w:rPr>
          <w:rFonts w:ascii="Verdana" w:hAnsi="Verdana" w:cs="Arial"/>
          <w:sz w:val="20"/>
          <w:szCs w:val="20"/>
        </w:rPr>
        <w:t>ELETRONUCLEAR</w:t>
      </w:r>
      <w:r w:rsidRPr="00902821">
        <w:rPr>
          <w:rFonts w:ascii="Verdana" w:hAnsi="Verdana" w:cs="Arial"/>
          <w:sz w:val="20"/>
          <w:szCs w:val="20"/>
        </w:rPr>
        <w:t xml:space="preserve"> ter cumprido todas as disposições necessárias para a formalização do instrumento. </w:t>
      </w:r>
    </w:p>
    <w:p w14:paraId="365A21D2" w14:textId="77777777" w:rsidR="00E61229" w:rsidRPr="00902821" w:rsidRDefault="00E61229" w:rsidP="00E61229">
      <w:pPr>
        <w:tabs>
          <w:tab w:val="num" w:pos="360"/>
        </w:tabs>
        <w:rPr>
          <w:rFonts w:ascii="Verdana" w:hAnsi="Verdana" w:cs="Arial"/>
          <w:sz w:val="20"/>
          <w:szCs w:val="20"/>
        </w:rPr>
      </w:pPr>
    </w:p>
    <w:p w14:paraId="3AD05306" w14:textId="77777777" w:rsidR="00E61229" w:rsidRPr="00902821" w:rsidRDefault="00E61229" w:rsidP="00E61229">
      <w:pPr>
        <w:tabs>
          <w:tab w:val="num" w:pos="360"/>
        </w:tabs>
        <w:rPr>
          <w:rFonts w:ascii="Verdana" w:hAnsi="Verdana" w:cs="Arial"/>
          <w:sz w:val="20"/>
          <w:szCs w:val="20"/>
        </w:rPr>
      </w:pPr>
      <w:r w:rsidRPr="00902821">
        <w:rPr>
          <w:rFonts w:ascii="Verdana" w:hAnsi="Verdana" w:cs="Arial"/>
          <w:sz w:val="20"/>
          <w:szCs w:val="20"/>
        </w:rPr>
        <w:t>Em 26 de Agosto de 2020, houve a realização da primeira liberação no âmbito do contrato nº ECF 3387/20 no valor de R$ 371.000.</w:t>
      </w:r>
    </w:p>
    <w:p w14:paraId="650DEFEF" w14:textId="77777777" w:rsidR="00E61229" w:rsidRPr="00902821" w:rsidRDefault="00E61229" w:rsidP="00E61229">
      <w:pPr>
        <w:rPr>
          <w:rFonts w:ascii="Verdana" w:hAnsi="Verdana" w:cs="Arial"/>
          <w:sz w:val="20"/>
          <w:szCs w:val="20"/>
        </w:rPr>
      </w:pPr>
    </w:p>
    <w:p w14:paraId="62BA8D19" w14:textId="77777777" w:rsidR="00E61229" w:rsidRPr="00902821" w:rsidRDefault="00E61229" w:rsidP="00E61229">
      <w:pPr>
        <w:tabs>
          <w:tab w:val="num" w:pos="360"/>
        </w:tabs>
        <w:rPr>
          <w:rFonts w:ascii="Verdana" w:hAnsi="Verdana" w:cs="Arial"/>
          <w:sz w:val="20"/>
          <w:szCs w:val="20"/>
        </w:rPr>
      </w:pPr>
      <w:r w:rsidRPr="00902821">
        <w:rPr>
          <w:rFonts w:ascii="Verdana" w:hAnsi="Verdana" w:cs="Arial"/>
          <w:sz w:val="20"/>
          <w:szCs w:val="20"/>
        </w:rPr>
        <w:t>Em 30 de setembro de 2020, foi registrada variação monetária no valor de R$ 11.349, referente à atualização pela taxa SELIC da primeira liberação do contrato de AFAC nº ECF-3381/19, ocorrida em 01 de agosto de 2019, conforme cláusula contratual que previa atualização do valor concedido pela taxa SELIC caso o prazo para efetivação do aumento de capital fosse superior a um ano.</w:t>
      </w:r>
    </w:p>
    <w:p w14:paraId="29C3D9CA" w14:textId="77777777" w:rsidR="00E61229" w:rsidRPr="00902821" w:rsidRDefault="00E61229" w:rsidP="00E61229">
      <w:pPr>
        <w:tabs>
          <w:tab w:val="num" w:pos="360"/>
        </w:tabs>
        <w:rPr>
          <w:rFonts w:ascii="Verdana" w:hAnsi="Verdana" w:cs="Arial"/>
          <w:sz w:val="20"/>
          <w:szCs w:val="20"/>
        </w:rPr>
      </w:pPr>
    </w:p>
    <w:p w14:paraId="5986EED3" w14:textId="77777777" w:rsidR="00E61229" w:rsidRPr="00902821" w:rsidRDefault="00E61229" w:rsidP="00E61229">
      <w:pPr>
        <w:rPr>
          <w:rFonts w:ascii="Verdana" w:hAnsi="Verdana" w:cs="Arial"/>
          <w:sz w:val="20"/>
          <w:szCs w:val="20"/>
        </w:rPr>
      </w:pPr>
      <w:r w:rsidRPr="00902821">
        <w:rPr>
          <w:rFonts w:ascii="Verdana" w:hAnsi="Verdana" w:cs="Arial"/>
          <w:sz w:val="20"/>
          <w:szCs w:val="20"/>
        </w:rPr>
        <w:t xml:space="preserve">Em 21 de outubro de 2020, a 99ª assembleia geral extraordinária da </w:t>
      </w:r>
      <w:r>
        <w:rPr>
          <w:rFonts w:ascii="Verdana" w:hAnsi="Verdana" w:cs="Arial"/>
          <w:sz w:val="20"/>
          <w:szCs w:val="20"/>
        </w:rPr>
        <w:t>ELETRONUCLEAR</w:t>
      </w:r>
      <w:r w:rsidRPr="00902821">
        <w:rPr>
          <w:rFonts w:ascii="Verdana" w:hAnsi="Verdana" w:cs="Arial"/>
          <w:sz w:val="20"/>
          <w:szCs w:val="20"/>
        </w:rPr>
        <w:t xml:space="preserve"> aprovou a conversão de créditos dos Adiantamentos para Futuro Aumento de Capital - AFAC no valor de R$ 850.000 </w:t>
      </w:r>
      <w:r w:rsidRPr="00902821">
        <w:rPr>
          <w:rFonts w:ascii="Verdana" w:hAnsi="Verdana" w:cs="Arial"/>
          <w:sz w:val="20"/>
          <w:szCs w:val="20"/>
        </w:rPr>
        <w:lastRenderedPageBreak/>
        <w:t xml:space="preserve">em capital social da companhia. Na mesma data, a Companhia registrou as obrigações referente </w:t>
      </w:r>
      <w:r>
        <w:rPr>
          <w:rFonts w:ascii="Verdana" w:hAnsi="Verdana" w:cs="Arial"/>
          <w:sz w:val="20"/>
          <w:szCs w:val="20"/>
        </w:rPr>
        <w:t>à</w:t>
      </w:r>
      <w:r w:rsidRPr="00902821">
        <w:rPr>
          <w:rFonts w:ascii="Verdana" w:hAnsi="Verdana" w:cs="Arial"/>
          <w:sz w:val="20"/>
          <w:szCs w:val="20"/>
        </w:rPr>
        <w:t xml:space="preserve"> variação monetária no valor de R$ 273, reminiscente à atualização pela SELIC no período de 30 de setembro de 2020 a 21 de outubro de 2020 da primeira liberação do Contrato de AFAC nº ECF-3381/19, ocorrida em 01 de agosto de 2019, em atendimento à cláusula contratual que previa atualização do valor concedido pela SELIC, caso o prazo para efetivação do aumento de capital fosse superior a um ano, bem como a variação monetária no montante de R$ 6.261, também relacionada à atualização pela SELIC, da segunda liberação do contrato ECF-3381/19, ocorrida em 11 de outubro de 2019.</w:t>
      </w:r>
    </w:p>
    <w:p w14:paraId="288509B1" w14:textId="77777777" w:rsidR="00E61229" w:rsidRPr="00902821" w:rsidRDefault="00E61229" w:rsidP="00E61229">
      <w:pPr>
        <w:tabs>
          <w:tab w:val="num" w:pos="360"/>
        </w:tabs>
        <w:rPr>
          <w:rFonts w:ascii="Verdana" w:hAnsi="Verdana" w:cs="Arial"/>
          <w:sz w:val="20"/>
          <w:szCs w:val="20"/>
        </w:rPr>
      </w:pPr>
    </w:p>
    <w:p w14:paraId="12D19A81" w14:textId="77777777" w:rsidR="00E61229" w:rsidRPr="00902821" w:rsidRDefault="00E61229" w:rsidP="00E61229">
      <w:pPr>
        <w:tabs>
          <w:tab w:val="num" w:pos="360"/>
        </w:tabs>
        <w:rPr>
          <w:rFonts w:ascii="Verdana" w:hAnsi="Verdana" w:cs="Arial"/>
          <w:sz w:val="20"/>
          <w:szCs w:val="20"/>
        </w:rPr>
      </w:pPr>
      <w:r w:rsidRPr="00902821">
        <w:rPr>
          <w:rFonts w:ascii="Verdana" w:hAnsi="Verdana" w:cs="Arial"/>
          <w:sz w:val="20"/>
          <w:szCs w:val="20"/>
        </w:rPr>
        <w:t xml:space="preserve">Em 07 de dezembro de 2020, houve a realização da segunda liberação no âmbito do Contrato nº ECF 3387/20 no valor de R$ 681.180, totalizando o valor de R$ 1.052.180, inicialmente   previsto para ser liberado no ano de 2020. Considerando que os custos dessa 2ª </w:t>
      </w:r>
      <w:r w:rsidRPr="00011B42">
        <w:rPr>
          <w:rFonts w:ascii="Verdana" w:hAnsi="Verdana" w:cs="Arial"/>
          <w:i/>
          <w:iCs/>
          <w:sz w:val="20"/>
          <w:szCs w:val="20"/>
        </w:rPr>
        <w:t>tranche</w:t>
      </w:r>
      <w:r w:rsidRPr="00902821">
        <w:rPr>
          <w:rFonts w:ascii="Verdana" w:hAnsi="Verdana" w:cs="Arial"/>
          <w:sz w:val="20"/>
          <w:szCs w:val="20"/>
        </w:rPr>
        <w:t xml:space="preserve"> seriam utilizad</w:t>
      </w:r>
      <w:r>
        <w:rPr>
          <w:rFonts w:ascii="Verdana" w:hAnsi="Verdana" w:cs="Arial"/>
          <w:sz w:val="20"/>
          <w:szCs w:val="20"/>
        </w:rPr>
        <w:t>o</w:t>
      </w:r>
      <w:r w:rsidRPr="00902821">
        <w:rPr>
          <w:rFonts w:ascii="Verdana" w:hAnsi="Verdana" w:cs="Arial"/>
          <w:sz w:val="20"/>
          <w:szCs w:val="20"/>
        </w:rPr>
        <w:t>s, basicamente, em despesas com fornecedores estrangeiros, com necessidade de remessas para o exterior, parte dos recursos captados foram aplicados em um Fundo Cambial no Banco do Brasil como forma de proteção para possíveis variações da taxa de câmbio ao longo do período de pagamento das faturas em aberto.</w:t>
      </w:r>
    </w:p>
    <w:p w14:paraId="0E20FA1E" w14:textId="77777777" w:rsidR="00E61229" w:rsidRPr="00902821" w:rsidRDefault="00E61229" w:rsidP="00E61229">
      <w:pPr>
        <w:tabs>
          <w:tab w:val="num" w:pos="360"/>
        </w:tabs>
        <w:rPr>
          <w:rFonts w:ascii="Verdana" w:hAnsi="Verdana" w:cs="Arial"/>
          <w:sz w:val="20"/>
          <w:szCs w:val="20"/>
        </w:rPr>
      </w:pPr>
    </w:p>
    <w:p w14:paraId="22280DAB" w14:textId="77777777" w:rsidR="00E61229" w:rsidRPr="00902821" w:rsidRDefault="00E61229" w:rsidP="00E61229">
      <w:pPr>
        <w:tabs>
          <w:tab w:val="num" w:pos="360"/>
        </w:tabs>
        <w:rPr>
          <w:rFonts w:ascii="Verdana" w:hAnsi="Verdana" w:cs="Arial"/>
          <w:color w:val="000000" w:themeColor="text1"/>
          <w:sz w:val="20"/>
          <w:szCs w:val="20"/>
        </w:rPr>
      </w:pPr>
      <w:r w:rsidRPr="00902821">
        <w:rPr>
          <w:rFonts w:ascii="Verdana" w:hAnsi="Verdana" w:cs="Arial"/>
          <w:color w:val="000000" w:themeColor="text1"/>
          <w:sz w:val="20"/>
          <w:szCs w:val="20"/>
        </w:rPr>
        <w:t xml:space="preserve">Em 26 de março de 2021, ocorreu o desembolso da terceira </w:t>
      </w:r>
      <w:r w:rsidRPr="00011B42">
        <w:rPr>
          <w:rFonts w:ascii="Verdana" w:hAnsi="Verdana" w:cs="Arial"/>
          <w:i/>
          <w:iCs/>
          <w:color w:val="000000" w:themeColor="text1"/>
          <w:sz w:val="20"/>
          <w:szCs w:val="20"/>
        </w:rPr>
        <w:t>tranche</w:t>
      </w:r>
      <w:r w:rsidRPr="00902821">
        <w:rPr>
          <w:rFonts w:ascii="Verdana" w:hAnsi="Verdana" w:cs="Arial"/>
          <w:color w:val="000000" w:themeColor="text1"/>
          <w:sz w:val="20"/>
          <w:szCs w:val="20"/>
        </w:rPr>
        <w:t xml:space="preserve"> do Contrato nº ECF 3387/20 no valor de R$ 850.000 voltada para os gastos previstos para o ano de 2021 no âmbito do Plano de Aceleração da Linha Crítica.</w:t>
      </w:r>
    </w:p>
    <w:p w14:paraId="75A11882" w14:textId="77777777" w:rsidR="00E61229" w:rsidRPr="00902821" w:rsidRDefault="00E61229" w:rsidP="00E61229">
      <w:pPr>
        <w:tabs>
          <w:tab w:val="num" w:pos="360"/>
        </w:tabs>
        <w:rPr>
          <w:rFonts w:ascii="Verdana" w:hAnsi="Verdana" w:cs="Arial"/>
          <w:color w:val="000000" w:themeColor="text1"/>
          <w:sz w:val="20"/>
          <w:szCs w:val="20"/>
        </w:rPr>
      </w:pPr>
    </w:p>
    <w:p w14:paraId="403626B1" w14:textId="77777777" w:rsidR="00E61229" w:rsidRPr="00902821" w:rsidRDefault="00E61229" w:rsidP="00E61229">
      <w:pPr>
        <w:tabs>
          <w:tab w:val="num" w:pos="360"/>
        </w:tabs>
        <w:rPr>
          <w:rFonts w:ascii="Verdana" w:hAnsi="Verdana" w:cs="Arial"/>
          <w:color w:val="000000" w:themeColor="text1"/>
          <w:sz w:val="20"/>
          <w:szCs w:val="20"/>
        </w:rPr>
      </w:pPr>
      <w:r w:rsidRPr="00902821">
        <w:rPr>
          <w:rFonts w:ascii="Verdana" w:hAnsi="Verdana" w:cs="Arial"/>
          <w:color w:val="000000" w:themeColor="text1"/>
          <w:sz w:val="20"/>
          <w:szCs w:val="20"/>
        </w:rPr>
        <w:t>Em 30 de agosto de 202</w:t>
      </w:r>
      <w:r>
        <w:rPr>
          <w:rFonts w:ascii="Verdana" w:hAnsi="Verdana" w:cs="Arial"/>
          <w:color w:val="000000" w:themeColor="text1"/>
          <w:sz w:val="20"/>
          <w:szCs w:val="20"/>
        </w:rPr>
        <w:t>1</w:t>
      </w:r>
      <w:r w:rsidRPr="00902821">
        <w:rPr>
          <w:rFonts w:ascii="Verdana" w:hAnsi="Verdana" w:cs="Arial"/>
          <w:color w:val="000000" w:themeColor="text1"/>
          <w:sz w:val="20"/>
          <w:szCs w:val="20"/>
        </w:rPr>
        <w:t>, foi registrada variação monetária no valor de R$ 10.111, referente à atualização pela Selic da primeira liberação do Contrato de AFAC nº ECF-3387/20, ocorrida em 26 de agosto de 2020, conforme Cláusula contratual que previa atualização do valor concedido pela Selic caso o prazo para efetivação do aumento de capital fosse superior a um ano.</w:t>
      </w:r>
    </w:p>
    <w:p w14:paraId="78772AB1" w14:textId="77777777" w:rsidR="00E61229" w:rsidRDefault="00E61229" w:rsidP="00E61229">
      <w:pPr>
        <w:tabs>
          <w:tab w:val="num" w:pos="360"/>
        </w:tabs>
        <w:rPr>
          <w:rFonts w:ascii="Verdana" w:hAnsi="Verdana" w:cs="Arial"/>
          <w:color w:val="000000" w:themeColor="text1"/>
          <w:sz w:val="20"/>
          <w:szCs w:val="20"/>
        </w:rPr>
      </w:pPr>
    </w:p>
    <w:p w14:paraId="0EADB2B4" w14:textId="77777777" w:rsidR="00E61229" w:rsidRDefault="00E61229" w:rsidP="00E61229">
      <w:pPr>
        <w:tabs>
          <w:tab w:val="num" w:pos="360"/>
        </w:tabs>
        <w:rPr>
          <w:rFonts w:ascii="Verdana" w:hAnsi="Verdana" w:cs="Arial"/>
          <w:color w:val="000000" w:themeColor="text1"/>
          <w:sz w:val="20"/>
          <w:szCs w:val="20"/>
        </w:rPr>
      </w:pPr>
      <w:r w:rsidRPr="00902821">
        <w:rPr>
          <w:rFonts w:ascii="Verdana" w:hAnsi="Verdana" w:cs="Arial"/>
          <w:color w:val="000000" w:themeColor="text1"/>
          <w:sz w:val="20"/>
          <w:szCs w:val="20"/>
        </w:rPr>
        <w:t xml:space="preserve">Em 13 de setembro de 2021, ocorreu o desembolso da quarta </w:t>
      </w:r>
      <w:r w:rsidRPr="00011B42">
        <w:rPr>
          <w:rFonts w:ascii="Verdana" w:hAnsi="Verdana" w:cs="Arial"/>
          <w:i/>
          <w:iCs/>
          <w:color w:val="000000" w:themeColor="text1"/>
          <w:sz w:val="20"/>
          <w:szCs w:val="20"/>
        </w:rPr>
        <w:t>tranche</w:t>
      </w:r>
      <w:r w:rsidRPr="00902821">
        <w:rPr>
          <w:rFonts w:ascii="Verdana" w:hAnsi="Verdana" w:cs="Arial"/>
          <w:color w:val="000000" w:themeColor="text1"/>
          <w:sz w:val="20"/>
          <w:szCs w:val="20"/>
        </w:rPr>
        <w:t xml:space="preserve"> do Contrato nº ECF 3387/20 no valor de R$ 180.000 voltada para os gastos previstos para o ano de 2021 no âmbito do Plano de Aceleração da Linha Crítica.</w:t>
      </w:r>
    </w:p>
    <w:p w14:paraId="38AD542B" w14:textId="77777777" w:rsidR="00E61229" w:rsidRPr="00902821" w:rsidRDefault="00E61229" w:rsidP="00E61229">
      <w:pPr>
        <w:tabs>
          <w:tab w:val="num" w:pos="360"/>
        </w:tabs>
        <w:rPr>
          <w:rFonts w:ascii="Verdana" w:hAnsi="Verdana" w:cs="Arial"/>
          <w:color w:val="000000" w:themeColor="text1"/>
          <w:sz w:val="20"/>
          <w:szCs w:val="20"/>
        </w:rPr>
      </w:pPr>
    </w:p>
    <w:p w14:paraId="6C82D8F9" w14:textId="77777777" w:rsidR="00E61229" w:rsidRPr="00902821" w:rsidRDefault="00E61229" w:rsidP="00E61229">
      <w:pPr>
        <w:tabs>
          <w:tab w:val="num" w:pos="360"/>
        </w:tabs>
        <w:rPr>
          <w:rFonts w:ascii="Verdana" w:hAnsi="Verdana" w:cs="Arial"/>
          <w:color w:val="000000" w:themeColor="text1"/>
          <w:sz w:val="20"/>
          <w:szCs w:val="20"/>
        </w:rPr>
      </w:pPr>
      <w:r w:rsidRPr="00902821">
        <w:rPr>
          <w:rFonts w:ascii="Verdana" w:hAnsi="Verdana" w:cs="Arial"/>
          <w:color w:val="000000" w:themeColor="text1"/>
          <w:sz w:val="20"/>
          <w:szCs w:val="20"/>
        </w:rPr>
        <w:t>Em 30 de setembro de 202</w:t>
      </w:r>
      <w:r>
        <w:rPr>
          <w:rFonts w:ascii="Verdana" w:hAnsi="Verdana" w:cs="Arial"/>
          <w:color w:val="000000" w:themeColor="text1"/>
          <w:sz w:val="20"/>
          <w:szCs w:val="20"/>
        </w:rPr>
        <w:t>1</w:t>
      </w:r>
      <w:r w:rsidRPr="00902821">
        <w:rPr>
          <w:rFonts w:ascii="Verdana" w:hAnsi="Verdana" w:cs="Arial"/>
          <w:color w:val="000000" w:themeColor="text1"/>
          <w:sz w:val="20"/>
          <w:szCs w:val="20"/>
        </w:rPr>
        <w:t>, foi registrada variação monetária no valor de R$ 1.670, referente à atualização pela Selic da primeira liberação do Contrato de AFAC nº ECF-3387/20, ocorrida em 26 de agosto de 2020.</w:t>
      </w:r>
    </w:p>
    <w:p w14:paraId="72CAC31D" w14:textId="77777777" w:rsidR="00E61229" w:rsidRPr="001572E3" w:rsidRDefault="00E61229" w:rsidP="00E61229">
      <w:pPr>
        <w:tabs>
          <w:tab w:val="num" w:pos="360"/>
        </w:tabs>
        <w:rPr>
          <w:rFonts w:ascii="Verdana" w:hAnsi="Verdana" w:cs="Arial"/>
          <w:sz w:val="20"/>
          <w:szCs w:val="20"/>
        </w:rPr>
      </w:pPr>
    </w:p>
    <w:p w14:paraId="67AC16B6" w14:textId="77777777" w:rsidR="00E61229" w:rsidRPr="001572E3" w:rsidRDefault="00E61229" w:rsidP="00E61229">
      <w:pPr>
        <w:rPr>
          <w:rFonts w:ascii="Verdana" w:hAnsi="Verdana" w:cs="Arial"/>
          <w:sz w:val="20"/>
          <w:szCs w:val="20"/>
        </w:rPr>
      </w:pPr>
      <w:r w:rsidRPr="001572E3">
        <w:rPr>
          <w:rFonts w:ascii="Verdana" w:hAnsi="Verdana" w:cs="Arial"/>
          <w:sz w:val="20"/>
          <w:szCs w:val="20"/>
        </w:rPr>
        <w:t>No último trimestre de 2021, houve registro de variação monetária nos valores de R$ 1.83</w:t>
      </w:r>
      <w:r>
        <w:rPr>
          <w:rFonts w:ascii="Verdana" w:hAnsi="Verdana" w:cs="Arial"/>
          <w:sz w:val="20"/>
          <w:szCs w:val="20"/>
        </w:rPr>
        <w:t>9</w:t>
      </w:r>
      <w:r w:rsidRPr="001572E3">
        <w:rPr>
          <w:rFonts w:ascii="Verdana" w:hAnsi="Verdana" w:cs="Arial"/>
          <w:sz w:val="20"/>
          <w:szCs w:val="20"/>
        </w:rPr>
        <w:t xml:space="preserve"> no mês de outubro, R$ 2.257 em novembro e R$ 2.954 em dezembro de 2021, referentes à 1ª liberação do contrato </w:t>
      </w:r>
      <w:proofErr w:type="spellStart"/>
      <w:r w:rsidRPr="001572E3">
        <w:rPr>
          <w:rFonts w:ascii="Verdana" w:hAnsi="Verdana" w:cs="Arial"/>
          <w:sz w:val="20"/>
          <w:szCs w:val="20"/>
        </w:rPr>
        <w:t>Contrato</w:t>
      </w:r>
      <w:proofErr w:type="spellEnd"/>
      <w:r w:rsidRPr="001572E3">
        <w:rPr>
          <w:rFonts w:ascii="Verdana" w:hAnsi="Verdana" w:cs="Arial"/>
          <w:sz w:val="20"/>
          <w:szCs w:val="20"/>
        </w:rPr>
        <w:t xml:space="preserve"> de AFAC nº ECF-3387/20, ocorrida em 26 de agosto de 2020. Houve também o registro de atualização monetária de R$ 30.842 em dezembro de 2021, referente à 2ª liberação do contrato nº ECF-3387/20, que ocorreu em 7 de dezembro de 2020. </w:t>
      </w:r>
    </w:p>
    <w:p w14:paraId="4FF0229A" w14:textId="77777777" w:rsidR="00E61229" w:rsidRPr="001572E3" w:rsidRDefault="00E61229" w:rsidP="00E61229">
      <w:pPr>
        <w:rPr>
          <w:rFonts w:ascii="Verdana" w:hAnsi="Verdana" w:cs="Arial"/>
          <w:sz w:val="20"/>
          <w:szCs w:val="20"/>
        </w:rPr>
      </w:pPr>
    </w:p>
    <w:p w14:paraId="7A86046E" w14:textId="4A6C49A8" w:rsidR="00A53222" w:rsidRPr="001572E3" w:rsidRDefault="00E61229" w:rsidP="00E61229">
      <w:pPr>
        <w:rPr>
          <w:rFonts w:ascii="Verdana" w:hAnsi="Verdana" w:cs="Arial"/>
          <w:sz w:val="20"/>
          <w:szCs w:val="20"/>
        </w:rPr>
      </w:pPr>
      <w:r w:rsidRPr="001572E3">
        <w:rPr>
          <w:rFonts w:ascii="Verdana" w:hAnsi="Verdana" w:cs="Arial"/>
          <w:sz w:val="20"/>
          <w:szCs w:val="20"/>
        </w:rPr>
        <w:t xml:space="preserve">Também no 4º trimestre ocorreu a liberação do valor restante previsto para o ano de 2021, totalizando o valor global de R$ 2.447.464, conforme o contrato nº ECF 3387/20. Foram liberados os seguintes valores nas respectivas datas: R$ 300.000 em 06 de outubro de 2021, R$ </w:t>
      </w:r>
      <w:proofErr w:type="gramStart"/>
      <w:r w:rsidRPr="001572E3">
        <w:rPr>
          <w:rFonts w:ascii="Verdana" w:hAnsi="Verdana" w:cs="Arial"/>
          <w:sz w:val="20"/>
          <w:szCs w:val="20"/>
        </w:rPr>
        <w:t>265.000  em</w:t>
      </w:r>
      <w:proofErr w:type="gramEnd"/>
      <w:r w:rsidRPr="001572E3">
        <w:rPr>
          <w:rFonts w:ascii="Verdana" w:hAnsi="Verdana" w:cs="Arial"/>
          <w:sz w:val="20"/>
          <w:szCs w:val="20"/>
        </w:rPr>
        <w:t xml:space="preserve"> 11 de novembro de 2021, R$ 189.100  em 14 de dezembro de </w:t>
      </w:r>
      <w:r>
        <w:rPr>
          <w:rFonts w:ascii="Verdana" w:hAnsi="Verdana" w:cs="Arial"/>
          <w:sz w:val="20"/>
          <w:szCs w:val="20"/>
        </w:rPr>
        <w:t>2</w:t>
      </w:r>
      <w:r w:rsidRPr="001572E3">
        <w:rPr>
          <w:rFonts w:ascii="Verdana" w:hAnsi="Verdana" w:cs="Arial"/>
          <w:sz w:val="20"/>
          <w:szCs w:val="20"/>
        </w:rPr>
        <w:t>021 e R$ 663.364 em 30 de dezembro de 2021</w:t>
      </w:r>
      <w:r w:rsidR="001572E3" w:rsidRPr="001572E3">
        <w:rPr>
          <w:rFonts w:ascii="Verdana" w:hAnsi="Verdana" w:cs="Arial"/>
          <w:sz w:val="20"/>
          <w:szCs w:val="20"/>
        </w:rPr>
        <w:t>.</w:t>
      </w:r>
    </w:p>
    <w:p w14:paraId="0264DDE3" w14:textId="77777777" w:rsidR="00A53222" w:rsidRPr="009854EA" w:rsidRDefault="00A53222" w:rsidP="00A53222">
      <w:pPr>
        <w:rPr>
          <w:rFonts w:ascii="Verdana" w:hAnsi="Verdana" w:cs="Arial"/>
          <w:color w:val="0070C0"/>
          <w:sz w:val="20"/>
          <w:szCs w:val="20"/>
        </w:rPr>
      </w:pPr>
    </w:p>
    <w:p w14:paraId="72A0EC8F" w14:textId="77777777" w:rsidR="00A53222" w:rsidRPr="00133925" w:rsidRDefault="00A53222" w:rsidP="00A53222">
      <w:pPr>
        <w:widowControl w:val="0"/>
        <w:spacing w:line="264" w:lineRule="auto"/>
        <w:rPr>
          <w:rFonts w:ascii="Verdana" w:hAnsi="Verdana"/>
          <w:sz w:val="20"/>
          <w:szCs w:val="20"/>
          <w:highlight w:val="green"/>
          <w:lang w:eastAsia="en-GB"/>
        </w:rPr>
      </w:pPr>
    </w:p>
    <w:p w14:paraId="22A01267" w14:textId="77777777" w:rsidR="00A53222" w:rsidRPr="00D03876" w:rsidRDefault="00A53222" w:rsidP="00A53222">
      <w:pPr>
        <w:widowControl w:val="0"/>
        <w:autoSpaceDE w:val="0"/>
        <w:autoSpaceDN w:val="0"/>
        <w:rPr>
          <w:rFonts w:ascii="Verdana" w:hAnsi="Verdana"/>
          <w:color w:val="0D63B5"/>
          <w:sz w:val="20"/>
          <w:szCs w:val="20"/>
        </w:rPr>
      </w:pPr>
      <w:r w:rsidRPr="00D03876">
        <w:rPr>
          <w:rFonts w:ascii="Verdana" w:hAnsi="Verdana"/>
          <w:color w:val="0D63B5"/>
          <w:sz w:val="20"/>
          <w:szCs w:val="20"/>
        </w:rPr>
        <w:t>Prática contábil</w:t>
      </w:r>
    </w:p>
    <w:p w14:paraId="71EECBE9" w14:textId="77777777" w:rsidR="00A53222" w:rsidRPr="00D03876" w:rsidRDefault="00A53222" w:rsidP="00A53222">
      <w:pPr>
        <w:widowControl w:val="0"/>
        <w:autoSpaceDE w:val="0"/>
        <w:autoSpaceDN w:val="0"/>
        <w:jc w:val="left"/>
        <w:rPr>
          <w:rFonts w:ascii="Verdana" w:hAnsi="Verdana"/>
          <w:noProof/>
        </w:rPr>
      </w:pPr>
    </w:p>
    <w:bookmarkEnd w:id="23"/>
    <w:p w14:paraId="7FBF65FF" w14:textId="77777777" w:rsidR="00E61229" w:rsidRDefault="00E61229" w:rsidP="00E61229">
      <w:pPr>
        <w:rPr>
          <w:rFonts w:ascii="Verdana" w:hAnsi="Verdana"/>
          <w:sz w:val="20"/>
          <w:szCs w:val="20"/>
        </w:rPr>
      </w:pPr>
      <w:r w:rsidRPr="00D03876">
        <w:rPr>
          <w:rFonts w:ascii="Verdana" w:hAnsi="Verdana"/>
          <w:sz w:val="20"/>
          <w:szCs w:val="20"/>
        </w:rPr>
        <w:t xml:space="preserve">Adiantamentos de recursos </w:t>
      </w:r>
      <w:r>
        <w:rPr>
          <w:rFonts w:ascii="Verdana" w:hAnsi="Verdana"/>
          <w:sz w:val="20"/>
          <w:szCs w:val="20"/>
        </w:rPr>
        <w:t>recebidos da Eletrobras</w:t>
      </w:r>
      <w:r w:rsidRPr="00D03876">
        <w:rPr>
          <w:rFonts w:ascii="Verdana" w:hAnsi="Verdana"/>
          <w:sz w:val="20"/>
          <w:szCs w:val="20"/>
        </w:rPr>
        <w:t xml:space="preserve"> e destinados a aporte de capital concedidos em caráter irrevogável. São classificados como </w:t>
      </w:r>
      <w:r>
        <w:rPr>
          <w:rFonts w:ascii="Verdana" w:hAnsi="Verdana"/>
          <w:sz w:val="20"/>
          <w:szCs w:val="20"/>
        </w:rPr>
        <w:t>passivo</w:t>
      </w:r>
      <w:r w:rsidRPr="00D03876">
        <w:rPr>
          <w:rFonts w:ascii="Verdana" w:hAnsi="Verdana"/>
          <w:sz w:val="20"/>
          <w:szCs w:val="20"/>
        </w:rPr>
        <w:t xml:space="preserve"> não circulante quando a totalidade das condições de capitalização, principalmente tipo e quantidade de ações ainda não foram definidas e são reconhecidos inicialmente pelo valor justo e subsequentemente atualizados pelo indexador estabelecido contratualmente.</w:t>
      </w:r>
      <w:r w:rsidRPr="00133925">
        <w:rPr>
          <w:rFonts w:ascii="Verdana" w:hAnsi="Verdana"/>
          <w:sz w:val="20"/>
          <w:szCs w:val="20"/>
        </w:rPr>
        <w:t xml:space="preserve"> </w:t>
      </w:r>
    </w:p>
    <w:p w14:paraId="4D999C69" w14:textId="77777777" w:rsidR="0086101E" w:rsidRDefault="0086101E"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19123819" w14:textId="2205479D" w:rsidR="00594CE1" w:rsidRDefault="00594CE1"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3F991805" w14:textId="716CD61A" w:rsidR="00771A13" w:rsidRDefault="00771A13"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775E8C7E" w14:textId="77777777" w:rsidR="00771A13" w:rsidRDefault="00771A13"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6AFEC34A" w14:textId="77777777" w:rsidR="00CF33AB" w:rsidRDefault="00CF33AB"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4A96CE2A" w14:textId="77777777" w:rsidR="00FE3CB4" w:rsidRPr="00293868" w:rsidRDefault="00FE3CB4" w:rsidP="00FE3CB4">
      <w:pPr>
        <w:tabs>
          <w:tab w:val="left" w:pos="567"/>
          <w:tab w:val="left" w:pos="1134"/>
          <w:tab w:val="left" w:pos="1701"/>
          <w:tab w:val="left" w:pos="2268"/>
          <w:tab w:val="left" w:pos="2835"/>
        </w:tabs>
        <w:outlineLvl w:val="0"/>
        <w:rPr>
          <w:rFonts w:ascii="Verdana" w:hAnsi="Verdana" w:cs="Verdana"/>
          <w:b/>
          <w:color w:val="0D63B5"/>
          <w:sz w:val="20"/>
          <w:szCs w:val="20"/>
        </w:rPr>
      </w:pPr>
      <w:r w:rsidRPr="00293868">
        <w:rPr>
          <w:rFonts w:ascii="Verdana" w:hAnsi="Verdana" w:cs="Verdana"/>
          <w:b/>
          <w:color w:val="0D63B5"/>
          <w:sz w:val="20"/>
          <w:szCs w:val="20"/>
        </w:rPr>
        <w:lastRenderedPageBreak/>
        <w:t xml:space="preserve">NOTA </w:t>
      </w:r>
      <w:r w:rsidR="004C1033">
        <w:rPr>
          <w:rFonts w:ascii="Verdana" w:hAnsi="Verdana" w:cs="Verdana"/>
          <w:b/>
          <w:color w:val="0D63B5"/>
          <w:sz w:val="20"/>
          <w:szCs w:val="20"/>
        </w:rPr>
        <w:t>29</w:t>
      </w:r>
      <w:r w:rsidRPr="00293868">
        <w:rPr>
          <w:rFonts w:ascii="Verdana" w:hAnsi="Verdana" w:cs="Verdana"/>
          <w:b/>
          <w:color w:val="0D63B5"/>
          <w:sz w:val="20"/>
          <w:szCs w:val="20"/>
        </w:rPr>
        <w:t xml:space="preserve"> – ARRENDAMENTOS </w:t>
      </w:r>
    </w:p>
    <w:p w14:paraId="16700AD6" w14:textId="77777777" w:rsidR="00FE3CB4" w:rsidRDefault="00FE3CB4" w:rsidP="00FE3CB4">
      <w:pPr>
        <w:rPr>
          <w:rFonts w:ascii="Verdana" w:hAnsi="Verdana"/>
          <w:sz w:val="20"/>
          <w:szCs w:val="20"/>
        </w:rPr>
      </w:pPr>
    </w:p>
    <w:p w14:paraId="635C6498" w14:textId="77777777" w:rsidR="00FE3CB4" w:rsidRPr="00293868" w:rsidRDefault="00FE3CB4" w:rsidP="00FE3CB4">
      <w:pPr>
        <w:rPr>
          <w:rFonts w:ascii="Verdana" w:hAnsi="Verdana"/>
          <w:sz w:val="20"/>
          <w:szCs w:val="20"/>
        </w:rPr>
      </w:pPr>
    </w:p>
    <w:p w14:paraId="6A8C058A" w14:textId="77777777" w:rsidR="00FE3CB4" w:rsidRPr="0036320F" w:rsidRDefault="00FE3CB4" w:rsidP="00FE3CB4">
      <w:pPr>
        <w:ind w:right="113"/>
        <w:rPr>
          <w:rFonts w:ascii="Verdana" w:hAnsi="Verdana"/>
          <w:sz w:val="20"/>
          <w:szCs w:val="20"/>
        </w:rPr>
      </w:pPr>
      <w:r w:rsidRPr="00F16030">
        <w:rPr>
          <w:rFonts w:ascii="Verdana" w:hAnsi="Verdana"/>
          <w:sz w:val="20"/>
          <w:szCs w:val="20"/>
        </w:rPr>
        <w:t xml:space="preserve">O passivo de arrendamento refere-se principalmente a </w:t>
      </w:r>
      <w:r w:rsidR="00F16030" w:rsidRPr="00F16030">
        <w:rPr>
          <w:rFonts w:ascii="Verdana" w:hAnsi="Verdana"/>
          <w:sz w:val="20"/>
          <w:szCs w:val="20"/>
        </w:rPr>
        <w:t>aluguel de imóveis e veículos</w:t>
      </w:r>
      <w:r w:rsidR="00F16030" w:rsidRPr="00F16030">
        <w:rPr>
          <w:rFonts w:ascii="Verdana" w:hAnsi="Verdana"/>
          <w:color w:val="FF0000"/>
          <w:sz w:val="20"/>
          <w:szCs w:val="20"/>
        </w:rPr>
        <w:t>.</w:t>
      </w:r>
    </w:p>
    <w:p w14:paraId="18BD75AC" w14:textId="77777777" w:rsidR="00FE3CB4" w:rsidRPr="008768ED" w:rsidRDefault="00FE3CB4" w:rsidP="00FE3CB4">
      <w:pPr>
        <w:widowControl w:val="0"/>
        <w:autoSpaceDE w:val="0"/>
        <w:autoSpaceDN w:val="0"/>
        <w:jc w:val="left"/>
        <w:rPr>
          <w:rFonts w:ascii="Verdana" w:hAnsi="Verdana"/>
          <w:sz w:val="20"/>
          <w:szCs w:val="20"/>
          <w:highlight w:val="yellow"/>
        </w:rPr>
      </w:pPr>
    </w:p>
    <w:p w14:paraId="37580899" w14:textId="77777777" w:rsidR="00FE3CB4" w:rsidRDefault="00FE3CB4" w:rsidP="00FE3CB4">
      <w:pPr>
        <w:ind w:right="113"/>
        <w:rPr>
          <w:rFonts w:ascii="Verdana" w:hAnsi="Verdana"/>
          <w:sz w:val="20"/>
          <w:szCs w:val="20"/>
        </w:rPr>
      </w:pPr>
      <w:r w:rsidRPr="00CF33AB">
        <w:rPr>
          <w:rFonts w:ascii="Verdana" w:hAnsi="Verdana"/>
          <w:sz w:val="20"/>
          <w:szCs w:val="20"/>
        </w:rPr>
        <w:t>A movimentação do passivo é demonstrada no quadro a seguir:</w:t>
      </w:r>
    </w:p>
    <w:p w14:paraId="474EA980" w14:textId="77777777" w:rsidR="00CF33AB" w:rsidRPr="008768ED" w:rsidRDefault="00CF33AB" w:rsidP="00FE3CB4">
      <w:pPr>
        <w:ind w:right="113"/>
        <w:rPr>
          <w:rFonts w:ascii="Verdana" w:hAnsi="Verdana"/>
          <w:sz w:val="20"/>
          <w:szCs w:val="20"/>
          <w:highlight w:val="yellow"/>
        </w:rPr>
      </w:pPr>
    </w:p>
    <w:p w14:paraId="2FC97E20" w14:textId="77777777" w:rsidR="00FE3CB4" w:rsidRPr="008768ED" w:rsidRDefault="00CF33AB" w:rsidP="00CF33AB">
      <w:pPr>
        <w:ind w:right="113"/>
        <w:jc w:val="center"/>
        <w:rPr>
          <w:rFonts w:ascii="Verdana" w:hAnsi="Verdana"/>
          <w:sz w:val="20"/>
          <w:szCs w:val="20"/>
          <w:highlight w:val="yellow"/>
        </w:rPr>
      </w:pPr>
      <w:r w:rsidRPr="00CF33AB">
        <w:rPr>
          <w:noProof/>
        </w:rPr>
        <w:drawing>
          <wp:inline distT="0" distB="0" distL="0" distR="0" wp14:anchorId="67A897E4" wp14:editId="637E48A3">
            <wp:extent cx="4928007" cy="1637818"/>
            <wp:effectExtent l="0" t="0" r="6350" b="0"/>
            <wp:docPr id="488" name="Imagem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957157" cy="1647506"/>
                    </a:xfrm>
                    <a:prstGeom prst="rect">
                      <a:avLst/>
                    </a:prstGeom>
                    <a:noFill/>
                    <a:ln>
                      <a:noFill/>
                    </a:ln>
                  </pic:spPr>
                </pic:pic>
              </a:graphicData>
            </a:graphic>
          </wp:inline>
        </w:drawing>
      </w:r>
    </w:p>
    <w:p w14:paraId="5FF8574F" w14:textId="77777777" w:rsidR="00EE380E" w:rsidRDefault="00EE380E" w:rsidP="00EE380E">
      <w:pPr>
        <w:tabs>
          <w:tab w:val="left" w:pos="1712"/>
        </w:tabs>
        <w:rPr>
          <w:rFonts w:ascii="Verdana" w:hAnsi="Verdana"/>
          <w:sz w:val="20"/>
          <w:szCs w:val="20"/>
        </w:rPr>
      </w:pPr>
    </w:p>
    <w:p w14:paraId="553A48B1" w14:textId="77777777" w:rsidR="00EE380E" w:rsidRPr="00C858E0" w:rsidRDefault="00EE380E" w:rsidP="00EE380E">
      <w:pPr>
        <w:tabs>
          <w:tab w:val="left" w:pos="1712"/>
        </w:tabs>
        <w:rPr>
          <w:rFonts w:ascii="Verdana" w:hAnsi="Verdana"/>
          <w:sz w:val="20"/>
          <w:szCs w:val="20"/>
        </w:rPr>
      </w:pPr>
      <w:r w:rsidRPr="00C858E0">
        <w:rPr>
          <w:rFonts w:ascii="Verdana" w:hAnsi="Verdana"/>
          <w:sz w:val="20"/>
          <w:szCs w:val="20"/>
        </w:rPr>
        <w:t xml:space="preserve">Os vencimentos dos passivos não circulantes estão demonstrados no quadro a seguir: </w:t>
      </w:r>
    </w:p>
    <w:p w14:paraId="380383B8" w14:textId="77777777" w:rsidR="00EE380E" w:rsidRPr="008768ED" w:rsidRDefault="00EE380E" w:rsidP="00EE380E">
      <w:pPr>
        <w:tabs>
          <w:tab w:val="left" w:pos="1712"/>
        </w:tabs>
        <w:jc w:val="center"/>
        <w:rPr>
          <w:rFonts w:ascii="Verdana" w:hAnsi="Verdana"/>
          <w:sz w:val="20"/>
          <w:szCs w:val="20"/>
          <w:highlight w:val="yellow"/>
        </w:rPr>
      </w:pPr>
    </w:p>
    <w:p w14:paraId="79E10661" w14:textId="77777777" w:rsidR="00EE380E" w:rsidRPr="008768ED" w:rsidRDefault="00EE380E" w:rsidP="00EE380E">
      <w:pPr>
        <w:tabs>
          <w:tab w:val="left" w:pos="1712"/>
        </w:tabs>
        <w:jc w:val="center"/>
        <w:rPr>
          <w:rFonts w:ascii="Verdana" w:hAnsi="Verdana"/>
          <w:sz w:val="20"/>
          <w:szCs w:val="20"/>
          <w:highlight w:val="yellow"/>
        </w:rPr>
      </w:pPr>
      <w:r w:rsidRPr="00BA6EE0">
        <w:rPr>
          <w:noProof/>
        </w:rPr>
        <w:drawing>
          <wp:inline distT="0" distB="0" distL="0" distR="0" wp14:anchorId="38E89EF0" wp14:editId="4F263F45">
            <wp:extent cx="1772304" cy="505030"/>
            <wp:effectExtent l="0" t="0" r="0" b="0"/>
            <wp:docPr id="491" name="Imagem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797165" cy="512114"/>
                    </a:xfrm>
                    <a:prstGeom prst="rect">
                      <a:avLst/>
                    </a:prstGeom>
                    <a:noFill/>
                    <a:ln>
                      <a:noFill/>
                    </a:ln>
                  </pic:spPr>
                </pic:pic>
              </a:graphicData>
            </a:graphic>
          </wp:inline>
        </w:drawing>
      </w:r>
    </w:p>
    <w:p w14:paraId="48BE9D97" w14:textId="77777777" w:rsidR="00EE380E" w:rsidRPr="008768ED" w:rsidRDefault="00EE380E" w:rsidP="00EE380E">
      <w:pPr>
        <w:tabs>
          <w:tab w:val="left" w:pos="1712"/>
        </w:tabs>
        <w:rPr>
          <w:rFonts w:ascii="Verdana" w:hAnsi="Verdana"/>
          <w:sz w:val="20"/>
          <w:szCs w:val="20"/>
          <w:highlight w:val="yellow"/>
        </w:rPr>
      </w:pPr>
    </w:p>
    <w:p w14:paraId="53B0887D" w14:textId="77777777" w:rsidR="00FE3CB4" w:rsidRPr="00F16030" w:rsidRDefault="00FE3CB4" w:rsidP="00FE3CB4">
      <w:pPr>
        <w:tabs>
          <w:tab w:val="center" w:pos="5182"/>
          <w:tab w:val="left" w:pos="9020"/>
        </w:tabs>
        <w:ind w:right="113"/>
        <w:jc w:val="left"/>
        <w:rPr>
          <w:rFonts w:ascii="Verdana" w:hAnsi="Verdana"/>
          <w:sz w:val="20"/>
          <w:szCs w:val="20"/>
        </w:rPr>
      </w:pPr>
      <w:r w:rsidRPr="00F16030">
        <w:rPr>
          <w:rFonts w:ascii="Verdana" w:hAnsi="Verdana"/>
          <w:sz w:val="20"/>
          <w:szCs w:val="20"/>
        </w:rPr>
        <w:tab/>
        <w:t xml:space="preserve">      </w:t>
      </w:r>
      <w:r w:rsidRPr="00F16030">
        <w:rPr>
          <w:rFonts w:ascii="Verdana" w:hAnsi="Verdana"/>
          <w:sz w:val="20"/>
          <w:szCs w:val="20"/>
        </w:rPr>
        <w:tab/>
      </w:r>
    </w:p>
    <w:p w14:paraId="36710D0F" w14:textId="77777777" w:rsidR="00FE3CB4" w:rsidRPr="00F16030" w:rsidRDefault="00FE3CB4" w:rsidP="00FE3CB4">
      <w:pPr>
        <w:widowControl w:val="0"/>
        <w:autoSpaceDE w:val="0"/>
        <w:autoSpaceDN w:val="0"/>
        <w:rPr>
          <w:rFonts w:ascii="Verdana" w:hAnsi="Verdana"/>
          <w:sz w:val="20"/>
          <w:szCs w:val="20"/>
        </w:rPr>
      </w:pPr>
      <w:r w:rsidRPr="005E4A4C">
        <w:rPr>
          <w:rFonts w:ascii="Verdana" w:hAnsi="Verdana"/>
          <w:sz w:val="20"/>
          <w:szCs w:val="20"/>
        </w:rPr>
        <w:t xml:space="preserve">Os aluguéis fixos e variáveis relacionados a contratos de baixo valor, foram os seguintes para os </w:t>
      </w:r>
      <w:r w:rsidRPr="005E4A4C">
        <w:rPr>
          <w:rFonts w:ascii="Verdana" w:eastAsiaTheme="minorHAnsi" w:hAnsi="Verdana" w:cs="@PMingLiU"/>
          <w:color w:val="000000"/>
          <w:sz w:val="20"/>
          <w:szCs w:val="20"/>
          <w:lang w:eastAsia="en-US"/>
        </w:rPr>
        <w:t>exercícios</w:t>
      </w:r>
      <w:r w:rsidRPr="005E4A4C">
        <w:rPr>
          <w:rFonts w:ascii="Verdana" w:hAnsi="Verdana"/>
          <w:sz w:val="20"/>
          <w:szCs w:val="20"/>
        </w:rPr>
        <w:t xml:space="preserve"> findos em 31 de dezembro de 2021 e 2020</w:t>
      </w:r>
      <w:r w:rsidRPr="00EE380E">
        <w:rPr>
          <w:rFonts w:ascii="Verdana" w:hAnsi="Verdana"/>
          <w:sz w:val="20"/>
          <w:szCs w:val="20"/>
        </w:rPr>
        <w:t>:</w:t>
      </w:r>
      <w:r w:rsidRPr="00F16030">
        <w:rPr>
          <w:rFonts w:ascii="Verdana" w:hAnsi="Verdana"/>
          <w:color w:val="FF0000"/>
          <w:sz w:val="20"/>
          <w:szCs w:val="20"/>
        </w:rPr>
        <w:t xml:space="preserve"> </w:t>
      </w:r>
    </w:p>
    <w:p w14:paraId="2A0ED6A3" w14:textId="77777777" w:rsidR="00FE3CB4" w:rsidRPr="008768ED" w:rsidRDefault="00FE3CB4" w:rsidP="00FE3CB4">
      <w:pPr>
        <w:widowControl w:val="0"/>
        <w:autoSpaceDE w:val="0"/>
        <w:autoSpaceDN w:val="0"/>
        <w:rPr>
          <w:rFonts w:ascii="Verdana" w:hAnsi="Verdana"/>
          <w:sz w:val="20"/>
          <w:szCs w:val="20"/>
          <w:highlight w:val="yellow"/>
        </w:rPr>
      </w:pPr>
    </w:p>
    <w:p w14:paraId="164CEB0E" w14:textId="77777777" w:rsidR="00FE3CB4" w:rsidRPr="008768ED" w:rsidRDefault="00EE380E" w:rsidP="00FE3CB4">
      <w:pPr>
        <w:widowControl w:val="0"/>
        <w:autoSpaceDE w:val="0"/>
        <w:autoSpaceDN w:val="0"/>
        <w:jc w:val="center"/>
        <w:rPr>
          <w:rFonts w:ascii="Verdana" w:hAnsi="Verdana"/>
          <w:sz w:val="20"/>
          <w:szCs w:val="20"/>
          <w:highlight w:val="yellow"/>
        </w:rPr>
      </w:pPr>
      <w:r w:rsidRPr="00050B46">
        <w:rPr>
          <w:noProof/>
        </w:rPr>
        <w:drawing>
          <wp:inline distT="0" distB="0" distL="0" distR="0" wp14:anchorId="51BF0D68" wp14:editId="65B90695">
            <wp:extent cx="4212774" cy="307720"/>
            <wp:effectExtent l="0" t="0" r="0" b="0"/>
            <wp:docPr id="451" name="Imagem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277870" cy="312475"/>
                    </a:xfrm>
                    <a:prstGeom prst="rect">
                      <a:avLst/>
                    </a:prstGeom>
                    <a:noFill/>
                    <a:ln>
                      <a:noFill/>
                    </a:ln>
                  </pic:spPr>
                </pic:pic>
              </a:graphicData>
            </a:graphic>
          </wp:inline>
        </w:drawing>
      </w:r>
    </w:p>
    <w:p w14:paraId="1FE248A3" w14:textId="77777777" w:rsidR="00FE3CB4" w:rsidRPr="008768ED" w:rsidRDefault="00FE3CB4" w:rsidP="00FE3CB4">
      <w:pPr>
        <w:tabs>
          <w:tab w:val="left" w:pos="1712"/>
        </w:tabs>
        <w:rPr>
          <w:rFonts w:ascii="Verdana" w:hAnsi="Verdana"/>
          <w:sz w:val="20"/>
          <w:szCs w:val="20"/>
          <w:highlight w:val="yellow"/>
        </w:rPr>
      </w:pPr>
    </w:p>
    <w:p w14:paraId="470952CE" w14:textId="77777777" w:rsidR="00FE3CB4" w:rsidRPr="004A068F" w:rsidRDefault="00FE3CB4" w:rsidP="00FE3CB4">
      <w:pPr>
        <w:jc w:val="center"/>
        <w:rPr>
          <w:rFonts w:ascii="Verdana" w:hAnsi="Verdana"/>
          <w:sz w:val="20"/>
          <w:szCs w:val="20"/>
          <w:highlight w:val="yellow"/>
        </w:rPr>
      </w:pPr>
    </w:p>
    <w:p w14:paraId="4BBA8E83" w14:textId="77777777" w:rsidR="00FE3CB4" w:rsidRPr="005E4A4C" w:rsidRDefault="00FE3CB4" w:rsidP="00FE3CB4">
      <w:pPr>
        <w:widowControl w:val="0"/>
        <w:autoSpaceDE w:val="0"/>
        <w:autoSpaceDN w:val="0"/>
        <w:rPr>
          <w:rFonts w:ascii="Verdana" w:hAnsi="Verdana"/>
          <w:sz w:val="20"/>
          <w:szCs w:val="20"/>
          <w:bdr w:val="nil"/>
        </w:rPr>
      </w:pPr>
      <w:r w:rsidRPr="005E4A4C">
        <w:rPr>
          <w:rFonts w:ascii="Verdana" w:hAnsi="Verdana"/>
          <w:color w:val="0D63B5"/>
          <w:sz w:val="20"/>
          <w:szCs w:val="20"/>
        </w:rPr>
        <w:t>Prática contábil</w:t>
      </w:r>
      <w:r w:rsidRPr="005E4A4C">
        <w:rPr>
          <w:rFonts w:ascii="Verdana" w:hAnsi="Verdana"/>
          <w:sz w:val="20"/>
          <w:szCs w:val="20"/>
          <w:bdr w:val="nil"/>
        </w:rPr>
        <w:t xml:space="preserve"> </w:t>
      </w:r>
    </w:p>
    <w:p w14:paraId="4EFA2416" w14:textId="77777777" w:rsidR="00FE3CB4" w:rsidRPr="005E4A4C" w:rsidRDefault="00FE3CB4" w:rsidP="00FE3CB4">
      <w:pPr>
        <w:jc w:val="center"/>
        <w:rPr>
          <w:rFonts w:ascii="Verdana" w:hAnsi="Verdana"/>
          <w:sz w:val="20"/>
          <w:szCs w:val="20"/>
        </w:rPr>
      </w:pPr>
    </w:p>
    <w:p w14:paraId="7552DE84" w14:textId="77777777" w:rsidR="00E61229" w:rsidRPr="002B17A9" w:rsidRDefault="00E61229" w:rsidP="00E61229">
      <w:pPr>
        <w:widowControl w:val="0"/>
        <w:autoSpaceDE w:val="0"/>
        <w:autoSpaceDN w:val="0"/>
        <w:rPr>
          <w:rFonts w:ascii="Verdana" w:hAnsi="Verdana"/>
          <w:sz w:val="20"/>
          <w:szCs w:val="20"/>
        </w:rPr>
      </w:pPr>
      <w:r w:rsidRPr="002B17A9">
        <w:rPr>
          <w:rFonts w:ascii="Verdana" w:hAnsi="Verdana"/>
          <w:sz w:val="20"/>
          <w:szCs w:val="20"/>
        </w:rPr>
        <w:t xml:space="preserve">A Companhia reconhece os passivos de arrendamentos mensurados pelo valor presente dos pagamentos dos arrendamentos sem refletir a inflação futura projetada. Os pagamentos são descontados pela taxa incremental sobre empréstimos da companhia, visto que as taxas de juros implícitas nos contratos de arrendamento com terceiros normalmente não podem ser prontamente determinadas. </w:t>
      </w:r>
    </w:p>
    <w:p w14:paraId="072F56EE" w14:textId="77777777" w:rsidR="00E61229" w:rsidRPr="002B17A9" w:rsidRDefault="00E61229" w:rsidP="00E61229">
      <w:pPr>
        <w:widowControl w:val="0"/>
        <w:autoSpaceDE w:val="0"/>
        <w:autoSpaceDN w:val="0"/>
        <w:rPr>
          <w:rFonts w:ascii="Verdana" w:hAnsi="Verdana"/>
          <w:sz w:val="20"/>
          <w:szCs w:val="20"/>
        </w:rPr>
      </w:pPr>
    </w:p>
    <w:p w14:paraId="3E26AE5F" w14:textId="77777777" w:rsidR="00E61229" w:rsidRPr="002B17A9" w:rsidRDefault="00E61229" w:rsidP="00E61229">
      <w:pPr>
        <w:rPr>
          <w:rFonts w:ascii="Verdana" w:hAnsi="Verdana"/>
          <w:sz w:val="20"/>
          <w:szCs w:val="20"/>
        </w:rPr>
      </w:pPr>
      <w:proofErr w:type="spellStart"/>
      <w:r w:rsidRPr="002B17A9">
        <w:rPr>
          <w:rFonts w:ascii="Verdana" w:hAnsi="Verdana"/>
          <w:sz w:val="20"/>
          <w:szCs w:val="20"/>
        </w:rPr>
        <w:t>Remensurações</w:t>
      </w:r>
      <w:proofErr w:type="spellEnd"/>
      <w:r w:rsidRPr="002B17A9">
        <w:rPr>
          <w:rFonts w:ascii="Verdana" w:hAnsi="Verdana"/>
          <w:sz w:val="20"/>
          <w:szCs w:val="20"/>
        </w:rPr>
        <w:t xml:space="preserve"> refletem alterações oriundas de índices ou taxas contratuais, bem como nos prazos dos arrendamentos devido a novas expectativas de prorrogações ou rescisões do arrendamento (com correspondente ajuste no direto de uso relacionado). As </w:t>
      </w:r>
      <w:proofErr w:type="spellStart"/>
      <w:r w:rsidRPr="002B17A9">
        <w:rPr>
          <w:rFonts w:ascii="Verdana" w:hAnsi="Verdana"/>
          <w:sz w:val="20"/>
          <w:szCs w:val="20"/>
        </w:rPr>
        <w:t>remensurações</w:t>
      </w:r>
      <w:proofErr w:type="spellEnd"/>
      <w:r w:rsidRPr="002B17A9">
        <w:rPr>
          <w:rFonts w:ascii="Verdana" w:hAnsi="Verdana"/>
          <w:sz w:val="20"/>
          <w:szCs w:val="20"/>
        </w:rPr>
        <w:t xml:space="preserve"> são reconhecidas no passivo de arrendamento como ajuste ao ativo de direito de uso.</w:t>
      </w:r>
    </w:p>
    <w:p w14:paraId="6CFC380B" w14:textId="77777777" w:rsidR="00E61229" w:rsidRPr="002B17A9" w:rsidRDefault="00E61229" w:rsidP="00E61229">
      <w:pPr>
        <w:widowControl w:val="0"/>
        <w:autoSpaceDE w:val="0"/>
        <w:autoSpaceDN w:val="0"/>
        <w:rPr>
          <w:rFonts w:ascii="Verdana" w:hAnsi="Verdana"/>
          <w:sz w:val="20"/>
          <w:szCs w:val="20"/>
        </w:rPr>
      </w:pPr>
    </w:p>
    <w:p w14:paraId="2E72C77A" w14:textId="22FEED6B" w:rsidR="00FE3CB4" w:rsidRDefault="00E61229" w:rsidP="00E61229">
      <w:pPr>
        <w:widowControl w:val="0"/>
        <w:autoSpaceDE w:val="0"/>
        <w:autoSpaceDN w:val="0"/>
        <w:rPr>
          <w:rFonts w:ascii="Verdana" w:hAnsi="Verdana"/>
          <w:sz w:val="20"/>
          <w:szCs w:val="20"/>
        </w:rPr>
      </w:pPr>
      <w:r w:rsidRPr="002B17A9">
        <w:rPr>
          <w:rFonts w:ascii="Verdana" w:hAnsi="Verdana"/>
          <w:sz w:val="20"/>
          <w:szCs w:val="20"/>
        </w:rPr>
        <w:t>Os juros e outras despesas financeiras são reconhecidos na demonstração do resultado durante o período do arrendamento, para produzir uma taxa periódica constante de juros sobre o saldo remanescente do passivo para cada período, enquanto os pagamentos reduzem o seu valor contábil. O direito de uso adquirido por meio de arrendamento financeiro está classificado no Ativo Não Circulante sendo depreciado pelo prazo do arrendamento.</w:t>
      </w:r>
    </w:p>
    <w:p w14:paraId="045B6299" w14:textId="77777777" w:rsidR="009408EF" w:rsidRDefault="009408EF" w:rsidP="009408EF">
      <w:pPr>
        <w:widowControl w:val="0"/>
        <w:autoSpaceDE w:val="0"/>
        <w:autoSpaceDN w:val="0"/>
        <w:jc w:val="left"/>
        <w:rPr>
          <w:rFonts w:ascii="Verdana" w:hAnsi="Verdana"/>
          <w:b/>
          <w:color w:val="0D63B5"/>
          <w:sz w:val="20"/>
          <w:szCs w:val="20"/>
        </w:rPr>
      </w:pPr>
    </w:p>
    <w:p w14:paraId="40E241CD" w14:textId="005312D8" w:rsidR="00C30629" w:rsidRDefault="00C30629" w:rsidP="00FE3CB4">
      <w:pPr>
        <w:widowControl w:val="0"/>
        <w:autoSpaceDE w:val="0"/>
        <w:autoSpaceDN w:val="0"/>
        <w:rPr>
          <w:rFonts w:ascii="Verdana" w:hAnsi="Verdana"/>
          <w:sz w:val="20"/>
          <w:szCs w:val="20"/>
        </w:rPr>
      </w:pPr>
    </w:p>
    <w:p w14:paraId="0E06A6F6" w14:textId="7F9DDA93" w:rsidR="003E208E" w:rsidRDefault="003E208E" w:rsidP="00FE3CB4">
      <w:pPr>
        <w:widowControl w:val="0"/>
        <w:autoSpaceDE w:val="0"/>
        <w:autoSpaceDN w:val="0"/>
        <w:rPr>
          <w:rFonts w:ascii="Verdana" w:hAnsi="Verdana"/>
          <w:sz w:val="20"/>
          <w:szCs w:val="20"/>
        </w:rPr>
      </w:pPr>
    </w:p>
    <w:p w14:paraId="65D7243E" w14:textId="328844AE" w:rsidR="003E208E" w:rsidRDefault="003E208E" w:rsidP="00FE3CB4">
      <w:pPr>
        <w:widowControl w:val="0"/>
        <w:autoSpaceDE w:val="0"/>
        <w:autoSpaceDN w:val="0"/>
        <w:rPr>
          <w:rFonts w:ascii="Verdana" w:hAnsi="Verdana"/>
          <w:sz w:val="20"/>
          <w:szCs w:val="20"/>
        </w:rPr>
      </w:pPr>
    </w:p>
    <w:p w14:paraId="30BFA64C" w14:textId="56D4405E" w:rsidR="003E208E" w:rsidRDefault="003E208E" w:rsidP="00FE3CB4">
      <w:pPr>
        <w:widowControl w:val="0"/>
        <w:autoSpaceDE w:val="0"/>
        <w:autoSpaceDN w:val="0"/>
        <w:rPr>
          <w:rFonts w:ascii="Verdana" w:hAnsi="Verdana"/>
          <w:sz w:val="20"/>
          <w:szCs w:val="20"/>
        </w:rPr>
      </w:pPr>
    </w:p>
    <w:p w14:paraId="27B64425" w14:textId="77777777" w:rsidR="003E208E" w:rsidRDefault="003E208E" w:rsidP="00FE3CB4">
      <w:pPr>
        <w:widowControl w:val="0"/>
        <w:autoSpaceDE w:val="0"/>
        <w:autoSpaceDN w:val="0"/>
        <w:rPr>
          <w:rFonts w:ascii="Verdana" w:hAnsi="Verdana"/>
          <w:sz w:val="20"/>
          <w:szCs w:val="20"/>
        </w:rPr>
      </w:pPr>
    </w:p>
    <w:p w14:paraId="4303347B" w14:textId="77777777" w:rsidR="00C30629" w:rsidRDefault="00C30629" w:rsidP="00FE3CB4">
      <w:pPr>
        <w:widowControl w:val="0"/>
        <w:autoSpaceDE w:val="0"/>
        <w:autoSpaceDN w:val="0"/>
        <w:rPr>
          <w:rFonts w:ascii="Verdana" w:hAnsi="Verdana"/>
          <w:sz w:val="20"/>
          <w:szCs w:val="20"/>
        </w:rPr>
      </w:pPr>
    </w:p>
    <w:p w14:paraId="6D0138CF" w14:textId="77777777" w:rsidR="00022223" w:rsidRPr="00A94D81" w:rsidRDefault="00022223" w:rsidP="00022223">
      <w:pPr>
        <w:widowControl w:val="0"/>
        <w:autoSpaceDE w:val="0"/>
        <w:autoSpaceDN w:val="0"/>
        <w:jc w:val="left"/>
        <w:rPr>
          <w:rStyle w:val="Ttulo5Char"/>
          <w:rFonts w:ascii="Verdana" w:hAnsi="Verdana"/>
          <w:color w:val="0D63B5"/>
          <w:sz w:val="20"/>
          <w:szCs w:val="20"/>
        </w:rPr>
      </w:pPr>
      <w:r w:rsidRPr="00A94D81">
        <w:rPr>
          <w:rStyle w:val="Ttulo5Char"/>
          <w:rFonts w:ascii="Verdana" w:hAnsi="Verdana"/>
          <w:color w:val="0D63B5"/>
          <w:sz w:val="20"/>
          <w:szCs w:val="20"/>
        </w:rPr>
        <w:lastRenderedPageBreak/>
        <w:t xml:space="preserve">NOTA </w:t>
      </w:r>
      <w:r w:rsidR="00127316" w:rsidRPr="00A94D81">
        <w:rPr>
          <w:rStyle w:val="Ttulo5Char"/>
          <w:rFonts w:ascii="Verdana" w:hAnsi="Verdana"/>
          <w:color w:val="0D63B5"/>
          <w:sz w:val="20"/>
          <w:szCs w:val="20"/>
        </w:rPr>
        <w:t>30</w:t>
      </w:r>
      <w:r w:rsidRPr="00A94D81">
        <w:rPr>
          <w:rStyle w:val="Ttulo5Char"/>
          <w:rFonts w:ascii="Verdana" w:hAnsi="Verdana"/>
          <w:color w:val="0D63B5"/>
          <w:sz w:val="20"/>
          <w:szCs w:val="20"/>
        </w:rPr>
        <w:t xml:space="preserve"> – </w:t>
      </w:r>
      <w:r w:rsidR="00A94D81" w:rsidRPr="00A94D81">
        <w:rPr>
          <w:rStyle w:val="Ttulo5Char"/>
          <w:rFonts w:ascii="Verdana" w:hAnsi="Verdana"/>
          <w:color w:val="0D63B5"/>
          <w:sz w:val="20"/>
          <w:szCs w:val="20"/>
        </w:rPr>
        <w:t>RESSARCIMENTO DE CLIENTE</w:t>
      </w:r>
    </w:p>
    <w:p w14:paraId="62ED4D24" w14:textId="77777777" w:rsidR="00022223" w:rsidRPr="00A83D24" w:rsidRDefault="00022223" w:rsidP="00022223">
      <w:pPr>
        <w:jc w:val="center"/>
        <w:rPr>
          <w:rFonts w:ascii="Verdana" w:eastAsiaTheme="majorEastAsia" w:hAnsi="Verdana"/>
        </w:rPr>
      </w:pPr>
      <w:r w:rsidRPr="00A83D24">
        <w:rPr>
          <w:rFonts w:ascii="Verdana" w:eastAsiaTheme="majorEastAsia" w:hAnsi="Verdana" w:cstheme="majorBidi"/>
          <w:b/>
          <w:color w:val="0D63B5"/>
          <w:sz w:val="20"/>
          <w:szCs w:val="20"/>
        </w:rPr>
        <w:t xml:space="preserve"> </w:t>
      </w:r>
    </w:p>
    <w:p w14:paraId="44B5464E" w14:textId="77777777" w:rsidR="00022223" w:rsidRPr="00A83D24" w:rsidRDefault="00022223" w:rsidP="00A94D81">
      <w:pPr>
        <w:jc w:val="center"/>
        <w:rPr>
          <w:rFonts w:ascii="Verdana" w:hAnsi="Verdana"/>
          <w:color w:val="FF0000"/>
          <w:sz w:val="20"/>
          <w:szCs w:val="22"/>
        </w:rPr>
      </w:pPr>
      <w:r w:rsidRPr="00A83D24">
        <w:rPr>
          <w:rFonts w:ascii="Verdana" w:eastAsiaTheme="majorEastAsia" w:hAnsi="Verdana" w:cstheme="majorBidi"/>
          <w:b/>
          <w:color w:val="0D63B5"/>
          <w:sz w:val="20"/>
          <w:szCs w:val="20"/>
        </w:rPr>
        <w:t xml:space="preserve"> </w:t>
      </w:r>
    </w:p>
    <w:p w14:paraId="7956EB36" w14:textId="77777777" w:rsidR="00022223" w:rsidRDefault="00022223" w:rsidP="00A83D24">
      <w:pPr>
        <w:jc w:val="center"/>
        <w:rPr>
          <w:rFonts w:ascii="Verdana" w:hAnsi="Verdana"/>
          <w:color w:val="FF0000"/>
          <w:sz w:val="20"/>
          <w:szCs w:val="22"/>
          <w:highlight w:val="green"/>
        </w:rPr>
      </w:pPr>
    </w:p>
    <w:p w14:paraId="168A5E65" w14:textId="77777777" w:rsidR="00022223" w:rsidRPr="004A0749" w:rsidRDefault="00CF2BF6" w:rsidP="00CF2BF6">
      <w:pPr>
        <w:jc w:val="center"/>
        <w:rPr>
          <w:rFonts w:ascii="Verdana" w:hAnsi="Verdana"/>
          <w:color w:val="FF0000"/>
          <w:sz w:val="20"/>
          <w:szCs w:val="22"/>
          <w:highlight w:val="yellow"/>
        </w:rPr>
      </w:pPr>
      <w:r w:rsidRPr="00CF2BF6">
        <w:rPr>
          <w:noProof/>
        </w:rPr>
        <w:drawing>
          <wp:inline distT="0" distB="0" distL="0" distR="0" wp14:anchorId="5628AA7F" wp14:editId="3C703242">
            <wp:extent cx="4324350" cy="1630067"/>
            <wp:effectExtent l="0" t="0" r="0" b="0"/>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337832" cy="1635149"/>
                    </a:xfrm>
                    <a:prstGeom prst="rect">
                      <a:avLst/>
                    </a:prstGeom>
                    <a:noFill/>
                    <a:ln>
                      <a:noFill/>
                    </a:ln>
                  </pic:spPr>
                </pic:pic>
              </a:graphicData>
            </a:graphic>
          </wp:inline>
        </w:drawing>
      </w:r>
    </w:p>
    <w:p w14:paraId="55541232" w14:textId="77777777" w:rsidR="00022223" w:rsidRDefault="00022223" w:rsidP="00022223">
      <w:pPr>
        <w:rPr>
          <w:rFonts w:ascii="Verdana" w:hAnsi="Verdana"/>
          <w:color w:val="FF0000"/>
          <w:sz w:val="20"/>
          <w:szCs w:val="22"/>
          <w:highlight w:val="green"/>
        </w:rPr>
      </w:pPr>
    </w:p>
    <w:p w14:paraId="28AAE99C" w14:textId="77777777" w:rsidR="00E61229" w:rsidRPr="005E4A4C" w:rsidRDefault="00E61229" w:rsidP="00E61229">
      <w:pPr>
        <w:rPr>
          <w:rFonts w:ascii="Verdana" w:hAnsi="Verdana"/>
          <w:sz w:val="20"/>
          <w:szCs w:val="20"/>
        </w:rPr>
      </w:pPr>
      <w:r w:rsidRPr="005E4A4C">
        <w:rPr>
          <w:rFonts w:ascii="Verdana" w:hAnsi="Verdana"/>
          <w:sz w:val="20"/>
          <w:szCs w:val="20"/>
        </w:rPr>
        <w:t xml:space="preserve">O desvio negativo (ressarcimento) de R$ 267.111 registrado em dezembro de 2020, </w:t>
      </w:r>
      <w:r>
        <w:rPr>
          <w:rFonts w:ascii="Verdana" w:hAnsi="Verdana"/>
          <w:sz w:val="20"/>
          <w:szCs w:val="20"/>
        </w:rPr>
        <w:t>foi</w:t>
      </w:r>
      <w:r w:rsidRPr="005E4A4C">
        <w:rPr>
          <w:rFonts w:ascii="Verdana" w:hAnsi="Verdana"/>
          <w:sz w:val="20"/>
          <w:szCs w:val="20"/>
        </w:rPr>
        <w:t xml:space="preserve"> em decorrência de a energia fornecida ter sido menor que a energia garantida para o período, visto que o tempo de parada de manutenção da Usina de Angra 2 foi superior ao programado para o ano.  Ele corresponde à quantidade de energia entregue a menor em 2020 valorado ao máximo entre o Preço de Liquidação das Diferenças - PLD médio do ano de referência</w:t>
      </w:r>
      <w:r>
        <w:rPr>
          <w:rFonts w:ascii="Verdana" w:hAnsi="Verdana"/>
          <w:sz w:val="20"/>
          <w:szCs w:val="20"/>
        </w:rPr>
        <w:t>. Da obrigação constituída, 11 parcelas foram</w:t>
      </w:r>
      <w:r w:rsidRPr="005E4A4C">
        <w:rPr>
          <w:rFonts w:ascii="Verdana" w:hAnsi="Verdana"/>
          <w:sz w:val="20"/>
          <w:szCs w:val="20"/>
        </w:rPr>
        <w:t xml:space="preserve"> ressarcid</w:t>
      </w:r>
      <w:r>
        <w:rPr>
          <w:rFonts w:ascii="Verdana" w:hAnsi="Verdana"/>
          <w:sz w:val="20"/>
          <w:szCs w:val="20"/>
        </w:rPr>
        <w:t>as em 2021</w:t>
      </w:r>
      <w:r w:rsidRPr="005E4A4C">
        <w:rPr>
          <w:rFonts w:ascii="Verdana" w:hAnsi="Verdana"/>
          <w:sz w:val="20"/>
          <w:szCs w:val="20"/>
        </w:rPr>
        <w:t xml:space="preserve"> a todas concessionárias, permissionárias ou autorizadas de serviço público de distribuição do Sis</w:t>
      </w:r>
      <w:r w:rsidRPr="0078669C">
        <w:rPr>
          <w:rFonts w:ascii="Verdana" w:hAnsi="Verdana"/>
          <w:sz w:val="20"/>
          <w:szCs w:val="20"/>
        </w:rPr>
        <w:t xml:space="preserve">tema Interligado Nacional – SIN; e </w:t>
      </w:r>
      <w:r>
        <w:rPr>
          <w:rFonts w:ascii="Verdana" w:hAnsi="Verdana"/>
          <w:sz w:val="20"/>
          <w:szCs w:val="20"/>
        </w:rPr>
        <w:t>a última parcela em janeiro</w:t>
      </w:r>
      <w:r w:rsidRPr="0078669C">
        <w:rPr>
          <w:rFonts w:ascii="Verdana" w:hAnsi="Verdana"/>
          <w:sz w:val="20"/>
          <w:szCs w:val="20"/>
        </w:rPr>
        <w:t xml:space="preserve"> </w:t>
      </w:r>
      <w:r w:rsidRPr="005E4A4C">
        <w:rPr>
          <w:rFonts w:ascii="Verdana" w:hAnsi="Verdana"/>
          <w:sz w:val="20"/>
          <w:szCs w:val="20"/>
        </w:rPr>
        <w:t>202</w:t>
      </w:r>
      <w:r>
        <w:rPr>
          <w:rFonts w:ascii="Verdana" w:hAnsi="Verdana"/>
          <w:sz w:val="20"/>
          <w:szCs w:val="20"/>
        </w:rPr>
        <w:t>2</w:t>
      </w:r>
      <w:r w:rsidRPr="005E4A4C">
        <w:rPr>
          <w:rFonts w:ascii="Verdana" w:hAnsi="Verdana"/>
          <w:sz w:val="20"/>
          <w:szCs w:val="20"/>
        </w:rPr>
        <w:t>.</w:t>
      </w:r>
    </w:p>
    <w:p w14:paraId="3FD0D94B" w14:textId="77777777" w:rsidR="00E61229" w:rsidRDefault="00E61229" w:rsidP="00E61229">
      <w:pPr>
        <w:rPr>
          <w:rFonts w:ascii="Verdana" w:hAnsi="Verdana"/>
          <w:color w:val="FF0000"/>
          <w:sz w:val="20"/>
          <w:szCs w:val="22"/>
          <w:highlight w:val="green"/>
        </w:rPr>
      </w:pPr>
    </w:p>
    <w:p w14:paraId="4A2CE0FF" w14:textId="77777777" w:rsidR="00E61229" w:rsidRDefault="00E61229" w:rsidP="00E61229">
      <w:pPr>
        <w:rPr>
          <w:rFonts w:ascii="Verdana" w:hAnsi="Verdana"/>
          <w:color w:val="FF0000"/>
          <w:sz w:val="20"/>
          <w:szCs w:val="22"/>
          <w:highlight w:val="green"/>
        </w:rPr>
      </w:pPr>
    </w:p>
    <w:p w14:paraId="36C06CCE" w14:textId="77777777" w:rsidR="00E61229" w:rsidRPr="00127316" w:rsidRDefault="00E61229" w:rsidP="00E61229">
      <w:pPr>
        <w:rPr>
          <w:rFonts w:ascii="Verdana" w:hAnsi="Verdana"/>
          <w:color w:val="0D63B5"/>
          <w:sz w:val="20"/>
          <w:szCs w:val="20"/>
        </w:rPr>
      </w:pPr>
      <w:r w:rsidRPr="00127316">
        <w:rPr>
          <w:rFonts w:ascii="Verdana" w:hAnsi="Verdana"/>
          <w:color w:val="0D63B5"/>
          <w:sz w:val="20"/>
          <w:szCs w:val="20"/>
        </w:rPr>
        <w:t xml:space="preserve">Prática contábil   </w:t>
      </w:r>
    </w:p>
    <w:p w14:paraId="0F1AF055" w14:textId="77777777" w:rsidR="00E61229" w:rsidRDefault="00E61229" w:rsidP="00E61229">
      <w:pPr>
        <w:adjustRightInd w:val="0"/>
        <w:rPr>
          <w:rFonts w:ascii="Verdana" w:eastAsiaTheme="minorHAnsi" w:hAnsi="Verdana" w:cs="Verdana"/>
          <w:color w:val="000000"/>
          <w:sz w:val="20"/>
          <w:szCs w:val="20"/>
          <w:lang w:eastAsia="en-US"/>
        </w:rPr>
      </w:pPr>
    </w:p>
    <w:p w14:paraId="1782AA06" w14:textId="77777777" w:rsidR="00E61229" w:rsidRPr="006C1F79" w:rsidRDefault="00E61229" w:rsidP="00E61229">
      <w:pPr>
        <w:rPr>
          <w:rFonts w:ascii="Verdana" w:hAnsi="Verdana"/>
          <w:sz w:val="20"/>
          <w:szCs w:val="20"/>
        </w:rPr>
      </w:pPr>
      <w:r w:rsidRPr="006C1F79">
        <w:rPr>
          <w:rFonts w:ascii="Verdana" w:hAnsi="Verdana"/>
          <w:sz w:val="20"/>
          <w:szCs w:val="20"/>
        </w:rPr>
        <w:t>As contas de obrigações de ressarcimento a clientes representam valores   a serem restituídos às distribuidoras quando, em um exercício, é verificado que o montante da energia fornecida foi inferior ao montante da energia contratada/garantida para o mesmo período. O valor</w:t>
      </w:r>
      <w:r>
        <w:rPr>
          <w:rFonts w:ascii="Verdana" w:hAnsi="Verdana"/>
          <w:sz w:val="20"/>
          <w:szCs w:val="20"/>
        </w:rPr>
        <w:t>,</w:t>
      </w:r>
      <w:r w:rsidRPr="006C1F79">
        <w:rPr>
          <w:rFonts w:ascii="Verdana" w:hAnsi="Verdana"/>
          <w:sz w:val="20"/>
          <w:szCs w:val="20"/>
        </w:rPr>
        <w:t xml:space="preserve"> apurado em cada competência</w:t>
      </w:r>
      <w:r>
        <w:rPr>
          <w:rFonts w:ascii="Verdana" w:hAnsi="Verdana"/>
          <w:sz w:val="20"/>
          <w:szCs w:val="20"/>
        </w:rPr>
        <w:t xml:space="preserve"> </w:t>
      </w:r>
      <w:proofErr w:type="gramStart"/>
      <w:r>
        <w:rPr>
          <w:rFonts w:ascii="Verdana" w:hAnsi="Verdana"/>
          <w:sz w:val="20"/>
          <w:szCs w:val="20"/>
        </w:rPr>
        <w:t>pela  Comercialização</w:t>
      </w:r>
      <w:proofErr w:type="gramEnd"/>
      <w:r>
        <w:rPr>
          <w:rFonts w:ascii="Verdana" w:hAnsi="Verdana"/>
          <w:sz w:val="20"/>
          <w:szCs w:val="20"/>
        </w:rPr>
        <w:t xml:space="preserve"> de Energia Elétrica - CCEE,</w:t>
      </w:r>
      <w:r w:rsidRPr="006C1F79">
        <w:rPr>
          <w:rFonts w:ascii="Verdana" w:hAnsi="Verdana"/>
          <w:sz w:val="20"/>
          <w:szCs w:val="20"/>
        </w:rPr>
        <w:t xml:space="preserve"> é ressarcido no ano seguinte, a partir do mês de fevereiro, em doze parcelas iguais e suc</w:t>
      </w:r>
      <w:r>
        <w:rPr>
          <w:rFonts w:ascii="Verdana" w:hAnsi="Verdana"/>
          <w:sz w:val="20"/>
          <w:szCs w:val="20"/>
        </w:rPr>
        <w:t>essivas, conforme estabelecido no Art.27, parágrafos 3º ao 6º, da Resolução Normativa Aneel 530/2012.</w:t>
      </w:r>
    </w:p>
    <w:p w14:paraId="3AA219A3" w14:textId="02A3ADAB" w:rsidR="00127316" w:rsidRDefault="00127316" w:rsidP="00022223">
      <w:pPr>
        <w:rPr>
          <w:rFonts w:ascii="Verdana" w:hAnsi="Verdana"/>
          <w:sz w:val="20"/>
          <w:szCs w:val="20"/>
          <w:highlight w:val="green"/>
        </w:rPr>
      </w:pPr>
    </w:p>
    <w:p w14:paraId="5C4A1E22" w14:textId="77777777" w:rsidR="004F0958" w:rsidRDefault="004F0958" w:rsidP="00022223">
      <w:pPr>
        <w:rPr>
          <w:rFonts w:ascii="Verdana" w:hAnsi="Verdana"/>
          <w:sz w:val="20"/>
          <w:szCs w:val="20"/>
          <w:highlight w:val="green"/>
        </w:rPr>
      </w:pPr>
    </w:p>
    <w:p w14:paraId="77BE59CE" w14:textId="77777777" w:rsidR="00113B20" w:rsidRDefault="00113B20" w:rsidP="00022223">
      <w:pPr>
        <w:rPr>
          <w:rFonts w:ascii="Verdana" w:hAnsi="Verdana"/>
          <w:sz w:val="20"/>
          <w:szCs w:val="20"/>
          <w:highlight w:val="green"/>
        </w:rPr>
      </w:pPr>
    </w:p>
    <w:p w14:paraId="6AB86944" w14:textId="77777777" w:rsidR="00F9597B" w:rsidRDefault="00F9597B" w:rsidP="00F9597B">
      <w:pPr>
        <w:tabs>
          <w:tab w:val="left" w:pos="567"/>
          <w:tab w:val="left" w:pos="1134"/>
          <w:tab w:val="left" w:pos="1701"/>
          <w:tab w:val="left" w:pos="2268"/>
          <w:tab w:val="left" w:pos="2835"/>
        </w:tabs>
        <w:jc w:val="left"/>
        <w:outlineLvl w:val="0"/>
        <w:rPr>
          <w:rFonts w:ascii="Verdana" w:hAnsi="Verdana"/>
          <w:b/>
          <w:color w:val="0D63B5"/>
          <w:sz w:val="20"/>
          <w:szCs w:val="20"/>
        </w:rPr>
      </w:pPr>
      <w:r w:rsidRPr="005C5C69">
        <w:rPr>
          <w:rFonts w:ascii="Verdana" w:hAnsi="Verdana"/>
          <w:b/>
          <w:color w:val="0D63B5"/>
          <w:sz w:val="20"/>
          <w:szCs w:val="20"/>
        </w:rPr>
        <w:t xml:space="preserve">NOTA </w:t>
      </w:r>
      <w:r>
        <w:rPr>
          <w:rFonts w:ascii="Verdana" w:hAnsi="Verdana"/>
          <w:b/>
          <w:color w:val="0D63B5"/>
          <w:sz w:val="20"/>
          <w:szCs w:val="20"/>
        </w:rPr>
        <w:t>31</w:t>
      </w:r>
      <w:r w:rsidRPr="005C5C69">
        <w:rPr>
          <w:rFonts w:ascii="Verdana" w:hAnsi="Verdana"/>
          <w:b/>
          <w:color w:val="0D63B5"/>
          <w:sz w:val="20"/>
          <w:szCs w:val="20"/>
        </w:rPr>
        <w:t xml:space="preserve"> – PATRIMÔNIO LÍQUIDO</w:t>
      </w:r>
    </w:p>
    <w:p w14:paraId="3FAB3A08" w14:textId="77777777" w:rsidR="00F9597B" w:rsidRDefault="00F9597B" w:rsidP="00F9597B">
      <w:pPr>
        <w:tabs>
          <w:tab w:val="left" w:pos="567"/>
          <w:tab w:val="left" w:pos="1134"/>
          <w:tab w:val="left" w:pos="1701"/>
          <w:tab w:val="left" w:pos="2268"/>
          <w:tab w:val="left" w:pos="2835"/>
        </w:tabs>
        <w:jc w:val="left"/>
        <w:outlineLvl w:val="0"/>
        <w:rPr>
          <w:rFonts w:ascii="Verdana" w:hAnsi="Verdana"/>
          <w:b/>
          <w:color w:val="0D63B5"/>
          <w:sz w:val="20"/>
          <w:szCs w:val="20"/>
        </w:rPr>
      </w:pPr>
    </w:p>
    <w:p w14:paraId="26DE2710" w14:textId="77777777" w:rsidR="00F9597B" w:rsidRDefault="00F9597B" w:rsidP="00F9597B">
      <w:pPr>
        <w:rPr>
          <w:rFonts w:ascii="Verdana" w:hAnsi="Verdana"/>
          <w:sz w:val="20"/>
          <w:szCs w:val="20"/>
        </w:rPr>
      </w:pPr>
    </w:p>
    <w:p w14:paraId="268B5D28" w14:textId="77777777" w:rsidR="00C2656E" w:rsidRDefault="00C2656E" w:rsidP="00C2656E">
      <w:pPr>
        <w:rPr>
          <w:rFonts w:ascii="Verdana" w:hAnsi="Verdana"/>
          <w:sz w:val="20"/>
          <w:szCs w:val="20"/>
        </w:rPr>
      </w:pPr>
      <w:r w:rsidRPr="003F7ACB">
        <w:rPr>
          <w:rFonts w:ascii="Verdana" w:hAnsi="Verdana"/>
          <w:sz w:val="20"/>
          <w:szCs w:val="20"/>
        </w:rPr>
        <w:t xml:space="preserve">O capital social da Companhia, em 31 de dezembro de 2021, é de R$ </w:t>
      </w:r>
      <w:proofErr w:type="gramStart"/>
      <w:r w:rsidRPr="003F7ACB">
        <w:rPr>
          <w:rFonts w:ascii="Verdana" w:hAnsi="Verdana"/>
          <w:sz w:val="20"/>
          <w:szCs w:val="20"/>
        </w:rPr>
        <w:t xml:space="preserve">8.493.036 </w:t>
      </w:r>
      <w:r w:rsidRPr="003F7ACB">
        <w:rPr>
          <w:rFonts w:ascii="Verdana" w:hAnsi="Verdana"/>
          <w:color w:val="FF0000"/>
          <w:sz w:val="20"/>
          <w:szCs w:val="20"/>
        </w:rPr>
        <w:t xml:space="preserve"> </w:t>
      </w:r>
      <w:r w:rsidRPr="003F7ACB">
        <w:rPr>
          <w:rFonts w:ascii="Verdana" w:hAnsi="Verdana"/>
          <w:sz w:val="20"/>
          <w:szCs w:val="20"/>
        </w:rPr>
        <w:t>(</w:t>
      </w:r>
      <w:proofErr w:type="gramEnd"/>
      <w:r w:rsidRPr="003F7ACB">
        <w:rPr>
          <w:rFonts w:ascii="Verdana" w:hAnsi="Verdana"/>
          <w:sz w:val="20"/>
          <w:szCs w:val="20"/>
        </w:rPr>
        <w:t xml:space="preserve">R$ </w:t>
      </w:r>
      <w:r w:rsidRPr="003F7ACB">
        <w:rPr>
          <w:rFonts w:ascii="Verdana" w:hAnsi="Verdana"/>
          <w:color w:val="000000" w:themeColor="text1"/>
          <w:sz w:val="20"/>
          <w:szCs w:val="20"/>
        </w:rPr>
        <w:t>8.493.036</w:t>
      </w:r>
      <w:r w:rsidRPr="003F7ACB">
        <w:rPr>
          <w:rFonts w:ascii="Verdana" w:hAnsi="Verdana"/>
          <w:sz w:val="20"/>
          <w:szCs w:val="20"/>
        </w:rPr>
        <w:t xml:space="preserve"> em 31 de dezembro de 2020) e suas ações </w:t>
      </w:r>
      <w:r>
        <w:rPr>
          <w:rFonts w:ascii="Verdana" w:hAnsi="Verdana"/>
          <w:sz w:val="20"/>
          <w:szCs w:val="20"/>
        </w:rPr>
        <w:t xml:space="preserve"> são nominativas e </w:t>
      </w:r>
      <w:r w:rsidRPr="003F7ACB">
        <w:rPr>
          <w:rFonts w:ascii="Verdana" w:hAnsi="Verdana"/>
          <w:sz w:val="20"/>
          <w:szCs w:val="20"/>
        </w:rPr>
        <w:t>não têm valor nominal, sendo as ordinárias com direito a voto.</w:t>
      </w:r>
    </w:p>
    <w:p w14:paraId="4B819B4D" w14:textId="77777777" w:rsidR="00C2656E" w:rsidRDefault="00C2656E" w:rsidP="00C2656E">
      <w:pPr>
        <w:rPr>
          <w:rFonts w:ascii="Verdana" w:hAnsi="Verdana"/>
        </w:rPr>
      </w:pPr>
    </w:p>
    <w:p w14:paraId="462FB5A9" w14:textId="77777777" w:rsidR="00C2656E" w:rsidRPr="003F7ACB" w:rsidRDefault="00C2656E" w:rsidP="00C2656E">
      <w:pPr>
        <w:keepNext/>
        <w:outlineLvl w:val="3"/>
        <w:rPr>
          <w:rFonts w:ascii="Verdana" w:hAnsi="Verdana" w:cs="Arial"/>
          <w:sz w:val="20"/>
          <w:szCs w:val="20"/>
        </w:rPr>
      </w:pPr>
      <w:r w:rsidRPr="003F7ACB">
        <w:rPr>
          <w:rFonts w:ascii="Verdana" w:hAnsi="Verdana" w:cs="Arial"/>
          <w:sz w:val="20"/>
          <w:szCs w:val="20"/>
        </w:rPr>
        <w:t>As ações preferenciais não se podem converter em ações ordinárias e terão as seguintes preferências ou vantagens, de acordo com o Estatuto da Companhia:</w:t>
      </w:r>
    </w:p>
    <w:p w14:paraId="2F58E252" w14:textId="77777777" w:rsidR="00C2656E" w:rsidRPr="003F7ACB" w:rsidRDefault="00C2656E" w:rsidP="00C2656E">
      <w:pPr>
        <w:keepNext/>
        <w:ind w:left="1418" w:hanging="425"/>
        <w:outlineLvl w:val="3"/>
        <w:rPr>
          <w:rFonts w:ascii="Verdana" w:hAnsi="Verdana" w:cs="Arial"/>
          <w:sz w:val="20"/>
          <w:szCs w:val="20"/>
        </w:rPr>
      </w:pPr>
    </w:p>
    <w:p w14:paraId="7FEF3A07" w14:textId="77777777" w:rsidR="00C2656E" w:rsidRPr="003F7ACB" w:rsidRDefault="00C2656E" w:rsidP="00C2656E">
      <w:pPr>
        <w:keepNext/>
        <w:numPr>
          <w:ilvl w:val="0"/>
          <w:numId w:val="20"/>
        </w:numPr>
        <w:tabs>
          <w:tab w:val="clear" w:pos="720"/>
        </w:tabs>
        <w:spacing w:line="264" w:lineRule="auto"/>
        <w:ind w:left="1418" w:hanging="425"/>
        <w:outlineLvl w:val="3"/>
        <w:rPr>
          <w:rFonts w:ascii="Verdana" w:hAnsi="Verdana" w:cs="Arial"/>
          <w:sz w:val="20"/>
          <w:szCs w:val="20"/>
        </w:rPr>
      </w:pPr>
      <w:r w:rsidRPr="003F7ACB">
        <w:rPr>
          <w:rFonts w:ascii="Verdana" w:hAnsi="Verdana" w:cs="Arial"/>
          <w:sz w:val="20"/>
          <w:szCs w:val="20"/>
        </w:rPr>
        <w:t>Prioridade no reembolso do capital, sem direito a prêmio;</w:t>
      </w:r>
    </w:p>
    <w:p w14:paraId="1792215F" w14:textId="77777777" w:rsidR="00C2656E" w:rsidRPr="003F7ACB" w:rsidRDefault="00C2656E" w:rsidP="00C2656E">
      <w:pPr>
        <w:keepNext/>
        <w:ind w:left="1418" w:hanging="425"/>
        <w:outlineLvl w:val="3"/>
        <w:rPr>
          <w:rFonts w:ascii="Verdana" w:hAnsi="Verdana" w:cs="Arial"/>
          <w:sz w:val="20"/>
          <w:szCs w:val="20"/>
        </w:rPr>
      </w:pPr>
    </w:p>
    <w:p w14:paraId="5C16F2AE" w14:textId="77777777" w:rsidR="00C2656E" w:rsidRPr="003F7ACB" w:rsidRDefault="00C2656E" w:rsidP="00C2656E">
      <w:pPr>
        <w:keepNext/>
        <w:numPr>
          <w:ilvl w:val="0"/>
          <w:numId w:val="20"/>
        </w:numPr>
        <w:tabs>
          <w:tab w:val="clear" w:pos="720"/>
        </w:tabs>
        <w:spacing w:line="264" w:lineRule="auto"/>
        <w:ind w:left="1418" w:hanging="425"/>
        <w:outlineLvl w:val="3"/>
        <w:rPr>
          <w:rFonts w:ascii="Verdana" w:hAnsi="Verdana" w:cs="Arial"/>
          <w:sz w:val="20"/>
          <w:szCs w:val="20"/>
        </w:rPr>
      </w:pPr>
      <w:r w:rsidRPr="003F7ACB">
        <w:rPr>
          <w:rFonts w:ascii="Verdana" w:hAnsi="Verdana" w:cs="Arial"/>
          <w:sz w:val="20"/>
          <w:szCs w:val="20"/>
        </w:rPr>
        <w:t>Dividendo prioritário, mínimo cumulativo de 10% ao ano, e participação, em igualdade de condições, com as ações ordinárias nos lucros que remanescerem, depois de pago um dividendo de 12% ao ano às ações ordinárias;</w:t>
      </w:r>
    </w:p>
    <w:p w14:paraId="7768EDC0" w14:textId="77777777" w:rsidR="00C2656E" w:rsidRPr="003F7ACB" w:rsidRDefault="00C2656E" w:rsidP="00C2656E">
      <w:pPr>
        <w:keepNext/>
        <w:ind w:left="1418" w:hanging="425"/>
        <w:outlineLvl w:val="3"/>
        <w:rPr>
          <w:rFonts w:ascii="Verdana" w:hAnsi="Verdana" w:cs="Arial"/>
          <w:sz w:val="20"/>
          <w:szCs w:val="20"/>
        </w:rPr>
      </w:pPr>
    </w:p>
    <w:p w14:paraId="0F75D836" w14:textId="77777777" w:rsidR="00C2656E" w:rsidRPr="003F7ACB" w:rsidRDefault="00C2656E" w:rsidP="00C2656E">
      <w:pPr>
        <w:numPr>
          <w:ilvl w:val="0"/>
          <w:numId w:val="19"/>
        </w:numPr>
        <w:tabs>
          <w:tab w:val="clear" w:pos="360"/>
        </w:tabs>
        <w:spacing w:line="264" w:lineRule="auto"/>
        <w:ind w:left="1418" w:hanging="425"/>
        <w:rPr>
          <w:rFonts w:ascii="Verdana" w:hAnsi="Verdana" w:cs="Arial"/>
          <w:sz w:val="20"/>
          <w:szCs w:val="20"/>
        </w:rPr>
      </w:pPr>
      <w:r w:rsidRPr="003F7ACB">
        <w:rPr>
          <w:rFonts w:ascii="Verdana" w:hAnsi="Verdana" w:cs="Arial"/>
          <w:sz w:val="20"/>
          <w:szCs w:val="20"/>
        </w:rPr>
        <w:t>Direito a voto nas deliberações das Assembleias Gerais Extraordinárias sobre a alteração do Estatuto.</w:t>
      </w:r>
    </w:p>
    <w:p w14:paraId="36F45407" w14:textId="77777777" w:rsidR="00C2656E" w:rsidRPr="003E7920" w:rsidRDefault="00C2656E" w:rsidP="00C2656E">
      <w:pPr>
        <w:rPr>
          <w:rFonts w:ascii="Verdana" w:hAnsi="Verdana" w:cs="Arial"/>
          <w:sz w:val="20"/>
          <w:szCs w:val="20"/>
          <w:highlight w:val="yellow"/>
        </w:rPr>
      </w:pPr>
    </w:p>
    <w:p w14:paraId="56486429" w14:textId="77777777" w:rsidR="00C2656E" w:rsidRPr="00FD016C" w:rsidRDefault="00C2656E" w:rsidP="00C2656E">
      <w:pPr>
        <w:rPr>
          <w:rFonts w:ascii="Verdana" w:hAnsi="Verdana" w:cs="Arial"/>
          <w:sz w:val="20"/>
          <w:szCs w:val="20"/>
        </w:rPr>
      </w:pPr>
      <w:r w:rsidRPr="003F7ACB">
        <w:rPr>
          <w:rFonts w:ascii="Verdana" w:hAnsi="Verdana" w:cs="Arial"/>
          <w:sz w:val="20"/>
          <w:szCs w:val="20"/>
        </w:rPr>
        <w:lastRenderedPageBreak/>
        <w:t>Também, de acordo com o Estatuto, é assegurado aos acionistas um dividendo mínimo obrigatório anual, calculado na base de 25% do lucro líquido ajustado, nos termos da legislação vigente.</w:t>
      </w:r>
    </w:p>
    <w:p w14:paraId="32376E02" w14:textId="77777777" w:rsidR="00C2656E" w:rsidRDefault="00C2656E" w:rsidP="00C2656E">
      <w:pPr>
        <w:rPr>
          <w:rFonts w:ascii="Verdana" w:hAnsi="Verdana"/>
          <w:sz w:val="20"/>
          <w:szCs w:val="20"/>
        </w:rPr>
      </w:pPr>
    </w:p>
    <w:p w14:paraId="138418E6" w14:textId="77777777" w:rsidR="00C2656E" w:rsidRDefault="00C2656E" w:rsidP="00C2656E">
      <w:pPr>
        <w:rPr>
          <w:rFonts w:ascii="Verdana" w:hAnsi="Verdana"/>
        </w:rPr>
      </w:pPr>
      <w:r w:rsidRPr="005C5C69">
        <w:rPr>
          <w:rFonts w:ascii="Verdana" w:hAnsi="Verdana"/>
          <w:sz w:val="20"/>
          <w:szCs w:val="20"/>
        </w:rPr>
        <w:t>O capital social está distribuído, por principais acionistas e pelas espécies de ações, em 3</w:t>
      </w:r>
      <w:r>
        <w:rPr>
          <w:rFonts w:ascii="Verdana" w:hAnsi="Verdana"/>
          <w:sz w:val="20"/>
          <w:szCs w:val="20"/>
        </w:rPr>
        <w:t>1</w:t>
      </w:r>
      <w:r w:rsidRPr="005C5C69">
        <w:rPr>
          <w:rFonts w:ascii="Verdana" w:hAnsi="Verdana"/>
          <w:sz w:val="20"/>
          <w:szCs w:val="20"/>
        </w:rPr>
        <w:t xml:space="preserve"> de </w:t>
      </w:r>
      <w:r>
        <w:rPr>
          <w:rFonts w:ascii="Verdana" w:hAnsi="Verdana"/>
          <w:sz w:val="20"/>
          <w:szCs w:val="20"/>
        </w:rPr>
        <w:t>dezembro</w:t>
      </w:r>
      <w:r w:rsidRPr="005C5C69">
        <w:rPr>
          <w:rFonts w:ascii="Verdana" w:hAnsi="Verdana"/>
          <w:sz w:val="20"/>
          <w:szCs w:val="20"/>
        </w:rPr>
        <w:t xml:space="preserve"> de 2021, conforme a seguir:</w:t>
      </w:r>
      <w:r w:rsidRPr="005C5C69">
        <w:rPr>
          <w:rFonts w:ascii="Verdana" w:hAnsi="Verdana"/>
        </w:rPr>
        <w:tab/>
      </w:r>
    </w:p>
    <w:p w14:paraId="2A62D5B4" w14:textId="77777777" w:rsidR="00521D7B" w:rsidRDefault="00521D7B" w:rsidP="000479EF">
      <w:pPr>
        <w:jc w:val="center"/>
        <w:rPr>
          <w:rFonts w:ascii="Verdana" w:hAnsi="Verdana"/>
          <w:sz w:val="20"/>
          <w:szCs w:val="20"/>
        </w:rPr>
      </w:pPr>
    </w:p>
    <w:p w14:paraId="2CAD2133" w14:textId="77777777" w:rsidR="008F1B3A" w:rsidRPr="00D8103F" w:rsidRDefault="008F1B3A" w:rsidP="008F1B3A">
      <w:pPr>
        <w:widowControl w:val="0"/>
        <w:autoSpaceDE w:val="0"/>
        <w:autoSpaceDN w:val="0"/>
        <w:jc w:val="left"/>
        <w:rPr>
          <w:rFonts w:ascii="Verdana" w:hAnsi="Verdana"/>
          <w:b/>
          <w:color w:val="0D63B5"/>
          <w:sz w:val="20"/>
          <w:szCs w:val="20"/>
        </w:rPr>
      </w:pPr>
    </w:p>
    <w:p w14:paraId="08DF7976" w14:textId="77777777" w:rsidR="0020768E" w:rsidRPr="007B64B3" w:rsidRDefault="0033200D" w:rsidP="0051187A">
      <w:pPr>
        <w:jc w:val="center"/>
        <w:rPr>
          <w:rFonts w:ascii="Verdana" w:hAnsi="Verdana"/>
          <w:sz w:val="20"/>
          <w:szCs w:val="20"/>
        </w:rPr>
      </w:pPr>
      <w:r w:rsidRPr="005E30FB">
        <w:rPr>
          <w:noProof/>
        </w:rPr>
        <w:drawing>
          <wp:inline distT="0" distB="0" distL="0" distR="0" wp14:anchorId="3F2DD43D" wp14:editId="5C340239">
            <wp:extent cx="6118748" cy="2077933"/>
            <wp:effectExtent l="0" t="0" r="0" b="0"/>
            <wp:docPr id="453" name="Imagem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138108" cy="2084508"/>
                    </a:xfrm>
                    <a:prstGeom prst="rect">
                      <a:avLst/>
                    </a:prstGeom>
                    <a:noFill/>
                    <a:ln>
                      <a:noFill/>
                    </a:ln>
                  </pic:spPr>
                </pic:pic>
              </a:graphicData>
            </a:graphic>
          </wp:inline>
        </w:drawing>
      </w:r>
    </w:p>
    <w:p w14:paraId="00434A1F" w14:textId="77777777" w:rsidR="0051187A" w:rsidRPr="007B64B3" w:rsidRDefault="0051187A" w:rsidP="0051187A">
      <w:pPr>
        <w:jc w:val="center"/>
        <w:rPr>
          <w:rFonts w:ascii="Verdana" w:hAnsi="Verdana"/>
          <w:sz w:val="20"/>
          <w:szCs w:val="20"/>
        </w:rPr>
      </w:pPr>
    </w:p>
    <w:p w14:paraId="307F4378" w14:textId="77777777" w:rsidR="0051187A" w:rsidRPr="005C5C69" w:rsidRDefault="0051187A" w:rsidP="00F37EEE">
      <w:pPr>
        <w:rPr>
          <w:rFonts w:ascii="Verdana" w:hAnsi="Verdana" w:cs="Cambria Math"/>
          <w:color w:val="000000"/>
          <w:sz w:val="20"/>
          <w:szCs w:val="20"/>
        </w:rPr>
      </w:pPr>
    </w:p>
    <w:p w14:paraId="6B63B5EA" w14:textId="77777777" w:rsidR="00AF620D" w:rsidRDefault="00AF620D" w:rsidP="0033200D">
      <w:pPr>
        <w:widowControl w:val="0"/>
        <w:autoSpaceDE w:val="0"/>
        <w:autoSpaceDN w:val="0"/>
        <w:rPr>
          <w:rFonts w:ascii="Verdana" w:hAnsi="Verdana"/>
          <w:color w:val="0D63B5"/>
          <w:sz w:val="20"/>
          <w:szCs w:val="20"/>
        </w:rPr>
      </w:pPr>
    </w:p>
    <w:p w14:paraId="4BF1FF5C" w14:textId="77777777" w:rsidR="00C2656E" w:rsidRPr="00B65899" w:rsidRDefault="00C2656E" w:rsidP="00C2656E">
      <w:pPr>
        <w:widowControl w:val="0"/>
        <w:autoSpaceDE w:val="0"/>
        <w:autoSpaceDN w:val="0"/>
        <w:rPr>
          <w:rFonts w:ascii="Verdana" w:hAnsi="Verdana"/>
          <w:sz w:val="20"/>
          <w:szCs w:val="20"/>
          <w:bdr w:val="nil"/>
        </w:rPr>
      </w:pPr>
      <w:r w:rsidRPr="00B65899">
        <w:rPr>
          <w:rFonts w:ascii="Verdana" w:hAnsi="Verdana"/>
          <w:color w:val="0D63B5"/>
          <w:sz w:val="20"/>
          <w:szCs w:val="20"/>
        </w:rPr>
        <w:t>Prática contábil</w:t>
      </w:r>
      <w:r w:rsidRPr="00B65899">
        <w:rPr>
          <w:rFonts w:ascii="Verdana" w:hAnsi="Verdana"/>
          <w:sz w:val="20"/>
          <w:szCs w:val="20"/>
          <w:bdr w:val="nil"/>
        </w:rPr>
        <w:t xml:space="preserve"> </w:t>
      </w:r>
    </w:p>
    <w:p w14:paraId="1DDE4703" w14:textId="77777777" w:rsidR="00C2656E" w:rsidRDefault="00C2656E" w:rsidP="00C2656E">
      <w:pPr>
        <w:widowControl w:val="0"/>
        <w:autoSpaceDE w:val="0"/>
        <w:autoSpaceDN w:val="0"/>
        <w:rPr>
          <w:rFonts w:ascii="Verdana" w:hAnsi="Verdana"/>
          <w:sz w:val="20"/>
          <w:szCs w:val="20"/>
          <w:highlight w:val="green"/>
          <w:bdr w:val="nil"/>
        </w:rPr>
      </w:pPr>
    </w:p>
    <w:p w14:paraId="735708B7" w14:textId="77777777" w:rsidR="00C2656E" w:rsidRPr="00957AD4" w:rsidRDefault="00C2656E" w:rsidP="00C2656E">
      <w:pPr>
        <w:widowControl w:val="0"/>
        <w:autoSpaceDE w:val="0"/>
        <w:autoSpaceDN w:val="0"/>
        <w:rPr>
          <w:rFonts w:ascii="Verdana" w:hAnsi="Verdana"/>
          <w:sz w:val="20"/>
          <w:szCs w:val="20"/>
          <w:bdr w:val="nil"/>
        </w:rPr>
      </w:pPr>
      <w:r w:rsidRPr="00957AD4">
        <w:rPr>
          <w:rFonts w:ascii="Verdana" w:hAnsi="Verdana"/>
          <w:sz w:val="20"/>
          <w:szCs w:val="20"/>
          <w:bdr w:val="nil"/>
        </w:rPr>
        <w:t>Representa as ações ordinárias e as ações preferenciais integralizadas e é classificado no patrimônio líquido.</w:t>
      </w:r>
    </w:p>
    <w:p w14:paraId="6CF65162" w14:textId="77777777" w:rsidR="00C2656E" w:rsidRPr="007E396E" w:rsidRDefault="00C2656E" w:rsidP="00C2656E">
      <w:pPr>
        <w:widowControl w:val="0"/>
        <w:autoSpaceDE w:val="0"/>
        <w:autoSpaceDN w:val="0"/>
        <w:rPr>
          <w:rFonts w:ascii="Verdana" w:hAnsi="Verdana"/>
          <w:sz w:val="20"/>
          <w:szCs w:val="20"/>
          <w:highlight w:val="green"/>
          <w:bdr w:val="nil"/>
        </w:rPr>
      </w:pPr>
    </w:p>
    <w:p w14:paraId="409D1503" w14:textId="77777777" w:rsidR="00C2656E" w:rsidRPr="007E396E" w:rsidRDefault="00C2656E" w:rsidP="00C2656E">
      <w:pPr>
        <w:widowControl w:val="0"/>
        <w:autoSpaceDE w:val="0"/>
        <w:autoSpaceDN w:val="0"/>
        <w:rPr>
          <w:rFonts w:ascii="Verdana" w:hAnsi="Verdana"/>
          <w:sz w:val="20"/>
          <w:szCs w:val="20"/>
          <w:highlight w:val="green"/>
          <w:bdr w:val="nil"/>
        </w:rPr>
      </w:pPr>
    </w:p>
    <w:p w14:paraId="653BEA08" w14:textId="77777777" w:rsidR="00C2656E" w:rsidRPr="00B65899" w:rsidRDefault="00C2656E" w:rsidP="00C2656E">
      <w:pPr>
        <w:pStyle w:val="PargrafodaLista"/>
        <w:ind w:left="0"/>
        <w:rPr>
          <w:rFonts w:ascii="Verdana" w:hAnsi="Verdana"/>
          <w:color w:val="0D63B5"/>
          <w:sz w:val="20"/>
          <w:szCs w:val="20"/>
          <w:bdr w:val="nil"/>
        </w:rPr>
      </w:pPr>
      <w:r w:rsidRPr="00B65899">
        <w:rPr>
          <w:rFonts w:ascii="Verdana" w:hAnsi="Verdana"/>
          <w:color w:val="0D63B5"/>
          <w:sz w:val="20"/>
          <w:szCs w:val="20"/>
          <w:bdr w:val="nil"/>
        </w:rPr>
        <w:t xml:space="preserve">Outros resultados abrangentes </w:t>
      </w:r>
    </w:p>
    <w:p w14:paraId="468E1BDC" w14:textId="77777777" w:rsidR="00C2656E" w:rsidRPr="00B65899" w:rsidRDefault="00C2656E" w:rsidP="00C2656E">
      <w:pPr>
        <w:widowControl w:val="0"/>
        <w:autoSpaceDE w:val="0"/>
        <w:autoSpaceDN w:val="0"/>
        <w:rPr>
          <w:rFonts w:ascii="Verdana" w:hAnsi="Verdana"/>
          <w:sz w:val="20"/>
          <w:szCs w:val="20"/>
          <w:bdr w:val="nil"/>
        </w:rPr>
      </w:pPr>
    </w:p>
    <w:p w14:paraId="54CF906D" w14:textId="77777777" w:rsidR="00C2656E" w:rsidRPr="00B65899" w:rsidRDefault="00C2656E" w:rsidP="00C2656E">
      <w:pPr>
        <w:widowControl w:val="0"/>
        <w:autoSpaceDE w:val="0"/>
        <w:autoSpaceDN w:val="0"/>
        <w:rPr>
          <w:rFonts w:ascii="Verdana" w:hAnsi="Verdana"/>
          <w:sz w:val="20"/>
          <w:szCs w:val="20"/>
          <w:bdr w:val="nil"/>
        </w:rPr>
      </w:pPr>
      <w:r w:rsidRPr="00B65899">
        <w:rPr>
          <w:rFonts w:ascii="Verdana" w:hAnsi="Verdana"/>
          <w:sz w:val="20"/>
          <w:szCs w:val="20"/>
          <w:bdr w:val="nil"/>
        </w:rPr>
        <w:t>Outros resultados abrangentes compreendem itens de receita e despesa que não são reconhecidos na demonstração do resultado. Os componentes dos outros resultados abrangentes inclue</w:t>
      </w:r>
      <w:r>
        <w:rPr>
          <w:rFonts w:ascii="Verdana" w:hAnsi="Verdana"/>
          <w:sz w:val="20"/>
          <w:szCs w:val="20"/>
          <w:bdr w:val="nil"/>
        </w:rPr>
        <w:t>m</w:t>
      </w:r>
      <w:r w:rsidRPr="00B65899">
        <w:rPr>
          <w:rFonts w:ascii="Verdana" w:hAnsi="Verdana"/>
          <w:sz w:val="20"/>
          <w:szCs w:val="20"/>
          <w:bdr w:val="nil"/>
        </w:rPr>
        <w:t>:</w:t>
      </w:r>
    </w:p>
    <w:p w14:paraId="39E486B5" w14:textId="77777777" w:rsidR="00C2656E" w:rsidRPr="007E396E" w:rsidRDefault="00C2656E" w:rsidP="00C2656E">
      <w:pPr>
        <w:widowControl w:val="0"/>
        <w:autoSpaceDE w:val="0"/>
        <w:autoSpaceDN w:val="0"/>
        <w:rPr>
          <w:rFonts w:ascii="Verdana" w:hAnsi="Verdana"/>
          <w:sz w:val="20"/>
          <w:szCs w:val="20"/>
          <w:highlight w:val="green"/>
          <w:bdr w:val="nil"/>
        </w:rPr>
      </w:pPr>
    </w:p>
    <w:p w14:paraId="0F1090D1" w14:textId="77777777" w:rsidR="00C2656E" w:rsidRPr="00B65899" w:rsidRDefault="00C2656E" w:rsidP="00C2656E">
      <w:pPr>
        <w:widowControl w:val="0"/>
        <w:autoSpaceDE w:val="0"/>
        <w:autoSpaceDN w:val="0"/>
        <w:rPr>
          <w:rFonts w:ascii="Verdana" w:hAnsi="Verdana"/>
          <w:sz w:val="20"/>
          <w:szCs w:val="20"/>
          <w:bdr w:val="nil"/>
        </w:rPr>
      </w:pPr>
      <w:r w:rsidRPr="00B65899">
        <w:rPr>
          <w:rFonts w:ascii="Verdana" w:hAnsi="Verdana"/>
          <w:sz w:val="20"/>
          <w:szCs w:val="20"/>
          <w:bdr w:val="nil"/>
        </w:rPr>
        <w:t>a) Ganhos e perdas atuariais em planos de pensão com benefício definido; e</w:t>
      </w:r>
    </w:p>
    <w:p w14:paraId="09906B36" w14:textId="22C1CE88" w:rsidR="00C2656E" w:rsidRDefault="00C2656E" w:rsidP="00C2656E">
      <w:pPr>
        <w:widowControl w:val="0"/>
        <w:autoSpaceDE w:val="0"/>
        <w:autoSpaceDN w:val="0"/>
        <w:rPr>
          <w:rFonts w:ascii="Verdana" w:hAnsi="Verdana"/>
          <w:sz w:val="20"/>
          <w:szCs w:val="20"/>
          <w:bdr w:val="nil"/>
        </w:rPr>
      </w:pPr>
      <w:r w:rsidRPr="00B65899">
        <w:rPr>
          <w:rFonts w:ascii="Verdana" w:hAnsi="Verdana"/>
          <w:sz w:val="20"/>
          <w:szCs w:val="20"/>
          <w:bdr w:val="nil"/>
        </w:rPr>
        <w:t>b) Impacto de imposto de renda e contribuição social diferidos sobre os itens registrados em outros resultados abrangentes.</w:t>
      </w:r>
    </w:p>
    <w:p w14:paraId="001D0137" w14:textId="26ACC1F4" w:rsidR="00575CB6" w:rsidRDefault="00575CB6" w:rsidP="00C2656E">
      <w:pPr>
        <w:widowControl w:val="0"/>
        <w:autoSpaceDE w:val="0"/>
        <w:autoSpaceDN w:val="0"/>
        <w:rPr>
          <w:rFonts w:ascii="Verdana" w:hAnsi="Verdana"/>
          <w:sz w:val="20"/>
          <w:szCs w:val="20"/>
          <w:bdr w:val="nil"/>
        </w:rPr>
      </w:pPr>
    </w:p>
    <w:p w14:paraId="4C996DDB" w14:textId="77777777" w:rsidR="00575CB6" w:rsidRDefault="00575CB6" w:rsidP="00C2656E">
      <w:pPr>
        <w:widowControl w:val="0"/>
        <w:autoSpaceDE w:val="0"/>
        <w:autoSpaceDN w:val="0"/>
        <w:rPr>
          <w:rFonts w:ascii="Verdana" w:hAnsi="Verdana"/>
          <w:sz w:val="20"/>
          <w:szCs w:val="20"/>
          <w:bdr w:val="nil"/>
        </w:rPr>
      </w:pPr>
    </w:p>
    <w:p w14:paraId="05AA9B23" w14:textId="540A9D79" w:rsidR="005E4A4C" w:rsidRDefault="005E4A4C" w:rsidP="00065F47">
      <w:pPr>
        <w:tabs>
          <w:tab w:val="left" w:pos="567"/>
          <w:tab w:val="left" w:pos="1134"/>
          <w:tab w:val="left" w:pos="1701"/>
          <w:tab w:val="left" w:pos="2268"/>
          <w:tab w:val="left" w:pos="2835"/>
        </w:tabs>
        <w:jc w:val="left"/>
        <w:outlineLvl w:val="0"/>
        <w:rPr>
          <w:rFonts w:ascii="Verdana" w:hAnsi="Verdana"/>
          <w:b/>
          <w:color w:val="0D63B5"/>
          <w:sz w:val="20"/>
          <w:szCs w:val="20"/>
        </w:rPr>
      </w:pPr>
    </w:p>
    <w:p w14:paraId="36480000" w14:textId="49EC7950" w:rsidR="00575CB6" w:rsidRDefault="00575CB6" w:rsidP="00065F47">
      <w:pPr>
        <w:tabs>
          <w:tab w:val="left" w:pos="567"/>
          <w:tab w:val="left" w:pos="1134"/>
          <w:tab w:val="left" w:pos="1701"/>
          <w:tab w:val="left" w:pos="2268"/>
          <w:tab w:val="left" w:pos="2835"/>
        </w:tabs>
        <w:jc w:val="left"/>
        <w:outlineLvl w:val="0"/>
        <w:rPr>
          <w:rFonts w:ascii="Verdana" w:hAnsi="Verdana"/>
          <w:b/>
          <w:color w:val="0D63B5"/>
          <w:sz w:val="20"/>
          <w:szCs w:val="20"/>
        </w:rPr>
      </w:pPr>
    </w:p>
    <w:p w14:paraId="0FF6BBF2" w14:textId="53DC9FF0" w:rsidR="00575CB6" w:rsidRDefault="00575CB6" w:rsidP="00065F47">
      <w:pPr>
        <w:tabs>
          <w:tab w:val="left" w:pos="567"/>
          <w:tab w:val="left" w:pos="1134"/>
          <w:tab w:val="left" w:pos="1701"/>
          <w:tab w:val="left" w:pos="2268"/>
          <w:tab w:val="left" w:pos="2835"/>
        </w:tabs>
        <w:jc w:val="left"/>
        <w:outlineLvl w:val="0"/>
        <w:rPr>
          <w:rFonts w:ascii="Verdana" w:hAnsi="Verdana"/>
          <w:b/>
          <w:color w:val="0D63B5"/>
          <w:sz w:val="20"/>
          <w:szCs w:val="20"/>
        </w:rPr>
      </w:pPr>
    </w:p>
    <w:p w14:paraId="51F08D22" w14:textId="26260ECF" w:rsidR="00575CB6" w:rsidRDefault="00575CB6" w:rsidP="00065F47">
      <w:pPr>
        <w:tabs>
          <w:tab w:val="left" w:pos="567"/>
          <w:tab w:val="left" w:pos="1134"/>
          <w:tab w:val="left" w:pos="1701"/>
          <w:tab w:val="left" w:pos="2268"/>
          <w:tab w:val="left" w:pos="2835"/>
        </w:tabs>
        <w:jc w:val="left"/>
        <w:outlineLvl w:val="0"/>
        <w:rPr>
          <w:rFonts w:ascii="Verdana" w:hAnsi="Verdana"/>
          <w:b/>
          <w:color w:val="0D63B5"/>
          <w:sz w:val="20"/>
          <w:szCs w:val="20"/>
        </w:rPr>
      </w:pPr>
    </w:p>
    <w:p w14:paraId="1D12EB26" w14:textId="07A80AC0" w:rsidR="00575CB6" w:rsidRDefault="00575CB6" w:rsidP="00065F47">
      <w:pPr>
        <w:tabs>
          <w:tab w:val="left" w:pos="567"/>
          <w:tab w:val="left" w:pos="1134"/>
          <w:tab w:val="left" w:pos="1701"/>
          <w:tab w:val="left" w:pos="2268"/>
          <w:tab w:val="left" w:pos="2835"/>
        </w:tabs>
        <w:jc w:val="left"/>
        <w:outlineLvl w:val="0"/>
        <w:rPr>
          <w:rFonts w:ascii="Verdana" w:hAnsi="Verdana"/>
          <w:b/>
          <w:color w:val="0D63B5"/>
          <w:sz w:val="20"/>
          <w:szCs w:val="20"/>
        </w:rPr>
      </w:pPr>
    </w:p>
    <w:p w14:paraId="54B1154E" w14:textId="07668546" w:rsidR="00575CB6" w:rsidRDefault="00575CB6" w:rsidP="00065F47">
      <w:pPr>
        <w:tabs>
          <w:tab w:val="left" w:pos="567"/>
          <w:tab w:val="left" w:pos="1134"/>
          <w:tab w:val="left" w:pos="1701"/>
          <w:tab w:val="left" w:pos="2268"/>
          <w:tab w:val="left" w:pos="2835"/>
        </w:tabs>
        <w:jc w:val="left"/>
        <w:outlineLvl w:val="0"/>
        <w:rPr>
          <w:rFonts w:ascii="Verdana" w:hAnsi="Verdana"/>
          <w:b/>
          <w:color w:val="0D63B5"/>
          <w:sz w:val="20"/>
          <w:szCs w:val="20"/>
        </w:rPr>
      </w:pPr>
    </w:p>
    <w:p w14:paraId="031392FE" w14:textId="0878B631" w:rsidR="00575CB6" w:rsidRDefault="00575CB6" w:rsidP="00065F47">
      <w:pPr>
        <w:tabs>
          <w:tab w:val="left" w:pos="567"/>
          <w:tab w:val="left" w:pos="1134"/>
          <w:tab w:val="left" w:pos="1701"/>
          <w:tab w:val="left" w:pos="2268"/>
          <w:tab w:val="left" w:pos="2835"/>
        </w:tabs>
        <w:jc w:val="left"/>
        <w:outlineLvl w:val="0"/>
        <w:rPr>
          <w:rFonts w:ascii="Verdana" w:hAnsi="Verdana"/>
          <w:b/>
          <w:color w:val="0D63B5"/>
          <w:sz w:val="20"/>
          <w:szCs w:val="20"/>
        </w:rPr>
      </w:pPr>
    </w:p>
    <w:p w14:paraId="19F21D84" w14:textId="2F6D6C4E" w:rsidR="00575CB6" w:rsidRDefault="00575CB6" w:rsidP="00065F47">
      <w:pPr>
        <w:tabs>
          <w:tab w:val="left" w:pos="567"/>
          <w:tab w:val="left" w:pos="1134"/>
          <w:tab w:val="left" w:pos="1701"/>
          <w:tab w:val="left" w:pos="2268"/>
          <w:tab w:val="left" w:pos="2835"/>
        </w:tabs>
        <w:jc w:val="left"/>
        <w:outlineLvl w:val="0"/>
        <w:rPr>
          <w:rFonts w:ascii="Verdana" w:hAnsi="Verdana"/>
          <w:b/>
          <w:color w:val="0D63B5"/>
          <w:sz w:val="20"/>
          <w:szCs w:val="20"/>
        </w:rPr>
      </w:pPr>
    </w:p>
    <w:p w14:paraId="13E0B3D2" w14:textId="1D97FF62" w:rsidR="00575CB6" w:rsidRDefault="00575CB6" w:rsidP="00065F47">
      <w:pPr>
        <w:tabs>
          <w:tab w:val="left" w:pos="567"/>
          <w:tab w:val="left" w:pos="1134"/>
          <w:tab w:val="left" w:pos="1701"/>
          <w:tab w:val="left" w:pos="2268"/>
          <w:tab w:val="left" w:pos="2835"/>
        </w:tabs>
        <w:jc w:val="left"/>
        <w:outlineLvl w:val="0"/>
        <w:rPr>
          <w:rFonts w:ascii="Verdana" w:hAnsi="Verdana"/>
          <w:b/>
          <w:color w:val="0D63B5"/>
          <w:sz w:val="20"/>
          <w:szCs w:val="20"/>
        </w:rPr>
      </w:pPr>
    </w:p>
    <w:p w14:paraId="6B2D0BB2" w14:textId="0D7FC530" w:rsidR="00575CB6" w:rsidRDefault="00575CB6" w:rsidP="00065F47">
      <w:pPr>
        <w:tabs>
          <w:tab w:val="left" w:pos="567"/>
          <w:tab w:val="left" w:pos="1134"/>
          <w:tab w:val="left" w:pos="1701"/>
          <w:tab w:val="left" w:pos="2268"/>
          <w:tab w:val="left" w:pos="2835"/>
        </w:tabs>
        <w:jc w:val="left"/>
        <w:outlineLvl w:val="0"/>
        <w:rPr>
          <w:rFonts w:ascii="Verdana" w:hAnsi="Verdana"/>
          <w:b/>
          <w:color w:val="0D63B5"/>
          <w:sz w:val="20"/>
          <w:szCs w:val="20"/>
        </w:rPr>
      </w:pPr>
    </w:p>
    <w:p w14:paraId="79BC89FE" w14:textId="12FE9CCF" w:rsidR="00575CB6" w:rsidRDefault="00575CB6" w:rsidP="00065F47">
      <w:pPr>
        <w:tabs>
          <w:tab w:val="left" w:pos="567"/>
          <w:tab w:val="left" w:pos="1134"/>
          <w:tab w:val="left" w:pos="1701"/>
          <w:tab w:val="left" w:pos="2268"/>
          <w:tab w:val="left" w:pos="2835"/>
        </w:tabs>
        <w:jc w:val="left"/>
        <w:outlineLvl w:val="0"/>
        <w:rPr>
          <w:rFonts w:ascii="Verdana" w:hAnsi="Verdana"/>
          <w:b/>
          <w:color w:val="0D63B5"/>
          <w:sz w:val="20"/>
          <w:szCs w:val="20"/>
        </w:rPr>
      </w:pPr>
    </w:p>
    <w:p w14:paraId="4CD26EB7" w14:textId="69F8564A" w:rsidR="00575CB6" w:rsidRDefault="00575CB6" w:rsidP="00065F47">
      <w:pPr>
        <w:tabs>
          <w:tab w:val="left" w:pos="567"/>
          <w:tab w:val="left" w:pos="1134"/>
          <w:tab w:val="left" w:pos="1701"/>
          <w:tab w:val="left" w:pos="2268"/>
          <w:tab w:val="left" w:pos="2835"/>
        </w:tabs>
        <w:jc w:val="left"/>
        <w:outlineLvl w:val="0"/>
        <w:rPr>
          <w:rFonts w:ascii="Verdana" w:hAnsi="Verdana"/>
          <w:b/>
          <w:color w:val="0D63B5"/>
          <w:sz w:val="20"/>
          <w:szCs w:val="20"/>
        </w:rPr>
      </w:pPr>
    </w:p>
    <w:p w14:paraId="77135622" w14:textId="41A36722" w:rsidR="00575CB6" w:rsidRDefault="00575CB6" w:rsidP="00065F47">
      <w:pPr>
        <w:tabs>
          <w:tab w:val="left" w:pos="567"/>
          <w:tab w:val="left" w:pos="1134"/>
          <w:tab w:val="left" w:pos="1701"/>
          <w:tab w:val="left" w:pos="2268"/>
          <w:tab w:val="left" w:pos="2835"/>
        </w:tabs>
        <w:jc w:val="left"/>
        <w:outlineLvl w:val="0"/>
        <w:rPr>
          <w:rFonts w:ascii="Verdana" w:hAnsi="Verdana"/>
          <w:b/>
          <w:color w:val="0D63B5"/>
          <w:sz w:val="20"/>
          <w:szCs w:val="20"/>
        </w:rPr>
      </w:pPr>
    </w:p>
    <w:p w14:paraId="34B86895" w14:textId="234019FB" w:rsidR="00575CB6" w:rsidRDefault="00575CB6" w:rsidP="00065F47">
      <w:pPr>
        <w:tabs>
          <w:tab w:val="left" w:pos="567"/>
          <w:tab w:val="left" w:pos="1134"/>
          <w:tab w:val="left" w:pos="1701"/>
          <w:tab w:val="left" w:pos="2268"/>
          <w:tab w:val="left" w:pos="2835"/>
        </w:tabs>
        <w:jc w:val="left"/>
        <w:outlineLvl w:val="0"/>
        <w:rPr>
          <w:rFonts w:ascii="Verdana" w:hAnsi="Verdana"/>
          <w:b/>
          <w:color w:val="0D63B5"/>
          <w:sz w:val="20"/>
          <w:szCs w:val="20"/>
        </w:rPr>
      </w:pPr>
    </w:p>
    <w:p w14:paraId="6D316A27" w14:textId="0FA7C814" w:rsidR="00575CB6" w:rsidRDefault="00575CB6" w:rsidP="00065F47">
      <w:pPr>
        <w:tabs>
          <w:tab w:val="left" w:pos="567"/>
          <w:tab w:val="left" w:pos="1134"/>
          <w:tab w:val="left" w:pos="1701"/>
          <w:tab w:val="left" w:pos="2268"/>
          <w:tab w:val="left" w:pos="2835"/>
        </w:tabs>
        <w:jc w:val="left"/>
        <w:outlineLvl w:val="0"/>
        <w:rPr>
          <w:rFonts w:ascii="Verdana" w:hAnsi="Verdana"/>
          <w:b/>
          <w:color w:val="0D63B5"/>
          <w:sz w:val="20"/>
          <w:szCs w:val="20"/>
        </w:rPr>
      </w:pPr>
    </w:p>
    <w:p w14:paraId="32B35918" w14:textId="037DD566" w:rsidR="00575CB6" w:rsidRDefault="00575CB6" w:rsidP="00065F47">
      <w:pPr>
        <w:tabs>
          <w:tab w:val="left" w:pos="567"/>
          <w:tab w:val="left" w:pos="1134"/>
          <w:tab w:val="left" w:pos="1701"/>
          <w:tab w:val="left" w:pos="2268"/>
          <w:tab w:val="left" w:pos="2835"/>
        </w:tabs>
        <w:jc w:val="left"/>
        <w:outlineLvl w:val="0"/>
        <w:rPr>
          <w:rFonts w:ascii="Verdana" w:hAnsi="Verdana"/>
          <w:b/>
          <w:color w:val="0D63B5"/>
          <w:sz w:val="20"/>
          <w:szCs w:val="20"/>
        </w:rPr>
      </w:pPr>
    </w:p>
    <w:p w14:paraId="0D705597" w14:textId="77777777" w:rsidR="00575CB6" w:rsidRDefault="00575CB6" w:rsidP="00065F47">
      <w:pPr>
        <w:tabs>
          <w:tab w:val="left" w:pos="567"/>
          <w:tab w:val="left" w:pos="1134"/>
          <w:tab w:val="left" w:pos="1701"/>
          <w:tab w:val="left" w:pos="2268"/>
          <w:tab w:val="left" w:pos="2835"/>
        </w:tabs>
        <w:jc w:val="left"/>
        <w:outlineLvl w:val="0"/>
        <w:rPr>
          <w:rFonts w:ascii="Verdana" w:hAnsi="Verdana"/>
          <w:b/>
          <w:color w:val="0D63B5"/>
          <w:sz w:val="20"/>
          <w:szCs w:val="20"/>
        </w:rPr>
      </w:pPr>
    </w:p>
    <w:p w14:paraId="7D0E4169" w14:textId="77777777" w:rsidR="00065F47" w:rsidRPr="005E30FB" w:rsidRDefault="00065F47" w:rsidP="00065F47">
      <w:pPr>
        <w:tabs>
          <w:tab w:val="left" w:pos="567"/>
          <w:tab w:val="left" w:pos="1134"/>
          <w:tab w:val="left" w:pos="1701"/>
          <w:tab w:val="left" w:pos="2268"/>
          <w:tab w:val="left" w:pos="2835"/>
        </w:tabs>
        <w:jc w:val="left"/>
        <w:outlineLvl w:val="0"/>
        <w:rPr>
          <w:rFonts w:ascii="Verdana" w:hAnsi="Verdana"/>
          <w:b/>
          <w:color w:val="0D63B5"/>
          <w:sz w:val="20"/>
          <w:szCs w:val="20"/>
        </w:rPr>
      </w:pPr>
      <w:r w:rsidRPr="005E30FB">
        <w:rPr>
          <w:rFonts w:ascii="Verdana" w:hAnsi="Verdana"/>
          <w:b/>
          <w:color w:val="0D63B5"/>
          <w:sz w:val="20"/>
          <w:szCs w:val="20"/>
        </w:rPr>
        <w:lastRenderedPageBreak/>
        <w:t>NOTA 3</w:t>
      </w:r>
      <w:r w:rsidR="00B7719C">
        <w:rPr>
          <w:rFonts w:ascii="Verdana" w:hAnsi="Verdana"/>
          <w:b/>
          <w:color w:val="0D63B5"/>
          <w:sz w:val="20"/>
          <w:szCs w:val="20"/>
        </w:rPr>
        <w:t>2</w:t>
      </w:r>
      <w:r w:rsidRPr="005E30FB">
        <w:rPr>
          <w:rFonts w:ascii="Verdana" w:hAnsi="Verdana"/>
          <w:b/>
          <w:color w:val="0D63B5"/>
          <w:sz w:val="20"/>
          <w:szCs w:val="20"/>
        </w:rPr>
        <w:t xml:space="preserve"> – RECEITA OPERACIONAL LÍQUIDA</w:t>
      </w:r>
    </w:p>
    <w:p w14:paraId="26F06616" w14:textId="77777777" w:rsidR="00065F47" w:rsidRDefault="00065F47" w:rsidP="00065F47">
      <w:pPr>
        <w:widowControl w:val="0"/>
        <w:autoSpaceDE w:val="0"/>
        <w:autoSpaceDN w:val="0"/>
        <w:jc w:val="center"/>
        <w:rPr>
          <w:rFonts w:ascii="Verdana" w:hAnsi="Verdana"/>
          <w:sz w:val="20"/>
          <w:szCs w:val="20"/>
          <w:bdr w:val="nil"/>
        </w:rPr>
      </w:pPr>
    </w:p>
    <w:p w14:paraId="6F892717" w14:textId="77777777" w:rsidR="004730F4" w:rsidRPr="005E30FB" w:rsidRDefault="004730F4" w:rsidP="00065F47">
      <w:pPr>
        <w:widowControl w:val="0"/>
        <w:autoSpaceDE w:val="0"/>
        <w:autoSpaceDN w:val="0"/>
        <w:jc w:val="center"/>
        <w:rPr>
          <w:rFonts w:ascii="Verdana" w:hAnsi="Verdana"/>
          <w:sz w:val="20"/>
          <w:szCs w:val="20"/>
          <w:bdr w:val="nil"/>
        </w:rPr>
      </w:pPr>
    </w:p>
    <w:p w14:paraId="7BAD9A08" w14:textId="77777777" w:rsidR="00065F47" w:rsidRPr="005E30FB" w:rsidRDefault="00065F47" w:rsidP="00065F47">
      <w:pPr>
        <w:widowControl w:val="0"/>
        <w:autoSpaceDE w:val="0"/>
        <w:autoSpaceDN w:val="0"/>
        <w:jc w:val="center"/>
        <w:rPr>
          <w:rFonts w:ascii="Verdana" w:hAnsi="Verdana"/>
          <w:sz w:val="20"/>
          <w:szCs w:val="20"/>
          <w:bdr w:val="nil"/>
        </w:rPr>
      </w:pPr>
    </w:p>
    <w:p w14:paraId="4DFB2EB3" w14:textId="77777777" w:rsidR="00065F47" w:rsidRPr="005E30FB" w:rsidRDefault="005E696A" w:rsidP="00065F47">
      <w:pPr>
        <w:jc w:val="center"/>
        <w:rPr>
          <w:sz w:val="20"/>
          <w:szCs w:val="20"/>
        </w:rPr>
      </w:pPr>
      <w:r w:rsidRPr="005E696A">
        <w:rPr>
          <w:noProof/>
        </w:rPr>
        <w:drawing>
          <wp:inline distT="0" distB="0" distL="0" distR="0" wp14:anchorId="33FDDBC4" wp14:editId="738A19B1">
            <wp:extent cx="3822700" cy="2074452"/>
            <wp:effectExtent l="0" t="0" r="6350" b="254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830279" cy="2078565"/>
                    </a:xfrm>
                    <a:prstGeom prst="rect">
                      <a:avLst/>
                    </a:prstGeom>
                    <a:noFill/>
                    <a:ln>
                      <a:noFill/>
                    </a:ln>
                  </pic:spPr>
                </pic:pic>
              </a:graphicData>
            </a:graphic>
          </wp:inline>
        </w:drawing>
      </w:r>
    </w:p>
    <w:p w14:paraId="383B645E" w14:textId="77777777" w:rsidR="00065F47" w:rsidRDefault="00065F47" w:rsidP="00065F47">
      <w:pPr>
        <w:widowControl w:val="0"/>
        <w:autoSpaceDE w:val="0"/>
        <w:autoSpaceDN w:val="0"/>
        <w:rPr>
          <w:rFonts w:ascii="Verdana" w:hAnsi="Verdana"/>
          <w:sz w:val="20"/>
          <w:szCs w:val="20"/>
          <w:bdr w:val="nil"/>
        </w:rPr>
      </w:pPr>
    </w:p>
    <w:p w14:paraId="59862DBC" w14:textId="77777777" w:rsidR="00C30629" w:rsidRDefault="00C30629" w:rsidP="00065F47">
      <w:pPr>
        <w:widowControl w:val="0"/>
        <w:autoSpaceDE w:val="0"/>
        <w:autoSpaceDN w:val="0"/>
        <w:rPr>
          <w:rFonts w:ascii="Verdana" w:hAnsi="Verdana"/>
          <w:sz w:val="20"/>
          <w:szCs w:val="20"/>
          <w:bdr w:val="nil"/>
        </w:rPr>
      </w:pPr>
    </w:p>
    <w:p w14:paraId="0B9558FF" w14:textId="77777777" w:rsidR="00065F47" w:rsidRPr="00441974" w:rsidRDefault="00065F47" w:rsidP="00065F47">
      <w:pPr>
        <w:rPr>
          <w:rFonts w:ascii="Verdana" w:hAnsi="Verdana" w:cs="Arial"/>
          <w:bCs/>
          <w:color w:val="0070C0"/>
          <w:sz w:val="20"/>
          <w:szCs w:val="20"/>
        </w:rPr>
      </w:pPr>
      <w:r w:rsidRPr="00441974">
        <w:rPr>
          <w:rFonts w:ascii="Verdana" w:hAnsi="Verdana" w:cs="Arial"/>
          <w:bCs/>
          <w:color w:val="0070C0"/>
          <w:sz w:val="20"/>
          <w:szCs w:val="20"/>
        </w:rPr>
        <w:t>Suprimento de energia elétrica</w:t>
      </w:r>
    </w:p>
    <w:p w14:paraId="7B83DDFD" w14:textId="77777777" w:rsidR="00065F47" w:rsidRDefault="00065F47" w:rsidP="00065F47">
      <w:pPr>
        <w:rPr>
          <w:rFonts w:ascii="Verdana" w:hAnsi="Verdana" w:cs="Arial"/>
          <w:sz w:val="20"/>
          <w:szCs w:val="20"/>
        </w:rPr>
      </w:pPr>
    </w:p>
    <w:p w14:paraId="03FA5599" w14:textId="77777777" w:rsidR="00C2656E" w:rsidRDefault="00C2656E" w:rsidP="00C2656E">
      <w:pPr>
        <w:rPr>
          <w:rFonts w:ascii="Verdana" w:hAnsi="Verdana" w:cs="Arial"/>
          <w:color w:val="000000"/>
          <w:sz w:val="20"/>
          <w:szCs w:val="20"/>
        </w:rPr>
      </w:pPr>
      <w:r w:rsidRPr="0094451F">
        <w:rPr>
          <w:rFonts w:ascii="Verdana" w:hAnsi="Verdana" w:cs="Arial"/>
          <w:sz w:val="20"/>
          <w:szCs w:val="20"/>
        </w:rPr>
        <w:t xml:space="preserve">O suprimento líquido de energia elétrica das Usinas Nucleares Angra 1 e 2 </w:t>
      </w:r>
      <w:proofErr w:type="gramStart"/>
      <w:r w:rsidRPr="0094451F">
        <w:rPr>
          <w:rFonts w:ascii="Verdana" w:hAnsi="Verdana" w:cs="Arial"/>
          <w:sz w:val="20"/>
          <w:szCs w:val="20"/>
        </w:rPr>
        <w:t>de  13.461.670</w:t>
      </w:r>
      <w:proofErr w:type="gramEnd"/>
      <w:r w:rsidRPr="0094451F">
        <w:rPr>
          <w:rFonts w:ascii="Verdana" w:hAnsi="Verdana" w:cs="Arial"/>
          <w:sz w:val="20"/>
          <w:szCs w:val="20"/>
        </w:rPr>
        <w:t xml:space="preserve"> MW* no período de 12 meses findos em 31 de dezembro de 2021 (12.866.462MWh* em dezembro de 2020), corresponde a uma </w:t>
      </w:r>
      <w:r w:rsidRPr="003E06E6">
        <w:rPr>
          <w:rFonts w:ascii="Verdana" w:hAnsi="Verdana" w:cs="Arial"/>
          <w:sz w:val="20"/>
          <w:szCs w:val="20"/>
        </w:rPr>
        <w:t>receita de R$ 3.424.500</w:t>
      </w:r>
      <w:r>
        <w:rPr>
          <w:rFonts w:ascii="Verdana" w:hAnsi="Verdana" w:cs="Arial"/>
          <w:sz w:val="20"/>
          <w:szCs w:val="20"/>
        </w:rPr>
        <w:t xml:space="preserve"> </w:t>
      </w:r>
      <w:r w:rsidRPr="003E06E6">
        <w:rPr>
          <w:rFonts w:ascii="Verdana" w:hAnsi="Verdana" w:cs="Arial"/>
          <w:sz w:val="20"/>
          <w:szCs w:val="20"/>
        </w:rPr>
        <w:t xml:space="preserve">(R$ 3.459.334 em 2020). </w:t>
      </w:r>
    </w:p>
    <w:p w14:paraId="35B28954" w14:textId="77777777" w:rsidR="00C2656E" w:rsidRDefault="00C2656E" w:rsidP="00C2656E">
      <w:pPr>
        <w:rPr>
          <w:rFonts w:ascii="Verdana" w:hAnsi="Verdana" w:cs="Arial"/>
          <w:color w:val="000000"/>
          <w:sz w:val="20"/>
          <w:szCs w:val="20"/>
        </w:rPr>
      </w:pPr>
    </w:p>
    <w:p w14:paraId="1D4B1E94" w14:textId="77777777" w:rsidR="00C2656E" w:rsidRDefault="00C2656E" w:rsidP="00C2656E">
      <w:pPr>
        <w:pStyle w:val="Corpodetexto"/>
        <w:rPr>
          <w:rFonts w:ascii="Verdana" w:hAnsi="Verdana" w:cs="Arial"/>
        </w:rPr>
      </w:pPr>
      <w:r w:rsidRPr="0094451F">
        <w:rPr>
          <w:rFonts w:ascii="Verdana" w:hAnsi="Verdana" w:cs="Arial"/>
        </w:rPr>
        <w:t>A receita fixa do exercício de</w:t>
      </w:r>
      <w:r w:rsidRPr="00A63A0C">
        <w:rPr>
          <w:rFonts w:ascii="Verdana" w:hAnsi="Verdana" w:cs="Arial"/>
        </w:rPr>
        <w:t xml:space="preserve"> 2021 no montante de R$ 3.424.500 foi definida pela Resolução Homologatória Aneel nº 2.821 de 15 de dezembro de 2020. E a receita fixa do exercício de 2020, no montante de R$ 3.726.445, pela Resolução Homologatória nº 2.661 de 18 de dezembro de 2019. Essa redução da Receita Fixa das Usinas de Angra 1 e 2 para o exercício de 2021 deve-se principalmente a não realização de gastos com aquisição de combustível nuclear no exercício de 2020, que faz parte da composição da tarifa definida para </w:t>
      </w:r>
      <w:r>
        <w:rPr>
          <w:rFonts w:ascii="Verdana" w:hAnsi="Verdana" w:cs="Arial"/>
        </w:rPr>
        <w:t>ELETRONUCLEAR.</w:t>
      </w:r>
    </w:p>
    <w:p w14:paraId="65E0DD0B" w14:textId="77777777" w:rsidR="00C2656E" w:rsidRDefault="00C2656E" w:rsidP="00C2656E">
      <w:pPr>
        <w:pStyle w:val="Corpodetexto"/>
        <w:rPr>
          <w:rFonts w:ascii="Verdana" w:hAnsi="Verdana" w:cs="Arial"/>
        </w:rPr>
      </w:pPr>
    </w:p>
    <w:p w14:paraId="7E8CE18F" w14:textId="77777777" w:rsidR="00C2656E" w:rsidRPr="00FD016C" w:rsidRDefault="00C2656E" w:rsidP="00C2656E">
      <w:pPr>
        <w:pStyle w:val="Corpodetexto"/>
        <w:rPr>
          <w:rFonts w:ascii="Verdana" w:hAnsi="Verdana" w:cs="Arial"/>
        </w:rPr>
      </w:pPr>
      <w:r>
        <w:rPr>
          <w:rFonts w:ascii="Verdana" w:hAnsi="Verdana" w:cs="Arial"/>
        </w:rPr>
        <w:t>O</w:t>
      </w:r>
      <w:r w:rsidRPr="00FD016C">
        <w:rPr>
          <w:rFonts w:ascii="Verdana" w:hAnsi="Verdana" w:cs="Arial"/>
        </w:rPr>
        <w:t xml:space="preserve"> ressarcimento </w:t>
      </w:r>
      <w:r>
        <w:rPr>
          <w:rFonts w:ascii="Verdana" w:hAnsi="Verdana" w:cs="Arial"/>
        </w:rPr>
        <w:t>de 2020 deve-se a</w:t>
      </w:r>
      <w:r w:rsidRPr="00FD016C">
        <w:rPr>
          <w:rFonts w:ascii="Verdana" w:hAnsi="Verdana" w:cs="Arial"/>
        </w:rPr>
        <w:t xml:space="preserve"> apuração de desvio negativo entre o suprimento de energia fornecido e garantido, pois as usinas não atingiram a capacidade máxima de sua performance (NOTA </w:t>
      </w:r>
      <w:r>
        <w:rPr>
          <w:rFonts w:ascii="Verdana" w:hAnsi="Verdana" w:cs="Arial"/>
        </w:rPr>
        <w:t>30</w:t>
      </w:r>
      <w:r w:rsidRPr="00FD016C">
        <w:rPr>
          <w:rFonts w:ascii="Verdana" w:hAnsi="Verdana" w:cs="Arial"/>
        </w:rPr>
        <w:t>).</w:t>
      </w:r>
    </w:p>
    <w:p w14:paraId="5B9C6C91" w14:textId="26A9D617" w:rsidR="00065F47" w:rsidRPr="0065112E" w:rsidRDefault="00065F47" w:rsidP="00065F47">
      <w:pPr>
        <w:rPr>
          <w:rFonts w:ascii="Verdana" w:hAnsi="Verdana" w:cs="Arial"/>
          <w:sz w:val="20"/>
          <w:szCs w:val="20"/>
          <w:highlight w:val="yellow"/>
        </w:rPr>
      </w:pPr>
    </w:p>
    <w:p w14:paraId="5059CA95" w14:textId="77777777" w:rsidR="00C2656E" w:rsidRPr="00441974" w:rsidRDefault="00C2656E" w:rsidP="00C2656E">
      <w:pPr>
        <w:rPr>
          <w:rFonts w:ascii="Verdana" w:hAnsi="Verdana" w:cs="Arial"/>
          <w:bCs/>
          <w:color w:val="0070C0"/>
          <w:sz w:val="20"/>
          <w:szCs w:val="20"/>
        </w:rPr>
      </w:pPr>
      <w:r w:rsidRPr="00441974">
        <w:rPr>
          <w:rFonts w:ascii="Verdana" w:hAnsi="Verdana" w:cs="Arial"/>
          <w:bCs/>
          <w:color w:val="0070C0"/>
          <w:sz w:val="20"/>
          <w:szCs w:val="20"/>
        </w:rPr>
        <w:t xml:space="preserve">a) Modalidade de comercialização </w:t>
      </w:r>
    </w:p>
    <w:p w14:paraId="1FBD9DD5" w14:textId="77777777" w:rsidR="00C2656E" w:rsidRPr="0094451F" w:rsidRDefault="00C2656E" w:rsidP="00C2656E">
      <w:pPr>
        <w:rPr>
          <w:rFonts w:ascii="Arial" w:hAnsi="Arial" w:cs="Arial"/>
          <w:sz w:val="20"/>
          <w:szCs w:val="20"/>
        </w:rPr>
      </w:pPr>
    </w:p>
    <w:p w14:paraId="485CC24E" w14:textId="77777777" w:rsidR="00C2656E" w:rsidRDefault="00C2656E" w:rsidP="00C2656E">
      <w:pPr>
        <w:rPr>
          <w:rFonts w:ascii="Verdana" w:hAnsi="Verdana" w:cs="Arial"/>
          <w:sz w:val="20"/>
          <w:szCs w:val="20"/>
        </w:rPr>
      </w:pPr>
      <w:r w:rsidRPr="0094451F">
        <w:rPr>
          <w:rFonts w:ascii="Verdana" w:hAnsi="Verdana" w:cs="Arial"/>
          <w:sz w:val="20"/>
          <w:szCs w:val="20"/>
        </w:rPr>
        <w:t>Com a regulamentação da Aneel para o dispositivo do art.11, da Lei 12.111/2009, mediante as edições em 21 de dezembro de 2012, da Resolução Normativa nº 530, da Resolução Homologatória nº 1.405 e da Resolução Homologatória nº 1.407, a partir de 01 de janeiro de 2013 a receita decorrente da geração das Usinas Angra 1 e 2 passa a ser rateada entre todas as concessionárias, permissionárias ou autorizadas de serviço público de distribuição do Sistema Interligado Nacional – SIN.</w:t>
      </w:r>
    </w:p>
    <w:p w14:paraId="29970095" w14:textId="77777777" w:rsidR="00C2656E" w:rsidRDefault="00C2656E" w:rsidP="00C2656E">
      <w:pPr>
        <w:rPr>
          <w:rFonts w:ascii="Verdana" w:hAnsi="Verdana" w:cs="Arial"/>
          <w:sz w:val="20"/>
          <w:szCs w:val="20"/>
        </w:rPr>
      </w:pPr>
    </w:p>
    <w:p w14:paraId="4CDB3274" w14:textId="77777777" w:rsidR="00C2656E" w:rsidRPr="00441974" w:rsidRDefault="00C2656E" w:rsidP="00C2656E">
      <w:pPr>
        <w:rPr>
          <w:rFonts w:ascii="Verdana" w:hAnsi="Verdana" w:cs="Arial"/>
          <w:bCs/>
          <w:color w:val="0070C0"/>
          <w:sz w:val="20"/>
          <w:szCs w:val="20"/>
        </w:rPr>
      </w:pPr>
      <w:r w:rsidRPr="00441974">
        <w:rPr>
          <w:rFonts w:ascii="Verdana" w:hAnsi="Verdana" w:cs="Arial"/>
          <w:bCs/>
          <w:color w:val="0070C0"/>
          <w:sz w:val="20"/>
          <w:szCs w:val="20"/>
        </w:rPr>
        <w:t xml:space="preserve">b) Apuração do </w:t>
      </w:r>
      <w:proofErr w:type="spellStart"/>
      <w:r w:rsidRPr="00441974">
        <w:rPr>
          <w:rFonts w:ascii="Verdana" w:hAnsi="Verdana" w:cs="Arial"/>
          <w:bCs/>
          <w:color w:val="0070C0"/>
          <w:sz w:val="20"/>
          <w:szCs w:val="20"/>
        </w:rPr>
        <w:t>Pis</w:t>
      </w:r>
      <w:proofErr w:type="spellEnd"/>
      <w:r w:rsidRPr="00441974">
        <w:rPr>
          <w:rFonts w:ascii="Verdana" w:hAnsi="Verdana" w:cs="Arial"/>
          <w:bCs/>
          <w:color w:val="0070C0"/>
          <w:sz w:val="20"/>
          <w:szCs w:val="20"/>
        </w:rPr>
        <w:t xml:space="preserve">/PASEP e da </w:t>
      </w:r>
      <w:proofErr w:type="spellStart"/>
      <w:r w:rsidRPr="00441974">
        <w:rPr>
          <w:rFonts w:ascii="Verdana" w:hAnsi="Verdana" w:cs="Arial"/>
          <w:bCs/>
          <w:color w:val="0070C0"/>
          <w:sz w:val="20"/>
          <w:szCs w:val="20"/>
        </w:rPr>
        <w:t>Cofins</w:t>
      </w:r>
      <w:proofErr w:type="spellEnd"/>
    </w:p>
    <w:p w14:paraId="102B6EC0" w14:textId="77777777" w:rsidR="00C2656E" w:rsidRPr="00441974" w:rsidRDefault="00C2656E" w:rsidP="00C2656E">
      <w:pPr>
        <w:rPr>
          <w:rFonts w:ascii="Verdana" w:hAnsi="Verdana" w:cs="Arial"/>
          <w:bCs/>
          <w:sz w:val="20"/>
          <w:szCs w:val="20"/>
        </w:rPr>
      </w:pPr>
    </w:p>
    <w:p w14:paraId="6D4470B9" w14:textId="257CB6CF" w:rsidR="00C2656E" w:rsidRDefault="00C2656E" w:rsidP="00C2656E">
      <w:pPr>
        <w:rPr>
          <w:rFonts w:ascii="Verdana" w:hAnsi="Verdana" w:cs="Arial"/>
          <w:sz w:val="20"/>
          <w:szCs w:val="20"/>
        </w:rPr>
      </w:pPr>
      <w:r w:rsidRPr="0094451F">
        <w:rPr>
          <w:rFonts w:ascii="Verdana" w:hAnsi="Verdana" w:cs="Arial"/>
          <w:sz w:val="20"/>
          <w:szCs w:val="20"/>
        </w:rPr>
        <w:t xml:space="preserve">A apuração do Programa de Interação Social - </w:t>
      </w:r>
      <w:proofErr w:type="spellStart"/>
      <w:r w:rsidRPr="0094451F">
        <w:rPr>
          <w:rFonts w:ascii="Verdana" w:hAnsi="Verdana" w:cs="Arial"/>
          <w:sz w:val="20"/>
          <w:szCs w:val="20"/>
        </w:rPr>
        <w:t>Pis</w:t>
      </w:r>
      <w:proofErr w:type="spellEnd"/>
      <w:r w:rsidRPr="0094451F">
        <w:rPr>
          <w:rFonts w:ascii="Verdana" w:hAnsi="Verdana" w:cs="Arial"/>
          <w:sz w:val="20"/>
          <w:szCs w:val="20"/>
        </w:rPr>
        <w:t>/</w:t>
      </w:r>
      <w:r w:rsidRPr="0094451F">
        <w:rPr>
          <w:rFonts w:ascii="Verdana" w:hAnsi="Verdana" w:cs="Arial"/>
          <w:color w:val="3C4043"/>
          <w:sz w:val="20"/>
          <w:szCs w:val="20"/>
          <w:shd w:val="clear" w:color="auto" w:fill="FFFFFF"/>
        </w:rPr>
        <w:t xml:space="preserve">Programa de Formação do Patrimônio </w:t>
      </w:r>
      <w:r w:rsidRPr="0094451F">
        <w:rPr>
          <w:rFonts w:ascii="Verdana" w:hAnsi="Verdana" w:cs="Arial"/>
          <w:sz w:val="20"/>
          <w:szCs w:val="20"/>
        </w:rPr>
        <w:t xml:space="preserve">do Servidor Público - PASEP e da Contribuição para o Financiamento da Seguridade Social - </w:t>
      </w:r>
      <w:proofErr w:type="spellStart"/>
      <w:r w:rsidRPr="0094451F">
        <w:rPr>
          <w:rFonts w:ascii="Verdana" w:hAnsi="Verdana" w:cs="Arial"/>
          <w:sz w:val="20"/>
          <w:szCs w:val="20"/>
        </w:rPr>
        <w:t>Cofins</w:t>
      </w:r>
      <w:proofErr w:type="spellEnd"/>
      <w:r w:rsidRPr="0094451F">
        <w:rPr>
          <w:rFonts w:ascii="Verdana" w:hAnsi="Verdana" w:cs="Arial"/>
          <w:sz w:val="20"/>
          <w:szCs w:val="20"/>
        </w:rPr>
        <w:t xml:space="preserve"> é feita com base no método não cumulativo utilizando a alíquota de 9,25%.</w:t>
      </w:r>
    </w:p>
    <w:p w14:paraId="3C7DEF8D" w14:textId="053201BF" w:rsidR="008F4467" w:rsidRDefault="008F4467" w:rsidP="00C2656E">
      <w:pPr>
        <w:rPr>
          <w:rFonts w:ascii="Verdana" w:hAnsi="Verdana" w:cs="Arial"/>
          <w:sz w:val="20"/>
          <w:szCs w:val="20"/>
        </w:rPr>
      </w:pPr>
    </w:p>
    <w:p w14:paraId="6A79BD0C" w14:textId="40558B47" w:rsidR="008F4467" w:rsidRDefault="008F4467" w:rsidP="00C2656E">
      <w:pPr>
        <w:rPr>
          <w:rFonts w:ascii="Verdana" w:hAnsi="Verdana" w:cs="Arial"/>
          <w:sz w:val="20"/>
          <w:szCs w:val="20"/>
        </w:rPr>
      </w:pPr>
    </w:p>
    <w:p w14:paraId="2CCCFC09" w14:textId="6F58A8C4" w:rsidR="008F4467" w:rsidRDefault="008F4467" w:rsidP="00C2656E">
      <w:pPr>
        <w:rPr>
          <w:rFonts w:ascii="Verdana" w:hAnsi="Verdana" w:cs="Arial"/>
          <w:sz w:val="20"/>
          <w:szCs w:val="20"/>
        </w:rPr>
      </w:pPr>
    </w:p>
    <w:p w14:paraId="374F4B62" w14:textId="1270AE32" w:rsidR="008F4467" w:rsidRDefault="008F4467" w:rsidP="00C2656E">
      <w:pPr>
        <w:rPr>
          <w:rFonts w:ascii="Verdana" w:hAnsi="Verdana" w:cs="Arial"/>
          <w:sz w:val="20"/>
          <w:szCs w:val="20"/>
        </w:rPr>
      </w:pPr>
    </w:p>
    <w:p w14:paraId="07D7694B" w14:textId="58D30F38" w:rsidR="008F4467" w:rsidRDefault="008F4467" w:rsidP="00C2656E">
      <w:pPr>
        <w:rPr>
          <w:rFonts w:ascii="Verdana" w:hAnsi="Verdana" w:cs="Arial"/>
          <w:sz w:val="20"/>
          <w:szCs w:val="20"/>
        </w:rPr>
      </w:pPr>
    </w:p>
    <w:p w14:paraId="33FBC68A" w14:textId="57EDAA0B" w:rsidR="008F4467" w:rsidRDefault="008F4467" w:rsidP="00C2656E">
      <w:pPr>
        <w:rPr>
          <w:rFonts w:ascii="Verdana" w:hAnsi="Verdana" w:cs="Arial"/>
          <w:sz w:val="20"/>
          <w:szCs w:val="20"/>
        </w:rPr>
      </w:pPr>
    </w:p>
    <w:p w14:paraId="53A155D7" w14:textId="77777777" w:rsidR="008F4467" w:rsidRDefault="008F4467" w:rsidP="00C2656E">
      <w:pPr>
        <w:rPr>
          <w:rFonts w:ascii="Verdana" w:hAnsi="Verdana" w:cs="Arial"/>
          <w:sz w:val="20"/>
          <w:szCs w:val="20"/>
        </w:rPr>
      </w:pPr>
    </w:p>
    <w:p w14:paraId="23FC55BE" w14:textId="77777777" w:rsidR="008F4467" w:rsidRPr="0094451F" w:rsidRDefault="008F4467" w:rsidP="008F4467">
      <w:pPr>
        <w:rPr>
          <w:rFonts w:ascii="Verdana" w:hAnsi="Verdana" w:cs="Arial"/>
          <w:b/>
          <w:sz w:val="20"/>
          <w:szCs w:val="20"/>
        </w:rPr>
      </w:pPr>
      <w:r w:rsidRPr="0094451F">
        <w:rPr>
          <w:rFonts w:ascii="Verdana" w:hAnsi="Verdana" w:cs="Arial"/>
          <w:i/>
          <w:sz w:val="16"/>
          <w:szCs w:val="16"/>
        </w:rPr>
        <w:t>*Não revisado pelo auditor independente</w:t>
      </w:r>
    </w:p>
    <w:p w14:paraId="32FA6653" w14:textId="77777777" w:rsidR="008F4467" w:rsidRPr="00FD016C" w:rsidRDefault="008F4467" w:rsidP="00C2656E">
      <w:pPr>
        <w:rPr>
          <w:rFonts w:ascii="Verdana" w:hAnsi="Verdana" w:cs="Arial"/>
          <w:sz w:val="20"/>
          <w:szCs w:val="20"/>
        </w:rPr>
      </w:pPr>
    </w:p>
    <w:p w14:paraId="71356FD5" w14:textId="77777777" w:rsidR="00C2656E" w:rsidRPr="00A63A0C" w:rsidRDefault="00C2656E" w:rsidP="00C2656E">
      <w:pPr>
        <w:widowControl w:val="0"/>
        <w:autoSpaceDE w:val="0"/>
        <w:autoSpaceDN w:val="0"/>
        <w:rPr>
          <w:rFonts w:ascii="Verdana" w:hAnsi="Verdana"/>
          <w:color w:val="0D63B5"/>
          <w:sz w:val="20"/>
          <w:szCs w:val="20"/>
        </w:rPr>
      </w:pPr>
      <w:r w:rsidRPr="00A63A0C">
        <w:rPr>
          <w:rFonts w:ascii="Verdana" w:hAnsi="Verdana"/>
          <w:color w:val="0D63B5"/>
          <w:sz w:val="20"/>
          <w:szCs w:val="20"/>
        </w:rPr>
        <w:t>Prática contábil</w:t>
      </w:r>
    </w:p>
    <w:p w14:paraId="2A103E5C" w14:textId="77777777" w:rsidR="00C2656E" w:rsidRPr="00A63A0C" w:rsidRDefault="00C2656E" w:rsidP="00C2656E">
      <w:pPr>
        <w:tabs>
          <w:tab w:val="left" w:pos="1134"/>
          <w:tab w:val="left" w:pos="1418"/>
          <w:tab w:val="left" w:pos="1701"/>
          <w:tab w:val="left" w:pos="1985"/>
          <w:tab w:val="left" w:pos="2268"/>
        </w:tabs>
        <w:rPr>
          <w:rFonts w:ascii="Verdana" w:hAnsi="Verdana"/>
          <w:sz w:val="20"/>
          <w:szCs w:val="20"/>
        </w:rPr>
      </w:pPr>
    </w:p>
    <w:p w14:paraId="4C350C30" w14:textId="77777777" w:rsidR="00C2656E" w:rsidRPr="00A63A0C" w:rsidRDefault="00C2656E" w:rsidP="00C2656E">
      <w:pPr>
        <w:rPr>
          <w:rFonts w:ascii="Verdana" w:hAnsi="Verdana"/>
          <w:color w:val="0D63B5"/>
          <w:sz w:val="20"/>
          <w:szCs w:val="20"/>
          <w:bdr w:val="nil"/>
        </w:rPr>
      </w:pPr>
      <w:r w:rsidRPr="00A63A0C">
        <w:rPr>
          <w:rFonts w:ascii="Verdana" w:hAnsi="Verdana"/>
          <w:color w:val="0D63B5"/>
          <w:sz w:val="20"/>
          <w:szCs w:val="20"/>
          <w:bdr w:val="nil"/>
        </w:rPr>
        <w:t>Reconhecimento de receita</w:t>
      </w:r>
    </w:p>
    <w:p w14:paraId="2A217331" w14:textId="77777777" w:rsidR="00C2656E" w:rsidRPr="00A63A0C" w:rsidRDefault="00C2656E" w:rsidP="00C2656E">
      <w:pPr>
        <w:widowControl w:val="0"/>
        <w:autoSpaceDE w:val="0"/>
        <w:autoSpaceDN w:val="0"/>
        <w:rPr>
          <w:rFonts w:ascii="Verdana" w:hAnsi="Verdana"/>
          <w:sz w:val="20"/>
          <w:szCs w:val="20"/>
          <w:bdr w:val="nil"/>
        </w:rPr>
      </w:pPr>
    </w:p>
    <w:p w14:paraId="604CEBE6" w14:textId="77777777" w:rsidR="00C2656E" w:rsidRPr="00A63A0C" w:rsidRDefault="00C2656E" w:rsidP="00C2656E">
      <w:pPr>
        <w:adjustRightInd w:val="0"/>
        <w:rPr>
          <w:rFonts w:ascii="Verdana" w:eastAsiaTheme="minorHAnsi" w:hAnsi="Verdana" w:cs="Verdana"/>
          <w:color w:val="000000"/>
          <w:sz w:val="20"/>
          <w:szCs w:val="20"/>
          <w:lang w:eastAsia="en-US"/>
        </w:rPr>
      </w:pPr>
      <w:r w:rsidRPr="00A63A0C">
        <w:rPr>
          <w:rFonts w:ascii="Verdana" w:eastAsiaTheme="minorHAnsi" w:hAnsi="Verdana" w:cs="Verdana"/>
          <w:color w:val="000000"/>
          <w:sz w:val="20"/>
          <w:szCs w:val="20"/>
          <w:lang w:eastAsia="en-US"/>
        </w:rPr>
        <w:t xml:space="preserve">O CPC 47/IFRS 15 estabeleceu um novo conceito para o reconhecimento de receita, substituindo o CPC 30/IAS 18 Receita, o CPC 17/IAS 11 Contratos de Construção e as interpretações relacionadas a partir de 1º de janeiro de 2018. </w:t>
      </w:r>
    </w:p>
    <w:p w14:paraId="0202D33D" w14:textId="77777777" w:rsidR="00C2656E" w:rsidRPr="00A63A0C" w:rsidRDefault="00C2656E" w:rsidP="00C2656E">
      <w:pPr>
        <w:adjustRightInd w:val="0"/>
        <w:rPr>
          <w:rFonts w:ascii="Verdana" w:eastAsiaTheme="minorHAnsi" w:hAnsi="Verdana" w:cs="Verdana"/>
          <w:color w:val="000000"/>
          <w:sz w:val="20"/>
          <w:szCs w:val="20"/>
          <w:lang w:eastAsia="en-US"/>
        </w:rPr>
      </w:pPr>
    </w:p>
    <w:p w14:paraId="416E883A" w14:textId="77777777" w:rsidR="00C2656E" w:rsidRPr="00A63A0C" w:rsidRDefault="00C2656E" w:rsidP="00C2656E">
      <w:pPr>
        <w:adjustRightInd w:val="0"/>
        <w:rPr>
          <w:rFonts w:ascii="Verdana" w:eastAsiaTheme="minorHAnsi" w:hAnsi="Verdana" w:cs="Verdana"/>
          <w:color w:val="000000"/>
          <w:sz w:val="20"/>
          <w:szCs w:val="20"/>
          <w:lang w:eastAsia="en-US"/>
        </w:rPr>
      </w:pPr>
      <w:r w:rsidRPr="00A63A0C">
        <w:rPr>
          <w:rFonts w:ascii="Verdana" w:eastAsiaTheme="minorHAnsi" w:hAnsi="Verdana" w:cs="Verdana"/>
          <w:color w:val="000000"/>
          <w:sz w:val="20"/>
          <w:szCs w:val="20"/>
          <w:lang w:eastAsia="en-US"/>
        </w:rPr>
        <w:t>A norma estabelece um modelo de cinco etapas, sendo elas, (1) identificação do contrato, (2) identificação das obrigações de desempenho separadas nos contratos, (3) determinação do preço da transação, (4) alocação do preço de transação às obrigações de desempenho separadas e (5) reconhecimento da receita, para determinar quando reconhecer a receita, e por qual valor. O modelo especifica que a receita deve ser reconhecida quando (ou conforme) uma entidade transfere o controle de bens ou serviços para os clientes, pelo valor que a entidade espera ter direito a receber. Dependendo se determinados critérios são cumpridos, a receita é reconhecida:</w:t>
      </w:r>
    </w:p>
    <w:p w14:paraId="486CF456" w14:textId="77777777" w:rsidR="00C2656E" w:rsidRPr="00A63A0C" w:rsidRDefault="00C2656E" w:rsidP="00C2656E">
      <w:pPr>
        <w:adjustRightInd w:val="0"/>
        <w:rPr>
          <w:rFonts w:ascii="Verdana" w:eastAsiaTheme="minorHAnsi" w:hAnsi="Verdana" w:cs="Verdana"/>
          <w:color w:val="000000"/>
          <w:sz w:val="20"/>
          <w:szCs w:val="20"/>
          <w:lang w:eastAsia="en-US"/>
        </w:rPr>
      </w:pPr>
    </w:p>
    <w:p w14:paraId="16E65ADD" w14:textId="77777777" w:rsidR="00C2656E" w:rsidRPr="00A63A0C" w:rsidRDefault="00C2656E" w:rsidP="00C2656E">
      <w:pPr>
        <w:pStyle w:val="PargrafodaLista"/>
        <w:numPr>
          <w:ilvl w:val="0"/>
          <w:numId w:val="13"/>
        </w:numPr>
        <w:adjustRightInd w:val="0"/>
        <w:rPr>
          <w:rFonts w:ascii="Verdana" w:eastAsiaTheme="minorHAnsi" w:hAnsi="Verdana" w:cs="Verdana"/>
          <w:color w:val="000000"/>
          <w:sz w:val="20"/>
          <w:szCs w:val="20"/>
          <w:lang w:eastAsia="en-US"/>
        </w:rPr>
      </w:pPr>
      <w:r w:rsidRPr="00A63A0C">
        <w:rPr>
          <w:rFonts w:ascii="Verdana" w:eastAsiaTheme="minorHAnsi" w:hAnsi="Verdana" w:cs="Verdana"/>
          <w:color w:val="000000"/>
          <w:sz w:val="20"/>
          <w:szCs w:val="20"/>
          <w:lang w:eastAsia="en-US"/>
        </w:rPr>
        <w:t>Com o passar do tempo, de uma forma a refletir o desempenho da entidade da melhor maneira possível; ou</w:t>
      </w:r>
    </w:p>
    <w:p w14:paraId="1E389F0A" w14:textId="77777777" w:rsidR="00C2656E" w:rsidRPr="00A63A0C" w:rsidRDefault="00C2656E" w:rsidP="00C2656E">
      <w:pPr>
        <w:pStyle w:val="PargrafodaLista"/>
        <w:numPr>
          <w:ilvl w:val="0"/>
          <w:numId w:val="13"/>
        </w:numPr>
        <w:adjustRightInd w:val="0"/>
        <w:rPr>
          <w:rFonts w:ascii="Verdana" w:eastAsiaTheme="minorHAnsi" w:hAnsi="Verdana" w:cs="Verdana"/>
          <w:color w:val="000000"/>
          <w:sz w:val="20"/>
          <w:szCs w:val="20"/>
          <w:lang w:eastAsia="en-US"/>
        </w:rPr>
      </w:pPr>
      <w:r w:rsidRPr="00A63A0C">
        <w:rPr>
          <w:rFonts w:ascii="Verdana" w:eastAsiaTheme="minorHAnsi" w:hAnsi="Verdana" w:cs="Verdana"/>
          <w:color w:val="000000"/>
          <w:sz w:val="20"/>
          <w:szCs w:val="20"/>
          <w:lang w:eastAsia="en-US"/>
        </w:rPr>
        <w:t>Em um determinado momento, quando o controle do bem ou serviço é transferido para o cliente.</w:t>
      </w:r>
    </w:p>
    <w:p w14:paraId="7D39F26F" w14:textId="77777777" w:rsidR="00C2656E" w:rsidRPr="00A63A0C" w:rsidRDefault="00C2656E" w:rsidP="00C2656E">
      <w:pPr>
        <w:widowControl w:val="0"/>
        <w:autoSpaceDE w:val="0"/>
        <w:autoSpaceDN w:val="0"/>
        <w:rPr>
          <w:rFonts w:ascii="Verdana" w:hAnsi="Verdana"/>
        </w:rPr>
      </w:pPr>
    </w:p>
    <w:p w14:paraId="3316882F" w14:textId="77777777" w:rsidR="00C2656E" w:rsidRPr="005E4A4C" w:rsidRDefault="00C2656E" w:rsidP="00C2656E">
      <w:pPr>
        <w:widowControl w:val="0"/>
        <w:autoSpaceDE w:val="0"/>
        <w:autoSpaceDN w:val="0"/>
        <w:rPr>
          <w:rFonts w:ascii="Verdana" w:eastAsiaTheme="minorHAnsi" w:hAnsi="Verdana" w:cs="Verdana"/>
          <w:color w:val="000000"/>
          <w:sz w:val="20"/>
          <w:szCs w:val="20"/>
          <w:lang w:eastAsia="en-US"/>
        </w:rPr>
      </w:pPr>
      <w:r w:rsidRPr="005E4A4C">
        <w:rPr>
          <w:rFonts w:ascii="Verdana" w:eastAsiaTheme="minorHAnsi" w:hAnsi="Verdana" w:cs="Verdana"/>
          <w:color w:val="000000"/>
          <w:sz w:val="20"/>
          <w:szCs w:val="20"/>
          <w:lang w:eastAsia="en-US"/>
        </w:rPr>
        <w:t>A receita da Companhia compreende o valor justo da contraprestação recebida ou a receber pela comercialização de energia no curso normal de suas atividades. A receita proveniente da venda da geração de energia é registrada com base na energia assegurada e com tarifas especificadas nos termos do contrato de fornecimento</w:t>
      </w:r>
      <w:r w:rsidRPr="00A63A0C">
        <w:rPr>
          <w:rFonts w:ascii="Verdana" w:eastAsiaTheme="minorHAnsi" w:hAnsi="Verdana" w:cs="Verdana"/>
          <w:color w:val="000000"/>
          <w:sz w:val="20"/>
          <w:szCs w:val="20"/>
          <w:lang w:eastAsia="en-US"/>
        </w:rPr>
        <w:t>.</w:t>
      </w:r>
    </w:p>
    <w:p w14:paraId="116F5837" w14:textId="23A6089F" w:rsidR="00A3350D" w:rsidRDefault="00A3350D" w:rsidP="005E4A4C">
      <w:pPr>
        <w:widowControl w:val="0"/>
        <w:autoSpaceDE w:val="0"/>
        <w:autoSpaceDN w:val="0"/>
        <w:rPr>
          <w:rFonts w:ascii="Verdana" w:eastAsiaTheme="minorHAnsi" w:hAnsi="Verdana" w:cs="Verdana"/>
          <w:color w:val="000000"/>
          <w:sz w:val="20"/>
          <w:szCs w:val="20"/>
          <w:lang w:eastAsia="en-US"/>
        </w:rPr>
      </w:pPr>
    </w:p>
    <w:p w14:paraId="33A5748F" w14:textId="77777777" w:rsidR="000E2D10" w:rsidRPr="005E4A4C" w:rsidRDefault="000E2D10" w:rsidP="005E4A4C">
      <w:pPr>
        <w:widowControl w:val="0"/>
        <w:autoSpaceDE w:val="0"/>
        <w:autoSpaceDN w:val="0"/>
        <w:rPr>
          <w:rFonts w:ascii="Verdana" w:eastAsiaTheme="minorHAnsi" w:hAnsi="Verdana" w:cs="Verdana"/>
          <w:color w:val="000000"/>
          <w:sz w:val="20"/>
          <w:szCs w:val="20"/>
          <w:lang w:eastAsia="en-US"/>
        </w:rPr>
      </w:pPr>
    </w:p>
    <w:p w14:paraId="7797E136" w14:textId="416D0E32" w:rsidR="005F6877" w:rsidRDefault="005F6877">
      <w:pPr>
        <w:widowControl w:val="0"/>
        <w:autoSpaceDE w:val="0"/>
        <w:autoSpaceDN w:val="0"/>
        <w:jc w:val="left"/>
        <w:rPr>
          <w:rFonts w:ascii="Verdana" w:hAnsi="Verdana"/>
          <w:sz w:val="20"/>
          <w:szCs w:val="20"/>
          <w:shd w:val="clear" w:color="auto" w:fill="FFFFFF"/>
        </w:rPr>
      </w:pPr>
    </w:p>
    <w:p w14:paraId="572CBC94" w14:textId="77777777" w:rsidR="007652CF" w:rsidRPr="005C5C69" w:rsidRDefault="007652CF" w:rsidP="007652CF">
      <w:pPr>
        <w:tabs>
          <w:tab w:val="left" w:pos="567"/>
          <w:tab w:val="left" w:pos="1134"/>
          <w:tab w:val="left" w:pos="1701"/>
          <w:tab w:val="left" w:pos="2268"/>
          <w:tab w:val="left" w:pos="2835"/>
        </w:tabs>
        <w:jc w:val="left"/>
        <w:outlineLvl w:val="0"/>
        <w:rPr>
          <w:rFonts w:ascii="Verdana" w:hAnsi="Verdana"/>
          <w:b/>
          <w:color w:val="0D63B5"/>
          <w:sz w:val="20"/>
          <w:szCs w:val="20"/>
        </w:rPr>
      </w:pPr>
      <w:r w:rsidRPr="005C5C69">
        <w:rPr>
          <w:rFonts w:ascii="Verdana" w:hAnsi="Verdana"/>
          <w:b/>
          <w:color w:val="0D63B5"/>
          <w:sz w:val="20"/>
          <w:szCs w:val="20"/>
        </w:rPr>
        <w:t xml:space="preserve">NOTA </w:t>
      </w:r>
      <w:r>
        <w:rPr>
          <w:rFonts w:ascii="Verdana" w:hAnsi="Verdana"/>
          <w:b/>
          <w:color w:val="0D63B5"/>
          <w:sz w:val="20"/>
          <w:szCs w:val="20"/>
        </w:rPr>
        <w:t>3</w:t>
      </w:r>
      <w:r w:rsidR="00B7719C">
        <w:rPr>
          <w:rFonts w:ascii="Verdana" w:hAnsi="Verdana"/>
          <w:b/>
          <w:color w:val="0D63B5"/>
          <w:sz w:val="20"/>
          <w:szCs w:val="20"/>
        </w:rPr>
        <w:t>3</w:t>
      </w:r>
      <w:r w:rsidRPr="005C5C69">
        <w:rPr>
          <w:rFonts w:ascii="Verdana" w:hAnsi="Verdana"/>
          <w:b/>
          <w:color w:val="0D63B5"/>
          <w:sz w:val="20"/>
          <w:szCs w:val="20"/>
        </w:rPr>
        <w:t xml:space="preserve"> – CUSTOS E DESPESAS OPERACIONAIS</w:t>
      </w:r>
    </w:p>
    <w:p w14:paraId="6A4B6FC7" w14:textId="77777777" w:rsidR="007652CF" w:rsidRDefault="007652CF" w:rsidP="007652CF">
      <w:pPr>
        <w:autoSpaceDE w:val="0"/>
        <w:autoSpaceDN w:val="0"/>
        <w:adjustRightInd w:val="0"/>
        <w:jc w:val="center"/>
        <w:rPr>
          <w:rFonts w:ascii="Verdana" w:hAnsi="Verdana"/>
        </w:rPr>
      </w:pPr>
    </w:p>
    <w:p w14:paraId="6B0C025A" w14:textId="77777777" w:rsidR="00C30629" w:rsidRDefault="00C30629" w:rsidP="007652CF">
      <w:pPr>
        <w:autoSpaceDE w:val="0"/>
        <w:autoSpaceDN w:val="0"/>
        <w:adjustRightInd w:val="0"/>
        <w:jc w:val="center"/>
        <w:rPr>
          <w:rFonts w:ascii="Verdana" w:hAnsi="Verdana"/>
        </w:rPr>
      </w:pPr>
    </w:p>
    <w:p w14:paraId="46C32776" w14:textId="77777777" w:rsidR="00924D64" w:rsidRDefault="00BC5985" w:rsidP="00866F82">
      <w:pPr>
        <w:tabs>
          <w:tab w:val="left" w:pos="567"/>
          <w:tab w:val="left" w:pos="1134"/>
          <w:tab w:val="left" w:pos="1701"/>
          <w:tab w:val="left" w:pos="2268"/>
          <w:tab w:val="left" w:pos="2835"/>
        </w:tabs>
        <w:jc w:val="center"/>
        <w:outlineLvl w:val="0"/>
        <w:rPr>
          <w:rFonts w:ascii="Verdana" w:hAnsi="Verdana" w:cs="Verdana"/>
          <w:b/>
          <w:color w:val="0D63B5"/>
          <w:sz w:val="20"/>
          <w:szCs w:val="20"/>
        </w:rPr>
      </w:pPr>
      <w:r w:rsidRPr="00BC5985">
        <w:rPr>
          <w:noProof/>
        </w:rPr>
        <w:drawing>
          <wp:inline distT="0" distB="0" distL="0" distR="0" wp14:anchorId="6E534858" wp14:editId="7A839778">
            <wp:extent cx="6652895" cy="2834640"/>
            <wp:effectExtent l="0" t="0" r="0" b="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652895" cy="2834640"/>
                    </a:xfrm>
                    <a:prstGeom prst="rect">
                      <a:avLst/>
                    </a:prstGeom>
                    <a:noFill/>
                    <a:ln>
                      <a:noFill/>
                    </a:ln>
                  </pic:spPr>
                </pic:pic>
              </a:graphicData>
            </a:graphic>
          </wp:inline>
        </w:drawing>
      </w:r>
    </w:p>
    <w:p w14:paraId="47CDC1F1" w14:textId="77777777" w:rsidR="00866F82" w:rsidRDefault="00866F82" w:rsidP="00866F82">
      <w:pPr>
        <w:tabs>
          <w:tab w:val="left" w:pos="567"/>
          <w:tab w:val="left" w:pos="1134"/>
          <w:tab w:val="left" w:pos="1701"/>
          <w:tab w:val="left" w:pos="2268"/>
          <w:tab w:val="left" w:pos="2835"/>
        </w:tabs>
        <w:jc w:val="center"/>
        <w:outlineLvl w:val="0"/>
        <w:rPr>
          <w:rFonts w:ascii="Verdana" w:hAnsi="Verdana" w:cs="Verdana"/>
          <w:b/>
          <w:color w:val="0D63B5"/>
          <w:sz w:val="20"/>
          <w:szCs w:val="20"/>
        </w:rPr>
      </w:pPr>
    </w:p>
    <w:p w14:paraId="3B961FDB" w14:textId="77777777" w:rsidR="00866F82" w:rsidRDefault="00866F82" w:rsidP="00866F82">
      <w:pPr>
        <w:tabs>
          <w:tab w:val="left" w:pos="567"/>
          <w:tab w:val="left" w:pos="1134"/>
          <w:tab w:val="left" w:pos="1701"/>
          <w:tab w:val="left" w:pos="2268"/>
          <w:tab w:val="left" w:pos="2835"/>
        </w:tabs>
        <w:jc w:val="center"/>
        <w:outlineLvl w:val="0"/>
        <w:rPr>
          <w:rFonts w:ascii="Verdana" w:hAnsi="Verdana" w:cs="Verdana"/>
          <w:b/>
          <w:color w:val="0D63B5"/>
          <w:sz w:val="20"/>
          <w:szCs w:val="20"/>
        </w:rPr>
      </w:pPr>
    </w:p>
    <w:p w14:paraId="1F78C0C2" w14:textId="77777777" w:rsidR="005C0BDE" w:rsidRDefault="005C0BDE" w:rsidP="007652CF">
      <w:pPr>
        <w:tabs>
          <w:tab w:val="left" w:pos="567"/>
          <w:tab w:val="left" w:pos="1134"/>
          <w:tab w:val="left" w:pos="1701"/>
          <w:tab w:val="left" w:pos="2268"/>
          <w:tab w:val="left" w:pos="2835"/>
        </w:tabs>
        <w:outlineLvl w:val="0"/>
        <w:rPr>
          <w:rFonts w:ascii="Verdana" w:hAnsi="Verdana" w:cs="Verdana"/>
          <w:b/>
          <w:color w:val="0D63B5"/>
          <w:sz w:val="20"/>
          <w:szCs w:val="20"/>
        </w:rPr>
      </w:pPr>
    </w:p>
    <w:p w14:paraId="3AD34BEC" w14:textId="77777777" w:rsidR="005C0BDE" w:rsidRDefault="005C0BDE" w:rsidP="007652CF">
      <w:pPr>
        <w:tabs>
          <w:tab w:val="left" w:pos="567"/>
          <w:tab w:val="left" w:pos="1134"/>
          <w:tab w:val="left" w:pos="1701"/>
          <w:tab w:val="left" w:pos="2268"/>
          <w:tab w:val="left" w:pos="2835"/>
        </w:tabs>
        <w:outlineLvl w:val="0"/>
        <w:rPr>
          <w:rFonts w:ascii="Verdana" w:hAnsi="Verdana" w:cs="Verdana"/>
          <w:b/>
          <w:color w:val="0D63B5"/>
          <w:sz w:val="20"/>
          <w:szCs w:val="20"/>
        </w:rPr>
      </w:pPr>
    </w:p>
    <w:p w14:paraId="1746CF6C" w14:textId="77777777" w:rsidR="005C0BDE" w:rsidRDefault="005C0BDE" w:rsidP="007652CF">
      <w:pPr>
        <w:tabs>
          <w:tab w:val="left" w:pos="567"/>
          <w:tab w:val="left" w:pos="1134"/>
          <w:tab w:val="left" w:pos="1701"/>
          <w:tab w:val="left" w:pos="2268"/>
          <w:tab w:val="left" w:pos="2835"/>
        </w:tabs>
        <w:outlineLvl w:val="0"/>
        <w:rPr>
          <w:rFonts w:ascii="Verdana" w:hAnsi="Verdana" w:cs="Verdana"/>
          <w:b/>
          <w:color w:val="0D63B5"/>
          <w:sz w:val="20"/>
          <w:szCs w:val="20"/>
        </w:rPr>
      </w:pPr>
    </w:p>
    <w:p w14:paraId="3C3DB779" w14:textId="77777777" w:rsidR="005C0BDE" w:rsidRDefault="005C0BDE" w:rsidP="007652CF">
      <w:pPr>
        <w:tabs>
          <w:tab w:val="left" w:pos="567"/>
          <w:tab w:val="left" w:pos="1134"/>
          <w:tab w:val="left" w:pos="1701"/>
          <w:tab w:val="left" w:pos="2268"/>
          <w:tab w:val="left" w:pos="2835"/>
        </w:tabs>
        <w:outlineLvl w:val="0"/>
        <w:rPr>
          <w:rFonts w:ascii="Verdana" w:hAnsi="Verdana" w:cs="Verdana"/>
          <w:b/>
          <w:color w:val="0D63B5"/>
          <w:sz w:val="20"/>
          <w:szCs w:val="20"/>
        </w:rPr>
      </w:pPr>
    </w:p>
    <w:p w14:paraId="06539EE0" w14:textId="77777777" w:rsidR="005C0BDE" w:rsidRDefault="005C0BDE" w:rsidP="007652CF">
      <w:pPr>
        <w:tabs>
          <w:tab w:val="left" w:pos="567"/>
          <w:tab w:val="left" w:pos="1134"/>
          <w:tab w:val="left" w:pos="1701"/>
          <w:tab w:val="left" w:pos="2268"/>
          <w:tab w:val="left" w:pos="2835"/>
        </w:tabs>
        <w:outlineLvl w:val="0"/>
        <w:rPr>
          <w:rFonts w:ascii="Verdana" w:hAnsi="Verdana" w:cs="Verdana"/>
          <w:b/>
          <w:color w:val="0D63B5"/>
          <w:sz w:val="20"/>
          <w:szCs w:val="20"/>
        </w:rPr>
      </w:pPr>
    </w:p>
    <w:p w14:paraId="7E69ACA8" w14:textId="19560D83" w:rsidR="00A631F5" w:rsidRDefault="007652CF" w:rsidP="007652CF">
      <w:pPr>
        <w:tabs>
          <w:tab w:val="left" w:pos="567"/>
          <w:tab w:val="left" w:pos="1134"/>
          <w:tab w:val="left" w:pos="1701"/>
          <w:tab w:val="left" w:pos="2268"/>
          <w:tab w:val="left" w:pos="2835"/>
        </w:tabs>
        <w:outlineLvl w:val="0"/>
        <w:rPr>
          <w:rFonts w:ascii="Verdana" w:hAnsi="Verdana"/>
          <w:b/>
          <w:color w:val="0D63B5"/>
          <w:sz w:val="20"/>
          <w:szCs w:val="20"/>
        </w:rPr>
      </w:pPr>
      <w:r w:rsidRPr="002D08D2">
        <w:rPr>
          <w:rFonts w:ascii="Verdana" w:hAnsi="Verdana" w:cs="Verdana"/>
          <w:b/>
          <w:color w:val="0D63B5"/>
          <w:sz w:val="20"/>
          <w:szCs w:val="20"/>
        </w:rPr>
        <w:lastRenderedPageBreak/>
        <w:t xml:space="preserve">NOTA </w:t>
      </w:r>
      <w:r w:rsidR="004730F4">
        <w:rPr>
          <w:rFonts w:ascii="Verdana" w:hAnsi="Verdana" w:cs="Verdana"/>
          <w:b/>
          <w:color w:val="0D63B5"/>
          <w:sz w:val="20"/>
          <w:szCs w:val="20"/>
        </w:rPr>
        <w:t>3</w:t>
      </w:r>
      <w:r w:rsidR="00B7719C">
        <w:rPr>
          <w:rFonts w:ascii="Verdana" w:hAnsi="Verdana" w:cs="Verdana"/>
          <w:b/>
          <w:color w:val="0D63B5"/>
          <w:sz w:val="20"/>
          <w:szCs w:val="20"/>
        </w:rPr>
        <w:t>4</w:t>
      </w:r>
      <w:r w:rsidRPr="002D08D2">
        <w:rPr>
          <w:rFonts w:ascii="Verdana" w:hAnsi="Verdana"/>
          <w:b/>
          <w:color w:val="0D63B5"/>
          <w:sz w:val="20"/>
          <w:szCs w:val="20"/>
        </w:rPr>
        <w:t xml:space="preserve"> – RESULTADO FINANCEIRO</w:t>
      </w:r>
    </w:p>
    <w:p w14:paraId="3711B094" w14:textId="77777777" w:rsidR="00D93BAC" w:rsidRPr="002D08D2" w:rsidRDefault="00D93BAC" w:rsidP="007652CF">
      <w:pPr>
        <w:tabs>
          <w:tab w:val="left" w:pos="567"/>
          <w:tab w:val="left" w:pos="1134"/>
          <w:tab w:val="left" w:pos="1701"/>
          <w:tab w:val="left" w:pos="2268"/>
          <w:tab w:val="left" w:pos="2835"/>
        </w:tabs>
        <w:outlineLvl w:val="0"/>
        <w:rPr>
          <w:rFonts w:ascii="Verdana" w:hAnsi="Verdana"/>
          <w:b/>
          <w:color w:val="0D63B5"/>
          <w:sz w:val="20"/>
          <w:szCs w:val="20"/>
        </w:rPr>
      </w:pPr>
    </w:p>
    <w:p w14:paraId="3CAFE7DF" w14:textId="77777777" w:rsidR="007652CF" w:rsidRPr="002D08D2" w:rsidRDefault="00A631F5" w:rsidP="007652CF">
      <w:pPr>
        <w:pStyle w:val="FCD"/>
        <w:spacing w:line="240" w:lineRule="auto"/>
        <w:jc w:val="center"/>
        <w:rPr>
          <w:rFonts w:ascii="Verdana" w:hAnsi="Verdana"/>
          <w:b/>
          <w:sz w:val="20"/>
          <w:szCs w:val="20"/>
        </w:rPr>
      </w:pPr>
      <w:r w:rsidRPr="00A631F5">
        <w:rPr>
          <w:noProof/>
          <w:lang w:eastAsia="pt-BR"/>
        </w:rPr>
        <w:drawing>
          <wp:inline distT="0" distB="0" distL="0" distR="0" wp14:anchorId="0BE9D973" wp14:editId="394C21B9">
            <wp:extent cx="5855427" cy="2368550"/>
            <wp:effectExtent l="0" t="0" r="0" b="0"/>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864354" cy="2372161"/>
                    </a:xfrm>
                    <a:prstGeom prst="rect">
                      <a:avLst/>
                    </a:prstGeom>
                    <a:noFill/>
                    <a:ln>
                      <a:noFill/>
                    </a:ln>
                  </pic:spPr>
                </pic:pic>
              </a:graphicData>
            </a:graphic>
          </wp:inline>
        </w:drawing>
      </w:r>
    </w:p>
    <w:p w14:paraId="33AD8789" w14:textId="77777777" w:rsidR="007652CF" w:rsidRDefault="007652CF" w:rsidP="007652CF">
      <w:pPr>
        <w:rPr>
          <w:rFonts w:ascii="Verdana" w:hAnsi="Verdana"/>
          <w:sz w:val="20"/>
          <w:szCs w:val="20"/>
        </w:rPr>
      </w:pPr>
    </w:p>
    <w:p w14:paraId="5FF85CE4" w14:textId="77777777" w:rsidR="00C2656E" w:rsidRPr="00FA5CD2" w:rsidRDefault="00C2656E" w:rsidP="00C2656E">
      <w:pPr>
        <w:rPr>
          <w:rFonts w:ascii="Verdana" w:hAnsi="Verdana"/>
          <w:color w:val="0D63B5"/>
          <w:sz w:val="20"/>
          <w:szCs w:val="20"/>
        </w:rPr>
      </w:pPr>
      <w:r w:rsidRPr="00FA5CD2">
        <w:rPr>
          <w:rFonts w:ascii="Verdana" w:hAnsi="Verdana"/>
          <w:color w:val="0D63B5"/>
          <w:sz w:val="20"/>
          <w:szCs w:val="20"/>
        </w:rPr>
        <w:t xml:space="preserve">Prática Contábil </w:t>
      </w:r>
    </w:p>
    <w:p w14:paraId="56107A42" w14:textId="77777777" w:rsidR="00C2656E" w:rsidRPr="00FA5CD2" w:rsidRDefault="00C2656E" w:rsidP="00C2656E">
      <w:pPr>
        <w:ind w:left="426"/>
        <w:rPr>
          <w:rFonts w:ascii="Verdana" w:hAnsi="Verdana"/>
          <w:sz w:val="20"/>
          <w:szCs w:val="20"/>
        </w:rPr>
      </w:pPr>
    </w:p>
    <w:p w14:paraId="512F113D" w14:textId="77777777" w:rsidR="00C2656E" w:rsidRPr="00611FA3" w:rsidRDefault="00C2656E" w:rsidP="00C2656E">
      <w:pPr>
        <w:rPr>
          <w:rFonts w:ascii="Verdana" w:hAnsi="Verdana"/>
          <w:sz w:val="20"/>
          <w:szCs w:val="20"/>
        </w:rPr>
      </w:pPr>
      <w:r w:rsidRPr="00611FA3">
        <w:rPr>
          <w:rFonts w:ascii="Verdana" w:hAnsi="Verdana"/>
          <w:sz w:val="20"/>
          <w:szCs w:val="20"/>
        </w:rPr>
        <w:t xml:space="preserve">As transações em moeda estrangeira são convertidas para a moeda funcional utilizando a taxa de câmbio vigente na data das transações. Os ganhos e as perdas cambiais resultantes da conversão pela taxa de câmbio do fim do período são reconhecidos no resultado como despesa ou receita financeira. </w:t>
      </w:r>
    </w:p>
    <w:p w14:paraId="15B53425" w14:textId="77777777" w:rsidR="00C2656E" w:rsidRPr="00611FA3" w:rsidRDefault="00C2656E" w:rsidP="00C2656E">
      <w:pPr>
        <w:rPr>
          <w:rFonts w:ascii="Verdana" w:hAnsi="Verdana"/>
          <w:sz w:val="20"/>
          <w:szCs w:val="20"/>
        </w:rPr>
      </w:pPr>
    </w:p>
    <w:p w14:paraId="639E20E4" w14:textId="77777777" w:rsidR="00C2656E" w:rsidRPr="00FA5CD2" w:rsidRDefault="00C2656E" w:rsidP="00C2656E">
      <w:pPr>
        <w:rPr>
          <w:rFonts w:ascii="Verdana" w:hAnsi="Verdana"/>
          <w:sz w:val="20"/>
          <w:szCs w:val="20"/>
        </w:rPr>
      </w:pPr>
      <w:r w:rsidRPr="00611FA3">
        <w:rPr>
          <w:rFonts w:ascii="Verdana" w:hAnsi="Verdana"/>
          <w:sz w:val="20"/>
          <w:szCs w:val="20"/>
        </w:rPr>
        <w:t xml:space="preserve">São registrados também os juros dos passivos de arrendamentos, os efeitos dos encargos dos títulos de dívidas sobre empréstimos, </w:t>
      </w:r>
      <w:proofErr w:type="gramStart"/>
      <w:r w:rsidRPr="00611FA3">
        <w:rPr>
          <w:rFonts w:ascii="Verdana" w:hAnsi="Verdana"/>
          <w:sz w:val="20"/>
          <w:szCs w:val="20"/>
        </w:rPr>
        <w:t>financiamentos ,</w:t>
      </w:r>
      <w:proofErr w:type="gramEnd"/>
      <w:r w:rsidRPr="00611FA3">
        <w:rPr>
          <w:rFonts w:ascii="Verdana" w:hAnsi="Verdana"/>
          <w:sz w:val="20"/>
          <w:szCs w:val="20"/>
        </w:rPr>
        <w:t xml:space="preserve"> e os ganhos e perdas referente</w:t>
      </w:r>
      <w:r>
        <w:rPr>
          <w:rFonts w:ascii="Verdana" w:hAnsi="Verdana"/>
          <w:sz w:val="20"/>
          <w:szCs w:val="20"/>
        </w:rPr>
        <w:t>s</w:t>
      </w:r>
      <w:r w:rsidRPr="00611FA3">
        <w:rPr>
          <w:rFonts w:ascii="Verdana" w:hAnsi="Verdana"/>
          <w:sz w:val="20"/>
          <w:szCs w:val="20"/>
        </w:rPr>
        <w:t xml:space="preserve"> </w:t>
      </w:r>
      <w:r>
        <w:rPr>
          <w:rFonts w:ascii="Verdana" w:hAnsi="Verdana"/>
          <w:sz w:val="20"/>
          <w:szCs w:val="20"/>
        </w:rPr>
        <w:t>à</w:t>
      </w:r>
      <w:r w:rsidRPr="00611FA3">
        <w:rPr>
          <w:rFonts w:ascii="Verdana" w:hAnsi="Verdana"/>
          <w:sz w:val="20"/>
          <w:szCs w:val="20"/>
        </w:rPr>
        <w:t>s aplicações financeiras. Maiores informações sobre as práticas contábeis das transações citadas podem ser observadas nas respectivas notas explicativas.</w:t>
      </w:r>
      <w:r w:rsidRPr="00FA5CD2">
        <w:rPr>
          <w:rFonts w:ascii="Verdana" w:hAnsi="Verdana"/>
          <w:sz w:val="20"/>
          <w:szCs w:val="20"/>
        </w:rPr>
        <w:t xml:space="preserve">   </w:t>
      </w:r>
    </w:p>
    <w:p w14:paraId="4460C689" w14:textId="77777777" w:rsidR="00C2656E" w:rsidRPr="00FA5CD2" w:rsidRDefault="00C2656E" w:rsidP="00C2656E">
      <w:pPr>
        <w:rPr>
          <w:rFonts w:ascii="Verdana" w:hAnsi="Verdana"/>
          <w:sz w:val="20"/>
          <w:szCs w:val="20"/>
        </w:rPr>
      </w:pPr>
    </w:p>
    <w:p w14:paraId="4FAD4B56" w14:textId="77777777" w:rsidR="00C2656E" w:rsidRDefault="00C2656E" w:rsidP="00C2656E">
      <w:pPr>
        <w:rPr>
          <w:rFonts w:ascii="Verdana" w:hAnsi="Verdana"/>
          <w:sz w:val="20"/>
          <w:szCs w:val="20"/>
        </w:rPr>
      </w:pPr>
    </w:p>
    <w:p w14:paraId="46300CB7" w14:textId="77777777" w:rsidR="00C2656E" w:rsidRDefault="00C2656E" w:rsidP="00C2656E">
      <w:pPr>
        <w:rPr>
          <w:rFonts w:ascii="Verdana" w:hAnsi="Verdana"/>
          <w:sz w:val="20"/>
          <w:szCs w:val="20"/>
        </w:rPr>
      </w:pPr>
    </w:p>
    <w:p w14:paraId="3C64A697" w14:textId="77777777" w:rsidR="00C2656E" w:rsidRPr="00A00264" w:rsidRDefault="00C2656E" w:rsidP="00C2656E">
      <w:pPr>
        <w:tabs>
          <w:tab w:val="left" w:pos="567"/>
          <w:tab w:val="left" w:pos="1134"/>
          <w:tab w:val="left" w:pos="1701"/>
          <w:tab w:val="left" w:pos="2268"/>
          <w:tab w:val="left" w:pos="2835"/>
        </w:tabs>
        <w:outlineLvl w:val="0"/>
        <w:rPr>
          <w:rFonts w:ascii="Verdana" w:hAnsi="Verdana"/>
          <w:b/>
          <w:color w:val="0D63B5"/>
          <w:sz w:val="20"/>
          <w:szCs w:val="20"/>
        </w:rPr>
      </w:pPr>
      <w:r w:rsidRPr="00A00264">
        <w:rPr>
          <w:rFonts w:ascii="Verdana" w:hAnsi="Verdana"/>
          <w:b/>
          <w:color w:val="0D63B5"/>
          <w:sz w:val="20"/>
          <w:szCs w:val="20"/>
        </w:rPr>
        <w:t>NOT</w:t>
      </w:r>
      <w:r w:rsidRPr="00A00264">
        <w:rPr>
          <w:rFonts w:ascii="Verdana" w:hAnsi="Verdana" w:cs="Verdana"/>
          <w:b/>
          <w:color w:val="0D63B5"/>
          <w:sz w:val="20"/>
          <w:szCs w:val="20"/>
        </w:rPr>
        <w:t xml:space="preserve">A </w:t>
      </w:r>
      <w:r>
        <w:rPr>
          <w:rFonts w:ascii="Verdana" w:hAnsi="Verdana" w:cs="Verdana"/>
          <w:b/>
          <w:color w:val="0D63B5"/>
          <w:sz w:val="20"/>
          <w:szCs w:val="20"/>
        </w:rPr>
        <w:t>35</w:t>
      </w:r>
      <w:r w:rsidRPr="00A00264">
        <w:rPr>
          <w:rFonts w:ascii="Verdana" w:hAnsi="Verdana"/>
          <w:b/>
          <w:color w:val="0D63B5"/>
          <w:sz w:val="20"/>
          <w:szCs w:val="20"/>
        </w:rPr>
        <w:t xml:space="preserve"> – INSTRUMENTOS FINANCEIROS E GESTÃO DE RISCOS </w:t>
      </w:r>
    </w:p>
    <w:p w14:paraId="7C57CE16"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4F8A1D06"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008852EA"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08E1856C"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4EC82C5E"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705AF6F6"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6CC13799"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4B7EC8B7"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59E6F01E"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0B968E5C"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29E022A2"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169D7812"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32140E80"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467D14AC"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478EF1F6"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51E53E49"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62936124"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4B028E20"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3C13389E"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486FDAD1"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062A6077"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22C37539"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3F74C3D4"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7D8977B9"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1DC30100"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5D0A1C2A"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67E755D1"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30D4159C"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534DBD9D"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687015DC"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2F03935B"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3738DC41"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1B668D6C"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484C199D"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2A7F6A69" w14:textId="77777777" w:rsidR="00C2656E" w:rsidRPr="00A00264" w:rsidRDefault="00C2656E" w:rsidP="00C2656E">
      <w:pPr>
        <w:rPr>
          <w:rFonts w:ascii="Verdana" w:hAnsi="Verdana"/>
          <w:sz w:val="20"/>
          <w:szCs w:val="20"/>
        </w:rPr>
      </w:pPr>
    </w:p>
    <w:p w14:paraId="752217D5" w14:textId="77777777" w:rsidR="00C2656E" w:rsidRPr="00A00264" w:rsidRDefault="00C2656E" w:rsidP="00C2656E">
      <w:pPr>
        <w:rPr>
          <w:rFonts w:ascii="Verdana" w:hAnsi="Verdana"/>
          <w:sz w:val="20"/>
          <w:szCs w:val="20"/>
        </w:rPr>
      </w:pPr>
    </w:p>
    <w:p w14:paraId="37F9307A" w14:textId="77777777" w:rsidR="00C2656E" w:rsidRPr="00A00264" w:rsidRDefault="00C2656E" w:rsidP="00C2656E">
      <w:pPr>
        <w:pStyle w:val="Default"/>
        <w:jc w:val="both"/>
        <w:rPr>
          <w:color w:val="0D63B5"/>
          <w:sz w:val="20"/>
          <w:szCs w:val="20"/>
        </w:rPr>
      </w:pPr>
      <w:r>
        <w:rPr>
          <w:color w:val="0D63B5"/>
          <w:sz w:val="20"/>
          <w:szCs w:val="20"/>
        </w:rPr>
        <w:t>35</w:t>
      </w:r>
      <w:r w:rsidRPr="00A00264">
        <w:rPr>
          <w:color w:val="0D63B5"/>
          <w:sz w:val="20"/>
          <w:szCs w:val="20"/>
        </w:rPr>
        <w:t xml:space="preserve">.1- Gestão do Risco de Capital </w:t>
      </w:r>
    </w:p>
    <w:p w14:paraId="6DC599F3"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50AFF31E"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090E98D9"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100A733C"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7BF37353"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459C2FA3"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13DC5D0E"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07EA9797"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4DC6237E"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454C75FC"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21571CE4"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25FC103A"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520739CA"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7A40E77A"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26FD1F25"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57A0909A"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45D84CB2"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16031FF5"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10EDC4EF"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0CA8D0E1"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4362093A"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2308C678"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22B2BF9D"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3E6DB198"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1142D99B"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4CA2CA6D"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1C3C9D81"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5C731289"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459B0635"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674A036E"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1D728D8C"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4EACEDA1"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5B25150D"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38A56C37" w14:textId="77777777" w:rsidR="00C2656E" w:rsidRPr="00A00264" w:rsidRDefault="00C2656E" w:rsidP="00C2656E">
      <w:pPr>
        <w:pStyle w:val="PargrafodaLista"/>
        <w:numPr>
          <w:ilvl w:val="0"/>
          <w:numId w:val="5"/>
        </w:numPr>
        <w:autoSpaceDE w:val="0"/>
        <w:autoSpaceDN w:val="0"/>
        <w:adjustRightInd w:val="0"/>
        <w:rPr>
          <w:rFonts w:ascii="Verdana" w:hAnsi="Verdana" w:cs="Verdana"/>
          <w:vanish/>
          <w:color w:val="0D63B5"/>
          <w:sz w:val="20"/>
          <w:szCs w:val="20"/>
        </w:rPr>
      </w:pPr>
    </w:p>
    <w:p w14:paraId="3D354150" w14:textId="77777777" w:rsidR="00C2656E" w:rsidRPr="00A00264" w:rsidRDefault="00C2656E" w:rsidP="00C2656E">
      <w:pPr>
        <w:rPr>
          <w:rFonts w:ascii="Verdana" w:hAnsi="Verdana"/>
          <w:sz w:val="20"/>
          <w:szCs w:val="20"/>
        </w:rPr>
      </w:pPr>
    </w:p>
    <w:p w14:paraId="3F1770E8" w14:textId="77777777" w:rsidR="00C2656E" w:rsidRPr="00A00264" w:rsidRDefault="00C2656E" w:rsidP="00C2656E">
      <w:pPr>
        <w:rPr>
          <w:rFonts w:ascii="Verdana" w:hAnsi="Verdana"/>
          <w:sz w:val="20"/>
          <w:szCs w:val="20"/>
        </w:rPr>
      </w:pPr>
      <w:r w:rsidRPr="00A00264">
        <w:rPr>
          <w:rFonts w:ascii="Verdana" w:hAnsi="Verdana"/>
          <w:sz w:val="20"/>
          <w:szCs w:val="20"/>
        </w:rPr>
        <w:t>Os objetivos da Companhia ao administrar seu capital são os de salvaguardar a capacidade de continuidade da Companhia para oferecer retorno aos acionistas e benefícios às outras</w:t>
      </w:r>
      <w:r w:rsidRPr="00A00264">
        <w:rPr>
          <w:rFonts w:ascii="Verdana" w:hAnsi="Verdana" w:cs="Arial"/>
          <w:sz w:val="20"/>
          <w:szCs w:val="20"/>
        </w:rPr>
        <w:t xml:space="preserve"> </w:t>
      </w:r>
      <w:r w:rsidRPr="00A00264">
        <w:rPr>
          <w:rFonts w:ascii="Verdana" w:hAnsi="Verdana"/>
          <w:sz w:val="20"/>
          <w:szCs w:val="20"/>
        </w:rPr>
        <w:t>partes interessadas, além de perseguir uma estrutura de capital ideal para reduzir esse custo.</w:t>
      </w:r>
      <w:r w:rsidRPr="00A00264">
        <w:rPr>
          <w:rFonts w:ascii="Verdana" w:hAnsi="Verdana" w:cs="Calibri"/>
          <w:sz w:val="20"/>
          <w:szCs w:val="20"/>
        </w:rPr>
        <w:t xml:space="preserve"> </w:t>
      </w:r>
      <w:r w:rsidRPr="00A00264">
        <w:rPr>
          <w:rFonts w:ascii="Verdana" w:hAnsi="Verdana"/>
          <w:sz w:val="20"/>
          <w:szCs w:val="20"/>
        </w:rPr>
        <w:t>As aquisições e vendas de ativos financeiros são reconhecidas na data de negociação.</w:t>
      </w:r>
    </w:p>
    <w:p w14:paraId="01533BC4" w14:textId="77777777" w:rsidR="00C2656E" w:rsidRDefault="00C2656E" w:rsidP="00C2656E">
      <w:pPr>
        <w:rPr>
          <w:rFonts w:ascii="Verdana" w:hAnsi="Verdana"/>
          <w:sz w:val="20"/>
          <w:szCs w:val="20"/>
        </w:rPr>
      </w:pPr>
    </w:p>
    <w:p w14:paraId="71288C9E" w14:textId="77777777" w:rsidR="00C2656E" w:rsidRDefault="00C2656E" w:rsidP="00C2656E">
      <w:pPr>
        <w:rPr>
          <w:rFonts w:ascii="Verdana" w:hAnsi="Verdana"/>
          <w:sz w:val="20"/>
          <w:szCs w:val="20"/>
        </w:rPr>
      </w:pPr>
      <w:r>
        <w:rPr>
          <w:rFonts w:ascii="Verdana" w:hAnsi="Verdana"/>
          <w:sz w:val="20"/>
          <w:szCs w:val="20"/>
        </w:rPr>
        <w:t>A</w:t>
      </w:r>
      <w:r w:rsidRPr="00161FCF">
        <w:rPr>
          <w:rFonts w:ascii="Verdana" w:hAnsi="Verdana"/>
          <w:sz w:val="20"/>
          <w:szCs w:val="20"/>
        </w:rPr>
        <w:t xml:space="preserve"> Companhia monitora o capital com base no índice de alavancagem financeira. Esse índice corresponde à exposição líquida dividida pelo capital total. A dívida líquida, por sua vez, corresponde ao total de empréstimos</w:t>
      </w:r>
      <w:r>
        <w:rPr>
          <w:rFonts w:ascii="Verdana" w:hAnsi="Verdana"/>
          <w:sz w:val="20"/>
          <w:szCs w:val="20"/>
        </w:rPr>
        <w:t xml:space="preserve"> e</w:t>
      </w:r>
      <w:r w:rsidRPr="00161FCF">
        <w:rPr>
          <w:rFonts w:ascii="Verdana" w:hAnsi="Verdana"/>
          <w:sz w:val="20"/>
          <w:szCs w:val="20"/>
        </w:rPr>
        <w:t xml:space="preserve"> financiamentos de curto e longo prazos, apresentados na nota</w:t>
      </w:r>
      <w:r>
        <w:rPr>
          <w:rFonts w:ascii="Verdana" w:hAnsi="Verdana"/>
          <w:sz w:val="20"/>
          <w:szCs w:val="20"/>
        </w:rPr>
        <w:t xml:space="preserve"> 20</w:t>
      </w:r>
      <w:r w:rsidRPr="00161FCF">
        <w:rPr>
          <w:rFonts w:ascii="Verdana" w:hAnsi="Verdana"/>
          <w:sz w:val="20"/>
          <w:szCs w:val="20"/>
        </w:rPr>
        <w:t xml:space="preserve">, subtraído do montante de caixa e equivalentes de caixa e títulos e valores </w:t>
      </w:r>
      <w:proofErr w:type="gramStart"/>
      <w:r w:rsidRPr="00161FCF">
        <w:rPr>
          <w:rFonts w:ascii="Verdana" w:hAnsi="Verdana"/>
          <w:sz w:val="20"/>
          <w:szCs w:val="20"/>
        </w:rPr>
        <w:t xml:space="preserve">mobiliários </w:t>
      </w:r>
      <w:r>
        <w:rPr>
          <w:rFonts w:ascii="Verdana" w:hAnsi="Verdana"/>
          <w:sz w:val="20"/>
          <w:szCs w:val="20"/>
        </w:rPr>
        <w:t xml:space="preserve"> </w:t>
      </w:r>
      <w:r w:rsidRPr="00A00264">
        <w:rPr>
          <w:rFonts w:ascii="Verdana" w:hAnsi="Verdana"/>
          <w:color w:val="000000" w:themeColor="text1"/>
          <w:sz w:val="20"/>
          <w:szCs w:val="20"/>
        </w:rPr>
        <w:t>de</w:t>
      </w:r>
      <w:proofErr w:type="gramEnd"/>
      <w:r w:rsidRPr="00A00264">
        <w:rPr>
          <w:rFonts w:ascii="Verdana" w:hAnsi="Verdana"/>
          <w:color w:val="000000" w:themeColor="text1"/>
          <w:sz w:val="20"/>
          <w:szCs w:val="20"/>
        </w:rPr>
        <w:t xml:space="preserve"> curto prazo</w:t>
      </w:r>
      <w:r>
        <w:rPr>
          <w:rFonts w:ascii="Verdana" w:hAnsi="Verdana"/>
          <w:color w:val="000000" w:themeColor="text1"/>
          <w:sz w:val="20"/>
          <w:szCs w:val="20"/>
        </w:rPr>
        <w:t>.</w:t>
      </w:r>
      <w:r w:rsidRPr="00161FCF">
        <w:rPr>
          <w:rFonts w:ascii="Verdana" w:hAnsi="Verdana"/>
          <w:sz w:val="20"/>
          <w:szCs w:val="20"/>
        </w:rPr>
        <w:t xml:space="preserve"> O capital total é apurado através da soma do patrimônio líquido com a dívida líquida.</w:t>
      </w:r>
    </w:p>
    <w:p w14:paraId="7AA9F58B" w14:textId="4B92C49A" w:rsidR="006044CC" w:rsidRPr="00CD6514" w:rsidRDefault="006044CC" w:rsidP="006044CC">
      <w:pPr>
        <w:rPr>
          <w:rFonts w:ascii="Verdana" w:hAnsi="Verdana"/>
          <w:sz w:val="20"/>
          <w:szCs w:val="20"/>
        </w:rPr>
      </w:pPr>
    </w:p>
    <w:p w14:paraId="653DD40C" w14:textId="77777777" w:rsidR="006044CC" w:rsidRPr="00CD6514" w:rsidRDefault="006044CC" w:rsidP="006044CC">
      <w:pPr>
        <w:rPr>
          <w:rFonts w:ascii="Verdana" w:hAnsi="Verdana"/>
          <w:sz w:val="20"/>
          <w:szCs w:val="20"/>
        </w:rPr>
      </w:pPr>
    </w:p>
    <w:p w14:paraId="0FFCC89F" w14:textId="65B0EF5C" w:rsidR="006044CC" w:rsidRPr="00CD6514" w:rsidRDefault="002D72F9" w:rsidP="006044CC">
      <w:pPr>
        <w:jc w:val="center"/>
        <w:rPr>
          <w:rFonts w:ascii="Verdana" w:hAnsi="Verdana"/>
        </w:rPr>
      </w:pPr>
      <w:r w:rsidRPr="002D72F9">
        <w:rPr>
          <w:noProof/>
        </w:rPr>
        <w:drawing>
          <wp:inline distT="0" distB="0" distL="0" distR="0" wp14:anchorId="67B4D547" wp14:editId="6F2411C8">
            <wp:extent cx="5568950" cy="1197684"/>
            <wp:effectExtent l="0" t="0" r="0" b="254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579957" cy="1200051"/>
                    </a:xfrm>
                    <a:prstGeom prst="rect">
                      <a:avLst/>
                    </a:prstGeom>
                    <a:noFill/>
                    <a:ln>
                      <a:noFill/>
                    </a:ln>
                  </pic:spPr>
                </pic:pic>
              </a:graphicData>
            </a:graphic>
          </wp:inline>
        </w:drawing>
      </w:r>
    </w:p>
    <w:p w14:paraId="6FA943B1" w14:textId="77777777" w:rsidR="006044CC" w:rsidRPr="00CD6514" w:rsidRDefault="006044CC" w:rsidP="006044CC">
      <w:pPr>
        <w:pStyle w:val="PargrafodaLista"/>
        <w:numPr>
          <w:ilvl w:val="0"/>
          <w:numId w:val="8"/>
        </w:numPr>
        <w:autoSpaceDE w:val="0"/>
        <w:autoSpaceDN w:val="0"/>
        <w:adjustRightInd w:val="0"/>
        <w:rPr>
          <w:rFonts w:ascii="Verdana" w:hAnsi="Verdana" w:cs="Verdana"/>
          <w:vanish/>
          <w:color w:val="0D63B5"/>
          <w:sz w:val="20"/>
          <w:szCs w:val="20"/>
        </w:rPr>
      </w:pPr>
    </w:p>
    <w:p w14:paraId="4B96C587" w14:textId="77777777" w:rsidR="006044CC" w:rsidRPr="00CD6514" w:rsidRDefault="006044CC" w:rsidP="006044CC">
      <w:pPr>
        <w:pStyle w:val="PargrafodaLista"/>
        <w:numPr>
          <w:ilvl w:val="0"/>
          <w:numId w:val="8"/>
        </w:numPr>
        <w:autoSpaceDE w:val="0"/>
        <w:autoSpaceDN w:val="0"/>
        <w:adjustRightInd w:val="0"/>
        <w:rPr>
          <w:rFonts w:ascii="Verdana" w:hAnsi="Verdana" w:cs="Verdana"/>
          <w:vanish/>
          <w:color w:val="0D63B5"/>
          <w:sz w:val="20"/>
          <w:szCs w:val="20"/>
        </w:rPr>
      </w:pPr>
    </w:p>
    <w:p w14:paraId="722498FE" w14:textId="77777777" w:rsidR="006044CC" w:rsidRDefault="006044CC" w:rsidP="001868F6">
      <w:pPr>
        <w:widowControl w:val="0"/>
        <w:autoSpaceDE w:val="0"/>
        <w:autoSpaceDN w:val="0"/>
        <w:jc w:val="center"/>
        <w:rPr>
          <w:rFonts w:ascii="Verdana" w:hAnsi="Verdana" w:cs="Verdana"/>
          <w:color w:val="0D63B5"/>
          <w:sz w:val="20"/>
          <w:szCs w:val="20"/>
        </w:rPr>
      </w:pPr>
    </w:p>
    <w:p w14:paraId="010E3706" w14:textId="77777777" w:rsidR="00924D64" w:rsidRDefault="00924D64" w:rsidP="006044CC">
      <w:pPr>
        <w:pStyle w:val="Default"/>
        <w:jc w:val="both"/>
        <w:rPr>
          <w:color w:val="0D63B5"/>
          <w:sz w:val="20"/>
          <w:szCs w:val="20"/>
        </w:rPr>
      </w:pPr>
    </w:p>
    <w:p w14:paraId="12B71598" w14:textId="77777777" w:rsidR="00C2656E" w:rsidRPr="00CD6514" w:rsidRDefault="00C2656E" w:rsidP="00C2656E">
      <w:pPr>
        <w:pStyle w:val="Default"/>
        <w:jc w:val="both"/>
        <w:rPr>
          <w:color w:val="0D63B5"/>
          <w:sz w:val="20"/>
          <w:szCs w:val="20"/>
        </w:rPr>
      </w:pPr>
      <w:r>
        <w:rPr>
          <w:color w:val="0D63B5"/>
          <w:sz w:val="20"/>
          <w:szCs w:val="20"/>
        </w:rPr>
        <w:t>35</w:t>
      </w:r>
      <w:r w:rsidRPr="00CD6514">
        <w:rPr>
          <w:color w:val="0D63B5"/>
          <w:sz w:val="20"/>
          <w:szCs w:val="20"/>
        </w:rPr>
        <w:t>.2 – Classificação por categoria de instrumentos financeiros</w:t>
      </w:r>
    </w:p>
    <w:p w14:paraId="14C42BE2" w14:textId="77777777" w:rsidR="00C2656E" w:rsidRDefault="00C2656E" w:rsidP="00C2656E">
      <w:pPr>
        <w:pStyle w:val="Default"/>
        <w:jc w:val="both"/>
        <w:rPr>
          <w:color w:val="0D63B5"/>
          <w:sz w:val="20"/>
          <w:szCs w:val="20"/>
        </w:rPr>
      </w:pPr>
    </w:p>
    <w:p w14:paraId="44D43167" w14:textId="77777777" w:rsidR="00C2656E" w:rsidRPr="00DA4319" w:rsidRDefault="00C2656E" w:rsidP="00C2656E">
      <w:pPr>
        <w:pStyle w:val="SemEspaamento"/>
        <w:rPr>
          <w:rFonts w:ascii="Verdana" w:hAnsi="Verdana"/>
          <w:sz w:val="20"/>
          <w:szCs w:val="20"/>
        </w:rPr>
      </w:pPr>
      <w:r w:rsidRPr="00DA4319">
        <w:rPr>
          <w:rFonts w:ascii="Verdana" w:hAnsi="Verdana"/>
          <w:sz w:val="20"/>
          <w:szCs w:val="20"/>
        </w:rPr>
        <w:t xml:space="preserve">A classificação dos ativos financeiros depende do modelo de negócio para gestão e das características do fluxo de caixa contratual. </w:t>
      </w:r>
      <w:r>
        <w:rPr>
          <w:rFonts w:ascii="Verdana" w:hAnsi="Verdana"/>
          <w:sz w:val="20"/>
          <w:szCs w:val="20"/>
        </w:rPr>
        <w:t xml:space="preserve">A Companhia </w:t>
      </w:r>
      <w:proofErr w:type="spellStart"/>
      <w:r>
        <w:rPr>
          <w:rFonts w:ascii="Verdana" w:hAnsi="Verdana"/>
          <w:sz w:val="20"/>
          <w:szCs w:val="20"/>
        </w:rPr>
        <w:t>clasifica</w:t>
      </w:r>
      <w:proofErr w:type="spellEnd"/>
      <w:r>
        <w:rPr>
          <w:rFonts w:ascii="Verdana" w:hAnsi="Verdana"/>
          <w:sz w:val="20"/>
          <w:szCs w:val="20"/>
        </w:rPr>
        <w:t xml:space="preserve"> os</w:t>
      </w:r>
      <w:r w:rsidRPr="00DA4319">
        <w:rPr>
          <w:rFonts w:ascii="Verdana" w:hAnsi="Verdana"/>
          <w:sz w:val="20"/>
          <w:szCs w:val="20"/>
        </w:rPr>
        <w:t xml:space="preserve"> ativos financeiros nas seguintes categorias: </w:t>
      </w:r>
    </w:p>
    <w:p w14:paraId="1B780E04" w14:textId="77777777" w:rsidR="00C2656E" w:rsidRDefault="00C2656E" w:rsidP="00C2656E">
      <w:pPr>
        <w:pStyle w:val="SemEspaamento"/>
        <w:rPr>
          <w:rFonts w:ascii="Verdana" w:hAnsi="Verdana"/>
          <w:sz w:val="20"/>
          <w:szCs w:val="20"/>
        </w:rPr>
      </w:pPr>
    </w:p>
    <w:p w14:paraId="67BE81DF" w14:textId="77777777" w:rsidR="00C2656E" w:rsidRDefault="00C2656E" w:rsidP="00C2656E">
      <w:pPr>
        <w:pStyle w:val="SemEspaamento"/>
        <w:rPr>
          <w:rFonts w:ascii="Verdana" w:hAnsi="Verdana"/>
          <w:sz w:val="20"/>
          <w:szCs w:val="20"/>
        </w:rPr>
      </w:pPr>
    </w:p>
    <w:p w14:paraId="128940B9" w14:textId="77777777" w:rsidR="00C2656E" w:rsidRPr="00E2190D" w:rsidRDefault="00C2656E" w:rsidP="00C2656E">
      <w:pPr>
        <w:pStyle w:val="SemEspaamento"/>
        <w:rPr>
          <w:rFonts w:ascii="Verdana" w:hAnsi="Verdana"/>
          <w:color w:val="548DD4" w:themeColor="text2" w:themeTint="99"/>
          <w:sz w:val="20"/>
          <w:szCs w:val="20"/>
        </w:rPr>
      </w:pPr>
      <w:r w:rsidRPr="00E2190D">
        <w:rPr>
          <w:rFonts w:ascii="Verdana" w:hAnsi="Verdana"/>
          <w:color w:val="548DD4" w:themeColor="text2" w:themeTint="99"/>
          <w:sz w:val="20"/>
          <w:szCs w:val="20"/>
        </w:rPr>
        <w:t>Custo amortizado</w:t>
      </w:r>
    </w:p>
    <w:p w14:paraId="3684C496" w14:textId="77777777" w:rsidR="00C2656E" w:rsidRDefault="00C2656E" w:rsidP="00C2656E">
      <w:pPr>
        <w:pStyle w:val="SemEspaamento"/>
        <w:rPr>
          <w:rFonts w:ascii="Verdana" w:hAnsi="Verdana"/>
          <w:sz w:val="20"/>
          <w:szCs w:val="20"/>
        </w:rPr>
      </w:pPr>
    </w:p>
    <w:p w14:paraId="1E767DFE" w14:textId="77777777" w:rsidR="00C2656E" w:rsidRPr="00A70EF8" w:rsidRDefault="00C2656E" w:rsidP="00C2656E">
      <w:pPr>
        <w:autoSpaceDE w:val="0"/>
        <w:autoSpaceDN w:val="0"/>
        <w:adjustRightInd w:val="0"/>
        <w:rPr>
          <w:rFonts w:ascii="Verdana" w:hAnsi="Verdana"/>
          <w:sz w:val="20"/>
          <w:szCs w:val="20"/>
        </w:rPr>
      </w:pPr>
      <w:r w:rsidRPr="00A70EF8">
        <w:rPr>
          <w:rFonts w:ascii="Verdana" w:hAnsi="Verdana" w:cs="Arial"/>
          <w:sz w:val="20"/>
          <w:szCs w:val="20"/>
        </w:rPr>
        <w:t>Os ativos financeiros que são detidos e gerenciados num modelo de negócios cujo objetivo é de recolher apenas fluxos de caixa contratuais (juros e principal) devem ser classificados como ativos financeiros ao custo amortizado. Em resumo, se o ativo financeiro é um instrumento de dívida simples cujo objetivo consiste em receber apenas juros e principal, ele deve ser classificado e contabilizado ao custo amortizado.</w:t>
      </w:r>
    </w:p>
    <w:p w14:paraId="42CC4866" w14:textId="77777777" w:rsidR="00C2656E" w:rsidRPr="00A70EF8" w:rsidRDefault="00C2656E" w:rsidP="00C2656E">
      <w:pPr>
        <w:pStyle w:val="SemEspaamento"/>
        <w:jc w:val="both"/>
        <w:rPr>
          <w:rFonts w:ascii="Verdana" w:hAnsi="Verdana"/>
          <w:sz w:val="20"/>
          <w:szCs w:val="20"/>
        </w:rPr>
      </w:pPr>
    </w:p>
    <w:p w14:paraId="320243B4" w14:textId="77777777" w:rsidR="00C2656E" w:rsidRPr="00DA4319" w:rsidRDefault="00C2656E" w:rsidP="00C2656E">
      <w:pPr>
        <w:pStyle w:val="SemEspaamento"/>
        <w:jc w:val="both"/>
        <w:rPr>
          <w:rFonts w:ascii="Verdana" w:hAnsi="Verdana"/>
          <w:sz w:val="20"/>
          <w:szCs w:val="20"/>
        </w:rPr>
      </w:pPr>
      <w:r w:rsidRPr="00DA4319">
        <w:rPr>
          <w:rFonts w:ascii="Verdana" w:hAnsi="Verdana"/>
          <w:sz w:val="20"/>
          <w:szCs w:val="20"/>
        </w:rPr>
        <w:t xml:space="preserve">As receitas com juros provenientes desses ativos financeiros são registradas em receitas financeiras usando o método da taxa efetiva de juros. As perdas por </w:t>
      </w:r>
      <w:proofErr w:type="spellStart"/>
      <w:r w:rsidRPr="00B653CA">
        <w:rPr>
          <w:rFonts w:ascii="Verdana" w:hAnsi="Verdana"/>
          <w:i/>
          <w:iCs/>
          <w:sz w:val="20"/>
          <w:szCs w:val="20"/>
        </w:rPr>
        <w:t>impairment</w:t>
      </w:r>
      <w:proofErr w:type="spellEnd"/>
      <w:r w:rsidRPr="00DA4319">
        <w:rPr>
          <w:rFonts w:ascii="Verdana" w:hAnsi="Verdana"/>
          <w:sz w:val="20"/>
          <w:szCs w:val="20"/>
        </w:rPr>
        <w:t xml:space="preserve"> são apresentadas em uma conta separada na demonstração do resultado.</w:t>
      </w:r>
    </w:p>
    <w:p w14:paraId="1BEC1148" w14:textId="77777777" w:rsidR="00C2656E" w:rsidRDefault="00C2656E" w:rsidP="00C2656E">
      <w:pPr>
        <w:pStyle w:val="SemEspaamento"/>
        <w:rPr>
          <w:rFonts w:ascii="Verdana" w:hAnsi="Verdana"/>
          <w:sz w:val="20"/>
          <w:szCs w:val="20"/>
        </w:rPr>
      </w:pPr>
    </w:p>
    <w:p w14:paraId="4A5FB62C" w14:textId="77777777" w:rsidR="00C2656E" w:rsidRDefault="00C2656E" w:rsidP="00C2656E">
      <w:pPr>
        <w:pStyle w:val="SemEspaamento"/>
        <w:rPr>
          <w:rFonts w:ascii="Verdana" w:hAnsi="Verdana"/>
          <w:sz w:val="20"/>
          <w:szCs w:val="20"/>
        </w:rPr>
      </w:pPr>
    </w:p>
    <w:p w14:paraId="54DC869B" w14:textId="77777777" w:rsidR="00C2656E" w:rsidRPr="00DA4319" w:rsidRDefault="00C2656E" w:rsidP="00C2656E">
      <w:pPr>
        <w:pStyle w:val="SemEspaamento"/>
        <w:rPr>
          <w:rFonts w:ascii="Verdana" w:hAnsi="Verdana"/>
          <w:sz w:val="20"/>
          <w:szCs w:val="20"/>
        </w:rPr>
      </w:pPr>
      <w:r w:rsidRPr="00E2190D">
        <w:rPr>
          <w:rFonts w:ascii="Verdana" w:hAnsi="Verdana"/>
          <w:color w:val="548DD4" w:themeColor="text2" w:themeTint="99"/>
          <w:sz w:val="20"/>
          <w:szCs w:val="20"/>
        </w:rPr>
        <w:t>Ativos financeiros ao valor justo por meio de resultado</w:t>
      </w:r>
    </w:p>
    <w:p w14:paraId="2B24D33C" w14:textId="77777777" w:rsidR="00C2656E" w:rsidRPr="00A70EF8" w:rsidRDefault="00C2656E" w:rsidP="00C2656E">
      <w:pPr>
        <w:pStyle w:val="SemEspaamento"/>
        <w:rPr>
          <w:rFonts w:ascii="Verdana" w:hAnsi="Verdana"/>
          <w:sz w:val="20"/>
          <w:szCs w:val="20"/>
        </w:rPr>
      </w:pPr>
    </w:p>
    <w:p w14:paraId="3EC85FFE" w14:textId="77777777" w:rsidR="00C2656E" w:rsidRDefault="00C2656E" w:rsidP="00C2656E">
      <w:pPr>
        <w:pStyle w:val="SemEspaamento"/>
        <w:jc w:val="both"/>
        <w:rPr>
          <w:rFonts w:ascii="Verdana" w:hAnsi="Verdana" w:cs="Arial"/>
          <w:sz w:val="20"/>
          <w:szCs w:val="20"/>
        </w:rPr>
      </w:pPr>
      <w:r w:rsidRPr="00A70EF8">
        <w:rPr>
          <w:rFonts w:ascii="Verdana" w:hAnsi="Verdana" w:cs="Arial"/>
          <w:sz w:val="20"/>
          <w:szCs w:val="20"/>
        </w:rPr>
        <w:t>Quaisquer ativos financeiros que não sejam classificados na categoria de custo amortizado e ativos financeiros ao valor justo por meio de outros resultados abrangentes devem ser mensurados e reconhecidos ao justo valor por meio do resultado. Portanto, a categoria de ativos financeiros ao valor justo por meio do resultado representa uma categoria “residual”. Os ativos financeiros que são detidos para negociação e gerenciados com base no justo valor, também estão incluídos nesta categoria.</w:t>
      </w:r>
    </w:p>
    <w:p w14:paraId="281759C8" w14:textId="77777777" w:rsidR="00C2656E" w:rsidRPr="00A70EF8" w:rsidRDefault="00C2656E" w:rsidP="00C2656E">
      <w:pPr>
        <w:pStyle w:val="SemEspaamento"/>
        <w:jc w:val="both"/>
        <w:rPr>
          <w:rFonts w:ascii="Verdana" w:hAnsi="Verdana"/>
          <w:sz w:val="20"/>
          <w:szCs w:val="20"/>
        </w:rPr>
      </w:pPr>
    </w:p>
    <w:p w14:paraId="22DC2493" w14:textId="77777777" w:rsidR="00C2656E" w:rsidRPr="00DA4319" w:rsidRDefault="00C2656E" w:rsidP="00C2656E">
      <w:pPr>
        <w:pStyle w:val="SemEspaamento"/>
        <w:jc w:val="both"/>
        <w:rPr>
          <w:rFonts w:ascii="Verdana" w:hAnsi="Verdana"/>
          <w:sz w:val="20"/>
          <w:szCs w:val="20"/>
        </w:rPr>
      </w:pPr>
      <w:r w:rsidRPr="00DA4319">
        <w:rPr>
          <w:rFonts w:ascii="Verdana" w:hAnsi="Verdana"/>
          <w:sz w:val="20"/>
          <w:szCs w:val="20"/>
        </w:rPr>
        <w:t>Eventuais ganhos ou perdas em um investimento em título de dívida que seja subsequentemente mensurado ao valor justo por meio do resultado são reconhecidos no resultado e apresentados líquidos em resultado financeiro, no período em que ocorrerem.</w:t>
      </w:r>
    </w:p>
    <w:p w14:paraId="7273E9D9" w14:textId="77777777" w:rsidR="00C2656E" w:rsidRDefault="00C2656E" w:rsidP="00C2656E">
      <w:pPr>
        <w:pStyle w:val="SemEspaamento"/>
        <w:rPr>
          <w:rFonts w:ascii="Verdana" w:hAnsi="Verdana"/>
          <w:sz w:val="20"/>
          <w:szCs w:val="20"/>
        </w:rPr>
      </w:pPr>
    </w:p>
    <w:p w14:paraId="63DF30DA" w14:textId="77777777" w:rsidR="00C2656E" w:rsidRDefault="00C2656E" w:rsidP="00C2656E">
      <w:pPr>
        <w:pStyle w:val="SemEspaamento"/>
        <w:rPr>
          <w:rFonts w:ascii="Verdana" w:hAnsi="Verdana"/>
          <w:sz w:val="20"/>
          <w:szCs w:val="20"/>
        </w:rPr>
      </w:pPr>
    </w:p>
    <w:p w14:paraId="04620154" w14:textId="77777777" w:rsidR="00C2656E" w:rsidRDefault="00C2656E" w:rsidP="00C2656E">
      <w:pPr>
        <w:rPr>
          <w:rFonts w:ascii="Verdana" w:hAnsi="Verdana"/>
          <w:sz w:val="20"/>
          <w:szCs w:val="20"/>
        </w:rPr>
      </w:pPr>
      <w:r w:rsidRPr="00E2190D">
        <w:rPr>
          <w:rFonts w:ascii="Verdana" w:hAnsi="Verdana"/>
          <w:color w:val="548DD4" w:themeColor="text2" w:themeTint="99"/>
          <w:sz w:val="20"/>
          <w:szCs w:val="20"/>
        </w:rPr>
        <w:t xml:space="preserve">Passivos financeiros </w:t>
      </w:r>
    </w:p>
    <w:p w14:paraId="3ED996BB" w14:textId="77777777" w:rsidR="00C2656E" w:rsidRDefault="00C2656E" w:rsidP="00C2656E">
      <w:pPr>
        <w:rPr>
          <w:rFonts w:ascii="Verdana" w:hAnsi="Verdana"/>
          <w:sz w:val="20"/>
          <w:szCs w:val="20"/>
        </w:rPr>
      </w:pPr>
    </w:p>
    <w:p w14:paraId="3C786C02" w14:textId="77777777" w:rsidR="00C2656E" w:rsidRDefault="00C2656E" w:rsidP="00C2656E">
      <w:pPr>
        <w:rPr>
          <w:rFonts w:ascii="Verdana" w:hAnsi="Verdana"/>
          <w:sz w:val="20"/>
          <w:szCs w:val="20"/>
        </w:rPr>
      </w:pPr>
      <w:r>
        <w:rPr>
          <w:rFonts w:ascii="Verdana" w:hAnsi="Verdana"/>
          <w:sz w:val="20"/>
          <w:szCs w:val="20"/>
        </w:rPr>
        <w:t>S</w:t>
      </w:r>
      <w:r w:rsidRPr="00DA4319">
        <w:rPr>
          <w:rFonts w:ascii="Verdana" w:hAnsi="Verdana"/>
          <w:sz w:val="20"/>
          <w:szCs w:val="20"/>
        </w:rPr>
        <w:t>ão classificados como “Passivos financeiros ao custo amortizado”</w:t>
      </w:r>
      <w:r>
        <w:rPr>
          <w:rFonts w:ascii="Verdana" w:hAnsi="Verdana"/>
          <w:sz w:val="20"/>
          <w:szCs w:val="20"/>
        </w:rPr>
        <w:t>.</w:t>
      </w:r>
    </w:p>
    <w:p w14:paraId="72D46E07" w14:textId="77777777" w:rsidR="00C2656E" w:rsidRDefault="00C2656E" w:rsidP="00C2656E">
      <w:pPr>
        <w:rPr>
          <w:rFonts w:ascii="Verdana" w:hAnsi="Verdana"/>
          <w:sz w:val="20"/>
          <w:szCs w:val="20"/>
        </w:rPr>
      </w:pPr>
    </w:p>
    <w:p w14:paraId="41664DFE" w14:textId="5A8DF28F" w:rsidR="006044CC" w:rsidRDefault="00C2656E" w:rsidP="00C2656E">
      <w:pPr>
        <w:rPr>
          <w:rFonts w:ascii="Verdana" w:hAnsi="Verdana"/>
          <w:sz w:val="20"/>
          <w:szCs w:val="20"/>
        </w:rPr>
      </w:pPr>
      <w:r w:rsidRPr="00A00264">
        <w:rPr>
          <w:rFonts w:ascii="Verdana" w:hAnsi="Verdana"/>
          <w:sz w:val="20"/>
          <w:szCs w:val="20"/>
        </w:rPr>
        <w:t>Os saldos contábeis de certos ativos e passivos financeiros representam uma aproximação razoável do valor justo. A Companhia usa a seguinte classificação para enquadrar os seus instrumentos financeiros e seus respectivos níveis</w:t>
      </w:r>
      <w:r w:rsidR="006044CC" w:rsidRPr="00A00264">
        <w:rPr>
          <w:rFonts w:ascii="Verdana" w:hAnsi="Verdana"/>
          <w:sz w:val="20"/>
          <w:szCs w:val="20"/>
        </w:rPr>
        <w:t>:</w:t>
      </w:r>
      <w:r w:rsidR="006044CC" w:rsidRPr="00CD6514">
        <w:rPr>
          <w:rFonts w:ascii="Verdana" w:hAnsi="Verdana"/>
          <w:sz w:val="20"/>
          <w:szCs w:val="20"/>
        </w:rPr>
        <w:t xml:space="preserve"> </w:t>
      </w:r>
    </w:p>
    <w:p w14:paraId="0CCAE297" w14:textId="77777777" w:rsidR="005A0F00" w:rsidRDefault="005A0F00" w:rsidP="006044CC">
      <w:pPr>
        <w:rPr>
          <w:rFonts w:ascii="Verdana" w:hAnsi="Verdana"/>
          <w:sz w:val="20"/>
          <w:szCs w:val="20"/>
        </w:rPr>
      </w:pPr>
    </w:p>
    <w:p w14:paraId="5E63821C" w14:textId="77777777" w:rsidR="006044CC" w:rsidRPr="00CD6514" w:rsidRDefault="006044CC" w:rsidP="006044CC">
      <w:pPr>
        <w:widowControl w:val="0"/>
        <w:autoSpaceDE w:val="0"/>
        <w:autoSpaceDN w:val="0"/>
        <w:rPr>
          <w:rFonts w:ascii="Verdana" w:hAnsi="Verdana"/>
          <w:sz w:val="20"/>
          <w:szCs w:val="20"/>
        </w:rPr>
      </w:pPr>
    </w:p>
    <w:p w14:paraId="2A836269" w14:textId="4FDB91C3" w:rsidR="006044CC" w:rsidRDefault="006751F9" w:rsidP="00610109">
      <w:pPr>
        <w:jc w:val="center"/>
        <w:rPr>
          <w:rFonts w:ascii="Verdana" w:hAnsi="Verdana"/>
          <w:sz w:val="20"/>
          <w:szCs w:val="20"/>
        </w:rPr>
      </w:pPr>
      <w:r w:rsidRPr="006751F9">
        <w:rPr>
          <w:noProof/>
        </w:rPr>
        <w:drawing>
          <wp:inline distT="0" distB="0" distL="0" distR="0" wp14:anchorId="215B61C4" wp14:editId="7619BE28">
            <wp:extent cx="5146962" cy="2080494"/>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156730" cy="2084442"/>
                    </a:xfrm>
                    <a:prstGeom prst="rect">
                      <a:avLst/>
                    </a:prstGeom>
                    <a:noFill/>
                    <a:ln>
                      <a:noFill/>
                    </a:ln>
                  </pic:spPr>
                </pic:pic>
              </a:graphicData>
            </a:graphic>
          </wp:inline>
        </w:drawing>
      </w:r>
    </w:p>
    <w:p w14:paraId="0D6321C0" w14:textId="77777777" w:rsidR="00610109" w:rsidRPr="00CD6514" w:rsidRDefault="00610109" w:rsidP="00610109">
      <w:pPr>
        <w:jc w:val="center"/>
        <w:rPr>
          <w:rFonts w:ascii="Verdana" w:hAnsi="Verdana"/>
          <w:sz w:val="20"/>
          <w:szCs w:val="20"/>
        </w:rPr>
      </w:pPr>
    </w:p>
    <w:p w14:paraId="2F1280CB" w14:textId="77777777" w:rsidR="006044CC" w:rsidRPr="00CD6514" w:rsidRDefault="006044CC" w:rsidP="006044CC">
      <w:pPr>
        <w:widowControl w:val="0"/>
        <w:autoSpaceDE w:val="0"/>
        <w:autoSpaceDN w:val="0"/>
        <w:rPr>
          <w:rFonts w:ascii="Verdana" w:hAnsi="Verdana"/>
          <w:sz w:val="20"/>
          <w:szCs w:val="20"/>
        </w:rPr>
      </w:pPr>
    </w:p>
    <w:p w14:paraId="31D96A8B" w14:textId="77777777" w:rsidR="00C2656E" w:rsidRPr="002F05A0" w:rsidRDefault="00C2656E" w:rsidP="00C2656E">
      <w:pPr>
        <w:widowControl w:val="0"/>
        <w:autoSpaceDE w:val="0"/>
        <w:autoSpaceDN w:val="0"/>
        <w:jc w:val="left"/>
        <w:rPr>
          <w:rFonts w:ascii="Verdana" w:hAnsi="Verdana"/>
          <w:sz w:val="20"/>
          <w:szCs w:val="20"/>
        </w:rPr>
      </w:pPr>
      <w:r w:rsidRPr="002F05A0">
        <w:rPr>
          <w:rFonts w:ascii="Verdana" w:hAnsi="Verdana"/>
          <w:sz w:val="20"/>
          <w:szCs w:val="20"/>
        </w:rPr>
        <w:t>Nível 1 – preços cotados (não ajustados) em mercados ativos, líquidos e visíveis para ativos e passivos idênticos que estão acessíveis na data de mensuração;</w:t>
      </w:r>
    </w:p>
    <w:p w14:paraId="7CD924DE" w14:textId="77777777" w:rsidR="00C2656E" w:rsidRPr="002F05A0" w:rsidRDefault="00C2656E" w:rsidP="00C2656E">
      <w:pPr>
        <w:adjustRightInd w:val="0"/>
        <w:rPr>
          <w:rFonts w:ascii="Verdana" w:hAnsi="Verdana"/>
          <w:sz w:val="20"/>
          <w:szCs w:val="20"/>
        </w:rPr>
      </w:pPr>
    </w:p>
    <w:p w14:paraId="316858B4" w14:textId="77777777" w:rsidR="00C2656E" w:rsidRPr="002F05A0" w:rsidRDefault="00C2656E" w:rsidP="00C2656E">
      <w:pPr>
        <w:adjustRightInd w:val="0"/>
        <w:rPr>
          <w:rFonts w:ascii="Verdana" w:hAnsi="Verdana"/>
          <w:sz w:val="20"/>
          <w:szCs w:val="20"/>
        </w:rPr>
      </w:pPr>
      <w:r w:rsidRPr="002F05A0">
        <w:rPr>
          <w:rFonts w:ascii="Verdana" w:hAnsi="Verdana"/>
          <w:sz w:val="20"/>
          <w:szCs w:val="20"/>
        </w:rPr>
        <w:t>Nível 2 – preços cotados (podendo ser ajustados ou não) para ativos ou passivos similares em mercados ativos, outras entradas não observáveis no nível 1, direta ou indiretamente, nos termos do ativo ou passivo; e</w:t>
      </w:r>
    </w:p>
    <w:p w14:paraId="0B1FB534" w14:textId="77777777" w:rsidR="00C2656E" w:rsidRPr="002F05A0" w:rsidRDefault="00C2656E" w:rsidP="00C2656E">
      <w:pPr>
        <w:adjustRightInd w:val="0"/>
        <w:rPr>
          <w:rFonts w:ascii="Verdana" w:hAnsi="Verdana"/>
          <w:sz w:val="20"/>
          <w:szCs w:val="20"/>
        </w:rPr>
      </w:pPr>
    </w:p>
    <w:p w14:paraId="5A774E20" w14:textId="77777777" w:rsidR="00C2656E" w:rsidRPr="00CD6514" w:rsidRDefault="00C2656E" w:rsidP="00C2656E">
      <w:pPr>
        <w:adjustRightInd w:val="0"/>
        <w:rPr>
          <w:rFonts w:ascii="Verdana" w:hAnsi="Verdana" w:cs="Arial"/>
          <w:sz w:val="20"/>
          <w:szCs w:val="20"/>
        </w:rPr>
      </w:pPr>
      <w:r w:rsidRPr="002F05A0">
        <w:rPr>
          <w:rFonts w:ascii="Verdana" w:hAnsi="Verdana"/>
          <w:sz w:val="20"/>
          <w:szCs w:val="20"/>
        </w:rPr>
        <w:t>Nível 3 – ativos e passivos cujos preços não existem ou que esses preços ou técnicas de avaliação são amparados por um mercado pequeno ou inexistente, não observável ou líquido. Nesse nível a estimativa do valor justo torna-se altamente subjetiva.</w:t>
      </w:r>
      <w:r w:rsidRPr="00CD6514">
        <w:rPr>
          <w:rFonts w:ascii="Verdana" w:hAnsi="Verdana" w:cs="Arial"/>
          <w:sz w:val="20"/>
          <w:szCs w:val="20"/>
        </w:rPr>
        <w:t xml:space="preserve"> </w:t>
      </w:r>
    </w:p>
    <w:p w14:paraId="2DFD1158" w14:textId="77777777" w:rsidR="00C2656E" w:rsidRPr="00CD6514" w:rsidRDefault="00C2656E" w:rsidP="00C2656E">
      <w:pPr>
        <w:adjustRightInd w:val="0"/>
        <w:rPr>
          <w:rFonts w:ascii="Verdana" w:hAnsi="Verdana" w:cs="Arial"/>
          <w:sz w:val="20"/>
          <w:szCs w:val="20"/>
        </w:rPr>
      </w:pPr>
    </w:p>
    <w:p w14:paraId="608F3023" w14:textId="77777777" w:rsidR="00C2656E" w:rsidRPr="00FD016C" w:rsidRDefault="00C2656E" w:rsidP="00C2656E">
      <w:pPr>
        <w:autoSpaceDE w:val="0"/>
        <w:autoSpaceDN w:val="0"/>
        <w:adjustRightInd w:val="0"/>
        <w:rPr>
          <w:rFonts w:ascii="Verdana" w:hAnsi="Verdana" w:cs="Arial"/>
          <w:sz w:val="20"/>
          <w:szCs w:val="20"/>
        </w:rPr>
      </w:pPr>
    </w:p>
    <w:p w14:paraId="7036A061" w14:textId="77777777" w:rsidR="00C2656E" w:rsidRPr="00522303" w:rsidRDefault="00C2656E" w:rsidP="00C2656E">
      <w:pPr>
        <w:pStyle w:val="Default"/>
        <w:jc w:val="both"/>
        <w:rPr>
          <w:color w:val="0D63B5"/>
          <w:sz w:val="20"/>
          <w:szCs w:val="20"/>
        </w:rPr>
      </w:pPr>
      <w:r>
        <w:rPr>
          <w:color w:val="0D63B5"/>
          <w:sz w:val="20"/>
          <w:szCs w:val="20"/>
        </w:rPr>
        <w:t>35</w:t>
      </w:r>
      <w:r w:rsidRPr="00522303">
        <w:rPr>
          <w:color w:val="0D63B5"/>
          <w:sz w:val="20"/>
          <w:szCs w:val="20"/>
        </w:rPr>
        <w:t>.3   - Gestão de Riscos Financeiros</w:t>
      </w:r>
    </w:p>
    <w:p w14:paraId="7AB39821" w14:textId="77777777" w:rsidR="00C2656E" w:rsidRPr="00522303" w:rsidRDefault="00C2656E" w:rsidP="00C2656E">
      <w:pPr>
        <w:rPr>
          <w:rFonts w:ascii="Verdana" w:hAnsi="Verdana"/>
          <w:sz w:val="20"/>
          <w:szCs w:val="20"/>
        </w:rPr>
      </w:pPr>
    </w:p>
    <w:p w14:paraId="56E02399" w14:textId="77777777" w:rsidR="00C2656E" w:rsidRPr="00522303" w:rsidRDefault="00C2656E" w:rsidP="00C2656E">
      <w:pPr>
        <w:rPr>
          <w:rFonts w:ascii="Verdana" w:hAnsi="Verdana"/>
          <w:sz w:val="20"/>
          <w:szCs w:val="20"/>
        </w:rPr>
      </w:pPr>
      <w:r w:rsidRPr="00522303">
        <w:rPr>
          <w:rFonts w:ascii="Verdana" w:hAnsi="Verdana"/>
          <w:sz w:val="20"/>
          <w:szCs w:val="20"/>
        </w:rPr>
        <w:t xml:space="preserve">No exercício de suas atividades a Companhia é impactada por eventos de riscos que podem comprometer os seus objetivos estratégicos. O gerenciamento de riscos tem como principal objetivo antecipar e minimizar os efeitos adversos de tais eventos nos negócios e resultados econômico-financeiros da Companhia. </w:t>
      </w:r>
    </w:p>
    <w:p w14:paraId="6FC276ED" w14:textId="77777777" w:rsidR="00C2656E" w:rsidRPr="00C74D87" w:rsidRDefault="00C2656E" w:rsidP="00C2656E">
      <w:pPr>
        <w:rPr>
          <w:rFonts w:ascii="Verdana" w:hAnsi="Verdana"/>
          <w:sz w:val="20"/>
          <w:szCs w:val="20"/>
          <w:highlight w:val="green"/>
        </w:rPr>
      </w:pPr>
    </w:p>
    <w:p w14:paraId="125953D8" w14:textId="77777777" w:rsidR="00C2656E" w:rsidRPr="00522303" w:rsidRDefault="00C2656E" w:rsidP="00C2656E">
      <w:pPr>
        <w:rPr>
          <w:rFonts w:ascii="Verdana" w:hAnsi="Verdana"/>
          <w:sz w:val="20"/>
          <w:szCs w:val="20"/>
        </w:rPr>
      </w:pPr>
      <w:r w:rsidRPr="00522303">
        <w:rPr>
          <w:rFonts w:ascii="Verdana" w:hAnsi="Verdana"/>
          <w:sz w:val="20"/>
          <w:szCs w:val="20"/>
        </w:rPr>
        <w:t xml:space="preserve">Para a gestão de riscos financeiros, a Companhia definiu políticas e estratégias operacionais e financeiras, aprovadas por comitês internos e pela administração, que visam conferir liquidez, segurança e rentabilidade a seus ativos e manter os níveis de endividamento e perfil da dívida definidos para os fluxos econômico-financeiros. </w:t>
      </w:r>
    </w:p>
    <w:p w14:paraId="07F22EC2" w14:textId="77777777" w:rsidR="00C2656E" w:rsidRPr="00A77804" w:rsidRDefault="00C2656E" w:rsidP="00C2656E">
      <w:pPr>
        <w:rPr>
          <w:rFonts w:ascii="Verdana" w:hAnsi="Verdana"/>
          <w:sz w:val="20"/>
          <w:szCs w:val="20"/>
        </w:rPr>
      </w:pPr>
    </w:p>
    <w:p w14:paraId="70F87F2C" w14:textId="4E4CF063" w:rsidR="00C2656E" w:rsidRPr="00A77804" w:rsidRDefault="00C2656E" w:rsidP="00C2656E">
      <w:pPr>
        <w:rPr>
          <w:rFonts w:ascii="Verdana" w:hAnsi="Verdana"/>
          <w:sz w:val="20"/>
          <w:szCs w:val="20"/>
        </w:rPr>
      </w:pPr>
      <w:r w:rsidRPr="00A77804">
        <w:rPr>
          <w:rFonts w:ascii="Verdana" w:hAnsi="Verdana"/>
          <w:sz w:val="20"/>
          <w:szCs w:val="20"/>
        </w:rPr>
        <w:t>As análises de sensibilidade abaixo foram elaboradas tendo como objetivo mensurar o impacto das mudanças nas variáveis de mercado sobre cada instrumento financeiro da Companhia. Tratam-se, portanto, de projeções baseadas em avaliações de cenários macroeconômicos, não significando que as transações terão os valores apresentados no prazo de análise considerado</w:t>
      </w:r>
      <w:r w:rsidR="002A5F4F">
        <w:rPr>
          <w:rFonts w:ascii="Verdana" w:hAnsi="Verdana"/>
          <w:sz w:val="20"/>
          <w:szCs w:val="20"/>
        </w:rPr>
        <w:t>.</w:t>
      </w:r>
    </w:p>
    <w:p w14:paraId="0833ABC1" w14:textId="77777777" w:rsidR="00C2656E" w:rsidRPr="00C74D87" w:rsidRDefault="00C2656E" w:rsidP="00C2656E">
      <w:pPr>
        <w:tabs>
          <w:tab w:val="left" w:pos="426"/>
          <w:tab w:val="left" w:pos="567"/>
          <w:tab w:val="left" w:pos="851"/>
          <w:tab w:val="left" w:pos="1134"/>
          <w:tab w:val="left" w:pos="1418"/>
          <w:tab w:val="left" w:pos="1702"/>
          <w:tab w:val="left" w:pos="1985"/>
          <w:tab w:val="left" w:pos="2269"/>
        </w:tabs>
        <w:rPr>
          <w:rFonts w:ascii="Verdana" w:hAnsi="Verdana" w:cs="Cambria Math"/>
          <w:sz w:val="20"/>
          <w:szCs w:val="20"/>
          <w:highlight w:val="green"/>
        </w:rPr>
      </w:pPr>
    </w:p>
    <w:p w14:paraId="4150CCD3" w14:textId="77777777" w:rsidR="00C2656E" w:rsidRDefault="00C2656E" w:rsidP="00C2656E">
      <w:pPr>
        <w:tabs>
          <w:tab w:val="left" w:pos="426"/>
          <w:tab w:val="left" w:pos="567"/>
          <w:tab w:val="left" w:pos="851"/>
          <w:tab w:val="left" w:pos="1134"/>
          <w:tab w:val="left" w:pos="1418"/>
          <w:tab w:val="left" w:pos="1702"/>
          <w:tab w:val="left" w:pos="1985"/>
          <w:tab w:val="left" w:pos="2269"/>
        </w:tabs>
        <w:rPr>
          <w:rFonts w:ascii="Verdana" w:hAnsi="Verdana" w:cs="Cambria Math"/>
          <w:sz w:val="20"/>
          <w:szCs w:val="20"/>
        </w:rPr>
      </w:pPr>
      <w:r w:rsidRPr="00A77804">
        <w:rPr>
          <w:rFonts w:ascii="Verdana" w:hAnsi="Verdana" w:cs="Cambria Math"/>
          <w:sz w:val="20"/>
          <w:szCs w:val="20"/>
        </w:rPr>
        <w:t>Os principais riscos financeiros identificados no processo de gerenciamento de riscos são:</w:t>
      </w:r>
    </w:p>
    <w:p w14:paraId="53CE9FF4" w14:textId="77777777" w:rsidR="00C2656E" w:rsidRDefault="00C2656E" w:rsidP="00C2656E">
      <w:pPr>
        <w:tabs>
          <w:tab w:val="left" w:pos="426"/>
          <w:tab w:val="left" w:pos="567"/>
          <w:tab w:val="left" w:pos="851"/>
          <w:tab w:val="left" w:pos="1134"/>
          <w:tab w:val="left" w:pos="1418"/>
          <w:tab w:val="left" w:pos="1702"/>
          <w:tab w:val="left" w:pos="1985"/>
          <w:tab w:val="left" w:pos="2269"/>
        </w:tabs>
        <w:rPr>
          <w:rFonts w:ascii="Verdana" w:hAnsi="Verdana" w:cs="Cambria Math"/>
          <w:sz w:val="20"/>
          <w:szCs w:val="20"/>
        </w:rPr>
      </w:pPr>
    </w:p>
    <w:p w14:paraId="38DB43A9" w14:textId="77777777" w:rsidR="00C2656E" w:rsidRPr="00CD6514" w:rsidRDefault="00C2656E" w:rsidP="00C2656E">
      <w:pPr>
        <w:tabs>
          <w:tab w:val="left" w:pos="426"/>
          <w:tab w:val="left" w:pos="567"/>
          <w:tab w:val="left" w:pos="851"/>
          <w:tab w:val="left" w:pos="1134"/>
          <w:tab w:val="left" w:pos="1418"/>
          <w:tab w:val="left" w:pos="1702"/>
          <w:tab w:val="left" w:pos="1985"/>
          <w:tab w:val="left" w:pos="2269"/>
        </w:tabs>
        <w:rPr>
          <w:rFonts w:ascii="Verdana" w:hAnsi="Verdana" w:cs="Cambria Math"/>
          <w:sz w:val="20"/>
          <w:szCs w:val="20"/>
        </w:rPr>
      </w:pPr>
    </w:p>
    <w:p w14:paraId="4EBF7313" w14:textId="77777777" w:rsidR="00C2656E" w:rsidRPr="002D2BF3" w:rsidRDefault="00C2656E" w:rsidP="00C2656E">
      <w:pPr>
        <w:pStyle w:val="Default"/>
        <w:jc w:val="both"/>
        <w:rPr>
          <w:color w:val="0D63B5"/>
          <w:sz w:val="20"/>
          <w:szCs w:val="20"/>
        </w:rPr>
      </w:pPr>
      <w:bookmarkStart w:id="24" w:name="_Hlk94194422"/>
      <w:r w:rsidRPr="002D2BF3">
        <w:rPr>
          <w:color w:val="0D63B5"/>
          <w:sz w:val="20"/>
          <w:szCs w:val="20"/>
        </w:rPr>
        <w:t>35.3.1 - Risco de taxa de câmbio</w:t>
      </w:r>
    </w:p>
    <w:p w14:paraId="21AE8116" w14:textId="77777777" w:rsidR="00C2656E" w:rsidRPr="002D2BF3" w:rsidRDefault="00C2656E" w:rsidP="00C2656E">
      <w:pPr>
        <w:tabs>
          <w:tab w:val="left" w:pos="426"/>
          <w:tab w:val="left" w:pos="567"/>
          <w:tab w:val="left" w:pos="851"/>
          <w:tab w:val="left" w:pos="1134"/>
          <w:tab w:val="left" w:pos="1418"/>
          <w:tab w:val="left" w:pos="1702"/>
          <w:tab w:val="left" w:pos="1985"/>
          <w:tab w:val="left" w:pos="2269"/>
        </w:tabs>
        <w:rPr>
          <w:rFonts w:ascii="Verdana" w:hAnsi="Verdana" w:cs="Verdana"/>
          <w:vanish/>
          <w:color w:val="0D63B5"/>
          <w:sz w:val="20"/>
          <w:szCs w:val="20"/>
        </w:rPr>
      </w:pPr>
    </w:p>
    <w:p w14:paraId="3E9AF306" w14:textId="77777777" w:rsidR="00C2656E" w:rsidRPr="002D2BF3" w:rsidRDefault="00C2656E" w:rsidP="00C2656E">
      <w:pPr>
        <w:pStyle w:val="PargrafodaLista"/>
        <w:numPr>
          <w:ilvl w:val="1"/>
          <w:numId w:val="7"/>
        </w:numPr>
        <w:autoSpaceDE w:val="0"/>
        <w:autoSpaceDN w:val="0"/>
        <w:adjustRightInd w:val="0"/>
        <w:rPr>
          <w:rFonts w:ascii="Verdana" w:hAnsi="Verdana" w:cs="Verdana"/>
          <w:vanish/>
          <w:color w:val="0D63B5"/>
          <w:sz w:val="20"/>
          <w:szCs w:val="20"/>
        </w:rPr>
      </w:pPr>
    </w:p>
    <w:p w14:paraId="5969F256" w14:textId="77777777" w:rsidR="00C2656E" w:rsidRPr="002D2BF3" w:rsidRDefault="00C2656E" w:rsidP="00C2656E">
      <w:pPr>
        <w:rPr>
          <w:rFonts w:ascii="Verdana" w:hAnsi="Verdana"/>
          <w:sz w:val="20"/>
          <w:szCs w:val="20"/>
        </w:rPr>
      </w:pPr>
    </w:p>
    <w:bookmarkEnd w:id="24"/>
    <w:p w14:paraId="5082C02E" w14:textId="77777777" w:rsidR="00C2656E" w:rsidRPr="002D2BF3" w:rsidRDefault="00C2656E" w:rsidP="00C2656E">
      <w:pPr>
        <w:rPr>
          <w:rFonts w:ascii="Verdana" w:hAnsi="Verdana"/>
          <w:sz w:val="20"/>
          <w:szCs w:val="20"/>
        </w:rPr>
      </w:pPr>
      <w:r w:rsidRPr="002D2BF3">
        <w:rPr>
          <w:rFonts w:ascii="Verdana" w:hAnsi="Verdana"/>
          <w:sz w:val="20"/>
          <w:szCs w:val="20"/>
        </w:rPr>
        <w:t xml:space="preserve">Esse risco decorre da possibilidade de a Companhia ter seus demonstrativos econômico-financeiros impactados por flutuações nas taxas de câmbio. A Companhia apresenta exposição a riscos financeiros que causam volatilidade nos seus resultados bem como em seu fluxo de caixa. A Companhia apresenta exposição entre ativos e passivos indexados à moeda estrangeira, em especial ao dólar norte americano e euro. </w:t>
      </w:r>
    </w:p>
    <w:p w14:paraId="431396FA" w14:textId="77777777" w:rsidR="00C2656E" w:rsidRPr="002D2BF3" w:rsidRDefault="00C2656E" w:rsidP="00C2656E">
      <w:pPr>
        <w:rPr>
          <w:rFonts w:ascii="Verdana" w:hAnsi="Verdana"/>
          <w:sz w:val="20"/>
          <w:szCs w:val="20"/>
        </w:rPr>
      </w:pPr>
    </w:p>
    <w:p w14:paraId="6193CEBC" w14:textId="77777777" w:rsidR="00C2656E" w:rsidRPr="002D2BF3" w:rsidRDefault="00C2656E" w:rsidP="00C2656E">
      <w:pPr>
        <w:rPr>
          <w:rFonts w:ascii="Verdana" w:hAnsi="Verdana"/>
          <w:sz w:val="20"/>
          <w:szCs w:val="20"/>
        </w:rPr>
      </w:pPr>
      <w:r w:rsidRPr="002D2BF3">
        <w:rPr>
          <w:rFonts w:ascii="Verdana" w:hAnsi="Verdana"/>
          <w:sz w:val="20"/>
          <w:szCs w:val="20"/>
        </w:rPr>
        <w:t>A Companhia possui uma Política de</w:t>
      </w:r>
      <w:r w:rsidRPr="002D2BF3">
        <w:rPr>
          <w:rFonts w:ascii="Verdana" w:hAnsi="Verdana"/>
          <w:i/>
          <w:iCs/>
          <w:sz w:val="20"/>
          <w:szCs w:val="20"/>
        </w:rPr>
        <w:t xml:space="preserve"> Hedge</w:t>
      </w:r>
      <w:r w:rsidRPr="002D2BF3">
        <w:rPr>
          <w:rFonts w:ascii="Verdana" w:hAnsi="Verdana"/>
          <w:sz w:val="20"/>
          <w:szCs w:val="20"/>
        </w:rPr>
        <w:t xml:space="preserve"> Financeiro cujo objetivo é monitorar e mitigar a exposição às variáveis de mercado que impactem ativos e passivos da Companhia, reduzindo assim os efeitos de flutuações indesejáveis destas variáveis em suas demonstrações financeiras.</w:t>
      </w:r>
    </w:p>
    <w:p w14:paraId="7E6EDAEF" w14:textId="77777777" w:rsidR="00C2656E" w:rsidRPr="002D2BF3" w:rsidRDefault="00C2656E" w:rsidP="00C2656E">
      <w:pPr>
        <w:autoSpaceDE w:val="0"/>
        <w:autoSpaceDN w:val="0"/>
        <w:rPr>
          <w:rFonts w:ascii="Verdana" w:hAnsi="Verdana"/>
          <w:sz w:val="20"/>
          <w:szCs w:val="20"/>
        </w:rPr>
      </w:pPr>
    </w:p>
    <w:p w14:paraId="7DD1FE74" w14:textId="77777777" w:rsidR="00C2656E" w:rsidRPr="002D2BF3" w:rsidRDefault="00C2656E" w:rsidP="00C2656E">
      <w:pPr>
        <w:autoSpaceDE w:val="0"/>
        <w:autoSpaceDN w:val="0"/>
        <w:rPr>
          <w:rFonts w:ascii="Verdana" w:hAnsi="Verdana"/>
          <w:sz w:val="20"/>
          <w:szCs w:val="20"/>
        </w:rPr>
      </w:pPr>
      <w:r w:rsidRPr="002D2BF3">
        <w:rPr>
          <w:rFonts w:ascii="Verdana" w:hAnsi="Verdana"/>
          <w:sz w:val="20"/>
          <w:szCs w:val="20"/>
        </w:rPr>
        <w:t>A referida política, portanto, visa que os resultados da Companhia reflitam fielmente o seu real desempenho operacional e que o seu fluxo de caixa projetado apresente menor volatilidade.</w:t>
      </w:r>
    </w:p>
    <w:p w14:paraId="7C1B9D40" w14:textId="77777777" w:rsidR="00C2656E" w:rsidRPr="002D2BF3" w:rsidRDefault="00C2656E" w:rsidP="00C2656E">
      <w:pPr>
        <w:rPr>
          <w:rFonts w:ascii="Verdana" w:hAnsi="Verdana"/>
          <w:sz w:val="20"/>
          <w:szCs w:val="20"/>
        </w:rPr>
      </w:pPr>
    </w:p>
    <w:p w14:paraId="4A6C9CDB" w14:textId="77777777" w:rsidR="00C2656E" w:rsidRDefault="00C2656E" w:rsidP="00C2656E">
      <w:pPr>
        <w:rPr>
          <w:rFonts w:ascii="Verdana" w:hAnsi="Verdana"/>
          <w:sz w:val="20"/>
          <w:szCs w:val="20"/>
        </w:rPr>
      </w:pPr>
      <w:r w:rsidRPr="002D2BF3">
        <w:rPr>
          <w:rFonts w:ascii="Verdana" w:hAnsi="Verdana"/>
          <w:sz w:val="20"/>
          <w:szCs w:val="20"/>
        </w:rPr>
        <w:t>Considerando as diferentes formas de se realizar o</w:t>
      </w:r>
      <w:r w:rsidRPr="002D2BF3">
        <w:rPr>
          <w:rFonts w:ascii="Verdana" w:hAnsi="Verdana"/>
          <w:i/>
          <w:iCs/>
          <w:sz w:val="20"/>
          <w:szCs w:val="20"/>
        </w:rPr>
        <w:t xml:space="preserve"> hedge</w:t>
      </w:r>
      <w:r w:rsidRPr="002D2BF3">
        <w:rPr>
          <w:rFonts w:ascii="Verdana" w:hAnsi="Verdana"/>
          <w:sz w:val="20"/>
          <w:szCs w:val="20"/>
        </w:rPr>
        <w:t xml:space="preserve"> dos descasamentos apresentados pela Companhia, a Política elenca uma escala de prioridades, priorizando a solução estrutural, e, apenas para os casos residuais, adoção de operações com instrumentos financeiros derivativos.</w:t>
      </w:r>
    </w:p>
    <w:p w14:paraId="43CA5A18" w14:textId="77777777" w:rsidR="00C2656E" w:rsidRDefault="00C2656E" w:rsidP="00C2656E">
      <w:pPr>
        <w:rPr>
          <w:rFonts w:ascii="Verdana" w:hAnsi="Verdana"/>
          <w:sz w:val="20"/>
          <w:szCs w:val="20"/>
        </w:rPr>
      </w:pPr>
    </w:p>
    <w:p w14:paraId="44EF3112" w14:textId="77777777" w:rsidR="00C2656E" w:rsidRDefault="00C2656E" w:rsidP="00C2656E">
      <w:pPr>
        <w:rPr>
          <w:rFonts w:ascii="Verdana" w:hAnsi="Verdana"/>
          <w:sz w:val="20"/>
          <w:szCs w:val="20"/>
        </w:rPr>
      </w:pPr>
    </w:p>
    <w:p w14:paraId="273A5E07" w14:textId="77777777" w:rsidR="00C2656E" w:rsidRDefault="00C2656E" w:rsidP="00C2656E">
      <w:pPr>
        <w:rPr>
          <w:rFonts w:ascii="Verdana" w:hAnsi="Verdana"/>
          <w:sz w:val="20"/>
          <w:szCs w:val="20"/>
        </w:rPr>
      </w:pPr>
    </w:p>
    <w:p w14:paraId="0535E7E5" w14:textId="77777777" w:rsidR="00C2656E" w:rsidRDefault="00C2656E" w:rsidP="00C2656E">
      <w:pPr>
        <w:rPr>
          <w:rFonts w:ascii="Verdana" w:hAnsi="Verdana"/>
          <w:sz w:val="20"/>
          <w:szCs w:val="20"/>
        </w:rPr>
      </w:pPr>
    </w:p>
    <w:p w14:paraId="000DFC42" w14:textId="77777777" w:rsidR="00C2656E" w:rsidRPr="002D2BF3" w:rsidRDefault="00C2656E" w:rsidP="00C2656E">
      <w:pPr>
        <w:rPr>
          <w:rFonts w:ascii="Verdana" w:hAnsi="Verdana"/>
          <w:sz w:val="20"/>
          <w:szCs w:val="20"/>
        </w:rPr>
      </w:pPr>
    </w:p>
    <w:p w14:paraId="33932F11" w14:textId="77777777" w:rsidR="00C2656E" w:rsidRPr="002D2BF3" w:rsidRDefault="00C2656E" w:rsidP="00C2656E">
      <w:pPr>
        <w:pStyle w:val="Default"/>
        <w:jc w:val="both"/>
        <w:rPr>
          <w:color w:val="0D63B5"/>
          <w:sz w:val="20"/>
          <w:szCs w:val="20"/>
        </w:rPr>
      </w:pPr>
    </w:p>
    <w:p w14:paraId="5691156C" w14:textId="308176C5" w:rsidR="0004014D" w:rsidRPr="00FD016C" w:rsidRDefault="00C2656E" w:rsidP="00C2656E">
      <w:pPr>
        <w:rPr>
          <w:rFonts w:ascii="Verdana" w:hAnsi="Verdana" w:cs="Arial"/>
          <w:sz w:val="20"/>
          <w:szCs w:val="20"/>
        </w:rPr>
      </w:pPr>
      <w:r w:rsidRPr="002D2BF3">
        <w:rPr>
          <w:rFonts w:ascii="Verdana" w:hAnsi="Verdana" w:cs="Arial"/>
          <w:sz w:val="20"/>
          <w:szCs w:val="20"/>
        </w:rPr>
        <w:t>A exposição total do risco de câmbio pode ser resumida na análise de sensibilidade abaixo</w:t>
      </w:r>
      <w:r w:rsidR="0004014D" w:rsidRPr="00FD016C">
        <w:rPr>
          <w:rFonts w:ascii="Verdana" w:hAnsi="Verdana" w:cs="Arial"/>
          <w:sz w:val="20"/>
          <w:szCs w:val="20"/>
        </w:rPr>
        <w:t>:</w:t>
      </w:r>
    </w:p>
    <w:p w14:paraId="16EFA7E7" w14:textId="77777777" w:rsidR="0004014D" w:rsidRDefault="0004014D" w:rsidP="006044CC">
      <w:pPr>
        <w:pStyle w:val="Default"/>
        <w:jc w:val="both"/>
        <w:rPr>
          <w:color w:val="0D63B5"/>
          <w:sz w:val="20"/>
          <w:szCs w:val="20"/>
        </w:rPr>
      </w:pPr>
    </w:p>
    <w:p w14:paraId="03091054" w14:textId="77777777" w:rsidR="0004014D" w:rsidRDefault="0004014D" w:rsidP="006044CC">
      <w:pPr>
        <w:pStyle w:val="Default"/>
        <w:jc w:val="both"/>
        <w:rPr>
          <w:color w:val="0D63B5"/>
          <w:sz w:val="20"/>
          <w:szCs w:val="20"/>
        </w:rPr>
      </w:pPr>
      <w:r w:rsidRPr="0004014D">
        <w:rPr>
          <w:noProof/>
        </w:rPr>
        <w:drawing>
          <wp:inline distT="0" distB="0" distL="0" distR="0" wp14:anchorId="72B17767" wp14:editId="2FF62334">
            <wp:extent cx="3442200" cy="1031770"/>
            <wp:effectExtent l="0" t="0" r="635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457998" cy="1036505"/>
                    </a:xfrm>
                    <a:prstGeom prst="rect">
                      <a:avLst/>
                    </a:prstGeom>
                    <a:noFill/>
                    <a:ln>
                      <a:noFill/>
                    </a:ln>
                  </pic:spPr>
                </pic:pic>
              </a:graphicData>
            </a:graphic>
          </wp:inline>
        </w:drawing>
      </w:r>
    </w:p>
    <w:p w14:paraId="0DC41DF7" w14:textId="77777777" w:rsidR="0004014D" w:rsidRDefault="0004014D" w:rsidP="006044CC">
      <w:pPr>
        <w:pStyle w:val="Default"/>
        <w:jc w:val="both"/>
        <w:rPr>
          <w:color w:val="0D63B5"/>
          <w:sz w:val="20"/>
          <w:szCs w:val="20"/>
        </w:rPr>
      </w:pPr>
    </w:p>
    <w:p w14:paraId="37BE5018" w14:textId="77777777" w:rsidR="0004014D" w:rsidRDefault="0004014D" w:rsidP="006044CC">
      <w:pPr>
        <w:pStyle w:val="Default"/>
        <w:jc w:val="both"/>
        <w:rPr>
          <w:color w:val="0D63B5"/>
          <w:sz w:val="20"/>
          <w:szCs w:val="20"/>
        </w:rPr>
      </w:pPr>
    </w:p>
    <w:p w14:paraId="1B137E84" w14:textId="77777777" w:rsidR="0004014D" w:rsidRDefault="0004014D" w:rsidP="006044CC">
      <w:pPr>
        <w:pStyle w:val="Default"/>
        <w:jc w:val="both"/>
        <w:rPr>
          <w:color w:val="0D63B5"/>
          <w:sz w:val="20"/>
          <w:szCs w:val="20"/>
        </w:rPr>
      </w:pPr>
      <w:r w:rsidRPr="0004014D">
        <w:rPr>
          <w:noProof/>
        </w:rPr>
        <w:drawing>
          <wp:inline distT="0" distB="0" distL="0" distR="0" wp14:anchorId="1E597D77" wp14:editId="3B1DAD71">
            <wp:extent cx="2330450" cy="858587"/>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340157" cy="862163"/>
                    </a:xfrm>
                    <a:prstGeom prst="rect">
                      <a:avLst/>
                    </a:prstGeom>
                    <a:noFill/>
                    <a:ln>
                      <a:noFill/>
                    </a:ln>
                  </pic:spPr>
                </pic:pic>
              </a:graphicData>
            </a:graphic>
          </wp:inline>
        </w:drawing>
      </w:r>
    </w:p>
    <w:p w14:paraId="55E9409B" w14:textId="77777777" w:rsidR="0004014D" w:rsidRDefault="0004014D" w:rsidP="006044CC">
      <w:pPr>
        <w:pStyle w:val="Default"/>
        <w:jc w:val="both"/>
        <w:rPr>
          <w:color w:val="0D63B5"/>
          <w:sz w:val="20"/>
          <w:szCs w:val="20"/>
        </w:rPr>
      </w:pPr>
    </w:p>
    <w:p w14:paraId="70604C0D" w14:textId="5641153E" w:rsidR="0004014D" w:rsidRDefault="00CA3B64" w:rsidP="006044CC">
      <w:pPr>
        <w:pStyle w:val="Default"/>
        <w:jc w:val="both"/>
        <w:rPr>
          <w:color w:val="0D63B5"/>
          <w:sz w:val="20"/>
          <w:szCs w:val="20"/>
        </w:rPr>
      </w:pPr>
      <w:r>
        <w:rPr>
          <w:rFonts w:cs="Arial"/>
          <w:sz w:val="16"/>
          <w:szCs w:val="16"/>
        </w:rPr>
        <w:t>*</w:t>
      </w:r>
      <w:r w:rsidR="0004014D" w:rsidRPr="00FD016C">
        <w:rPr>
          <w:rFonts w:cs="Arial"/>
          <w:sz w:val="16"/>
          <w:szCs w:val="16"/>
        </w:rPr>
        <w:t>Projeções taxa de câmbio em 1</w:t>
      </w:r>
      <w:r w:rsidR="0004014D">
        <w:rPr>
          <w:rFonts w:cs="Arial"/>
          <w:sz w:val="16"/>
          <w:szCs w:val="16"/>
        </w:rPr>
        <w:t>1</w:t>
      </w:r>
      <w:r w:rsidR="0004014D" w:rsidRPr="00FD016C">
        <w:rPr>
          <w:rFonts w:cs="Arial"/>
          <w:sz w:val="16"/>
          <w:szCs w:val="16"/>
        </w:rPr>
        <w:t>/</w:t>
      </w:r>
      <w:r w:rsidR="0004014D">
        <w:rPr>
          <w:rFonts w:cs="Arial"/>
          <w:sz w:val="16"/>
          <w:szCs w:val="16"/>
        </w:rPr>
        <w:t>01</w:t>
      </w:r>
      <w:r w:rsidR="0004014D" w:rsidRPr="00FD016C">
        <w:rPr>
          <w:rFonts w:cs="Arial"/>
          <w:sz w:val="16"/>
          <w:szCs w:val="16"/>
        </w:rPr>
        <w:t>/202</w:t>
      </w:r>
      <w:r w:rsidR="0004014D">
        <w:rPr>
          <w:rFonts w:cs="Arial"/>
          <w:sz w:val="16"/>
          <w:szCs w:val="16"/>
        </w:rPr>
        <w:t>2</w:t>
      </w:r>
      <w:r w:rsidR="0004014D" w:rsidRPr="00FD016C">
        <w:rPr>
          <w:rFonts w:cs="Arial"/>
          <w:sz w:val="16"/>
          <w:szCs w:val="16"/>
        </w:rPr>
        <w:t xml:space="preserve"> para data-base 31/12/202</w:t>
      </w:r>
      <w:r w:rsidR="0004014D">
        <w:rPr>
          <w:rFonts w:cs="Arial"/>
          <w:sz w:val="16"/>
          <w:szCs w:val="16"/>
        </w:rPr>
        <w:t>2</w:t>
      </w:r>
      <w:r w:rsidR="0004014D" w:rsidRPr="00FD016C">
        <w:rPr>
          <w:rFonts w:cs="Arial"/>
          <w:sz w:val="16"/>
          <w:szCs w:val="16"/>
        </w:rPr>
        <w:t>.</w:t>
      </w:r>
    </w:p>
    <w:p w14:paraId="39529572" w14:textId="77777777" w:rsidR="0004014D" w:rsidRDefault="0004014D" w:rsidP="006044CC">
      <w:pPr>
        <w:pStyle w:val="Default"/>
        <w:jc w:val="both"/>
        <w:rPr>
          <w:color w:val="0D63B5"/>
          <w:sz w:val="20"/>
          <w:szCs w:val="20"/>
        </w:rPr>
      </w:pPr>
    </w:p>
    <w:p w14:paraId="08F27A30" w14:textId="77777777" w:rsidR="006A7F3D" w:rsidRDefault="006A7F3D" w:rsidP="006044CC">
      <w:pPr>
        <w:pStyle w:val="Default"/>
        <w:jc w:val="both"/>
        <w:rPr>
          <w:color w:val="0D63B5"/>
          <w:sz w:val="20"/>
          <w:szCs w:val="20"/>
        </w:rPr>
      </w:pPr>
      <w:bookmarkStart w:id="25" w:name="_Hlk94196338"/>
      <w:bookmarkStart w:id="26" w:name="_Hlk94194013"/>
    </w:p>
    <w:p w14:paraId="00087485" w14:textId="77777777" w:rsidR="00C2656E" w:rsidRDefault="00C2656E" w:rsidP="00C2656E">
      <w:pPr>
        <w:pStyle w:val="Default"/>
        <w:jc w:val="both"/>
        <w:rPr>
          <w:color w:val="0D63B5"/>
          <w:sz w:val="20"/>
          <w:szCs w:val="20"/>
        </w:rPr>
      </w:pPr>
      <w:r>
        <w:rPr>
          <w:color w:val="0D63B5"/>
          <w:sz w:val="20"/>
          <w:szCs w:val="20"/>
        </w:rPr>
        <w:t>35</w:t>
      </w:r>
      <w:r w:rsidRPr="00CD6514">
        <w:rPr>
          <w:color w:val="0D63B5"/>
          <w:sz w:val="20"/>
          <w:szCs w:val="20"/>
        </w:rPr>
        <w:t>.3.2 - Risco de taxa de juros</w:t>
      </w:r>
    </w:p>
    <w:p w14:paraId="5F6AB3CF" w14:textId="77777777" w:rsidR="00C2656E" w:rsidRPr="00CD6514" w:rsidRDefault="00C2656E" w:rsidP="00C2656E">
      <w:pPr>
        <w:pStyle w:val="Default"/>
        <w:jc w:val="both"/>
        <w:rPr>
          <w:color w:val="0D63B5"/>
          <w:sz w:val="20"/>
          <w:szCs w:val="20"/>
        </w:rPr>
      </w:pPr>
    </w:p>
    <w:p w14:paraId="1B80ED76" w14:textId="77777777" w:rsidR="00C2656E" w:rsidRPr="00130B1A" w:rsidRDefault="00C2656E" w:rsidP="00C2656E">
      <w:pPr>
        <w:rPr>
          <w:rFonts w:ascii="Verdana" w:hAnsi="Verdana" w:cs="Arial"/>
          <w:sz w:val="20"/>
          <w:szCs w:val="20"/>
        </w:rPr>
      </w:pPr>
      <w:r w:rsidRPr="00130B1A">
        <w:rPr>
          <w:rFonts w:ascii="Verdana" w:hAnsi="Verdana" w:cs="Arial"/>
          <w:sz w:val="20"/>
          <w:szCs w:val="20"/>
        </w:rPr>
        <w:t xml:space="preserve">A Administração da </w:t>
      </w:r>
      <w:r>
        <w:rPr>
          <w:rFonts w:ascii="Verdana" w:hAnsi="Verdana" w:cs="Arial"/>
          <w:sz w:val="20"/>
          <w:szCs w:val="20"/>
        </w:rPr>
        <w:t>ELETRONUCLEAR</w:t>
      </w:r>
      <w:r w:rsidRPr="00130B1A">
        <w:rPr>
          <w:rFonts w:ascii="Verdana" w:hAnsi="Verdana" w:cs="Arial"/>
          <w:sz w:val="20"/>
          <w:szCs w:val="20"/>
        </w:rPr>
        <w:t xml:space="preserve"> entende que a exposição a risco de juros não é significativa, visto que os empréstimos e financiamentos contratados estão indexados, principalmente, à Unidade de Referência Fiscal - UFIR e à Taxa de Juros de Longo Prazo - TJLP ou não possuem qualquer indexador, como é o caso do contrato de financiamento com a Caixa Econômica Federal - CEF, que possui taxa de juros fixa ao longo do contrato.  Além disso, todos os recursos são captados em moeda nacional, o que reduz a exposição cambial. </w:t>
      </w:r>
    </w:p>
    <w:p w14:paraId="3C228024" w14:textId="77777777" w:rsidR="00C2656E" w:rsidRPr="00130B1A" w:rsidRDefault="00C2656E" w:rsidP="00C2656E">
      <w:pPr>
        <w:rPr>
          <w:rFonts w:ascii="Verdana" w:hAnsi="Verdana" w:cs="Arial"/>
          <w:sz w:val="20"/>
          <w:szCs w:val="20"/>
          <w:highlight w:val="yellow"/>
        </w:rPr>
      </w:pPr>
    </w:p>
    <w:p w14:paraId="129AA85E" w14:textId="77777777" w:rsidR="00C2656E" w:rsidRPr="00130B1A" w:rsidRDefault="00C2656E" w:rsidP="00C2656E">
      <w:pPr>
        <w:rPr>
          <w:rFonts w:ascii="Verdana" w:hAnsi="Verdana" w:cs="Arial"/>
          <w:sz w:val="20"/>
          <w:szCs w:val="20"/>
        </w:rPr>
      </w:pPr>
      <w:r w:rsidRPr="00130B1A">
        <w:rPr>
          <w:rFonts w:ascii="Verdana" w:hAnsi="Verdana" w:cs="Arial"/>
          <w:sz w:val="20"/>
          <w:szCs w:val="20"/>
        </w:rPr>
        <w:t>A UFIR não sofreu qualquer variação no período, visto que foi extinta em 2000 e está congelada desde então. A TJLP, que é divulgada, trimestralmente, pelo Conselho Monetário Nacional - CMN,</w:t>
      </w:r>
      <w:r w:rsidRPr="00130B1A">
        <w:rPr>
          <w:rFonts w:ascii="Verdana" w:hAnsi="Verdana"/>
          <w:sz w:val="20"/>
          <w:szCs w:val="20"/>
        </w:rPr>
        <w:t xml:space="preserve"> </w:t>
      </w:r>
      <w:r w:rsidRPr="00130B1A">
        <w:rPr>
          <w:rFonts w:ascii="Verdana" w:hAnsi="Verdana" w:cs="Arial"/>
          <w:sz w:val="20"/>
          <w:szCs w:val="20"/>
        </w:rPr>
        <w:t xml:space="preserve">foi elevada para 5,32% a.a. para o quarto trimestre de 2021. O impacto para a </w:t>
      </w:r>
      <w:r>
        <w:rPr>
          <w:rFonts w:ascii="Verdana" w:hAnsi="Verdana" w:cs="Arial"/>
          <w:sz w:val="20"/>
          <w:szCs w:val="20"/>
        </w:rPr>
        <w:t>ELETRONUCLEAR</w:t>
      </w:r>
      <w:r w:rsidRPr="00130B1A">
        <w:rPr>
          <w:rFonts w:ascii="Verdana" w:hAnsi="Verdana" w:cs="Arial"/>
          <w:sz w:val="20"/>
          <w:szCs w:val="20"/>
        </w:rPr>
        <w:t xml:space="preserve"> proveniente de mudanças da TJLP é suavizado pelo fato do contrato de financiamento com o Banco Nacional do Desenvolvimento Econômico e Social - BNDES prever que qualquer valor da TJLP que exceda o patamar de 6,00% a.a. </w:t>
      </w:r>
      <w:proofErr w:type="spellStart"/>
      <w:r w:rsidRPr="00130B1A">
        <w:rPr>
          <w:rFonts w:ascii="Verdana" w:hAnsi="Verdana" w:cs="Arial"/>
          <w:sz w:val="20"/>
          <w:szCs w:val="20"/>
        </w:rPr>
        <w:t>é</w:t>
      </w:r>
      <w:proofErr w:type="spellEnd"/>
      <w:r w:rsidRPr="00130B1A">
        <w:rPr>
          <w:rFonts w:ascii="Verdana" w:hAnsi="Verdana" w:cs="Arial"/>
          <w:sz w:val="20"/>
          <w:szCs w:val="20"/>
        </w:rPr>
        <w:t xml:space="preserve"> capitalizado ao saldo devedor. Além da taxa referente à TJLP, o contrato com o BNDES prevê o pagamento de um spread fixo de 1,72% a.a.</w:t>
      </w:r>
    </w:p>
    <w:p w14:paraId="5239D5F8" w14:textId="77777777" w:rsidR="00C2656E" w:rsidRPr="00130B1A" w:rsidRDefault="00C2656E" w:rsidP="00C2656E">
      <w:pPr>
        <w:rPr>
          <w:rFonts w:ascii="Verdana" w:hAnsi="Verdana" w:cs="Arial"/>
          <w:sz w:val="20"/>
          <w:szCs w:val="20"/>
          <w:highlight w:val="yellow"/>
        </w:rPr>
      </w:pPr>
    </w:p>
    <w:p w14:paraId="0FD2714D" w14:textId="77777777" w:rsidR="00C2656E" w:rsidRPr="00130B1A" w:rsidRDefault="00C2656E" w:rsidP="00C2656E">
      <w:pPr>
        <w:rPr>
          <w:rFonts w:ascii="Verdana" w:hAnsi="Verdana" w:cs="Arial"/>
          <w:sz w:val="20"/>
          <w:szCs w:val="20"/>
        </w:rPr>
      </w:pPr>
      <w:r w:rsidRPr="00130B1A">
        <w:rPr>
          <w:rFonts w:ascii="Verdana" w:hAnsi="Verdana" w:cs="Arial"/>
          <w:sz w:val="20"/>
          <w:szCs w:val="20"/>
        </w:rPr>
        <w:t xml:space="preserve">Aproximadamente 46% da dívida total da </w:t>
      </w:r>
      <w:r>
        <w:rPr>
          <w:rFonts w:ascii="Verdana" w:hAnsi="Verdana" w:cs="Arial"/>
          <w:sz w:val="20"/>
          <w:szCs w:val="20"/>
        </w:rPr>
        <w:t>ELETRONUCLEAR</w:t>
      </w:r>
      <w:r w:rsidRPr="00130B1A">
        <w:rPr>
          <w:rFonts w:ascii="Verdana" w:hAnsi="Verdana" w:cs="Arial"/>
          <w:sz w:val="20"/>
          <w:szCs w:val="20"/>
        </w:rPr>
        <w:t xml:space="preserve"> está indexada à TJLP. No caso da dívida com taxas pré-fixadas, esse montante representa cerca de 41% do total. A dívida que está indexada à UFIR, que está congelada, representa cerca de 8,8% do total.</w:t>
      </w:r>
    </w:p>
    <w:p w14:paraId="17514129" w14:textId="77777777" w:rsidR="00C2656E" w:rsidRPr="00130B1A" w:rsidRDefault="00C2656E" w:rsidP="00C2656E">
      <w:pPr>
        <w:rPr>
          <w:rFonts w:ascii="Verdana" w:hAnsi="Verdana" w:cs="Arial"/>
          <w:sz w:val="20"/>
          <w:szCs w:val="20"/>
        </w:rPr>
      </w:pPr>
    </w:p>
    <w:p w14:paraId="233D7F7D" w14:textId="77777777" w:rsidR="00C2656E" w:rsidRPr="00130B1A" w:rsidRDefault="00C2656E" w:rsidP="00C2656E">
      <w:pPr>
        <w:rPr>
          <w:rFonts w:ascii="Verdana" w:hAnsi="Verdana" w:cs="Arial"/>
          <w:sz w:val="20"/>
          <w:szCs w:val="20"/>
        </w:rPr>
      </w:pPr>
      <w:r w:rsidRPr="00130B1A">
        <w:rPr>
          <w:rFonts w:ascii="Verdana" w:hAnsi="Verdana" w:cs="Arial"/>
          <w:sz w:val="20"/>
          <w:szCs w:val="20"/>
        </w:rPr>
        <w:t xml:space="preserve">Além disso, menos 0,1% da dívida total contratada está indexada à taxa SELIC. Outra fração de aproximadamente 4,1% do total da dívida da </w:t>
      </w:r>
      <w:r>
        <w:rPr>
          <w:rFonts w:ascii="Verdana" w:hAnsi="Verdana" w:cs="Arial"/>
          <w:sz w:val="20"/>
          <w:szCs w:val="20"/>
        </w:rPr>
        <w:t>ELETRONUCLEAR</w:t>
      </w:r>
      <w:r w:rsidRPr="00130B1A">
        <w:rPr>
          <w:rFonts w:ascii="Verdana" w:hAnsi="Verdana" w:cs="Arial"/>
          <w:sz w:val="20"/>
          <w:szCs w:val="20"/>
        </w:rPr>
        <w:t xml:space="preserve"> está indexada ao Índice de Preços ao Consumidor Amplo - IPCA.</w:t>
      </w:r>
    </w:p>
    <w:p w14:paraId="09509DBA" w14:textId="65FD6F3B" w:rsidR="00C2656E" w:rsidRDefault="00C2656E" w:rsidP="00C2656E">
      <w:pPr>
        <w:rPr>
          <w:rFonts w:ascii="Verdana" w:hAnsi="Verdana" w:cs="Arial"/>
          <w:sz w:val="20"/>
          <w:szCs w:val="20"/>
        </w:rPr>
      </w:pPr>
    </w:p>
    <w:p w14:paraId="46A11B47" w14:textId="358FD0D2" w:rsidR="001D0CBB" w:rsidRDefault="001D0CBB" w:rsidP="00C2656E">
      <w:pPr>
        <w:rPr>
          <w:rFonts w:ascii="Verdana" w:hAnsi="Verdana" w:cs="Arial"/>
          <w:sz w:val="20"/>
          <w:szCs w:val="20"/>
        </w:rPr>
      </w:pPr>
    </w:p>
    <w:p w14:paraId="694ACFB2" w14:textId="57ED9566" w:rsidR="001D0CBB" w:rsidRDefault="001D0CBB" w:rsidP="00C2656E">
      <w:pPr>
        <w:rPr>
          <w:rFonts w:ascii="Verdana" w:hAnsi="Verdana" w:cs="Arial"/>
          <w:sz w:val="20"/>
          <w:szCs w:val="20"/>
        </w:rPr>
      </w:pPr>
    </w:p>
    <w:p w14:paraId="508943D1" w14:textId="25999D24" w:rsidR="001D0CBB" w:rsidRDefault="001D0CBB" w:rsidP="00C2656E">
      <w:pPr>
        <w:rPr>
          <w:rFonts w:ascii="Verdana" w:hAnsi="Verdana" w:cs="Arial"/>
          <w:sz w:val="20"/>
          <w:szCs w:val="20"/>
        </w:rPr>
      </w:pPr>
    </w:p>
    <w:p w14:paraId="112E338A" w14:textId="62C5DD99" w:rsidR="001D0CBB" w:rsidRDefault="001D0CBB" w:rsidP="00C2656E">
      <w:pPr>
        <w:rPr>
          <w:rFonts w:ascii="Verdana" w:hAnsi="Verdana" w:cs="Arial"/>
          <w:sz w:val="20"/>
          <w:szCs w:val="20"/>
        </w:rPr>
      </w:pPr>
    </w:p>
    <w:p w14:paraId="5BD31E35" w14:textId="017481B9" w:rsidR="001D0CBB" w:rsidRDefault="001D0CBB" w:rsidP="00C2656E">
      <w:pPr>
        <w:rPr>
          <w:rFonts w:ascii="Verdana" w:hAnsi="Verdana" w:cs="Arial"/>
          <w:sz w:val="20"/>
          <w:szCs w:val="20"/>
        </w:rPr>
      </w:pPr>
    </w:p>
    <w:p w14:paraId="6DA15704" w14:textId="246F3317" w:rsidR="001D0CBB" w:rsidRDefault="001D0CBB" w:rsidP="00C2656E">
      <w:pPr>
        <w:rPr>
          <w:rFonts w:ascii="Verdana" w:hAnsi="Verdana" w:cs="Arial"/>
          <w:sz w:val="20"/>
          <w:szCs w:val="20"/>
        </w:rPr>
      </w:pPr>
    </w:p>
    <w:p w14:paraId="5907BD9D" w14:textId="3B630AA3" w:rsidR="001D0CBB" w:rsidRDefault="001D0CBB" w:rsidP="00C2656E">
      <w:pPr>
        <w:rPr>
          <w:rFonts w:ascii="Verdana" w:hAnsi="Verdana" w:cs="Arial"/>
          <w:sz w:val="20"/>
          <w:szCs w:val="20"/>
        </w:rPr>
      </w:pPr>
    </w:p>
    <w:p w14:paraId="619BD7F8" w14:textId="34D2F9D0" w:rsidR="001D0CBB" w:rsidRDefault="001D0CBB" w:rsidP="00C2656E">
      <w:pPr>
        <w:rPr>
          <w:rFonts w:ascii="Verdana" w:hAnsi="Verdana" w:cs="Arial"/>
          <w:sz w:val="20"/>
          <w:szCs w:val="20"/>
        </w:rPr>
      </w:pPr>
    </w:p>
    <w:p w14:paraId="1CC6681F" w14:textId="77D141B8" w:rsidR="001D0CBB" w:rsidRDefault="001D0CBB" w:rsidP="00C2656E">
      <w:pPr>
        <w:rPr>
          <w:rFonts w:ascii="Verdana" w:hAnsi="Verdana" w:cs="Arial"/>
          <w:sz w:val="20"/>
          <w:szCs w:val="20"/>
        </w:rPr>
      </w:pPr>
    </w:p>
    <w:p w14:paraId="31D31E67" w14:textId="2A0442D1" w:rsidR="001D0CBB" w:rsidRDefault="001D0CBB" w:rsidP="00C2656E">
      <w:pPr>
        <w:rPr>
          <w:rFonts w:ascii="Verdana" w:hAnsi="Verdana" w:cs="Arial"/>
          <w:sz w:val="20"/>
          <w:szCs w:val="20"/>
        </w:rPr>
      </w:pPr>
    </w:p>
    <w:p w14:paraId="00840FBD" w14:textId="77777777" w:rsidR="001D0CBB" w:rsidRPr="00130B1A" w:rsidRDefault="001D0CBB" w:rsidP="00C2656E">
      <w:pPr>
        <w:rPr>
          <w:rFonts w:ascii="Verdana" w:hAnsi="Verdana" w:cs="Arial"/>
          <w:sz w:val="20"/>
          <w:szCs w:val="20"/>
        </w:rPr>
      </w:pPr>
    </w:p>
    <w:p w14:paraId="5B498E26" w14:textId="74BFAEB3" w:rsidR="006044CC" w:rsidRPr="00130B1A" w:rsidRDefault="00C2656E" w:rsidP="00C2656E">
      <w:pPr>
        <w:rPr>
          <w:rFonts w:ascii="Verdana" w:hAnsi="Verdana" w:cs="Arial"/>
          <w:sz w:val="20"/>
          <w:szCs w:val="20"/>
        </w:rPr>
      </w:pPr>
      <w:r w:rsidRPr="00130B1A">
        <w:rPr>
          <w:rFonts w:ascii="Verdana" w:hAnsi="Verdana" w:cs="Arial"/>
          <w:sz w:val="20"/>
          <w:szCs w:val="20"/>
        </w:rPr>
        <w:lastRenderedPageBreak/>
        <w:t xml:space="preserve">Segue, abaixo, a exposição total do risco de juros </w:t>
      </w:r>
      <w:proofErr w:type="gramStart"/>
      <w:r w:rsidRPr="00130B1A">
        <w:rPr>
          <w:rFonts w:ascii="Verdana" w:hAnsi="Verdana" w:cs="Arial"/>
          <w:sz w:val="20"/>
          <w:szCs w:val="20"/>
        </w:rPr>
        <w:t>dos  Financiamentos</w:t>
      </w:r>
      <w:proofErr w:type="gramEnd"/>
      <w:r w:rsidRPr="00130B1A">
        <w:rPr>
          <w:rFonts w:ascii="Verdana" w:hAnsi="Verdana" w:cs="Arial"/>
          <w:sz w:val="20"/>
          <w:szCs w:val="20"/>
        </w:rPr>
        <w:t xml:space="preserve"> e Empréstimos</w:t>
      </w:r>
      <w:r w:rsidR="006044CC" w:rsidRPr="00130B1A">
        <w:rPr>
          <w:rFonts w:ascii="Verdana" w:hAnsi="Verdana" w:cs="Arial"/>
          <w:sz w:val="20"/>
          <w:szCs w:val="20"/>
        </w:rPr>
        <w:t>:</w:t>
      </w:r>
      <w:r w:rsidR="008D59A0">
        <w:rPr>
          <w:rFonts w:ascii="Verdana" w:hAnsi="Verdana" w:cs="Arial"/>
          <w:sz w:val="20"/>
          <w:szCs w:val="20"/>
        </w:rPr>
        <w:t xml:space="preserve"> </w:t>
      </w:r>
    </w:p>
    <w:p w14:paraId="2FDF29D0" w14:textId="77777777" w:rsidR="006044CC" w:rsidRPr="0067040F" w:rsidRDefault="006044CC" w:rsidP="006044CC">
      <w:pPr>
        <w:rPr>
          <w:rFonts w:ascii="Verdana" w:hAnsi="Verdana" w:cs="Arial"/>
          <w:sz w:val="20"/>
          <w:szCs w:val="20"/>
        </w:rPr>
      </w:pPr>
    </w:p>
    <w:p w14:paraId="1F53DA85" w14:textId="77777777" w:rsidR="006044CC" w:rsidRPr="0067040F" w:rsidRDefault="00D431B6" w:rsidP="006044CC">
      <w:pPr>
        <w:rPr>
          <w:rFonts w:ascii="Verdana" w:hAnsi="Verdana" w:cs="Arial"/>
          <w:sz w:val="20"/>
          <w:szCs w:val="20"/>
        </w:rPr>
      </w:pPr>
      <w:r w:rsidRPr="00D431B6">
        <w:rPr>
          <w:noProof/>
        </w:rPr>
        <w:drawing>
          <wp:inline distT="0" distB="0" distL="0" distR="0" wp14:anchorId="485F0B64" wp14:editId="7FC88D23">
            <wp:extent cx="6652895" cy="1541780"/>
            <wp:effectExtent l="0" t="0" r="0" b="1270"/>
            <wp:docPr id="481" name="Imagem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6652895" cy="1541780"/>
                    </a:xfrm>
                    <a:prstGeom prst="rect">
                      <a:avLst/>
                    </a:prstGeom>
                    <a:noFill/>
                    <a:ln>
                      <a:noFill/>
                    </a:ln>
                  </pic:spPr>
                </pic:pic>
              </a:graphicData>
            </a:graphic>
          </wp:inline>
        </w:drawing>
      </w:r>
    </w:p>
    <w:bookmarkEnd w:id="25"/>
    <w:p w14:paraId="6EF2DE81" w14:textId="77777777" w:rsidR="006044CC" w:rsidRDefault="006044CC" w:rsidP="006044CC">
      <w:pPr>
        <w:rPr>
          <w:rFonts w:ascii="Verdana" w:hAnsi="Verdana" w:cs="Arial"/>
          <w:sz w:val="20"/>
          <w:szCs w:val="20"/>
        </w:rPr>
      </w:pPr>
    </w:p>
    <w:p w14:paraId="4DA3DCB3" w14:textId="77777777" w:rsidR="00E247EA" w:rsidRDefault="00AE1ADF" w:rsidP="00AE1ADF">
      <w:pPr>
        <w:pStyle w:val="PargrafodaLista"/>
        <w:numPr>
          <w:ilvl w:val="0"/>
          <w:numId w:val="35"/>
        </w:numPr>
        <w:ind w:left="284" w:hanging="284"/>
        <w:rPr>
          <w:rFonts w:ascii="Verdana" w:hAnsi="Verdana" w:cs="Verdana"/>
          <w:color w:val="0D63B5"/>
          <w:sz w:val="20"/>
          <w:szCs w:val="20"/>
        </w:rPr>
      </w:pPr>
      <w:r>
        <w:rPr>
          <w:rFonts w:ascii="Verdana" w:hAnsi="Verdana" w:cs="Verdana"/>
          <w:color w:val="0D63B5"/>
          <w:sz w:val="20"/>
          <w:szCs w:val="20"/>
        </w:rPr>
        <w:t>Indexadores nacionais:</w:t>
      </w:r>
    </w:p>
    <w:p w14:paraId="2256A382" w14:textId="77777777" w:rsidR="00E247EA" w:rsidRDefault="00E247EA" w:rsidP="00E247EA">
      <w:pPr>
        <w:rPr>
          <w:rFonts w:ascii="Verdana" w:hAnsi="Verdana" w:cs="Verdana"/>
          <w:color w:val="0D63B5"/>
          <w:sz w:val="20"/>
          <w:szCs w:val="20"/>
        </w:rPr>
      </w:pPr>
    </w:p>
    <w:p w14:paraId="70CB7BF4" w14:textId="77777777" w:rsidR="00A4558B" w:rsidRDefault="00AE1ADF" w:rsidP="00E247EA">
      <w:pPr>
        <w:rPr>
          <w:rFonts w:ascii="Verdana" w:hAnsi="Verdana" w:cs="Verdana"/>
          <w:color w:val="0D63B5"/>
          <w:sz w:val="20"/>
          <w:szCs w:val="20"/>
        </w:rPr>
      </w:pPr>
      <w:r>
        <w:rPr>
          <w:rFonts w:ascii="Verdana" w:hAnsi="Verdana" w:cs="Verdana"/>
          <w:color w:val="0D63B5"/>
          <w:sz w:val="20"/>
          <w:szCs w:val="20"/>
        </w:rPr>
        <w:t xml:space="preserve">a.1) </w:t>
      </w:r>
      <w:r w:rsidR="00A4558B">
        <w:rPr>
          <w:rFonts w:ascii="Verdana" w:hAnsi="Verdana" w:cs="Verdana"/>
          <w:color w:val="0D63B5"/>
          <w:sz w:val="20"/>
          <w:szCs w:val="20"/>
        </w:rPr>
        <w:t>Risco de apreciação das taxas de juros</w:t>
      </w:r>
      <w:r>
        <w:rPr>
          <w:rFonts w:ascii="Verdana" w:hAnsi="Verdana" w:cs="Verdana"/>
          <w:color w:val="0D63B5"/>
          <w:sz w:val="20"/>
          <w:szCs w:val="20"/>
        </w:rPr>
        <w:t>:</w:t>
      </w:r>
    </w:p>
    <w:p w14:paraId="495F35A7" w14:textId="3573B604" w:rsidR="00CF57B6" w:rsidRPr="00E247EA" w:rsidRDefault="00CF57B6" w:rsidP="00F66613">
      <w:pPr>
        <w:jc w:val="center"/>
        <w:rPr>
          <w:rFonts w:ascii="Verdana" w:hAnsi="Verdana" w:cs="Verdana"/>
          <w:color w:val="0D63B5"/>
          <w:sz w:val="20"/>
          <w:szCs w:val="20"/>
        </w:rPr>
      </w:pPr>
    </w:p>
    <w:p w14:paraId="0882C436" w14:textId="2B4F3EA7" w:rsidR="008D59A0" w:rsidRDefault="008D59A0" w:rsidP="006044CC">
      <w:pPr>
        <w:rPr>
          <w:rFonts w:ascii="Verdana" w:hAnsi="Verdana" w:cs="Verdana"/>
          <w:color w:val="0D63B5"/>
          <w:sz w:val="20"/>
          <w:szCs w:val="20"/>
        </w:rPr>
      </w:pPr>
    </w:p>
    <w:p w14:paraId="1BAE0923" w14:textId="373A30B3" w:rsidR="001C7F79" w:rsidRDefault="00B55454" w:rsidP="006044CC">
      <w:pPr>
        <w:rPr>
          <w:rFonts w:ascii="Verdana" w:hAnsi="Verdana" w:cs="Verdana"/>
          <w:color w:val="0D63B5"/>
          <w:sz w:val="20"/>
          <w:szCs w:val="20"/>
        </w:rPr>
      </w:pPr>
      <w:r w:rsidRPr="00B55454">
        <w:rPr>
          <w:noProof/>
        </w:rPr>
        <w:drawing>
          <wp:inline distT="0" distB="0" distL="0" distR="0" wp14:anchorId="2F69D670" wp14:editId="7538442F">
            <wp:extent cx="6213174" cy="1790618"/>
            <wp:effectExtent l="0" t="0" r="0" b="635"/>
            <wp:docPr id="449" name="Imagem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219797" cy="1792527"/>
                    </a:xfrm>
                    <a:prstGeom prst="rect">
                      <a:avLst/>
                    </a:prstGeom>
                    <a:noFill/>
                    <a:ln>
                      <a:noFill/>
                    </a:ln>
                  </pic:spPr>
                </pic:pic>
              </a:graphicData>
            </a:graphic>
          </wp:inline>
        </w:drawing>
      </w:r>
    </w:p>
    <w:p w14:paraId="7EA13C0F" w14:textId="77777777" w:rsidR="001C7F79" w:rsidRDefault="001C7F79" w:rsidP="006044CC">
      <w:pPr>
        <w:rPr>
          <w:rFonts w:ascii="Verdana" w:hAnsi="Verdana" w:cs="Verdana"/>
          <w:color w:val="0D63B5"/>
          <w:sz w:val="20"/>
          <w:szCs w:val="20"/>
        </w:rPr>
      </w:pPr>
    </w:p>
    <w:p w14:paraId="4E54F76D" w14:textId="12B5D08F" w:rsidR="00AE1ADF" w:rsidRPr="00FD016C" w:rsidRDefault="00AE1ADF" w:rsidP="006044CC">
      <w:pPr>
        <w:rPr>
          <w:rFonts w:ascii="Verdana" w:hAnsi="Verdana" w:cs="Arial"/>
          <w:sz w:val="20"/>
          <w:szCs w:val="20"/>
        </w:rPr>
      </w:pPr>
    </w:p>
    <w:p w14:paraId="16CB6F49" w14:textId="77777777" w:rsidR="00C2656E" w:rsidRPr="00B44A94" w:rsidRDefault="00C2656E" w:rsidP="00C2656E">
      <w:pPr>
        <w:pStyle w:val="Default"/>
        <w:jc w:val="both"/>
        <w:rPr>
          <w:color w:val="0D63B5"/>
          <w:sz w:val="20"/>
          <w:szCs w:val="20"/>
        </w:rPr>
      </w:pPr>
      <w:bookmarkStart w:id="27" w:name="_Hlk94204576"/>
      <w:bookmarkEnd w:id="26"/>
      <w:r w:rsidRPr="00B44A94">
        <w:rPr>
          <w:color w:val="0D63B5"/>
          <w:sz w:val="20"/>
          <w:szCs w:val="20"/>
        </w:rPr>
        <w:t>35.3.3 - Risco de crédito</w:t>
      </w:r>
      <w:r w:rsidRPr="00B44A94">
        <w:rPr>
          <w:color w:val="0D63B5"/>
          <w:sz w:val="20"/>
          <w:szCs w:val="20"/>
        </w:rPr>
        <w:tab/>
      </w:r>
      <w:r w:rsidRPr="00B44A94">
        <w:rPr>
          <w:color w:val="0D63B5"/>
          <w:sz w:val="20"/>
          <w:szCs w:val="20"/>
        </w:rPr>
        <w:tab/>
      </w:r>
    </w:p>
    <w:p w14:paraId="1579072F" w14:textId="77777777" w:rsidR="00C2656E" w:rsidRPr="00B44A94" w:rsidRDefault="00C2656E" w:rsidP="00C2656E">
      <w:pPr>
        <w:tabs>
          <w:tab w:val="left" w:pos="180"/>
        </w:tabs>
        <w:rPr>
          <w:rFonts w:ascii="Verdana" w:hAnsi="Verdana" w:cs="Arial"/>
          <w:sz w:val="20"/>
          <w:szCs w:val="20"/>
        </w:rPr>
      </w:pPr>
    </w:p>
    <w:p w14:paraId="5F154A5F" w14:textId="77777777" w:rsidR="00C2656E" w:rsidRPr="00B44A94" w:rsidRDefault="00C2656E" w:rsidP="00C2656E">
      <w:pPr>
        <w:rPr>
          <w:rFonts w:ascii="Verdana" w:hAnsi="Verdana" w:cs="Arial"/>
          <w:sz w:val="20"/>
          <w:szCs w:val="20"/>
        </w:rPr>
      </w:pPr>
      <w:r w:rsidRPr="00B44A94">
        <w:rPr>
          <w:rFonts w:ascii="Verdana" w:hAnsi="Verdana" w:cs="Arial"/>
          <w:sz w:val="20"/>
          <w:szCs w:val="20"/>
        </w:rPr>
        <w:t xml:space="preserve">Risco de crédito é o risco </w:t>
      </w:r>
      <w:proofErr w:type="gramStart"/>
      <w:r w:rsidRPr="00B44A94">
        <w:rPr>
          <w:rFonts w:ascii="Verdana" w:hAnsi="Verdana" w:cs="Arial"/>
          <w:sz w:val="20"/>
          <w:szCs w:val="20"/>
        </w:rPr>
        <w:t>da</w:t>
      </w:r>
      <w:proofErr w:type="gramEnd"/>
      <w:r w:rsidRPr="00B44A94">
        <w:rPr>
          <w:rFonts w:ascii="Verdana" w:hAnsi="Verdana" w:cs="Arial"/>
          <w:sz w:val="20"/>
          <w:szCs w:val="20"/>
        </w:rPr>
        <w:t xml:space="preserve"> Companhia incorrer em perdas financeiras decorrentes de um cliente ou de uma contraparte em um instrumento financeiro que falhe ao cumprir com suas obrigações contratuais. Esse risco é principalmente proveniente das contas a receber de clientes e instrumentos financeiros da Companhia. O valor contábil dos ativos financeiros representa a exposição máxima do crédito.</w:t>
      </w:r>
    </w:p>
    <w:p w14:paraId="4ED31679" w14:textId="77777777" w:rsidR="00C2656E" w:rsidRPr="00B44A94" w:rsidRDefault="00C2656E" w:rsidP="00C2656E">
      <w:pPr>
        <w:widowControl w:val="0"/>
        <w:autoSpaceDE w:val="0"/>
        <w:autoSpaceDN w:val="0"/>
        <w:rPr>
          <w:rFonts w:ascii="Verdana" w:hAnsi="Verdana"/>
          <w:sz w:val="20"/>
          <w:szCs w:val="20"/>
        </w:rPr>
      </w:pPr>
    </w:p>
    <w:p w14:paraId="1311F262" w14:textId="77777777" w:rsidR="00C2656E" w:rsidRPr="00B44A94" w:rsidRDefault="00C2656E" w:rsidP="00C2656E">
      <w:pPr>
        <w:rPr>
          <w:rFonts w:ascii="Verdana" w:hAnsi="Verdana" w:cs="Arial"/>
          <w:sz w:val="20"/>
          <w:szCs w:val="20"/>
        </w:rPr>
      </w:pPr>
      <w:r w:rsidRPr="00B44A94">
        <w:rPr>
          <w:rFonts w:ascii="Verdana" w:hAnsi="Verdana" w:cs="Arial"/>
          <w:sz w:val="20"/>
          <w:szCs w:val="20"/>
        </w:rPr>
        <w:t>Conforme descrito na nota 1, a ELETRONUCLEAR tem a totalidade da sua geração de energia elétrica a partir de janeiro de 2013 comercializada através da Câmara de Comercialização de Energia Elétrica - CCEE, com todas as distribuidoras do Sistema Interligado Nacional - SIN.</w:t>
      </w:r>
    </w:p>
    <w:p w14:paraId="328C4596" w14:textId="77777777" w:rsidR="00C2656E" w:rsidRPr="00B44A94" w:rsidRDefault="00C2656E" w:rsidP="00C2656E">
      <w:pPr>
        <w:rPr>
          <w:rFonts w:ascii="Verdana" w:hAnsi="Verdana" w:cs="Arial"/>
          <w:sz w:val="20"/>
          <w:szCs w:val="20"/>
        </w:rPr>
      </w:pPr>
    </w:p>
    <w:p w14:paraId="4A5656DF" w14:textId="77777777" w:rsidR="00C2656E" w:rsidRPr="00B44A94" w:rsidRDefault="00C2656E" w:rsidP="00C2656E">
      <w:pPr>
        <w:rPr>
          <w:rFonts w:ascii="Verdana" w:hAnsi="Verdana" w:cs="Arial"/>
          <w:sz w:val="20"/>
          <w:szCs w:val="20"/>
        </w:rPr>
      </w:pPr>
      <w:r w:rsidRPr="00B44A94">
        <w:rPr>
          <w:rFonts w:ascii="Verdana" w:hAnsi="Verdana" w:cs="Arial"/>
          <w:sz w:val="20"/>
          <w:szCs w:val="20"/>
        </w:rPr>
        <w:t xml:space="preserve">A Resolução Normativa nº 530, de 21 de dezembro de 2012, evidencia que, apesar de o faturamento ser repassado pela CCEE, o risco de crédito final é da ELETRONUCLEAR. </w:t>
      </w:r>
    </w:p>
    <w:p w14:paraId="6D4F7882" w14:textId="77777777" w:rsidR="00C2656E" w:rsidRPr="00B44A94" w:rsidRDefault="00C2656E" w:rsidP="00C2656E">
      <w:pPr>
        <w:rPr>
          <w:rFonts w:ascii="Verdana" w:hAnsi="Verdana" w:cs="Arial"/>
          <w:sz w:val="20"/>
          <w:szCs w:val="20"/>
        </w:rPr>
      </w:pPr>
    </w:p>
    <w:p w14:paraId="1CCF08B7" w14:textId="77777777" w:rsidR="00C2656E" w:rsidRPr="00B44A94" w:rsidRDefault="00C2656E" w:rsidP="00C2656E">
      <w:pPr>
        <w:rPr>
          <w:rFonts w:ascii="Verdana" w:hAnsi="Verdana" w:cs="Arial"/>
          <w:sz w:val="20"/>
          <w:szCs w:val="20"/>
        </w:rPr>
      </w:pPr>
      <w:r w:rsidRPr="00B44A94">
        <w:rPr>
          <w:rFonts w:ascii="Verdana" w:hAnsi="Verdana" w:cs="Arial"/>
          <w:sz w:val="20"/>
          <w:szCs w:val="20"/>
        </w:rPr>
        <w:t xml:space="preserve">Dessa forma, a ELETRONUCLEAR monitora constantemente os possíveis efeitos e a eventual necessidade de contratação de instrumentos de proteção. </w:t>
      </w:r>
    </w:p>
    <w:p w14:paraId="4D8E2720" w14:textId="77777777" w:rsidR="00C2656E" w:rsidRPr="00B44A94" w:rsidRDefault="00C2656E" w:rsidP="00C2656E">
      <w:pPr>
        <w:rPr>
          <w:rFonts w:ascii="Verdana" w:hAnsi="Verdana" w:cs="Arial"/>
          <w:sz w:val="20"/>
          <w:szCs w:val="20"/>
        </w:rPr>
      </w:pPr>
    </w:p>
    <w:p w14:paraId="194FBE12" w14:textId="617FDDE0" w:rsidR="006044CC" w:rsidRPr="00DB516F" w:rsidRDefault="00C2656E" w:rsidP="00C2656E">
      <w:pPr>
        <w:rPr>
          <w:rFonts w:ascii="Verdana" w:hAnsi="Verdana" w:cs="Arial"/>
          <w:sz w:val="20"/>
          <w:szCs w:val="20"/>
        </w:rPr>
      </w:pPr>
      <w:r w:rsidRPr="00B44A94">
        <w:rPr>
          <w:rFonts w:ascii="Verdana" w:hAnsi="Verdana" w:cs="Arial"/>
          <w:sz w:val="20"/>
          <w:szCs w:val="20"/>
        </w:rPr>
        <w:t>Abaixo, apresentamos as principais contas sujeitas a risco de crédito</w:t>
      </w:r>
      <w:r w:rsidR="006044CC" w:rsidRPr="00DB516F">
        <w:rPr>
          <w:rFonts w:ascii="Verdana" w:hAnsi="Verdana" w:cs="Arial"/>
          <w:sz w:val="20"/>
          <w:szCs w:val="20"/>
        </w:rPr>
        <w:t>:</w:t>
      </w:r>
    </w:p>
    <w:p w14:paraId="233B693F" w14:textId="77777777" w:rsidR="006044CC" w:rsidRPr="00DB516F" w:rsidRDefault="006044CC" w:rsidP="006044CC">
      <w:pPr>
        <w:pStyle w:val="Corpodetexto"/>
        <w:ind w:right="121"/>
        <w:rPr>
          <w:rFonts w:ascii="Verdana" w:hAnsi="Verdana"/>
          <w:noProof/>
        </w:rPr>
      </w:pPr>
    </w:p>
    <w:p w14:paraId="39414BE9" w14:textId="77777777" w:rsidR="006044CC" w:rsidRPr="00DB516F" w:rsidRDefault="0060707E" w:rsidP="00DB516F">
      <w:pPr>
        <w:pStyle w:val="Corpodetexto"/>
        <w:ind w:right="121"/>
        <w:jc w:val="center"/>
        <w:rPr>
          <w:rFonts w:ascii="Verdana" w:hAnsi="Verdana" w:cs="Arial"/>
          <w:noProof/>
        </w:rPr>
      </w:pPr>
      <w:r w:rsidRPr="0060707E">
        <w:rPr>
          <w:noProof/>
          <w:lang w:val="pt-BR"/>
        </w:rPr>
        <w:drawing>
          <wp:inline distT="0" distB="0" distL="0" distR="0" wp14:anchorId="0964B973" wp14:editId="17E22C64">
            <wp:extent cx="4889500" cy="837092"/>
            <wp:effectExtent l="0" t="0" r="6350" b="1270"/>
            <wp:docPr id="506" name="Imagem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918997" cy="842142"/>
                    </a:xfrm>
                    <a:prstGeom prst="rect">
                      <a:avLst/>
                    </a:prstGeom>
                    <a:noFill/>
                    <a:ln>
                      <a:noFill/>
                    </a:ln>
                  </pic:spPr>
                </pic:pic>
              </a:graphicData>
            </a:graphic>
          </wp:inline>
        </w:drawing>
      </w:r>
    </w:p>
    <w:p w14:paraId="190A0210" w14:textId="77777777" w:rsidR="006044CC" w:rsidRDefault="006044CC" w:rsidP="006044CC">
      <w:pPr>
        <w:pStyle w:val="Corpodetexto"/>
        <w:ind w:right="121"/>
        <w:rPr>
          <w:rFonts w:ascii="Verdana" w:hAnsi="Verdana" w:cs="Arial"/>
          <w:b/>
          <w:color w:val="0070C0"/>
        </w:rPr>
      </w:pPr>
    </w:p>
    <w:p w14:paraId="0FC30650" w14:textId="07BEF9D9" w:rsidR="00ED6E29" w:rsidRPr="00976393" w:rsidRDefault="00D93BAC" w:rsidP="006044CC">
      <w:pPr>
        <w:pStyle w:val="Corpodetexto"/>
        <w:ind w:right="121"/>
        <w:rPr>
          <w:rFonts w:ascii="Verdana" w:hAnsi="Verdana" w:cs="Arial"/>
          <w:bCs/>
          <w:color w:val="000000" w:themeColor="text1"/>
        </w:rPr>
      </w:pPr>
      <w:r>
        <w:rPr>
          <w:rFonts w:ascii="Verdana" w:hAnsi="Verdana" w:cs="Arial"/>
          <w:bCs/>
          <w:color w:val="000000" w:themeColor="text1"/>
        </w:rPr>
        <w:lastRenderedPageBreak/>
        <w:t>A</w:t>
      </w:r>
      <w:r w:rsidR="006044CC" w:rsidRPr="00976393">
        <w:rPr>
          <w:rFonts w:ascii="Verdana" w:hAnsi="Verdana" w:cs="Arial"/>
          <w:bCs/>
          <w:color w:val="000000" w:themeColor="text1"/>
        </w:rPr>
        <w:t>baixo, apresentamos relação de clientes em 31</w:t>
      </w:r>
      <w:r w:rsidR="00BD5A47">
        <w:rPr>
          <w:rFonts w:ascii="Verdana" w:hAnsi="Verdana" w:cs="Arial"/>
          <w:bCs/>
          <w:color w:val="000000" w:themeColor="text1"/>
        </w:rPr>
        <w:t xml:space="preserve"> de dezembro de 2021</w:t>
      </w:r>
      <w:r w:rsidR="006044CC" w:rsidRPr="00976393">
        <w:rPr>
          <w:rFonts w:ascii="Verdana" w:hAnsi="Verdana" w:cs="Arial"/>
          <w:bCs/>
          <w:color w:val="000000" w:themeColor="text1"/>
        </w:rPr>
        <w:t>:</w:t>
      </w:r>
    </w:p>
    <w:p w14:paraId="6E8DB438" w14:textId="77777777" w:rsidR="006044CC" w:rsidRPr="00CD6514" w:rsidRDefault="006044CC" w:rsidP="00ED6E29">
      <w:pPr>
        <w:pStyle w:val="Corpodetexto"/>
        <w:ind w:right="121"/>
        <w:rPr>
          <w:rFonts w:ascii="Verdana" w:hAnsi="Verdana"/>
          <w:color w:val="0D63B5"/>
        </w:rPr>
      </w:pPr>
    </w:p>
    <w:p w14:paraId="4D47BE5B" w14:textId="77777777" w:rsidR="006044CC" w:rsidRPr="00CD6514" w:rsidRDefault="0082525E" w:rsidP="0082525E">
      <w:pPr>
        <w:widowControl w:val="0"/>
        <w:autoSpaceDE w:val="0"/>
        <w:autoSpaceDN w:val="0"/>
        <w:jc w:val="center"/>
        <w:rPr>
          <w:rFonts w:ascii="Verdana" w:hAnsi="Verdana"/>
          <w:color w:val="0D63B5"/>
          <w:sz w:val="20"/>
          <w:szCs w:val="20"/>
        </w:rPr>
      </w:pPr>
      <w:r w:rsidRPr="0082525E">
        <w:rPr>
          <w:noProof/>
        </w:rPr>
        <w:drawing>
          <wp:inline distT="0" distB="0" distL="0" distR="0" wp14:anchorId="05CE1C84" wp14:editId="16E8C0F3">
            <wp:extent cx="5001348" cy="6884074"/>
            <wp:effectExtent l="0" t="0" r="8890" b="0"/>
            <wp:docPr id="486" name="Imagem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014055" cy="6901565"/>
                    </a:xfrm>
                    <a:prstGeom prst="rect">
                      <a:avLst/>
                    </a:prstGeom>
                    <a:noFill/>
                    <a:ln>
                      <a:noFill/>
                    </a:ln>
                  </pic:spPr>
                </pic:pic>
              </a:graphicData>
            </a:graphic>
          </wp:inline>
        </w:drawing>
      </w:r>
    </w:p>
    <w:p w14:paraId="545E8632" w14:textId="77777777" w:rsidR="0082525E" w:rsidRDefault="0082525E" w:rsidP="006044CC">
      <w:pPr>
        <w:widowControl w:val="0"/>
        <w:autoSpaceDE w:val="0"/>
        <w:autoSpaceDN w:val="0"/>
        <w:jc w:val="left"/>
        <w:rPr>
          <w:rFonts w:ascii="Verdana" w:hAnsi="Verdana"/>
          <w:color w:val="0D63B5"/>
          <w:sz w:val="20"/>
          <w:szCs w:val="20"/>
        </w:rPr>
      </w:pPr>
      <w:bookmarkStart w:id="28" w:name="_Hlk94203213"/>
      <w:bookmarkEnd w:id="27"/>
    </w:p>
    <w:p w14:paraId="494EFD89" w14:textId="77777777" w:rsidR="0082525E" w:rsidRDefault="0082525E" w:rsidP="006044CC">
      <w:pPr>
        <w:widowControl w:val="0"/>
        <w:autoSpaceDE w:val="0"/>
        <w:autoSpaceDN w:val="0"/>
        <w:jc w:val="left"/>
        <w:rPr>
          <w:rFonts w:ascii="Verdana" w:hAnsi="Verdana"/>
          <w:color w:val="0D63B5"/>
          <w:sz w:val="20"/>
          <w:szCs w:val="20"/>
        </w:rPr>
      </w:pPr>
    </w:p>
    <w:p w14:paraId="766154A5" w14:textId="77777777" w:rsidR="00D93BAC" w:rsidRDefault="00D93BAC" w:rsidP="006044CC">
      <w:pPr>
        <w:widowControl w:val="0"/>
        <w:autoSpaceDE w:val="0"/>
        <w:autoSpaceDN w:val="0"/>
        <w:jc w:val="left"/>
        <w:rPr>
          <w:rFonts w:ascii="Verdana" w:hAnsi="Verdana"/>
          <w:color w:val="0D63B5"/>
          <w:sz w:val="20"/>
          <w:szCs w:val="20"/>
        </w:rPr>
      </w:pPr>
    </w:p>
    <w:p w14:paraId="3FE67AAC" w14:textId="77777777" w:rsidR="00C2656E" w:rsidRPr="008946A3" w:rsidRDefault="00C2656E" w:rsidP="00C2656E">
      <w:pPr>
        <w:widowControl w:val="0"/>
        <w:autoSpaceDE w:val="0"/>
        <w:autoSpaceDN w:val="0"/>
        <w:jc w:val="left"/>
        <w:rPr>
          <w:rFonts w:ascii="Verdana" w:hAnsi="Verdana"/>
          <w:color w:val="0D63B5"/>
          <w:sz w:val="20"/>
          <w:szCs w:val="20"/>
        </w:rPr>
      </w:pPr>
      <w:r w:rsidRPr="008946A3">
        <w:rPr>
          <w:rFonts w:ascii="Verdana" w:hAnsi="Verdana"/>
          <w:color w:val="0D63B5"/>
          <w:sz w:val="20"/>
          <w:szCs w:val="20"/>
        </w:rPr>
        <w:t>35.3.4 - Risco de liquidez</w:t>
      </w:r>
    </w:p>
    <w:p w14:paraId="07FD01FD" w14:textId="77777777" w:rsidR="00C2656E" w:rsidRPr="008946A3" w:rsidRDefault="00C2656E" w:rsidP="00C2656E">
      <w:pPr>
        <w:rPr>
          <w:rFonts w:ascii="Verdana" w:hAnsi="Verdana"/>
          <w:sz w:val="14"/>
          <w:szCs w:val="20"/>
        </w:rPr>
      </w:pPr>
    </w:p>
    <w:p w14:paraId="1041F0CC" w14:textId="77777777" w:rsidR="00C2656E" w:rsidRPr="008946A3" w:rsidRDefault="00C2656E" w:rsidP="00C2656E">
      <w:pPr>
        <w:rPr>
          <w:rFonts w:ascii="Verdana" w:hAnsi="Verdana"/>
          <w:sz w:val="14"/>
          <w:szCs w:val="20"/>
        </w:rPr>
      </w:pPr>
    </w:p>
    <w:p w14:paraId="4CBF8A31" w14:textId="77777777" w:rsidR="00C2656E" w:rsidRPr="008946A3" w:rsidRDefault="00C2656E" w:rsidP="00C2656E">
      <w:pPr>
        <w:rPr>
          <w:rFonts w:ascii="Verdana" w:hAnsi="Verdana"/>
          <w:sz w:val="20"/>
          <w:szCs w:val="20"/>
        </w:rPr>
      </w:pPr>
      <w:r w:rsidRPr="008946A3">
        <w:rPr>
          <w:rFonts w:ascii="Verdana" w:hAnsi="Verdana"/>
          <w:sz w:val="20"/>
          <w:szCs w:val="20"/>
        </w:rPr>
        <w:t>As necessidades de liquidez da Companhia são de responsabilidade das áreas financeira e de captação de recursos, que atuam alinhadas no monitoramento permanente dos fluxos de caixa de curto, médio e longo prazo, previstos e realizados, buscando evitar possíveis descasamentos e consequentes perdas financeiras e garantir as exigências de liquidez para as necessidades operacionais.</w:t>
      </w:r>
    </w:p>
    <w:p w14:paraId="6B254999" w14:textId="77777777" w:rsidR="00C2656E" w:rsidRPr="008946A3" w:rsidRDefault="00C2656E" w:rsidP="00C2656E">
      <w:pPr>
        <w:rPr>
          <w:rFonts w:ascii="Verdana" w:hAnsi="Verdana"/>
          <w:sz w:val="20"/>
          <w:szCs w:val="20"/>
        </w:rPr>
      </w:pPr>
    </w:p>
    <w:p w14:paraId="10855D95" w14:textId="77777777" w:rsidR="00C2656E" w:rsidRPr="008946A3" w:rsidRDefault="00C2656E" w:rsidP="00C2656E">
      <w:pPr>
        <w:tabs>
          <w:tab w:val="left" w:pos="180"/>
        </w:tabs>
        <w:rPr>
          <w:rFonts w:ascii="Verdana" w:hAnsi="Verdana" w:cs="Arial"/>
          <w:sz w:val="20"/>
          <w:szCs w:val="20"/>
        </w:rPr>
      </w:pPr>
      <w:r w:rsidRPr="008946A3">
        <w:rPr>
          <w:rFonts w:ascii="Verdana" w:hAnsi="Verdana" w:cs="Arial"/>
          <w:sz w:val="20"/>
          <w:szCs w:val="20"/>
        </w:rPr>
        <w:lastRenderedPageBreak/>
        <w:t>Abaixo, apresentamos os principais indicadores de liquidez:</w:t>
      </w:r>
    </w:p>
    <w:p w14:paraId="6763DF4A" w14:textId="77777777" w:rsidR="00C2656E" w:rsidRPr="008946A3" w:rsidRDefault="00C2656E" w:rsidP="00C2656E">
      <w:pPr>
        <w:tabs>
          <w:tab w:val="left" w:pos="180"/>
        </w:tabs>
        <w:rPr>
          <w:rFonts w:ascii="Verdana" w:hAnsi="Verdana" w:cs="Arial"/>
          <w:sz w:val="20"/>
          <w:szCs w:val="20"/>
        </w:rPr>
      </w:pPr>
    </w:p>
    <w:p w14:paraId="7D7A02A1" w14:textId="77777777" w:rsidR="00C2656E" w:rsidRPr="008946A3" w:rsidRDefault="00C2656E" w:rsidP="00C2656E">
      <w:pPr>
        <w:pStyle w:val="PargrafodaLista"/>
        <w:numPr>
          <w:ilvl w:val="0"/>
          <w:numId w:val="21"/>
        </w:numPr>
        <w:tabs>
          <w:tab w:val="left" w:pos="180"/>
        </w:tabs>
        <w:spacing w:line="264" w:lineRule="auto"/>
        <w:contextualSpacing/>
        <w:rPr>
          <w:rFonts w:ascii="Verdana" w:hAnsi="Verdana" w:cs="Arial"/>
          <w:sz w:val="20"/>
          <w:szCs w:val="20"/>
        </w:rPr>
      </w:pPr>
      <w:proofErr w:type="spellStart"/>
      <w:proofErr w:type="gramStart"/>
      <w:r w:rsidRPr="008946A3">
        <w:rPr>
          <w:rFonts w:ascii="Verdana" w:hAnsi="Verdana" w:cs="Arial"/>
          <w:sz w:val="20"/>
          <w:szCs w:val="20"/>
        </w:rPr>
        <w:t>a</w:t>
      </w:r>
      <w:proofErr w:type="spellEnd"/>
      <w:proofErr w:type="gramEnd"/>
      <w:r w:rsidRPr="008946A3">
        <w:rPr>
          <w:rFonts w:ascii="Verdana" w:hAnsi="Verdana" w:cs="Arial"/>
          <w:sz w:val="20"/>
          <w:szCs w:val="20"/>
        </w:rPr>
        <w:t xml:space="preserve"> comparação entre os direitos realizáveis e as exigibilidades, de curto prazo, aponta um índice de liquidez corrente de 1,01 em 31 de dezembro de 2021 (0,74 em 31 de dezembro de 2020) e;</w:t>
      </w:r>
    </w:p>
    <w:p w14:paraId="4CC3D824" w14:textId="77777777" w:rsidR="00C2656E" w:rsidRPr="008946A3" w:rsidRDefault="00C2656E" w:rsidP="00C2656E">
      <w:pPr>
        <w:tabs>
          <w:tab w:val="left" w:pos="180"/>
        </w:tabs>
        <w:ind w:left="1418" w:hanging="709"/>
        <w:rPr>
          <w:rFonts w:ascii="Verdana" w:hAnsi="Verdana" w:cs="Arial"/>
          <w:sz w:val="20"/>
          <w:szCs w:val="20"/>
        </w:rPr>
      </w:pPr>
    </w:p>
    <w:p w14:paraId="1047CE73" w14:textId="77777777" w:rsidR="00C2656E" w:rsidRPr="008946A3" w:rsidRDefault="00C2656E" w:rsidP="00C2656E">
      <w:pPr>
        <w:pStyle w:val="PargrafodaLista"/>
        <w:numPr>
          <w:ilvl w:val="0"/>
          <w:numId w:val="21"/>
        </w:numPr>
        <w:tabs>
          <w:tab w:val="left" w:pos="180"/>
        </w:tabs>
        <w:spacing w:line="264" w:lineRule="auto"/>
        <w:contextualSpacing/>
        <w:rPr>
          <w:rFonts w:ascii="Verdana" w:hAnsi="Verdana" w:cs="Arial"/>
          <w:sz w:val="20"/>
          <w:szCs w:val="20"/>
        </w:rPr>
      </w:pPr>
      <w:proofErr w:type="spellStart"/>
      <w:proofErr w:type="gramStart"/>
      <w:r w:rsidRPr="008946A3">
        <w:rPr>
          <w:rFonts w:ascii="Verdana" w:hAnsi="Verdana" w:cs="Arial"/>
          <w:sz w:val="20"/>
          <w:szCs w:val="20"/>
        </w:rPr>
        <w:t>a</w:t>
      </w:r>
      <w:proofErr w:type="spellEnd"/>
      <w:proofErr w:type="gramEnd"/>
      <w:r w:rsidRPr="008946A3">
        <w:rPr>
          <w:rFonts w:ascii="Verdana" w:hAnsi="Verdana" w:cs="Arial"/>
          <w:sz w:val="20"/>
          <w:szCs w:val="20"/>
        </w:rPr>
        <w:t xml:space="preserve"> comparação entre os direitos realizáveis e as exigibilidades, de curto e de longo prazo, revela um índice de liquidez geral de 0,33 em 31 de dezembro de 2021 (0,32 em 31 de dezembro de 2020).</w:t>
      </w:r>
    </w:p>
    <w:p w14:paraId="2DC7BE70" w14:textId="77777777" w:rsidR="00C2656E" w:rsidRPr="008946A3" w:rsidRDefault="00C2656E" w:rsidP="00C2656E">
      <w:pPr>
        <w:rPr>
          <w:rFonts w:ascii="Verdana" w:hAnsi="Verdana" w:cs="Arial"/>
          <w:sz w:val="20"/>
          <w:szCs w:val="20"/>
        </w:rPr>
      </w:pPr>
    </w:p>
    <w:p w14:paraId="62E18C0D" w14:textId="77777777" w:rsidR="00C2656E" w:rsidRPr="008946A3" w:rsidRDefault="00C2656E" w:rsidP="00C2656E">
      <w:pPr>
        <w:rPr>
          <w:rFonts w:ascii="Verdana" w:hAnsi="Verdana" w:cs="Arial"/>
          <w:sz w:val="20"/>
          <w:szCs w:val="20"/>
        </w:rPr>
      </w:pPr>
      <w:r w:rsidRPr="008946A3">
        <w:rPr>
          <w:rFonts w:ascii="Verdana" w:hAnsi="Verdana" w:cs="Arial"/>
          <w:sz w:val="20"/>
          <w:szCs w:val="20"/>
        </w:rPr>
        <w:t>A administração da ELETRONUCLEAR entende que os riscos de liquidez corrente estão administrados. O índice de liquidez geral está afetado pelos financiamentos das obras da Usina Angra 3, cuja entrada em operação, aprovada internamente, tem como cronograma o início de geração de receita a partir de 30 de novembro de 2027 (nota 35.3.5 a seguir).</w:t>
      </w:r>
    </w:p>
    <w:p w14:paraId="01C6C5DD" w14:textId="77777777" w:rsidR="00C2656E" w:rsidRPr="008946A3" w:rsidRDefault="00C2656E" w:rsidP="00C2656E">
      <w:pPr>
        <w:outlineLvl w:val="0"/>
        <w:rPr>
          <w:rFonts w:ascii="Verdana" w:hAnsi="Verdana" w:cs="Arial"/>
          <w:sz w:val="20"/>
          <w:szCs w:val="20"/>
        </w:rPr>
      </w:pPr>
    </w:p>
    <w:p w14:paraId="2B314D9E" w14:textId="663CF130" w:rsidR="006044CC" w:rsidRDefault="00C2656E" w:rsidP="00C2656E">
      <w:pPr>
        <w:rPr>
          <w:rFonts w:ascii="Verdana" w:hAnsi="Verdana"/>
          <w:sz w:val="20"/>
          <w:szCs w:val="20"/>
        </w:rPr>
      </w:pPr>
      <w:r w:rsidRPr="008946A3">
        <w:rPr>
          <w:rFonts w:ascii="Verdana" w:hAnsi="Verdana"/>
          <w:sz w:val="20"/>
          <w:szCs w:val="20"/>
        </w:rPr>
        <w:t xml:space="preserve">A tabela abaixo analisa os passivos financeiros </w:t>
      </w:r>
      <w:proofErr w:type="gramStart"/>
      <w:r w:rsidRPr="008946A3">
        <w:rPr>
          <w:rFonts w:ascii="Verdana" w:hAnsi="Verdana"/>
          <w:sz w:val="20"/>
          <w:szCs w:val="20"/>
        </w:rPr>
        <w:t>da  Companhia</w:t>
      </w:r>
      <w:proofErr w:type="gramEnd"/>
      <w:r w:rsidRPr="008946A3">
        <w:rPr>
          <w:rFonts w:ascii="Verdana" w:hAnsi="Verdana"/>
          <w:sz w:val="20"/>
          <w:szCs w:val="20"/>
        </w:rPr>
        <w:t xml:space="preserve"> por faixas de vencimento, correspondentes ao período remanescente no balanço patrimonial até a data contratual do vencimento. O vencimento contratual baseia-se na data mais recente em que a Companhia deve quitar obrigações e inclui os respectivos juros contratuais relacionados, quando aplicável. Os valores divulgados no quadro são os fluxos de caixa não descontados contratados</w:t>
      </w:r>
      <w:r w:rsidR="00AD4342">
        <w:rPr>
          <w:rFonts w:ascii="Verdana" w:hAnsi="Verdana"/>
          <w:sz w:val="20"/>
          <w:szCs w:val="20"/>
        </w:rPr>
        <w:t>:</w:t>
      </w:r>
    </w:p>
    <w:p w14:paraId="21E8A464" w14:textId="77777777" w:rsidR="00AD4342" w:rsidRPr="00FD016C" w:rsidRDefault="00AD4342" w:rsidP="006044CC">
      <w:pPr>
        <w:tabs>
          <w:tab w:val="left" w:pos="180"/>
        </w:tabs>
        <w:rPr>
          <w:rFonts w:ascii="Verdana" w:hAnsi="Verdana" w:cs="Arial"/>
          <w:sz w:val="20"/>
          <w:szCs w:val="20"/>
        </w:rPr>
      </w:pPr>
    </w:p>
    <w:p w14:paraId="74F75D20" w14:textId="59ED83A9" w:rsidR="006044CC" w:rsidRPr="00FD016C" w:rsidRDefault="005A1F34" w:rsidP="00C27AC1">
      <w:pPr>
        <w:tabs>
          <w:tab w:val="left" w:pos="180"/>
        </w:tabs>
        <w:jc w:val="center"/>
        <w:rPr>
          <w:rFonts w:ascii="Arial" w:hAnsi="Arial" w:cs="Arial"/>
        </w:rPr>
      </w:pPr>
      <w:r w:rsidRPr="005A1F34">
        <w:rPr>
          <w:noProof/>
        </w:rPr>
        <w:drawing>
          <wp:inline distT="0" distB="0" distL="0" distR="0" wp14:anchorId="2979BAB2" wp14:editId="5EA3EE06">
            <wp:extent cx="5997386" cy="1765672"/>
            <wp:effectExtent l="0" t="0" r="3810" b="635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6014808" cy="1770801"/>
                    </a:xfrm>
                    <a:prstGeom prst="rect">
                      <a:avLst/>
                    </a:prstGeom>
                    <a:noFill/>
                    <a:ln>
                      <a:noFill/>
                    </a:ln>
                  </pic:spPr>
                </pic:pic>
              </a:graphicData>
            </a:graphic>
          </wp:inline>
        </w:drawing>
      </w:r>
      <w:r w:rsidR="00780B1B" w:rsidRPr="00780B1B" w:rsidDel="00780B1B">
        <w:t xml:space="preserve"> </w:t>
      </w:r>
    </w:p>
    <w:p w14:paraId="50BC9BCC" w14:textId="77777777" w:rsidR="006044CC" w:rsidRPr="00FD016C" w:rsidRDefault="006044CC" w:rsidP="006044CC">
      <w:pPr>
        <w:rPr>
          <w:rFonts w:ascii="Verdana" w:hAnsi="Verdana" w:cs="Arial"/>
          <w:b/>
          <w:bCs/>
          <w:sz w:val="20"/>
          <w:szCs w:val="20"/>
        </w:rPr>
      </w:pPr>
    </w:p>
    <w:p w14:paraId="6EB1AEA8" w14:textId="77777777" w:rsidR="006044CC" w:rsidRPr="002678BF" w:rsidRDefault="006044CC" w:rsidP="006044CC">
      <w:pPr>
        <w:rPr>
          <w:rFonts w:ascii="Verdana" w:hAnsi="Verdana" w:cs="Arial"/>
          <w:b/>
          <w:bCs/>
          <w:sz w:val="20"/>
          <w:szCs w:val="20"/>
          <w:highlight w:val="green"/>
        </w:rPr>
      </w:pPr>
    </w:p>
    <w:bookmarkEnd w:id="28"/>
    <w:p w14:paraId="3DBC0975" w14:textId="77777777" w:rsidR="00C2656E" w:rsidRPr="008946A3" w:rsidRDefault="00C2656E" w:rsidP="00C2656E">
      <w:pPr>
        <w:widowControl w:val="0"/>
        <w:autoSpaceDE w:val="0"/>
        <w:autoSpaceDN w:val="0"/>
        <w:jc w:val="left"/>
        <w:rPr>
          <w:rFonts w:ascii="Verdana" w:hAnsi="Verdana"/>
          <w:color w:val="0D63B5"/>
          <w:sz w:val="20"/>
          <w:szCs w:val="20"/>
        </w:rPr>
      </w:pPr>
      <w:r w:rsidRPr="008946A3">
        <w:rPr>
          <w:rFonts w:ascii="Verdana" w:hAnsi="Verdana"/>
          <w:color w:val="0D63B5"/>
          <w:sz w:val="20"/>
          <w:szCs w:val="20"/>
        </w:rPr>
        <w:t>35.3.5 – Risco Operacional</w:t>
      </w:r>
    </w:p>
    <w:p w14:paraId="71C3A817" w14:textId="77777777" w:rsidR="00C2656E" w:rsidRPr="008946A3" w:rsidRDefault="00C2656E" w:rsidP="00C2656E">
      <w:pPr>
        <w:rPr>
          <w:rFonts w:ascii="Verdana" w:hAnsi="Verdana"/>
          <w:sz w:val="20"/>
          <w:szCs w:val="20"/>
        </w:rPr>
      </w:pPr>
    </w:p>
    <w:p w14:paraId="7A146B58" w14:textId="77777777" w:rsidR="00C2656E" w:rsidRPr="008946A3" w:rsidRDefault="00C2656E" w:rsidP="00C2656E">
      <w:pPr>
        <w:rPr>
          <w:rFonts w:ascii="Verdana" w:hAnsi="Verdana" w:cs="Arial"/>
          <w:iCs/>
          <w:sz w:val="20"/>
          <w:szCs w:val="20"/>
        </w:rPr>
      </w:pPr>
      <w:r w:rsidRPr="008946A3">
        <w:rPr>
          <w:rFonts w:ascii="Verdana" w:hAnsi="Verdana" w:cs="Arial"/>
          <w:iCs/>
          <w:sz w:val="20"/>
          <w:szCs w:val="20"/>
        </w:rPr>
        <w:t>A ELETRONUCLEAR tem como atividade principal a operação das Usinas Angra 1 e 2.</w:t>
      </w:r>
    </w:p>
    <w:p w14:paraId="7C670BDF" w14:textId="77777777" w:rsidR="00C2656E" w:rsidRPr="008946A3" w:rsidRDefault="00C2656E" w:rsidP="00C2656E">
      <w:pPr>
        <w:rPr>
          <w:rFonts w:ascii="Verdana" w:hAnsi="Verdana" w:cs="Arial"/>
          <w:iCs/>
          <w:sz w:val="20"/>
          <w:szCs w:val="20"/>
        </w:rPr>
      </w:pPr>
    </w:p>
    <w:p w14:paraId="183F626D" w14:textId="77777777" w:rsidR="00C2656E" w:rsidRPr="008946A3" w:rsidRDefault="00C2656E" w:rsidP="00C2656E">
      <w:pPr>
        <w:rPr>
          <w:rFonts w:ascii="Verdana" w:hAnsi="Verdana" w:cs="Arial"/>
          <w:iCs/>
          <w:sz w:val="20"/>
          <w:szCs w:val="20"/>
        </w:rPr>
      </w:pPr>
      <w:r w:rsidRPr="008946A3">
        <w:rPr>
          <w:rFonts w:ascii="Verdana" w:hAnsi="Verdana" w:cs="Arial"/>
          <w:iCs/>
          <w:sz w:val="20"/>
          <w:szCs w:val="20"/>
        </w:rPr>
        <w:t>Toda a energia produzida por essas usinas tem fornecimento contratual de longo prazo firmado com as distribuidoras de energia elétrica; contratos esses regidos pela Câmara de Comercialização de Energia Elétrica - CCEE. A ELETRONUCLEAR entende que o risco de inadimplência fica mitigado na quitação desse faturamento, face à atividade de administração financeira estar sob o controle da CCEE, que possui autonomia sobre os recursos reservados pelas distribuidoras para esse fim.</w:t>
      </w:r>
    </w:p>
    <w:p w14:paraId="52AF9F2D" w14:textId="77777777" w:rsidR="00C2656E" w:rsidRPr="008946A3" w:rsidRDefault="00C2656E" w:rsidP="00C2656E">
      <w:pPr>
        <w:rPr>
          <w:rFonts w:ascii="Verdana" w:hAnsi="Verdana" w:cs="Arial"/>
          <w:iCs/>
          <w:sz w:val="20"/>
          <w:szCs w:val="20"/>
        </w:rPr>
      </w:pPr>
    </w:p>
    <w:p w14:paraId="367A684D" w14:textId="77777777" w:rsidR="00C2656E" w:rsidRPr="008946A3" w:rsidRDefault="00C2656E" w:rsidP="00C2656E">
      <w:pPr>
        <w:rPr>
          <w:rFonts w:ascii="Verdana" w:hAnsi="Verdana" w:cs="Arial"/>
          <w:iCs/>
          <w:sz w:val="20"/>
          <w:szCs w:val="20"/>
        </w:rPr>
      </w:pPr>
      <w:r w:rsidRPr="008946A3">
        <w:rPr>
          <w:rFonts w:ascii="Verdana" w:hAnsi="Verdana" w:cs="Arial"/>
          <w:iCs/>
          <w:sz w:val="20"/>
          <w:szCs w:val="20"/>
        </w:rPr>
        <w:t xml:space="preserve">A receita fixa das Usinas Angra 1 e 2 é regulada pela Agência Nacional de Energia Elétrica - Aneel, através do modelo do Procedimento de Regulação Tarifária - PRORET: Módulo 6, </w:t>
      </w:r>
      <w:proofErr w:type="spellStart"/>
      <w:r w:rsidRPr="008946A3">
        <w:rPr>
          <w:rFonts w:ascii="Verdana" w:hAnsi="Verdana" w:cs="Arial"/>
          <w:iCs/>
          <w:sz w:val="20"/>
          <w:szCs w:val="20"/>
        </w:rPr>
        <w:t>Submódulo</w:t>
      </w:r>
      <w:proofErr w:type="spellEnd"/>
      <w:r w:rsidRPr="008946A3">
        <w:rPr>
          <w:rFonts w:ascii="Verdana" w:hAnsi="Verdana" w:cs="Arial"/>
          <w:iCs/>
          <w:sz w:val="20"/>
          <w:szCs w:val="20"/>
        </w:rPr>
        <w:t xml:space="preserve"> 6.7, com reajustes anuais e revisões quinquenais. A receita fixa para o ano de 2022 foi definida pela Resolução Homologatória nº 3.002 de 14 de dezembro de 2021 - DOU 21 de dezembro de 2021, no montante de R$ 4.672.327.</w:t>
      </w:r>
    </w:p>
    <w:p w14:paraId="11001B7B" w14:textId="77777777" w:rsidR="00C2656E" w:rsidRPr="008946A3" w:rsidRDefault="00C2656E" w:rsidP="00C2656E">
      <w:pPr>
        <w:rPr>
          <w:rFonts w:ascii="Verdana" w:hAnsi="Verdana" w:cs="Arial"/>
          <w:iCs/>
          <w:sz w:val="20"/>
          <w:szCs w:val="20"/>
        </w:rPr>
      </w:pPr>
    </w:p>
    <w:p w14:paraId="4C2AF86D" w14:textId="77777777" w:rsidR="00C2656E" w:rsidRPr="008946A3" w:rsidRDefault="00C2656E" w:rsidP="00C2656E">
      <w:pPr>
        <w:rPr>
          <w:rFonts w:ascii="Verdana" w:hAnsi="Verdana" w:cs="Arial"/>
          <w:iCs/>
          <w:sz w:val="20"/>
          <w:szCs w:val="20"/>
        </w:rPr>
      </w:pPr>
      <w:r w:rsidRPr="008946A3">
        <w:rPr>
          <w:rFonts w:ascii="Verdana" w:hAnsi="Verdana" w:cs="Arial"/>
          <w:iCs/>
          <w:sz w:val="20"/>
          <w:szCs w:val="20"/>
        </w:rPr>
        <w:t>Salienta-se que, conforme regras de comercialização das energias das Usinas Angra 1 e 2, os desvios eventuais (sobras ou faltas) são apurados em cada exercício e são faturados ou devolvidos em duodécimos no exercício seguinte.</w:t>
      </w:r>
    </w:p>
    <w:p w14:paraId="27895706" w14:textId="77777777" w:rsidR="00C2656E" w:rsidRPr="008946A3" w:rsidRDefault="00C2656E" w:rsidP="00C2656E">
      <w:pPr>
        <w:rPr>
          <w:rFonts w:ascii="Verdana" w:hAnsi="Verdana" w:cs="Arial"/>
          <w:iCs/>
          <w:sz w:val="20"/>
          <w:szCs w:val="20"/>
        </w:rPr>
      </w:pPr>
    </w:p>
    <w:p w14:paraId="5ADC4A75" w14:textId="77777777" w:rsidR="00C2656E" w:rsidRPr="008946A3" w:rsidRDefault="00C2656E" w:rsidP="00C2656E">
      <w:pPr>
        <w:rPr>
          <w:rFonts w:ascii="Verdana" w:hAnsi="Verdana" w:cs="Arial"/>
          <w:iCs/>
          <w:sz w:val="20"/>
          <w:szCs w:val="20"/>
        </w:rPr>
      </w:pPr>
      <w:r w:rsidRPr="008946A3">
        <w:rPr>
          <w:rFonts w:ascii="Verdana" w:hAnsi="Verdana" w:cs="Arial"/>
          <w:iCs/>
          <w:sz w:val="20"/>
          <w:szCs w:val="20"/>
        </w:rPr>
        <w:lastRenderedPageBreak/>
        <w:t>O principal insumo na geração de energia elétrica de fonte termonuclear é o combustível nuclear, insumo este fornecido no Brasil única e exclusivamente pelas Indústrias Nucleares do Brasil S.A. – INB, empresa estatal de economia mista vinculada ao Ministério de Minas e Energia - MME, que, em nome da União, exerce no Brasil o monopólio da produção e comercialização de materiais nucleares, dentre eles, os elementos combustíveis utilizados nos reatores das Usinas Angra 1 e 2.</w:t>
      </w:r>
    </w:p>
    <w:p w14:paraId="50215D12" w14:textId="77777777" w:rsidR="00C2656E" w:rsidRPr="008946A3" w:rsidRDefault="00C2656E" w:rsidP="00C2656E">
      <w:pPr>
        <w:rPr>
          <w:rFonts w:ascii="Verdana" w:hAnsi="Verdana" w:cs="Arial"/>
          <w:iCs/>
          <w:sz w:val="20"/>
          <w:szCs w:val="20"/>
        </w:rPr>
      </w:pPr>
    </w:p>
    <w:p w14:paraId="2AFC4AF7" w14:textId="77777777" w:rsidR="00C2656E" w:rsidRPr="008946A3" w:rsidRDefault="00C2656E" w:rsidP="00C2656E">
      <w:pPr>
        <w:rPr>
          <w:rFonts w:ascii="Verdana" w:hAnsi="Verdana"/>
          <w:sz w:val="20"/>
          <w:szCs w:val="20"/>
        </w:rPr>
      </w:pPr>
      <w:r w:rsidRPr="008946A3">
        <w:rPr>
          <w:rFonts w:ascii="Verdana" w:hAnsi="Verdana"/>
          <w:sz w:val="20"/>
          <w:szCs w:val="20"/>
        </w:rPr>
        <w:t>Desde 2018, época em que ainda era subordinada ao Ministério de Ciência, Tecnologia, Inovações e Comunicações – MCTIC, a INB vem sofrendo expressivas reduções orçamentárias e severas limitações no Orçamento Fiscal da União, o que tem lhe causado fortes dificuldades para honrar seus compromissos, aí incluindo a aquisição de matéria-prima para a fabricação do combustível nuclear, seja urânio nacional ou importado.</w:t>
      </w:r>
    </w:p>
    <w:p w14:paraId="2BD4ADE3" w14:textId="77777777" w:rsidR="00C2656E" w:rsidRPr="008946A3" w:rsidRDefault="00C2656E" w:rsidP="00C2656E">
      <w:pPr>
        <w:rPr>
          <w:rFonts w:ascii="Verdana" w:hAnsi="Verdana"/>
          <w:sz w:val="20"/>
          <w:szCs w:val="20"/>
        </w:rPr>
      </w:pPr>
    </w:p>
    <w:p w14:paraId="191FB43C" w14:textId="77777777" w:rsidR="00C2656E" w:rsidRPr="008946A3" w:rsidRDefault="00C2656E" w:rsidP="00C2656E">
      <w:pPr>
        <w:rPr>
          <w:rFonts w:ascii="Verdana" w:hAnsi="Verdana"/>
          <w:sz w:val="20"/>
          <w:szCs w:val="20"/>
        </w:rPr>
      </w:pPr>
      <w:r w:rsidRPr="008946A3">
        <w:rPr>
          <w:rFonts w:ascii="Verdana" w:hAnsi="Verdana"/>
          <w:sz w:val="20"/>
          <w:szCs w:val="20"/>
        </w:rPr>
        <w:t>Considerando os riscos de descontinuidade de operação das Usinas Angra 1 e 2, e também do compromisso e da importância que o suprimento de energia elétrica da Central Nuclear Almirante Álvaro Alberto – CNAAA tem no âmbito do Sistema Interligado Nacional – SIN, a administração da ELETRONUCLEAR tem submetido esses riscos aos diversos órgãos a quem está subordinada, no intuito de serem superadas estas ameaças de desabastecimento.</w:t>
      </w:r>
    </w:p>
    <w:p w14:paraId="7052224F" w14:textId="77777777" w:rsidR="00C2656E" w:rsidRPr="008946A3" w:rsidRDefault="00C2656E" w:rsidP="00C2656E">
      <w:pPr>
        <w:rPr>
          <w:rFonts w:ascii="Verdana" w:hAnsi="Verdana"/>
          <w:sz w:val="20"/>
          <w:szCs w:val="20"/>
        </w:rPr>
      </w:pPr>
    </w:p>
    <w:p w14:paraId="19FB199A" w14:textId="77777777" w:rsidR="00C2656E" w:rsidRPr="008946A3" w:rsidRDefault="00C2656E" w:rsidP="00C2656E">
      <w:pPr>
        <w:rPr>
          <w:rFonts w:ascii="Verdana" w:hAnsi="Verdana"/>
          <w:sz w:val="20"/>
          <w:szCs w:val="20"/>
        </w:rPr>
      </w:pPr>
      <w:r w:rsidRPr="008946A3">
        <w:rPr>
          <w:rFonts w:ascii="Verdana" w:hAnsi="Verdana"/>
          <w:sz w:val="20"/>
          <w:szCs w:val="20"/>
        </w:rPr>
        <w:t xml:space="preserve">Atualmente, as Indústrias Nucleares do Brasil – INB, por questões legais, é considerada uma estatal dependente para fins de elaboração do orçamento da União. Nesse sentido, a INB tem apontado que os valores aprovados em seu orçamento fiscal, ao qual tem sido submetida, têm implicado a mesma em riscos à manutenção de sua adimplência contratual para com a ELETRONUCLEAR, o que implica em dizer, em última análise, e embora de probabilidade reduzida, numa eventual possibilidade de não fornecimento de nossos insumos ao processo de geração de energia elétrica, que seriam os elementos combustíveis por ela fabricados. </w:t>
      </w:r>
    </w:p>
    <w:p w14:paraId="5111E7CF" w14:textId="77777777" w:rsidR="00C2656E" w:rsidRPr="008946A3" w:rsidRDefault="00C2656E" w:rsidP="00C2656E">
      <w:pPr>
        <w:rPr>
          <w:rFonts w:ascii="Verdana" w:hAnsi="Verdana"/>
          <w:sz w:val="20"/>
          <w:szCs w:val="20"/>
        </w:rPr>
      </w:pPr>
    </w:p>
    <w:p w14:paraId="36F6D940" w14:textId="77777777" w:rsidR="00C2656E" w:rsidRPr="008946A3" w:rsidRDefault="00C2656E" w:rsidP="00C2656E">
      <w:pPr>
        <w:rPr>
          <w:rFonts w:ascii="Verdana" w:hAnsi="Verdana"/>
          <w:sz w:val="20"/>
          <w:szCs w:val="20"/>
        </w:rPr>
      </w:pPr>
      <w:r w:rsidRPr="008946A3">
        <w:rPr>
          <w:rFonts w:ascii="Verdana" w:hAnsi="Verdana"/>
          <w:sz w:val="20"/>
          <w:szCs w:val="20"/>
        </w:rPr>
        <w:t xml:space="preserve">Como forma de superar estes entraves, a ELETRONUCLEAR e INB assinaram os novos contratos de fornecimento de elementos combustíveis em 24 de fevereiro de 2022, os quais abrangem 5 (cinco) recargas para cada uma das Usinas atualmente em operação (Angra 1 e Angra 2) a partir de 2022. Como próximo passo para solucionar as dificuldades orçamentarias da INB, seus gestores iniciarão gestões junto as alçadas de governança competentes, estando nelas incluídas o Ministério de Minas e Energia – MME e o Ministério da Economia – ME, com o intuito de tornar a INB independente do Tesouro, visto que, a partir de agora ela reunirá condições fiscais sustentáveis para a sua eliminação da condição orçamentária de uma “estatal dependente”, o que garantiria a segurança de suas operações e por consequência no cumprimento de seu contrato para com a ELETRONUCLEAR, eliminando, assim, o risco de a INB não produzir as recargas contratadas pela ELETRONUCLEAR por restrições orçamentárias. </w:t>
      </w:r>
    </w:p>
    <w:p w14:paraId="36F9390D" w14:textId="77777777" w:rsidR="00C2656E" w:rsidRPr="008946A3" w:rsidRDefault="00C2656E" w:rsidP="00C2656E">
      <w:pPr>
        <w:rPr>
          <w:rFonts w:ascii="Verdana" w:hAnsi="Verdana"/>
          <w:sz w:val="20"/>
          <w:szCs w:val="20"/>
        </w:rPr>
      </w:pPr>
    </w:p>
    <w:p w14:paraId="120E8888" w14:textId="77777777" w:rsidR="00C2656E" w:rsidRPr="008946A3" w:rsidRDefault="00C2656E" w:rsidP="00C2656E">
      <w:pPr>
        <w:rPr>
          <w:rFonts w:ascii="Verdana" w:hAnsi="Verdana"/>
          <w:sz w:val="20"/>
          <w:szCs w:val="20"/>
        </w:rPr>
      </w:pPr>
      <w:r w:rsidRPr="008946A3">
        <w:rPr>
          <w:rFonts w:ascii="Verdana" w:hAnsi="Verdana"/>
          <w:sz w:val="20"/>
          <w:szCs w:val="20"/>
        </w:rPr>
        <w:t xml:space="preserve">A Eletrobras, controladora da ELETRONUCLEAR, conjuntamente ao Ministério de Minas e Energia – MME, tem realizado gestões junto ao Ministério da Economia no intuito de superar as dificuldades orçamentárias ora vivenciadas pela INB. </w:t>
      </w:r>
    </w:p>
    <w:p w14:paraId="529896F5" w14:textId="77777777" w:rsidR="00C2656E" w:rsidRPr="008946A3" w:rsidRDefault="00C2656E" w:rsidP="00C2656E">
      <w:pPr>
        <w:rPr>
          <w:rFonts w:ascii="Verdana" w:hAnsi="Verdana"/>
          <w:sz w:val="20"/>
          <w:szCs w:val="20"/>
        </w:rPr>
      </w:pPr>
    </w:p>
    <w:p w14:paraId="42E40EC5" w14:textId="77777777" w:rsidR="00C2656E" w:rsidRPr="008946A3" w:rsidRDefault="00C2656E" w:rsidP="00C2656E">
      <w:pPr>
        <w:rPr>
          <w:rFonts w:ascii="Verdana" w:eastAsiaTheme="minorHAnsi" w:hAnsi="Verdana" w:cs="Verdana"/>
          <w:color w:val="000000"/>
          <w:sz w:val="20"/>
          <w:szCs w:val="20"/>
          <w:lang w:eastAsia="en-US"/>
        </w:rPr>
      </w:pPr>
      <w:r w:rsidRPr="008946A3">
        <w:rPr>
          <w:rFonts w:ascii="Verdana" w:eastAsiaTheme="minorHAnsi" w:hAnsi="Verdana" w:cs="Verdana"/>
          <w:color w:val="000000"/>
          <w:sz w:val="20"/>
          <w:szCs w:val="20"/>
          <w:lang w:eastAsia="en-US"/>
        </w:rPr>
        <w:t xml:space="preserve">No terceiro trimestre de 2020, durante a parada para manutenção e reabastecimento de combustível nuclear na Usina Angra 2, identificou-se acentuado processo corrosivo nos Elementos Combustíveis da Série R, impossibilitando a utilização dos referidos elementos combustíveis no ciclo seguinte. </w:t>
      </w:r>
    </w:p>
    <w:p w14:paraId="42176645"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p>
    <w:p w14:paraId="16BB4294"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r w:rsidRPr="008946A3">
        <w:rPr>
          <w:rFonts w:ascii="Verdana" w:eastAsiaTheme="minorHAnsi" w:hAnsi="Verdana" w:cs="Verdana"/>
          <w:color w:val="000000"/>
          <w:sz w:val="20"/>
          <w:szCs w:val="20"/>
          <w:lang w:eastAsia="en-US"/>
        </w:rPr>
        <w:t xml:space="preserve">Como consequência imediata iniciaram-se as análises juntamente com a </w:t>
      </w:r>
      <w:proofErr w:type="spellStart"/>
      <w:r w:rsidRPr="008946A3">
        <w:rPr>
          <w:rFonts w:ascii="Verdana" w:eastAsiaTheme="minorHAnsi" w:hAnsi="Verdana" w:cs="Verdana"/>
          <w:color w:val="000000"/>
          <w:sz w:val="20"/>
          <w:szCs w:val="20"/>
          <w:lang w:eastAsia="en-US"/>
        </w:rPr>
        <w:t>Framatome</w:t>
      </w:r>
      <w:proofErr w:type="spellEnd"/>
      <w:r w:rsidRPr="008946A3">
        <w:rPr>
          <w:rFonts w:ascii="Verdana" w:eastAsiaTheme="minorHAnsi" w:hAnsi="Verdana" w:cs="Verdana"/>
          <w:color w:val="000000"/>
          <w:sz w:val="20"/>
          <w:szCs w:val="20"/>
          <w:lang w:eastAsia="en-US"/>
        </w:rPr>
        <w:t xml:space="preserve"> para a definição do projeto do núcleo para o ciclo seguinte. </w:t>
      </w:r>
    </w:p>
    <w:p w14:paraId="28F5F59E"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p>
    <w:p w14:paraId="7EDC7DAB"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r w:rsidRPr="008946A3">
        <w:rPr>
          <w:rFonts w:ascii="Verdana" w:eastAsiaTheme="minorHAnsi" w:hAnsi="Verdana" w:cs="Verdana"/>
          <w:color w:val="000000"/>
          <w:sz w:val="20"/>
          <w:szCs w:val="20"/>
          <w:lang w:eastAsia="en-US"/>
        </w:rPr>
        <w:t xml:space="preserve">Adicionalmente, a </w:t>
      </w:r>
      <w:proofErr w:type="spellStart"/>
      <w:r w:rsidRPr="008946A3">
        <w:rPr>
          <w:rFonts w:ascii="Verdana" w:eastAsiaTheme="minorHAnsi" w:hAnsi="Verdana" w:cs="Verdana"/>
          <w:color w:val="000000"/>
          <w:sz w:val="20"/>
          <w:szCs w:val="20"/>
          <w:lang w:eastAsia="en-US"/>
        </w:rPr>
        <w:t>Framatome</w:t>
      </w:r>
      <w:proofErr w:type="spellEnd"/>
      <w:r w:rsidRPr="008946A3">
        <w:rPr>
          <w:rFonts w:ascii="Verdana" w:eastAsiaTheme="minorHAnsi" w:hAnsi="Verdana" w:cs="Verdana"/>
          <w:color w:val="000000"/>
          <w:sz w:val="20"/>
          <w:szCs w:val="20"/>
          <w:lang w:eastAsia="en-US"/>
        </w:rPr>
        <w:t xml:space="preserve"> iniciou a avaliação do problema para identificar a causa raiz do evento e definição quanto a possibilidade de utilização dos Elementos Combustíveis da Série R. </w:t>
      </w:r>
    </w:p>
    <w:p w14:paraId="6BCE1011"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p>
    <w:p w14:paraId="5B4B3B42"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r w:rsidRPr="008946A3">
        <w:rPr>
          <w:rFonts w:ascii="Verdana" w:eastAsiaTheme="minorHAnsi" w:hAnsi="Verdana" w:cs="Verdana"/>
          <w:color w:val="000000"/>
          <w:sz w:val="20"/>
          <w:szCs w:val="20"/>
          <w:lang w:eastAsia="en-US"/>
        </w:rPr>
        <w:t xml:space="preserve">Neste contexto e em consonância com os termos de Garantia do Contrato GAC.T-CT-032/2010 em sua Cláusula 14 – Garantias e Penalidades, foi formalizado pela ELETRONUCLEAR junto a INB o acionamento da referida cláusula de Garantia através da Correspondência DT- 008/2020, por entendermos ser um problema de fabricação dos Elementos Combustíveis. </w:t>
      </w:r>
    </w:p>
    <w:p w14:paraId="702D4025"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p>
    <w:p w14:paraId="1302BE3C"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r w:rsidRPr="008946A3">
        <w:rPr>
          <w:rFonts w:ascii="Verdana" w:eastAsiaTheme="minorHAnsi" w:hAnsi="Verdana" w:cs="Verdana"/>
          <w:color w:val="000000"/>
          <w:sz w:val="20"/>
          <w:szCs w:val="20"/>
          <w:lang w:eastAsia="en-US"/>
        </w:rPr>
        <w:lastRenderedPageBreak/>
        <w:t xml:space="preserve">Definido o projeto do núcleo para o ciclo seguinte sem utilizar os Elementos Combustíveis R e utilizando Elementos Combustíveis de Angra 3, a usina operou durante o ciclo 17, com comprimento reduzido e a 90% de potência em função da utilização dos Elementos Combustíveis de Angra 3 e da PCU de 3º ciclo operacional. </w:t>
      </w:r>
    </w:p>
    <w:p w14:paraId="6B48C1C3"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p>
    <w:p w14:paraId="613E37FF"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r w:rsidRPr="008946A3">
        <w:rPr>
          <w:rFonts w:ascii="Verdana" w:eastAsiaTheme="minorHAnsi" w:hAnsi="Verdana" w:cs="Verdana"/>
          <w:color w:val="000000"/>
          <w:sz w:val="20"/>
          <w:szCs w:val="20"/>
          <w:lang w:eastAsia="en-US"/>
        </w:rPr>
        <w:t xml:space="preserve">Ao longo do ciclo 17, a </w:t>
      </w:r>
      <w:proofErr w:type="spellStart"/>
      <w:r w:rsidRPr="008946A3">
        <w:rPr>
          <w:rFonts w:ascii="Verdana" w:eastAsiaTheme="minorHAnsi" w:hAnsi="Verdana" w:cs="Verdana"/>
          <w:color w:val="000000"/>
          <w:sz w:val="20"/>
          <w:szCs w:val="20"/>
          <w:lang w:eastAsia="en-US"/>
        </w:rPr>
        <w:t>Framatome</w:t>
      </w:r>
      <w:proofErr w:type="spellEnd"/>
      <w:r w:rsidRPr="008946A3">
        <w:rPr>
          <w:rFonts w:ascii="Verdana" w:eastAsiaTheme="minorHAnsi" w:hAnsi="Verdana" w:cs="Verdana"/>
          <w:color w:val="000000"/>
          <w:sz w:val="20"/>
          <w:szCs w:val="20"/>
          <w:lang w:eastAsia="en-US"/>
        </w:rPr>
        <w:t xml:space="preserve"> foi contratada para avaliar as condições dos </w:t>
      </w:r>
      <w:proofErr w:type="spellStart"/>
      <w:r w:rsidRPr="008946A3">
        <w:rPr>
          <w:rFonts w:ascii="Verdana" w:eastAsiaTheme="minorHAnsi" w:hAnsi="Verdana" w:cs="Verdana"/>
          <w:color w:val="000000"/>
          <w:sz w:val="20"/>
          <w:szCs w:val="20"/>
          <w:lang w:eastAsia="en-US"/>
        </w:rPr>
        <w:t>ECs</w:t>
      </w:r>
      <w:proofErr w:type="spellEnd"/>
      <w:r w:rsidRPr="008946A3">
        <w:rPr>
          <w:rFonts w:ascii="Verdana" w:eastAsiaTheme="minorHAnsi" w:hAnsi="Verdana" w:cs="Verdana"/>
          <w:color w:val="000000"/>
          <w:sz w:val="20"/>
          <w:szCs w:val="20"/>
          <w:lang w:eastAsia="en-US"/>
        </w:rPr>
        <w:t xml:space="preserve"> da série R, tendo-se concluído que 33 </w:t>
      </w:r>
      <w:proofErr w:type="spellStart"/>
      <w:r w:rsidRPr="008946A3">
        <w:rPr>
          <w:rFonts w:ascii="Verdana" w:eastAsiaTheme="minorHAnsi" w:hAnsi="Verdana" w:cs="Verdana"/>
          <w:color w:val="000000"/>
          <w:sz w:val="20"/>
          <w:szCs w:val="20"/>
          <w:lang w:eastAsia="en-US"/>
        </w:rPr>
        <w:t>ECs</w:t>
      </w:r>
      <w:proofErr w:type="spellEnd"/>
      <w:r w:rsidRPr="008946A3">
        <w:rPr>
          <w:rFonts w:ascii="Verdana" w:eastAsiaTheme="minorHAnsi" w:hAnsi="Verdana" w:cs="Verdana"/>
          <w:color w:val="000000"/>
          <w:sz w:val="20"/>
          <w:szCs w:val="20"/>
          <w:lang w:eastAsia="en-US"/>
        </w:rPr>
        <w:t xml:space="preserve"> não atendiam ao Critério de Aceitação para futura utilização. </w:t>
      </w:r>
    </w:p>
    <w:p w14:paraId="2AF709AE"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p>
    <w:p w14:paraId="623B1C18"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r w:rsidRPr="008946A3">
        <w:rPr>
          <w:rFonts w:ascii="Verdana" w:eastAsiaTheme="minorHAnsi" w:hAnsi="Verdana" w:cs="Verdana"/>
          <w:color w:val="000000"/>
          <w:sz w:val="20"/>
          <w:szCs w:val="20"/>
          <w:lang w:eastAsia="en-US"/>
        </w:rPr>
        <w:t xml:space="preserve">Considerando-se a impossibilidade de reutilização deste 33 </w:t>
      </w:r>
      <w:proofErr w:type="spellStart"/>
      <w:r w:rsidRPr="008946A3">
        <w:rPr>
          <w:rFonts w:ascii="Verdana" w:eastAsiaTheme="minorHAnsi" w:hAnsi="Verdana" w:cs="Verdana"/>
          <w:color w:val="000000"/>
          <w:sz w:val="20"/>
          <w:szCs w:val="20"/>
          <w:lang w:eastAsia="en-US"/>
        </w:rPr>
        <w:t>ECs</w:t>
      </w:r>
      <w:proofErr w:type="spellEnd"/>
      <w:r w:rsidRPr="008946A3">
        <w:rPr>
          <w:rFonts w:ascii="Verdana" w:eastAsiaTheme="minorHAnsi" w:hAnsi="Verdana" w:cs="Verdana"/>
          <w:color w:val="000000"/>
          <w:sz w:val="20"/>
          <w:szCs w:val="20"/>
          <w:lang w:eastAsia="en-US"/>
        </w:rPr>
        <w:t xml:space="preserve">, foi solicitado que a </w:t>
      </w:r>
      <w:proofErr w:type="spellStart"/>
      <w:r w:rsidRPr="008946A3">
        <w:rPr>
          <w:rFonts w:ascii="Verdana" w:eastAsiaTheme="minorHAnsi" w:hAnsi="Verdana" w:cs="Verdana"/>
          <w:color w:val="000000"/>
          <w:sz w:val="20"/>
          <w:szCs w:val="20"/>
          <w:lang w:eastAsia="en-US"/>
        </w:rPr>
        <w:t>Framatome</w:t>
      </w:r>
      <w:proofErr w:type="spellEnd"/>
      <w:r w:rsidRPr="008946A3">
        <w:rPr>
          <w:rFonts w:ascii="Verdana" w:eastAsiaTheme="minorHAnsi" w:hAnsi="Verdana" w:cs="Verdana"/>
          <w:color w:val="000000"/>
          <w:sz w:val="20"/>
          <w:szCs w:val="20"/>
          <w:lang w:eastAsia="en-US"/>
        </w:rPr>
        <w:t xml:space="preserve"> avaliasse a viabilidade de </w:t>
      </w:r>
      <w:proofErr w:type="spellStart"/>
      <w:r w:rsidRPr="008946A3">
        <w:rPr>
          <w:rFonts w:ascii="Verdana" w:eastAsiaTheme="minorHAnsi" w:hAnsi="Verdana" w:cs="Verdana"/>
          <w:color w:val="000000"/>
          <w:sz w:val="20"/>
          <w:szCs w:val="20"/>
          <w:lang w:eastAsia="en-US"/>
        </w:rPr>
        <w:t>reesqueletamento</w:t>
      </w:r>
      <w:proofErr w:type="spellEnd"/>
      <w:r w:rsidRPr="008946A3">
        <w:rPr>
          <w:rFonts w:ascii="Verdana" w:eastAsiaTheme="minorHAnsi" w:hAnsi="Verdana" w:cs="Verdana"/>
          <w:color w:val="000000"/>
          <w:sz w:val="20"/>
          <w:szCs w:val="20"/>
          <w:lang w:eastAsia="en-US"/>
        </w:rPr>
        <w:t xml:space="preserve"> destes </w:t>
      </w:r>
      <w:proofErr w:type="spellStart"/>
      <w:r w:rsidRPr="008946A3">
        <w:rPr>
          <w:rFonts w:ascii="Verdana" w:eastAsiaTheme="minorHAnsi" w:hAnsi="Verdana" w:cs="Verdana"/>
          <w:color w:val="000000"/>
          <w:sz w:val="20"/>
          <w:szCs w:val="20"/>
          <w:lang w:eastAsia="en-US"/>
        </w:rPr>
        <w:t>ECs</w:t>
      </w:r>
      <w:proofErr w:type="spellEnd"/>
      <w:r w:rsidRPr="008946A3">
        <w:rPr>
          <w:rFonts w:ascii="Verdana" w:eastAsiaTheme="minorHAnsi" w:hAnsi="Verdana" w:cs="Verdana"/>
          <w:color w:val="000000"/>
          <w:sz w:val="20"/>
          <w:szCs w:val="20"/>
          <w:lang w:eastAsia="en-US"/>
        </w:rPr>
        <w:t xml:space="preserve"> no sentido de reaproveitar varetas não oxidadas destes </w:t>
      </w:r>
      <w:proofErr w:type="spellStart"/>
      <w:r w:rsidRPr="008946A3">
        <w:rPr>
          <w:rFonts w:ascii="Verdana" w:eastAsiaTheme="minorHAnsi" w:hAnsi="Verdana" w:cs="Verdana"/>
          <w:color w:val="000000"/>
          <w:sz w:val="20"/>
          <w:szCs w:val="20"/>
          <w:lang w:eastAsia="en-US"/>
        </w:rPr>
        <w:t>ECs</w:t>
      </w:r>
      <w:proofErr w:type="spellEnd"/>
      <w:r w:rsidRPr="008946A3">
        <w:rPr>
          <w:rFonts w:ascii="Verdana" w:eastAsiaTheme="minorHAnsi" w:hAnsi="Verdana" w:cs="Verdana"/>
          <w:color w:val="000000"/>
          <w:sz w:val="20"/>
          <w:szCs w:val="20"/>
          <w:lang w:eastAsia="en-US"/>
        </w:rPr>
        <w:t xml:space="preserve">. </w:t>
      </w:r>
    </w:p>
    <w:p w14:paraId="10B1B44A"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p>
    <w:p w14:paraId="0C5E401F"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r w:rsidRPr="008946A3">
        <w:rPr>
          <w:rFonts w:ascii="Verdana" w:eastAsiaTheme="minorHAnsi" w:hAnsi="Verdana" w:cs="Verdana"/>
          <w:color w:val="000000"/>
          <w:sz w:val="20"/>
          <w:szCs w:val="20"/>
          <w:lang w:eastAsia="en-US"/>
        </w:rPr>
        <w:t xml:space="preserve">Na Parada subsequente, </w:t>
      </w:r>
      <w:r w:rsidRPr="008946A3">
        <w:rPr>
          <w:rFonts w:ascii="Verdana" w:hAnsi="Verdana"/>
          <w:sz w:val="20"/>
          <w:szCs w:val="20"/>
        </w:rPr>
        <w:t xml:space="preserve">parada de Angra 2 iniciada no dia 6 de junho de 2021, </w:t>
      </w:r>
      <w:r w:rsidRPr="008946A3">
        <w:rPr>
          <w:rFonts w:ascii="Verdana" w:eastAsiaTheme="minorHAnsi" w:hAnsi="Verdana" w:cs="Verdana"/>
          <w:color w:val="000000"/>
          <w:sz w:val="20"/>
          <w:szCs w:val="20"/>
          <w:lang w:eastAsia="en-US"/>
        </w:rPr>
        <w:t xml:space="preserve">identificou-se oxidação acentuada em Elementos Combustíveis da série S, entretanto em grau inferior ao observado na Parada anterior nos elementos combustíveis R. </w:t>
      </w:r>
    </w:p>
    <w:p w14:paraId="16CE9272"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p>
    <w:p w14:paraId="0DD4E733"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r w:rsidRPr="008946A3">
        <w:rPr>
          <w:rFonts w:ascii="Verdana" w:eastAsiaTheme="minorHAnsi" w:hAnsi="Verdana" w:cs="Verdana"/>
          <w:color w:val="000000"/>
          <w:sz w:val="20"/>
          <w:szCs w:val="20"/>
          <w:lang w:eastAsia="en-US"/>
        </w:rPr>
        <w:t xml:space="preserve">Como consequência da oxidação observada nos </w:t>
      </w:r>
      <w:proofErr w:type="spellStart"/>
      <w:r w:rsidRPr="008946A3">
        <w:rPr>
          <w:rFonts w:ascii="Verdana" w:eastAsiaTheme="minorHAnsi" w:hAnsi="Verdana" w:cs="Verdana"/>
          <w:color w:val="000000"/>
          <w:sz w:val="20"/>
          <w:szCs w:val="20"/>
          <w:lang w:eastAsia="en-US"/>
        </w:rPr>
        <w:t>ECs</w:t>
      </w:r>
      <w:proofErr w:type="spellEnd"/>
      <w:r w:rsidRPr="008946A3">
        <w:rPr>
          <w:rFonts w:ascii="Verdana" w:eastAsiaTheme="minorHAnsi" w:hAnsi="Verdana" w:cs="Verdana"/>
          <w:color w:val="000000"/>
          <w:sz w:val="20"/>
          <w:szCs w:val="20"/>
          <w:lang w:eastAsia="en-US"/>
        </w:rPr>
        <w:t xml:space="preserve"> da série S, 15 </w:t>
      </w:r>
      <w:proofErr w:type="spellStart"/>
      <w:r w:rsidRPr="008946A3">
        <w:rPr>
          <w:rFonts w:ascii="Verdana" w:eastAsiaTheme="minorHAnsi" w:hAnsi="Verdana" w:cs="Verdana"/>
          <w:color w:val="000000"/>
          <w:sz w:val="20"/>
          <w:szCs w:val="20"/>
          <w:lang w:eastAsia="en-US"/>
        </w:rPr>
        <w:t>ECs</w:t>
      </w:r>
      <w:proofErr w:type="spellEnd"/>
      <w:r w:rsidRPr="008946A3">
        <w:rPr>
          <w:rFonts w:ascii="Verdana" w:eastAsiaTheme="minorHAnsi" w:hAnsi="Verdana" w:cs="Verdana"/>
          <w:color w:val="000000"/>
          <w:sz w:val="20"/>
          <w:szCs w:val="20"/>
          <w:lang w:eastAsia="en-US"/>
        </w:rPr>
        <w:t xml:space="preserve"> da referida série foram considerados não atenderem aos critérios de engenharia para serem reutilizados. </w:t>
      </w:r>
    </w:p>
    <w:p w14:paraId="3BB64374"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p>
    <w:p w14:paraId="5A468E42" w14:textId="77777777" w:rsidR="00C2656E" w:rsidRPr="008946A3" w:rsidRDefault="00C2656E" w:rsidP="00C2656E">
      <w:pPr>
        <w:rPr>
          <w:rFonts w:ascii="Verdana" w:hAnsi="Verdana"/>
          <w:color w:val="000000"/>
          <w:sz w:val="20"/>
          <w:szCs w:val="20"/>
        </w:rPr>
      </w:pPr>
      <w:r w:rsidRPr="008946A3">
        <w:rPr>
          <w:rFonts w:ascii="Verdana" w:hAnsi="Verdana"/>
          <w:color w:val="000000"/>
          <w:sz w:val="20"/>
          <w:szCs w:val="20"/>
        </w:rPr>
        <w:t xml:space="preserve">Vale destacar que esses eventos, em nenhum momento, comprometeram a segurança e o desempenho da Usina Angra 2, que operou continuamente. Após o término da parada para reabastecimento e </w:t>
      </w:r>
      <w:r w:rsidRPr="008946A3">
        <w:rPr>
          <w:rFonts w:ascii="Verdana" w:hAnsi="Verdana"/>
          <w:sz w:val="20"/>
          <w:szCs w:val="20"/>
        </w:rPr>
        <w:t xml:space="preserve">o retorno da usina ao SIN no dia 22 de julho de 2021 (início do ciclo 18), </w:t>
      </w:r>
      <w:r w:rsidRPr="008946A3">
        <w:rPr>
          <w:rFonts w:ascii="Verdana" w:hAnsi="Verdana"/>
          <w:color w:val="000000"/>
          <w:sz w:val="20"/>
          <w:szCs w:val="20"/>
        </w:rPr>
        <w:t xml:space="preserve">a usina retornou </w:t>
      </w:r>
      <w:proofErr w:type="gramStart"/>
      <w:r w:rsidRPr="008946A3">
        <w:rPr>
          <w:rFonts w:ascii="Verdana" w:hAnsi="Verdana"/>
          <w:color w:val="000000"/>
          <w:sz w:val="20"/>
          <w:szCs w:val="20"/>
        </w:rPr>
        <w:t>a</w:t>
      </w:r>
      <w:proofErr w:type="gramEnd"/>
      <w:r w:rsidRPr="008946A3">
        <w:rPr>
          <w:rFonts w:ascii="Verdana" w:hAnsi="Verdana"/>
          <w:color w:val="000000"/>
          <w:sz w:val="20"/>
          <w:szCs w:val="20"/>
        </w:rPr>
        <w:t xml:space="preserve"> operação normal à 100 % da potência nominal. </w:t>
      </w:r>
    </w:p>
    <w:p w14:paraId="5FCC6100"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p>
    <w:p w14:paraId="3EB233D6"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r w:rsidRPr="008946A3">
        <w:rPr>
          <w:rFonts w:ascii="Verdana" w:eastAsiaTheme="minorHAnsi" w:hAnsi="Verdana" w:cs="Verdana"/>
          <w:color w:val="000000"/>
          <w:sz w:val="20"/>
          <w:szCs w:val="20"/>
          <w:lang w:eastAsia="en-US"/>
        </w:rPr>
        <w:t xml:space="preserve">A </w:t>
      </w:r>
      <w:proofErr w:type="spellStart"/>
      <w:r w:rsidRPr="008946A3">
        <w:rPr>
          <w:rFonts w:ascii="Verdana" w:eastAsiaTheme="minorHAnsi" w:hAnsi="Verdana" w:cs="Verdana"/>
          <w:color w:val="000000"/>
          <w:sz w:val="20"/>
          <w:szCs w:val="20"/>
          <w:lang w:eastAsia="en-US"/>
        </w:rPr>
        <w:t>Framatome</w:t>
      </w:r>
      <w:proofErr w:type="spellEnd"/>
      <w:r w:rsidRPr="008946A3">
        <w:rPr>
          <w:rFonts w:ascii="Verdana" w:eastAsiaTheme="minorHAnsi" w:hAnsi="Verdana" w:cs="Verdana"/>
          <w:color w:val="000000"/>
          <w:sz w:val="20"/>
          <w:szCs w:val="20"/>
          <w:lang w:eastAsia="en-US"/>
        </w:rPr>
        <w:t xml:space="preserve"> formalizou seu posicionamento quanto ao reaproveitamento de varetas através da Correspondência FCEE-2021-02892</w:t>
      </w:r>
      <w:r>
        <w:rPr>
          <w:rFonts w:ascii="Verdana" w:eastAsiaTheme="minorHAnsi" w:hAnsi="Verdana" w:cs="Verdana"/>
          <w:color w:val="000000"/>
          <w:sz w:val="20"/>
          <w:szCs w:val="20"/>
          <w:lang w:eastAsia="en-US"/>
        </w:rPr>
        <w:t>, c</w:t>
      </w:r>
      <w:r w:rsidRPr="008946A3">
        <w:rPr>
          <w:rFonts w:ascii="Verdana" w:eastAsiaTheme="minorHAnsi" w:hAnsi="Verdana" w:cs="Verdana"/>
          <w:color w:val="000000"/>
          <w:sz w:val="20"/>
          <w:szCs w:val="20"/>
          <w:lang w:eastAsia="en-US"/>
        </w:rPr>
        <w:t xml:space="preserve">oncluindo ser factível a reconstrução de novos </w:t>
      </w:r>
      <w:proofErr w:type="spellStart"/>
      <w:r w:rsidRPr="008946A3">
        <w:rPr>
          <w:rFonts w:ascii="Verdana" w:eastAsiaTheme="minorHAnsi" w:hAnsi="Verdana" w:cs="Verdana"/>
          <w:color w:val="000000"/>
          <w:sz w:val="20"/>
          <w:szCs w:val="20"/>
          <w:lang w:eastAsia="en-US"/>
        </w:rPr>
        <w:t>ECs</w:t>
      </w:r>
      <w:proofErr w:type="spellEnd"/>
      <w:r w:rsidRPr="008946A3">
        <w:rPr>
          <w:rFonts w:ascii="Verdana" w:eastAsiaTheme="minorHAnsi" w:hAnsi="Verdana" w:cs="Verdana"/>
          <w:color w:val="000000"/>
          <w:sz w:val="20"/>
          <w:szCs w:val="20"/>
          <w:lang w:eastAsia="en-US"/>
        </w:rPr>
        <w:t xml:space="preserve"> a partir de varetas combustíveis menos oxidadas dos </w:t>
      </w:r>
      <w:proofErr w:type="spellStart"/>
      <w:r w:rsidRPr="008946A3">
        <w:rPr>
          <w:rFonts w:ascii="Verdana" w:eastAsiaTheme="minorHAnsi" w:hAnsi="Verdana" w:cs="Verdana"/>
          <w:color w:val="000000"/>
          <w:sz w:val="20"/>
          <w:szCs w:val="20"/>
          <w:lang w:eastAsia="en-US"/>
        </w:rPr>
        <w:t>ECs</w:t>
      </w:r>
      <w:proofErr w:type="spellEnd"/>
      <w:r w:rsidRPr="008946A3">
        <w:rPr>
          <w:rFonts w:ascii="Verdana" w:eastAsiaTheme="minorHAnsi" w:hAnsi="Verdana" w:cs="Verdana"/>
          <w:color w:val="000000"/>
          <w:sz w:val="20"/>
          <w:szCs w:val="20"/>
          <w:lang w:eastAsia="en-US"/>
        </w:rPr>
        <w:t xml:space="preserve"> da série R e S, apesar das dificuldades técnicas e riscos desta operação. </w:t>
      </w:r>
    </w:p>
    <w:p w14:paraId="557B75BA"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p>
    <w:p w14:paraId="7C604A5E"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r w:rsidRPr="008946A3">
        <w:rPr>
          <w:rFonts w:ascii="Verdana" w:eastAsiaTheme="minorHAnsi" w:hAnsi="Verdana" w:cs="Verdana"/>
          <w:color w:val="000000"/>
          <w:sz w:val="20"/>
          <w:szCs w:val="20"/>
          <w:lang w:eastAsia="en-US"/>
        </w:rPr>
        <w:t xml:space="preserve">A partir da determinação dos </w:t>
      </w:r>
      <w:proofErr w:type="spellStart"/>
      <w:r w:rsidRPr="008946A3">
        <w:rPr>
          <w:rFonts w:ascii="Verdana" w:eastAsiaTheme="minorHAnsi" w:hAnsi="Verdana" w:cs="Verdana"/>
          <w:color w:val="000000"/>
          <w:sz w:val="20"/>
          <w:szCs w:val="20"/>
          <w:lang w:eastAsia="en-US"/>
        </w:rPr>
        <w:t>ECs</w:t>
      </w:r>
      <w:proofErr w:type="spellEnd"/>
      <w:r w:rsidRPr="008946A3">
        <w:rPr>
          <w:rFonts w:ascii="Verdana" w:eastAsiaTheme="minorHAnsi" w:hAnsi="Verdana" w:cs="Verdana"/>
          <w:color w:val="000000"/>
          <w:sz w:val="20"/>
          <w:szCs w:val="20"/>
          <w:lang w:eastAsia="en-US"/>
        </w:rPr>
        <w:t xml:space="preserve"> da série R e S que não podem ser utilizados e considerando o posicionamento da </w:t>
      </w:r>
      <w:proofErr w:type="spellStart"/>
      <w:r w:rsidRPr="008946A3">
        <w:rPr>
          <w:rFonts w:ascii="Verdana" w:eastAsiaTheme="minorHAnsi" w:hAnsi="Verdana" w:cs="Verdana"/>
          <w:color w:val="000000"/>
          <w:sz w:val="20"/>
          <w:szCs w:val="20"/>
          <w:lang w:eastAsia="en-US"/>
        </w:rPr>
        <w:t>Framatome</w:t>
      </w:r>
      <w:proofErr w:type="spellEnd"/>
      <w:r w:rsidRPr="008946A3">
        <w:rPr>
          <w:rFonts w:ascii="Verdana" w:eastAsiaTheme="minorHAnsi" w:hAnsi="Verdana" w:cs="Verdana"/>
          <w:color w:val="000000"/>
          <w:sz w:val="20"/>
          <w:szCs w:val="20"/>
          <w:lang w:eastAsia="en-US"/>
        </w:rPr>
        <w:t xml:space="preserve"> quanto a possibilidade do </w:t>
      </w:r>
      <w:proofErr w:type="spellStart"/>
      <w:r w:rsidRPr="008946A3">
        <w:rPr>
          <w:rFonts w:ascii="Verdana" w:eastAsiaTheme="minorHAnsi" w:hAnsi="Verdana" w:cs="Verdana"/>
          <w:color w:val="000000"/>
          <w:sz w:val="20"/>
          <w:szCs w:val="20"/>
          <w:lang w:eastAsia="en-US"/>
        </w:rPr>
        <w:t>reesqueletamento</w:t>
      </w:r>
      <w:proofErr w:type="spellEnd"/>
      <w:r w:rsidRPr="008946A3">
        <w:rPr>
          <w:rFonts w:ascii="Verdana" w:eastAsiaTheme="minorHAnsi" w:hAnsi="Verdana" w:cs="Verdana"/>
          <w:color w:val="000000"/>
          <w:sz w:val="20"/>
          <w:szCs w:val="20"/>
          <w:lang w:eastAsia="en-US"/>
        </w:rPr>
        <w:t xml:space="preserve"> dos referidos </w:t>
      </w:r>
      <w:proofErr w:type="spellStart"/>
      <w:r w:rsidRPr="008946A3">
        <w:rPr>
          <w:rFonts w:ascii="Verdana" w:eastAsiaTheme="minorHAnsi" w:hAnsi="Verdana" w:cs="Verdana"/>
          <w:color w:val="000000"/>
          <w:sz w:val="20"/>
          <w:szCs w:val="20"/>
          <w:lang w:eastAsia="en-US"/>
        </w:rPr>
        <w:t>ECs</w:t>
      </w:r>
      <w:proofErr w:type="spellEnd"/>
      <w:r w:rsidRPr="008946A3">
        <w:rPr>
          <w:rFonts w:ascii="Verdana" w:eastAsiaTheme="minorHAnsi" w:hAnsi="Verdana" w:cs="Verdana"/>
          <w:color w:val="000000"/>
          <w:sz w:val="20"/>
          <w:szCs w:val="20"/>
          <w:lang w:eastAsia="en-US"/>
        </w:rPr>
        <w:t xml:space="preserve">, foi efetuada a avaliação quanto a esta opção. </w:t>
      </w:r>
    </w:p>
    <w:p w14:paraId="1511E446"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p>
    <w:p w14:paraId="6A6F0919"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r w:rsidRPr="008946A3">
        <w:rPr>
          <w:rFonts w:ascii="Verdana" w:eastAsiaTheme="minorHAnsi" w:hAnsi="Verdana" w:cs="Verdana"/>
          <w:color w:val="000000"/>
          <w:sz w:val="20"/>
          <w:szCs w:val="20"/>
          <w:lang w:eastAsia="en-US"/>
        </w:rPr>
        <w:t xml:space="preserve">Considerando-se os riscos radiológicos do </w:t>
      </w:r>
      <w:proofErr w:type="spellStart"/>
      <w:r w:rsidRPr="008946A3">
        <w:rPr>
          <w:rFonts w:ascii="Verdana" w:eastAsiaTheme="minorHAnsi" w:hAnsi="Verdana" w:cs="Verdana"/>
          <w:color w:val="000000"/>
          <w:sz w:val="20"/>
          <w:szCs w:val="20"/>
          <w:lang w:eastAsia="en-US"/>
        </w:rPr>
        <w:t>reesqueletamento</w:t>
      </w:r>
      <w:proofErr w:type="spellEnd"/>
      <w:r w:rsidRPr="008946A3">
        <w:rPr>
          <w:rFonts w:ascii="Verdana" w:eastAsiaTheme="minorHAnsi" w:hAnsi="Verdana" w:cs="Verdana"/>
          <w:color w:val="000000"/>
          <w:sz w:val="20"/>
          <w:szCs w:val="20"/>
          <w:lang w:eastAsia="en-US"/>
        </w:rPr>
        <w:t xml:space="preserve"> dos </w:t>
      </w:r>
      <w:proofErr w:type="spellStart"/>
      <w:r w:rsidRPr="008946A3">
        <w:rPr>
          <w:rFonts w:ascii="Verdana" w:eastAsiaTheme="minorHAnsi" w:hAnsi="Verdana" w:cs="Verdana"/>
          <w:color w:val="000000"/>
          <w:sz w:val="20"/>
          <w:szCs w:val="20"/>
          <w:lang w:eastAsia="en-US"/>
        </w:rPr>
        <w:t>ECs</w:t>
      </w:r>
      <w:proofErr w:type="spellEnd"/>
      <w:r w:rsidRPr="008946A3">
        <w:rPr>
          <w:rFonts w:ascii="Verdana" w:eastAsiaTheme="minorHAnsi" w:hAnsi="Verdana" w:cs="Verdana"/>
          <w:color w:val="000000"/>
          <w:sz w:val="20"/>
          <w:szCs w:val="20"/>
          <w:lang w:eastAsia="en-US"/>
        </w:rPr>
        <w:t xml:space="preserve"> em função da oxidação do </w:t>
      </w:r>
      <w:proofErr w:type="spellStart"/>
      <w:r w:rsidRPr="008946A3">
        <w:rPr>
          <w:rFonts w:ascii="Verdana" w:eastAsiaTheme="minorHAnsi" w:hAnsi="Verdana" w:cs="Verdana"/>
          <w:color w:val="000000"/>
          <w:sz w:val="20"/>
          <w:szCs w:val="20"/>
          <w:lang w:eastAsia="en-US"/>
        </w:rPr>
        <w:t>encamisamento</w:t>
      </w:r>
      <w:proofErr w:type="spellEnd"/>
      <w:r w:rsidRPr="008946A3">
        <w:rPr>
          <w:rFonts w:ascii="Verdana" w:eastAsiaTheme="minorHAnsi" w:hAnsi="Verdana" w:cs="Verdana"/>
          <w:color w:val="000000"/>
          <w:sz w:val="20"/>
          <w:szCs w:val="20"/>
          <w:lang w:eastAsia="en-US"/>
        </w:rPr>
        <w:t xml:space="preserve">, a complexidade da operação de </w:t>
      </w:r>
      <w:proofErr w:type="spellStart"/>
      <w:r w:rsidRPr="008946A3">
        <w:rPr>
          <w:rFonts w:ascii="Verdana" w:eastAsiaTheme="minorHAnsi" w:hAnsi="Verdana" w:cs="Verdana"/>
          <w:color w:val="000000"/>
          <w:sz w:val="20"/>
          <w:szCs w:val="20"/>
          <w:lang w:eastAsia="en-US"/>
        </w:rPr>
        <w:t>reesqueletamento</w:t>
      </w:r>
      <w:proofErr w:type="spellEnd"/>
      <w:r w:rsidRPr="008946A3">
        <w:rPr>
          <w:rFonts w:ascii="Verdana" w:eastAsiaTheme="minorHAnsi" w:hAnsi="Verdana" w:cs="Verdana"/>
          <w:color w:val="000000"/>
          <w:sz w:val="20"/>
          <w:szCs w:val="20"/>
          <w:lang w:eastAsia="en-US"/>
        </w:rPr>
        <w:t xml:space="preserve"> com a necessidade de se contratar serviços especializados da </w:t>
      </w:r>
      <w:proofErr w:type="spellStart"/>
      <w:r w:rsidRPr="008946A3">
        <w:rPr>
          <w:rFonts w:ascii="Verdana" w:eastAsiaTheme="minorHAnsi" w:hAnsi="Verdana" w:cs="Verdana"/>
          <w:color w:val="000000"/>
          <w:sz w:val="20"/>
          <w:szCs w:val="20"/>
          <w:lang w:eastAsia="en-US"/>
        </w:rPr>
        <w:t>Framatome</w:t>
      </w:r>
      <w:proofErr w:type="spellEnd"/>
      <w:r w:rsidRPr="008946A3">
        <w:rPr>
          <w:rFonts w:ascii="Verdana" w:eastAsiaTheme="minorHAnsi" w:hAnsi="Verdana" w:cs="Verdana"/>
          <w:color w:val="000000"/>
          <w:sz w:val="20"/>
          <w:szCs w:val="20"/>
          <w:lang w:eastAsia="en-US"/>
        </w:rPr>
        <w:t xml:space="preserve"> e com alto custo e as dificuldades advindas do </w:t>
      </w:r>
      <w:proofErr w:type="spellStart"/>
      <w:r w:rsidRPr="008946A3">
        <w:rPr>
          <w:rFonts w:ascii="Verdana" w:eastAsiaTheme="minorHAnsi" w:hAnsi="Verdana" w:cs="Verdana"/>
          <w:color w:val="000000"/>
          <w:sz w:val="20"/>
          <w:szCs w:val="20"/>
          <w:lang w:eastAsia="en-US"/>
        </w:rPr>
        <w:t>reesqueletamento</w:t>
      </w:r>
      <w:proofErr w:type="spellEnd"/>
      <w:r w:rsidRPr="008946A3">
        <w:rPr>
          <w:rFonts w:ascii="Verdana" w:eastAsiaTheme="minorHAnsi" w:hAnsi="Verdana" w:cs="Verdana"/>
          <w:color w:val="000000"/>
          <w:sz w:val="20"/>
          <w:szCs w:val="20"/>
          <w:lang w:eastAsia="en-US"/>
        </w:rPr>
        <w:t xml:space="preserve"> em função das restrições </w:t>
      </w:r>
      <w:proofErr w:type="spellStart"/>
      <w:r w:rsidRPr="008946A3">
        <w:rPr>
          <w:rFonts w:ascii="Verdana" w:eastAsiaTheme="minorHAnsi" w:hAnsi="Verdana" w:cs="Verdana"/>
          <w:color w:val="000000"/>
          <w:sz w:val="20"/>
          <w:szCs w:val="20"/>
          <w:lang w:eastAsia="en-US"/>
        </w:rPr>
        <w:t>neutrônicas</w:t>
      </w:r>
      <w:proofErr w:type="spellEnd"/>
      <w:r w:rsidRPr="008946A3">
        <w:rPr>
          <w:rFonts w:ascii="Verdana" w:eastAsiaTheme="minorHAnsi" w:hAnsi="Verdana" w:cs="Verdana"/>
          <w:color w:val="000000"/>
          <w:sz w:val="20"/>
          <w:szCs w:val="20"/>
          <w:lang w:eastAsia="en-US"/>
        </w:rPr>
        <w:t xml:space="preserve"> para a montagem de novos </w:t>
      </w:r>
      <w:proofErr w:type="spellStart"/>
      <w:r w:rsidRPr="008946A3">
        <w:rPr>
          <w:rFonts w:ascii="Verdana" w:eastAsiaTheme="minorHAnsi" w:hAnsi="Verdana" w:cs="Verdana"/>
          <w:color w:val="000000"/>
          <w:sz w:val="20"/>
          <w:szCs w:val="20"/>
          <w:lang w:eastAsia="en-US"/>
        </w:rPr>
        <w:t>ECs</w:t>
      </w:r>
      <w:proofErr w:type="spellEnd"/>
      <w:r w:rsidRPr="008946A3">
        <w:rPr>
          <w:rFonts w:ascii="Verdana" w:eastAsiaTheme="minorHAnsi" w:hAnsi="Verdana" w:cs="Verdana"/>
          <w:color w:val="000000"/>
          <w:sz w:val="20"/>
          <w:szCs w:val="20"/>
          <w:lang w:eastAsia="en-US"/>
        </w:rPr>
        <w:t xml:space="preserve"> que possam ser reinseridos no núcleo sem causar um desequilíbrio de potência e reatividade, a Diretoria Técnica considerou  opção pelo </w:t>
      </w:r>
      <w:proofErr w:type="spellStart"/>
      <w:r w:rsidRPr="008946A3">
        <w:rPr>
          <w:rFonts w:ascii="Verdana" w:eastAsiaTheme="minorHAnsi" w:hAnsi="Verdana" w:cs="Verdana"/>
          <w:color w:val="000000"/>
          <w:sz w:val="20"/>
          <w:szCs w:val="20"/>
          <w:lang w:eastAsia="en-US"/>
        </w:rPr>
        <w:t>reesqueletamento</w:t>
      </w:r>
      <w:proofErr w:type="spellEnd"/>
      <w:r w:rsidRPr="008946A3">
        <w:rPr>
          <w:rFonts w:ascii="Verdana" w:eastAsiaTheme="minorHAnsi" w:hAnsi="Verdana" w:cs="Verdana"/>
          <w:color w:val="000000"/>
          <w:sz w:val="20"/>
          <w:szCs w:val="20"/>
          <w:lang w:eastAsia="en-US"/>
        </w:rPr>
        <w:t xml:space="preserve"> inadequada tanto pelo aspecto técnico como pelo aspecto financeiro. </w:t>
      </w:r>
    </w:p>
    <w:p w14:paraId="40BD02B6"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p>
    <w:p w14:paraId="2E1DD8E9"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r w:rsidRPr="008946A3">
        <w:rPr>
          <w:rFonts w:ascii="Verdana" w:eastAsiaTheme="minorHAnsi" w:hAnsi="Verdana" w:cs="Verdana"/>
          <w:color w:val="000000"/>
          <w:sz w:val="20"/>
          <w:szCs w:val="20"/>
          <w:lang w:eastAsia="en-US"/>
        </w:rPr>
        <w:t xml:space="preserve">Adicionalmente cabe ressaltar que a ELETRONUCLEAR tomará as medidas necessárias junto à INB no sentido de viabilizar a reposição dos </w:t>
      </w:r>
      <w:proofErr w:type="spellStart"/>
      <w:r w:rsidRPr="008946A3">
        <w:rPr>
          <w:rFonts w:ascii="Verdana" w:eastAsiaTheme="minorHAnsi" w:hAnsi="Verdana" w:cs="Verdana"/>
          <w:color w:val="000000"/>
          <w:sz w:val="20"/>
          <w:szCs w:val="20"/>
          <w:lang w:eastAsia="en-US"/>
        </w:rPr>
        <w:t>ECs</w:t>
      </w:r>
      <w:proofErr w:type="spellEnd"/>
      <w:r w:rsidRPr="008946A3">
        <w:rPr>
          <w:rFonts w:ascii="Verdana" w:eastAsiaTheme="minorHAnsi" w:hAnsi="Verdana" w:cs="Verdana"/>
          <w:color w:val="000000"/>
          <w:sz w:val="20"/>
          <w:szCs w:val="20"/>
          <w:lang w:eastAsia="en-US"/>
        </w:rPr>
        <w:t xml:space="preserve"> indisponíveis, em consonância com a Cláusula de Garantia do Contrato e entendendo que a causa raiz foi a falha no processo de fabricação no que concerne a Concentração de Ferro da liga do </w:t>
      </w:r>
      <w:proofErr w:type="spellStart"/>
      <w:r w:rsidRPr="008946A3">
        <w:rPr>
          <w:rFonts w:ascii="Verdana" w:eastAsiaTheme="minorHAnsi" w:hAnsi="Verdana" w:cs="Verdana"/>
          <w:color w:val="000000"/>
          <w:sz w:val="20"/>
          <w:szCs w:val="20"/>
          <w:lang w:eastAsia="en-US"/>
        </w:rPr>
        <w:t>encamisamento</w:t>
      </w:r>
      <w:proofErr w:type="spellEnd"/>
      <w:r w:rsidRPr="008946A3">
        <w:rPr>
          <w:rFonts w:ascii="Verdana" w:eastAsiaTheme="minorHAnsi" w:hAnsi="Verdana" w:cs="Verdana"/>
          <w:color w:val="000000"/>
          <w:sz w:val="20"/>
          <w:szCs w:val="20"/>
          <w:lang w:eastAsia="en-US"/>
        </w:rPr>
        <w:t xml:space="preserve"> das varetas dos </w:t>
      </w:r>
      <w:proofErr w:type="spellStart"/>
      <w:r w:rsidRPr="008946A3">
        <w:rPr>
          <w:rFonts w:ascii="Verdana" w:eastAsiaTheme="minorHAnsi" w:hAnsi="Verdana" w:cs="Verdana"/>
          <w:color w:val="000000"/>
          <w:sz w:val="20"/>
          <w:szCs w:val="20"/>
          <w:lang w:eastAsia="en-US"/>
        </w:rPr>
        <w:t>ECs</w:t>
      </w:r>
      <w:proofErr w:type="spellEnd"/>
      <w:r w:rsidRPr="008946A3">
        <w:rPr>
          <w:rFonts w:ascii="Verdana" w:eastAsiaTheme="minorHAnsi" w:hAnsi="Verdana" w:cs="Verdana"/>
          <w:color w:val="000000"/>
          <w:sz w:val="20"/>
          <w:szCs w:val="20"/>
          <w:lang w:eastAsia="en-US"/>
        </w:rPr>
        <w:t xml:space="preserve">. </w:t>
      </w:r>
    </w:p>
    <w:p w14:paraId="4A171F7C" w14:textId="77777777" w:rsidR="00C2656E" w:rsidRPr="008946A3" w:rsidRDefault="00C2656E" w:rsidP="00C2656E">
      <w:pPr>
        <w:autoSpaceDE w:val="0"/>
        <w:autoSpaceDN w:val="0"/>
        <w:adjustRightInd w:val="0"/>
        <w:rPr>
          <w:rFonts w:ascii="Verdana" w:eastAsiaTheme="minorHAnsi" w:hAnsi="Verdana" w:cs="Verdana"/>
          <w:color w:val="000000"/>
          <w:sz w:val="20"/>
          <w:szCs w:val="20"/>
          <w:lang w:eastAsia="en-US"/>
        </w:rPr>
      </w:pPr>
    </w:p>
    <w:p w14:paraId="741FC4C4" w14:textId="77777777" w:rsidR="00C2656E" w:rsidRPr="008946A3" w:rsidRDefault="00C2656E" w:rsidP="00C2656E">
      <w:pPr>
        <w:rPr>
          <w:rFonts w:ascii="Verdana" w:eastAsiaTheme="minorHAnsi" w:hAnsi="Verdana" w:cs="Verdana"/>
          <w:color w:val="000000"/>
          <w:sz w:val="20"/>
          <w:szCs w:val="20"/>
          <w:lang w:eastAsia="en-US"/>
        </w:rPr>
      </w:pPr>
      <w:r w:rsidRPr="008946A3">
        <w:rPr>
          <w:rFonts w:ascii="Verdana" w:eastAsiaTheme="minorHAnsi" w:hAnsi="Verdana" w:cs="Verdana"/>
          <w:color w:val="000000"/>
          <w:sz w:val="20"/>
          <w:szCs w:val="20"/>
          <w:lang w:eastAsia="en-US"/>
        </w:rPr>
        <w:t xml:space="preserve">Desta forma, após a avaliação técnica dos </w:t>
      </w:r>
      <w:proofErr w:type="spellStart"/>
      <w:r w:rsidRPr="008946A3">
        <w:rPr>
          <w:rFonts w:ascii="Verdana" w:eastAsiaTheme="minorHAnsi" w:hAnsi="Verdana" w:cs="Verdana"/>
          <w:color w:val="000000"/>
          <w:sz w:val="20"/>
          <w:szCs w:val="20"/>
          <w:lang w:eastAsia="en-US"/>
        </w:rPr>
        <w:t>ECs</w:t>
      </w:r>
      <w:proofErr w:type="spellEnd"/>
      <w:r w:rsidRPr="008946A3">
        <w:rPr>
          <w:rFonts w:ascii="Verdana" w:eastAsiaTheme="minorHAnsi" w:hAnsi="Verdana" w:cs="Verdana"/>
          <w:color w:val="000000"/>
          <w:sz w:val="20"/>
          <w:szCs w:val="20"/>
          <w:lang w:eastAsia="en-US"/>
        </w:rPr>
        <w:t xml:space="preserve"> indicar que não havia mais a perspectiva de utilização de parte dos </w:t>
      </w:r>
      <w:proofErr w:type="spellStart"/>
      <w:r w:rsidRPr="008946A3">
        <w:rPr>
          <w:rFonts w:ascii="Verdana" w:eastAsiaTheme="minorHAnsi" w:hAnsi="Verdana" w:cs="Verdana"/>
          <w:color w:val="000000"/>
          <w:sz w:val="20"/>
          <w:szCs w:val="20"/>
          <w:lang w:eastAsia="en-US"/>
        </w:rPr>
        <w:t>ECs</w:t>
      </w:r>
      <w:proofErr w:type="spellEnd"/>
      <w:r w:rsidRPr="008946A3">
        <w:rPr>
          <w:rFonts w:ascii="Verdana" w:eastAsiaTheme="minorHAnsi" w:hAnsi="Verdana" w:cs="Verdana"/>
          <w:color w:val="000000"/>
          <w:sz w:val="20"/>
          <w:szCs w:val="20"/>
          <w:lang w:eastAsia="en-US"/>
        </w:rPr>
        <w:t xml:space="preserve"> dos lotes R e S de Angra 2 e os mesmos foram baixados contabilmente em dezembro 2021, no montante de </w:t>
      </w:r>
      <w:r w:rsidRPr="008946A3">
        <w:rPr>
          <w:rFonts w:ascii="Verdana" w:eastAsiaTheme="minorHAnsi" w:hAnsi="Verdana" w:cs="Verdana"/>
          <w:bCs/>
          <w:color w:val="000000"/>
          <w:sz w:val="20"/>
          <w:szCs w:val="20"/>
          <w:lang w:eastAsia="en-US"/>
        </w:rPr>
        <w:t>R$ 250.192.</w:t>
      </w:r>
    </w:p>
    <w:p w14:paraId="01CC828D" w14:textId="77777777" w:rsidR="00C2656E" w:rsidRPr="008946A3" w:rsidRDefault="00C2656E" w:rsidP="00C2656E">
      <w:pPr>
        <w:rPr>
          <w:rFonts w:ascii="Verdana" w:hAnsi="Verdana"/>
          <w:sz w:val="20"/>
          <w:szCs w:val="20"/>
        </w:rPr>
      </w:pPr>
    </w:p>
    <w:p w14:paraId="1DB90BB4" w14:textId="77777777" w:rsidR="00C2656E" w:rsidRPr="008946A3" w:rsidRDefault="00C2656E" w:rsidP="00C2656E">
      <w:pPr>
        <w:pStyle w:val="Corpodetexto"/>
        <w:rPr>
          <w:rFonts w:ascii="Verdana" w:hAnsi="Verdana" w:cs="Arial"/>
        </w:rPr>
      </w:pPr>
      <w:bookmarkStart w:id="29" w:name="_Hlk66659087"/>
      <w:r w:rsidRPr="008946A3">
        <w:rPr>
          <w:rFonts w:ascii="Verdana" w:hAnsi="Verdana" w:cs="Arial"/>
        </w:rPr>
        <w:t>Assim considerando, exceto pelos fatos acima narrados, entende a administração da ELETRONUCLEAR, não haver nenhuma outra expectativa econômica e financeira que possa indicar um risco de descontinuidade operacional das Usinas Angra 1 e 2.</w:t>
      </w:r>
    </w:p>
    <w:p w14:paraId="5F02BFDF" w14:textId="77777777" w:rsidR="00C2656E" w:rsidRPr="008946A3" w:rsidRDefault="00C2656E" w:rsidP="00C2656E">
      <w:pPr>
        <w:pStyle w:val="Corpodetexto"/>
        <w:rPr>
          <w:rFonts w:ascii="Verdana" w:hAnsi="Verdana" w:cs="Arial"/>
        </w:rPr>
      </w:pPr>
    </w:p>
    <w:p w14:paraId="0787C9CC" w14:textId="77777777" w:rsidR="00C2656E" w:rsidRPr="008946A3" w:rsidRDefault="00C2656E" w:rsidP="00C2656E">
      <w:pPr>
        <w:rPr>
          <w:rFonts w:ascii="Verdana" w:hAnsi="Verdana" w:cs="Arial"/>
          <w:sz w:val="20"/>
          <w:szCs w:val="20"/>
        </w:rPr>
      </w:pPr>
      <w:r w:rsidRPr="008946A3">
        <w:rPr>
          <w:rFonts w:ascii="Verdana" w:hAnsi="Verdana" w:cs="Arial"/>
          <w:sz w:val="20"/>
          <w:szCs w:val="20"/>
        </w:rPr>
        <w:t>Com o objetivo de caracterizar a situação atual de Angra 3 e as implicações da sua paralisação para a ELETRONUCLEAR e para o Sistema Eletrobras, a administração da Companhia vem conduzindo iniciativas para a implantação de um Plano de Ações visando o equacionamento das condições necessárias à plena retomada e conclusão do empreendimento.</w:t>
      </w:r>
    </w:p>
    <w:p w14:paraId="7F554D47" w14:textId="77777777" w:rsidR="00C2656E" w:rsidRPr="008946A3" w:rsidRDefault="00C2656E" w:rsidP="00C2656E">
      <w:pPr>
        <w:rPr>
          <w:rFonts w:ascii="Verdana" w:hAnsi="Verdana" w:cs="Arial"/>
          <w:sz w:val="20"/>
          <w:szCs w:val="20"/>
        </w:rPr>
      </w:pPr>
    </w:p>
    <w:p w14:paraId="0682A983" w14:textId="77777777" w:rsidR="00C2656E" w:rsidRPr="008946A3" w:rsidRDefault="00C2656E" w:rsidP="00C2656E">
      <w:pPr>
        <w:rPr>
          <w:rFonts w:ascii="Verdana" w:hAnsi="Verdana" w:cs="Arial"/>
          <w:color w:val="000000"/>
          <w:sz w:val="20"/>
          <w:szCs w:val="20"/>
        </w:rPr>
      </w:pPr>
      <w:r w:rsidRPr="008946A3">
        <w:rPr>
          <w:rFonts w:ascii="Verdana" w:hAnsi="Verdana" w:cs="Arial"/>
          <w:iCs/>
          <w:color w:val="000000"/>
          <w:sz w:val="20"/>
          <w:szCs w:val="20"/>
        </w:rPr>
        <w:t>Desde 2016, a ELETRONUCLEAR vem buscando assessoria de consultorias especializadas visando à conclusão de Angra 3. Foram elas:</w:t>
      </w:r>
    </w:p>
    <w:p w14:paraId="5DADBEDC" w14:textId="77777777" w:rsidR="00C2656E" w:rsidRPr="008946A3" w:rsidRDefault="00C2656E" w:rsidP="00C2656E">
      <w:pPr>
        <w:ind w:left="360"/>
        <w:rPr>
          <w:rFonts w:ascii="Verdana" w:hAnsi="Verdana" w:cs="Arial"/>
          <w:color w:val="000000"/>
          <w:sz w:val="20"/>
          <w:szCs w:val="20"/>
        </w:rPr>
      </w:pPr>
      <w:r w:rsidRPr="008946A3">
        <w:rPr>
          <w:rFonts w:ascii="Verdana" w:hAnsi="Verdana" w:cs="Arial"/>
          <w:iCs/>
          <w:color w:val="000000"/>
          <w:sz w:val="20"/>
          <w:szCs w:val="20"/>
        </w:rPr>
        <w:t> </w:t>
      </w:r>
    </w:p>
    <w:p w14:paraId="6D7FE791" w14:textId="77777777" w:rsidR="00C2656E" w:rsidRPr="008946A3" w:rsidRDefault="00C2656E" w:rsidP="00C2656E">
      <w:pPr>
        <w:spacing w:line="264" w:lineRule="atLeast"/>
        <w:ind w:left="1418" w:hanging="698"/>
        <w:rPr>
          <w:rFonts w:ascii="Verdana" w:hAnsi="Verdana" w:cs="Arial"/>
          <w:color w:val="000000"/>
          <w:sz w:val="20"/>
          <w:szCs w:val="20"/>
        </w:rPr>
      </w:pPr>
      <w:r w:rsidRPr="008946A3">
        <w:rPr>
          <w:rFonts w:ascii="Verdana" w:hAnsi="Verdana" w:cs="Arial"/>
          <w:b/>
          <w:iCs/>
          <w:color w:val="000000"/>
          <w:sz w:val="20"/>
          <w:szCs w:val="20"/>
        </w:rPr>
        <w:t>(i)</w:t>
      </w:r>
      <w:r w:rsidRPr="008946A3">
        <w:rPr>
          <w:rFonts w:ascii="Verdana" w:hAnsi="Verdana" w:cs="Arial"/>
          <w:iCs/>
          <w:color w:val="000000"/>
          <w:sz w:val="20"/>
          <w:szCs w:val="20"/>
        </w:rPr>
        <w:t xml:space="preserve">    Deloitte Consultores - Para auditar o status das obras civis e verificar irregularidades apresentadas pelo Tribunal de Contas da União - TCU por meio de Relatório de Fiscalização (TC n. 002.651/2015-7), bem como efetuar uma análise da estimativa dos custos relacionados ao cancelamento das obras de implantação da usina, bem como da estimativa de custos para sua conclusão - </w:t>
      </w:r>
      <w:proofErr w:type="spellStart"/>
      <w:r w:rsidRPr="008946A3">
        <w:rPr>
          <w:rFonts w:ascii="Verdana" w:hAnsi="Verdana" w:cs="Arial"/>
          <w:i/>
          <w:iCs/>
          <w:color w:val="000000"/>
          <w:sz w:val="20"/>
          <w:szCs w:val="20"/>
        </w:rPr>
        <w:t>Cost</w:t>
      </w:r>
      <w:proofErr w:type="spellEnd"/>
      <w:r w:rsidRPr="008946A3">
        <w:rPr>
          <w:rFonts w:ascii="Verdana" w:hAnsi="Verdana" w:cs="Arial"/>
          <w:i/>
          <w:iCs/>
          <w:color w:val="000000"/>
          <w:sz w:val="20"/>
          <w:szCs w:val="20"/>
        </w:rPr>
        <w:t xml:space="preserve"> </w:t>
      </w:r>
      <w:proofErr w:type="spellStart"/>
      <w:r w:rsidRPr="008946A3">
        <w:rPr>
          <w:rFonts w:ascii="Verdana" w:hAnsi="Verdana" w:cs="Arial"/>
          <w:i/>
          <w:iCs/>
          <w:color w:val="000000"/>
          <w:sz w:val="20"/>
          <w:szCs w:val="20"/>
        </w:rPr>
        <w:t>to</w:t>
      </w:r>
      <w:proofErr w:type="spellEnd"/>
      <w:r w:rsidRPr="008946A3">
        <w:rPr>
          <w:rFonts w:ascii="Verdana" w:hAnsi="Verdana" w:cs="Arial"/>
          <w:i/>
          <w:iCs/>
          <w:color w:val="000000"/>
          <w:sz w:val="20"/>
          <w:szCs w:val="20"/>
        </w:rPr>
        <w:t xml:space="preserve"> Complete</w:t>
      </w:r>
      <w:r w:rsidRPr="008946A3">
        <w:rPr>
          <w:rFonts w:ascii="Verdana" w:hAnsi="Verdana" w:cs="Arial"/>
          <w:iCs/>
          <w:color w:val="000000"/>
          <w:sz w:val="20"/>
          <w:szCs w:val="20"/>
        </w:rPr>
        <w:t>, foi contratada a Deloitte Consultores. Foi analisada a procedência das constatações do TCU, bem como estudos de mecanismos de ajuizamentos de ações em ressarcimentos a eventuais prejuízos identificados. Já a orçamentação de Angra 3 foi estruturada em rubricas de diversas disciplinas e áreas envolvidas na construção da obra. Foi desenvolvido um modelo econômico-financeiro para o cancelamento do projeto, contemplando as projeções financeiras na data base de 30 de junho de 2016. O custo total estimado de cancelamento da Usina Termonuclear -UTN Angra 3 considerou o custo de desmobilização das obras já existentes, a multa rescisória do contrato de comercialização e o custo financeiro de liquidação dos empréstimos vigentes;</w:t>
      </w:r>
    </w:p>
    <w:p w14:paraId="5EE3AA39" w14:textId="77777777" w:rsidR="00C2656E" w:rsidRPr="008946A3" w:rsidRDefault="00C2656E" w:rsidP="00C2656E">
      <w:pPr>
        <w:ind w:left="360"/>
        <w:rPr>
          <w:rFonts w:ascii="Verdana" w:hAnsi="Verdana" w:cs="Arial"/>
          <w:color w:val="000000"/>
          <w:sz w:val="20"/>
          <w:szCs w:val="20"/>
        </w:rPr>
      </w:pPr>
      <w:r w:rsidRPr="008946A3">
        <w:rPr>
          <w:rFonts w:ascii="Verdana" w:hAnsi="Verdana" w:cs="Arial"/>
          <w:iCs/>
          <w:color w:val="000000"/>
          <w:sz w:val="20"/>
          <w:szCs w:val="20"/>
        </w:rPr>
        <w:t> </w:t>
      </w:r>
    </w:p>
    <w:p w14:paraId="5F0632FC" w14:textId="77777777" w:rsidR="00C2656E" w:rsidRPr="008946A3" w:rsidRDefault="00C2656E" w:rsidP="00C2656E">
      <w:pPr>
        <w:spacing w:line="264" w:lineRule="atLeast"/>
        <w:ind w:left="1440" w:hanging="720"/>
        <w:rPr>
          <w:rFonts w:ascii="Verdana" w:hAnsi="Verdana" w:cs="Arial"/>
          <w:color w:val="000000"/>
          <w:sz w:val="20"/>
          <w:szCs w:val="20"/>
        </w:rPr>
      </w:pPr>
      <w:r w:rsidRPr="008946A3">
        <w:rPr>
          <w:rFonts w:ascii="Verdana" w:hAnsi="Verdana" w:cs="Arial"/>
          <w:b/>
          <w:iCs/>
          <w:color w:val="000000"/>
          <w:sz w:val="20"/>
          <w:szCs w:val="20"/>
        </w:rPr>
        <w:t>(</w:t>
      </w:r>
      <w:proofErr w:type="spellStart"/>
      <w:r w:rsidRPr="008946A3">
        <w:rPr>
          <w:rFonts w:ascii="Verdana" w:hAnsi="Verdana" w:cs="Arial"/>
          <w:b/>
          <w:iCs/>
          <w:color w:val="000000"/>
          <w:sz w:val="20"/>
          <w:szCs w:val="20"/>
        </w:rPr>
        <w:t>ii</w:t>
      </w:r>
      <w:proofErr w:type="spellEnd"/>
      <w:r w:rsidRPr="008946A3">
        <w:rPr>
          <w:rFonts w:ascii="Verdana" w:hAnsi="Verdana" w:cs="Arial"/>
          <w:b/>
          <w:iCs/>
          <w:color w:val="000000"/>
          <w:sz w:val="20"/>
          <w:szCs w:val="20"/>
        </w:rPr>
        <w:t>)</w:t>
      </w:r>
      <w:r w:rsidRPr="008946A3">
        <w:rPr>
          <w:rFonts w:ascii="Verdana" w:hAnsi="Verdana" w:cs="Arial"/>
          <w:iCs/>
          <w:color w:val="000000"/>
          <w:sz w:val="20"/>
          <w:szCs w:val="20"/>
        </w:rPr>
        <w:t xml:space="preserve">     Alvarez &amp; </w:t>
      </w:r>
      <w:proofErr w:type="spellStart"/>
      <w:r w:rsidRPr="008946A3">
        <w:rPr>
          <w:rFonts w:ascii="Verdana" w:hAnsi="Verdana" w:cs="Arial"/>
          <w:iCs/>
          <w:color w:val="000000"/>
          <w:sz w:val="20"/>
          <w:szCs w:val="20"/>
        </w:rPr>
        <w:t>Marsal</w:t>
      </w:r>
      <w:proofErr w:type="spellEnd"/>
      <w:r w:rsidRPr="008946A3">
        <w:rPr>
          <w:rFonts w:ascii="Verdana" w:hAnsi="Verdana" w:cs="Arial"/>
          <w:iCs/>
          <w:color w:val="000000"/>
          <w:sz w:val="20"/>
          <w:szCs w:val="20"/>
        </w:rPr>
        <w:t xml:space="preserve"> - Tomando como  base  os  relatórios  da  Deloitte,  foi contratada uma consultoria especializada na estruturação de empresas, com conhecimento na avaliação da construção e operação de usinas nucleares, a Alvarez &amp; </w:t>
      </w:r>
      <w:proofErr w:type="spellStart"/>
      <w:r w:rsidRPr="008946A3">
        <w:rPr>
          <w:rFonts w:ascii="Verdana" w:hAnsi="Verdana" w:cs="Arial"/>
          <w:iCs/>
          <w:color w:val="000000"/>
          <w:sz w:val="20"/>
          <w:szCs w:val="20"/>
        </w:rPr>
        <w:t>Marsal</w:t>
      </w:r>
      <w:proofErr w:type="spellEnd"/>
      <w:r w:rsidRPr="008946A3">
        <w:rPr>
          <w:rFonts w:ascii="Verdana" w:hAnsi="Verdana" w:cs="Arial"/>
          <w:iCs/>
          <w:color w:val="000000"/>
          <w:sz w:val="20"/>
          <w:szCs w:val="20"/>
        </w:rPr>
        <w:t>, para realizar os estudos econômico-financeiros necessários para viabilizar uma parceria que atenda questões operacionais e financeiras de acordo com a visão societária definida pela Companhia e assessorá-la no processo de retomada do empreendimento, incluindo assessoria no pleito de revisão tarifária de Angra 3 e a estruturação financeira e operacional com um parceiro, provavelmente internacional. Foram avaliados diversos cenários e modelos de negócio.</w:t>
      </w:r>
    </w:p>
    <w:p w14:paraId="0BDEC511" w14:textId="77777777" w:rsidR="00C2656E" w:rsidRPr="008946A3" w:rsidRDefault="00C2656E" w:rsidP="00C2656E">
      <w:pPr>
        <w:ind w:left="360"/>
        <w:rPr>
          <w:rFonts w:ascii="Verdana" w:hAnsi="Verdana" w:cs="Arial"/>
          <w:color w:val="000000"/>
          <w:sz w:val="20"/>
          <w:szCs w:val="20"/>
        </w:rPr>
      </w:pPr>
      <w:r w:rsidRPr="008946A3">
        <w:rPr>
          <w:rFonts w:ascii="Verdana" w:hAnsi="Verdana" w:cs="Arial"/>
          <w:iCs/>
          <w:color w:val="000000"/>
          <w:sz w:val="20"/>
          <w:szCs w:val="20"/>
        </w:rPr>
        <w:t> </w:t>
      </w:r>
    </w:p>
    <w:p w14:paraId="7C3AD6A4" w14:textId="77777777" w:rsidR="00C2656E" w:rsidRPr="008946A3" w:rsidRDefault="00C2656E" w:rsidP="00C2656E">
      <w:pPr>
        <w:spacing w:line="264" w:lineRule="atLeast"/>
        <w:ind w:left="1440" w:hanging="720"/>
        <w:rPr>
          <w:rFonts w:ascii="Verdana" w:hAnsi="Verdana" w:cs="Arial"/>
          <w:color w:val="000000"/>
          <w:sz w:val="20"/>
          <w:szCs w:val="20"/>
        </w:rPr>
      </w:pPr>
      <w:r w:rsidRPr="008946A3">
        <w:rPr>
          <w:rFonts w:ascii="Verdana" w:hAnsi="Verdana" w:cs="Arial"/>
          <w:b/>
          <w:iCs/>
          <w:color w:val="000000"/>
          <w:sz w:val="20"/>
          <w:szCs w:val="20"/>
        </w:rPr>
        <w:t>(</w:t>
      </w:r>
      <w:proofErr w:type="spellStart"/>
      <w:r w:rsidRPr="008946A3">
        <w:rPr>
          <w:rFonts w:ascii="Verdana" w:hAnsi="Verdana" w:cs="Arial"/>
          <w:b/>
          <w:iCs/>
          <w:color w:val="000000"/>
          <w:sz w:val="20"/>
          <w:szCs w:val="20"/>
        </w:rPr>
        <w:t>iii</w:t>
      </w:r>
      <w:proofErr w:type="spellEnd"/>
      <w:r w:rsidRPr="008946A3">
        <w:rPr>
          <w:rFonts w:ascii="Verdana" w:hAnsi="Verdana" w:cs="Arial"/>
          <w:b/>
          <w:iCs/>
          <w:color w:val="000000"/>
          <w:sz w:val="20"/>
          <w:szCs w:val="20"/>
        </w:rPr>
        <w:t>)</w:t>
      </w:r>
      <w:r w:rsidRPr="008946A3">
        <w:rPr>
          <w:rFonts w:ascii="Verdana" w:hAnsi="Verdana" w:cs="Arial"/>
          <w:iCs/>
          <w:color w:val="000000"/>
          <w:sz w:val="20"/>
          <w:szCs w:val="20"/>
        </w:rPr>
        <w:t>    </w:t>
      </w:r>
      <w:proofErr w:type="spellStart"/>
      <w:r w:rsidRPr="008946A3">
        <w:rPr>
          <w:rFonts w:ascii="Verdana" w:hAnsi="Verdana" w:cs="Arial"/>
          <w:iCs/>
          <w:color w:val="000000"/>
          <w:sz w:val="20"/>
          <w:szCs w:val="20"/>
        </w:rPr>
        <w:t>Veirano</w:t>
      </w:r>
      <w:proofErr w:type="spellEnd"/>
      <w:r w:rsidRPr="008946A3">
        <w:rPr>
          <w:rFonts w:ascii="Verdana" w:hAnsi="Verdana" w:cs="Arial"/>
          <w:iCs/>
          <w:color w:val="000000"/>
          <w:sz w:val="20"/>
          <w:szCs w:val="20"/>
        </w:rPr>
        <w:t xml:space="preserve"> Advogados – Para analisar a legalidade da possível estrutura societária do negócio e do ambiente regulatório dos cenários estudados pela Alvarez &amp; </w:t>
      </w:r>
      <w:proofErr w:type="spellStart"/>
      <w:r w:rsidRPr="008946A3">
        <w:rPr>
          <w:rFonts w:ascii="Verdana" w:hAnsi="Verdana" w:cs="Arial"/>
          <w:iCs/>
          <w:color w:val="000000"/>
          <w:sz w:val="20"/>
          <w:szCs w:val="20"/>
        </w:rPr>
        <w:t>Marsal</w:t>
      </w:r>
      <w:proofErr w:type="spellEnd"/>
      <w:r w:rsidRPr="008946A3">
        <w:rPr>
          <w:rFonts w:ascii="Verdana" w:hAnsi="Verdana" w:cs="Arial"/>
          <w:iCs/>
          <w:color w:val="000000"/>
          <w:sz w:val="20"/>
          <w:szCs w:val="20"/>
        </w:rPr>
        <w:t xml:space="preserve">, bem como do modelo de efetivação da parceria em avaliação, foi contratado a </w:t>
      </w:r>
      <w:proofErr w:type="spellStart"/>
      <w:r w:rsidRPr="008946A3">
        <w:rPr>
          <w:rFonts w:ascii="Verdana" w:hAnsi="Verdana" w:cs="Arial"/>
          <w:iCs/>
          <w:color w:val="000000"/>
          <w:sz w:val="20"/>
          <w:szCs w:val="20"/>
        </w:rPr>
        <w:t>Veirano</w:t>
      </w:r>
      <w:proofErr w:type="spellEnd"/>
      <w:r w:rsidRPr="008946A3">
        <w:rPr>
          <w:rFonts w:ascii="Verdana" w:hAnsi="Verdana" w:cs="Arial"/>
          <w:iCs/>
          <w:color w:val="000000"/>
          <w:sz w:val="20"/>
          <w:szCs w:val="20"/>
        </w:rPr>
        <w:t xml:space="preserve"> Advogados, uma consultoria jurídica especializada em direito societário, com vasta experiência no setor elétrico.</w:t>
      </w:r>
    </w:p>
    <w:p w14:paraId="78495DFE" w14:textId="77777777" w:rsidR="00C2656E" w:rsidRPr="008946A3" w:rsidRDefault="00C2656E" w:rsidP="00C2656E">
      <w:pPr>
        <w:spacing w:line="264" w:lineRule="atLeast"/>
        <w:ind w:left="1440"/>
        <w:rPr>
          <w:rFonts w:ascii="Verdana" w:hAnsi="Verdana" w:cs="Arial"/>
          <w:color w:val="000000"/>
          <w:sz w:val="20"/>
          <w:szCs w:val="20"/>
        </w:rPr>
      </w:pPr>
      <w:r w:rsidRPr="008946A3">
        <w:rPr>
          <w:rFonts w:ascii="Verdana" w:hAnsi="Verdana" w:cs="Arial"/>
          <w:iCs/>
          <w:color w:val="000000"/>
          <w:sz w:val="20"/>
          <w:szCs w:val="20"/>
        </w:rPr>
        <w:t> </w:t>
      </w:r>
    </w:p>
    <w:p w14:paraId="31A7C266" w14:textId="77777777" w:rsidR="00C2656E" w:rsidRPr="008946A3" w:rsidRDefault="00C2656E" w:rsidP="00C2656E">
      <w:pPr>
        <w:rPr>
          <w:rFonts w:ascii="Verdana" w:hAnsi="Verdana" w:cs="Arial"/>
          <w:sz w:val="20"/>
          <w:szCs w:val="20"/>
        </w:rPr>
      </w:pPr>
      <w:r w:rsidRPr="008946A3">
        <w:rPr>
          <w:rFonts w:ascii="Verdana" w:hAnsi="Verdana" w:cs="Arial"/>
          <w:iCs/>
          <w:sz w:val="20"/>
          <w:szCs w:val="20"/>
        </w:rPr>
        <w:t>A conclusão das obras da Usina de Angra 3 em condições sustentáveis depende de uma nova estruturação financeira, dado o montante de investimentos (custos diretos) ainda a realizar, da ordem de R$ 21,0 bilhões (não auditado).</w:t>
      </w:r>
    </w:p>
    <w:p w14:paraId="0BD996E7" w14:textId="77777777" w:rsidR="00C2656E" w:rsidRPr="008946A3" w:rsidRDefault="00C2656E" w:rsidP="00C2656E">
      <w:pPr>
        <w:rPr>
          <w:rFonts w:ascii="Verdana" w:hAnsi="Verdana" w:cs="Arial"/>
          <w:sz w:val="20"/>
          <w:szCs w:val="20"/>
        </w:rPr>
      </w:pPr>
      <w:r w:rsidRPr="008946A3">
        <w:rPr>
          <w:rFonts w:ascii="Verdana" w:hAnsi="Verdana" w:cs="Arial"/>
          <w:iCs/>
          <w:sz w:val="20"/>
          <w:szCs w:val="20"/>
        </w:rPr>
        <w:t> </w:t>
      </w:r>
    </w:p>
    <w:p w14:paraId="357ED936" w14:textId="77777777" w:rsidR="00C2656E" w:rsidRPr="008946A3" w:rsidRDefault="00C2656E" w:rsidP="00C2656E">
      <w:pPr>
        <w:rPr>
          <w:rFonts w:ascii="Verdana" w:hAnsi="Verdana" w:cs="Arial"/>
          <w:iCs/>
          <w:sz w:val="20"/>
          <w:szCs w:val="20"/>
        </w:rPr>
      </w:pPr>
      <w:r w:rsidRPr="008946A3">
        <w:rPr>
          <w:rFonts w:ascii="Verdana" w:hAnsi="Verdana" w:cs="Arial"/>
          <w:iCs/>
          <w:sz w:val="20"/>
          <w:szCs w:val="20"/>
        </w:rPr>
        <w:t xml:space="preserve">Atualmente, a ELETRONUCLEAR não possui garantias disponíveis para conseguir um novo empréstimo, visto que todos os seus ativos já estão comprometidos nos créditos existentes. Além disso, em outubro de 2017, expirou o </w:t>
      </w:r>
      <w:proofErr w:type="spellStart"/>
      <w:r w:rsidRPr="008946A3">
        <w:rPr>
          <w:rFonts w:ascii="Verdana" w:hAnsi="Verdana" w:cs="Arial"/>
          <w:i/>
          <w:iCs/>
          <w:sz w:val="20"/>
          <w:szCs w:val="20"/>
        </w:rPr>
        <w:t>waiver</w:t>
      </w:r>
      <w:proofErr w:type="spellEnd"/>
      <w:r w:rsidRPr="008946A3">
        <w:rPr>
          <w:rFonts w:ascii="Verdana" w:hAnsi="Verdana" w:cs="Arial"/>
          <w:iCs/>
          <w:sz w:val="20"/>
          <w:szCs w:val="20"/>
        </w:rPr>
        <w:t xml:space="preserve"> contratual do BNDES e em julho de 2018 terminou também o período de carência da CEF, passando a Companhia a ser obrigada a pagar também a parte relativa ao principal da dívida, além dos juros, comprometendo, fortemente, o seu caixa. </w:t>
      </w:r>
      <w:r w:rsidRPr="008946A3">
        <w:rPr>
          <w:rFonts w:ascii="Verdana" w:hAnsi="Verdana" w:cs="Arial"/>
          <w:sz w:val="20"/>
          <w:szCs w:val="20"/>
        </w:rPr>
        <w:t xml:space="preserve"> </w:t>
      </w:r>
      <w:r w:rsidRPr="008946A3">
        <w:rPr>
          <w:rFonts w:ascii="Verdana" w:hAnsi="Verdana" w:cs="Arial"/>
          <w:iCs/>
          <w:sz w:val="20"/>
          <w:szCs w:val="20"/>
        </w:rPr>
        <w:t>Os pagamentos do serviço da dívida relativos ao contrato de financiamento com o BNDES foram</w:t>
      </w:r>
      <w:r w:rsidRPr="008946A3">
        <w:rPr>
          <w:rFonts w:ascii="Verdana" w:hAnsi="Verdana" w:cs="Arial"/>
          <w:sz w:val="20"/>
          <w:szCs w:val="20"/>
        </w:rPr>
        <w:t xml:space="preserve"> suspensos </w:t>
      </w:r>
      <w:r w:rsidRPr="008946A3">
        <w:rPr>
          <w:rFonts w:ascii="Verdana" w:hAnsi="Verdana" w:cs="Arial"/>
          <w:iCs/>
          <w:sz w:val="20"/>
          <w:szCs w:val="20"/>
        </w:rPr>
        <w:t xml:space="preserve">durante o período de maio de 2020 a outubro de 2020, em função das medidas para mitigar os efeitos da pandemia da COVID-19, com a retomada dos pagamentos das obrigações no mês de novembro de 2020. </w:t>
      </w:r>
    </w:p>
    <w:p w14:paraId="5E5FB66C" w14:textId="77777777" w:rsidR="00C2656E" w:rsidRPr="008946A3" w:rsidRDefault="00C2656E" w:rsidP="00C2656E">
      <w:pPr>
        <w:rPr>
          <w:rFonts w:ascii="Verdana" w:hAnsi="Verdana" w:cs="Arial"/>
          <w:iCs/>
          <w:sz w:val="20"/>
          <w:szCs w:val="20"/>
        </w:rPr>
      </w:pPr>
    </w:p>
    <w:p w14:paraId="18E623DB" w14:textId="77777777" w:rsidR="00C2656E" w:rsidRPr="008946A3" w:rsidRDefault="00C2656E" w:rsidP="00C2656E">
      <w:pPr>
        <w:rPr>
          <w:rFonts w:ascii="Verdana" w:hAnsi="Verdana" w:cs="Arial"/>
          <w:sz w:val="20"/>
          <w:szCs w:val="20"/>
        </w:rPr>
      </w:pPr>
      <w:r w:rsidRPr="008946A3">
        <w:rPr>
          <w:rFonts w:ascii="Verdana" w:hAnsi="Verdana" w:cs="Arial"/>
          <w:iCs/>
          <w:sz w:val="20"/>
          <w:szCs w:val="20"/>
        </w:rPr>
        <w:t>Uma das grandes questões que precisava ser sanada para que fosse possível prosseguir rumo à conclusão do empreendimento de Angra 3 era a revisão do valor, originalmente, definido para a tarifa de Angra 3, de R$ 237/</w:t>
      </w:r>
      <w:proofErr w:type="spellStart"/>
      <w:r w:rsidRPr="008946A3">
        <w:rPr>
          <w:rFonts w:ascii="Verdana" w:hAnsi="Verdana" w:cs="Arial"/>
          <w:iCs/>
          <w:sz w:val="20"/>
          <w:szCs w:val="20"/>
        </w:rPr>
        <w:t>MWh</w:t>
      </w:r>
      <w:proofErr w:type="spellEnd"/>
      <w:r w:rsidRPr="008946A3">
        <w:rPr>
          <w:rFonts w:ascii="Verdana" w:hAnsi="Verdana" w:cs="Arial"/>
          <w:iCs/>
          <w:sz w:val="20"/>
          <w:szCs w:val="20"/>
        </w:rPr>
        <w:t xml:space="preserve"> (vigente entre novembro de 2016 e outubro de 2017). Esse valor apresentava grande defasagem em relação ao necessário para tornar a operação da usina sustentável, bem como inviabilizava a renegociação com credores.</w:t>
      </w:r>
    </w:p>
    <w:p w14:paraId="4FFA3B22" w14:textId="77777777" w:rsidR="00C2656E" w:rsidRPr="008946A3" w:rsidRDefault="00C2656E" w:rsidP="00C2656E">
      <w:pPr>
        <w:rPr>
          <w:rFonts w:ascii="Verdana" w:hAnsi="Verdana" w:cs="Arial"/>
          <w:sz w:val="20"/>
          <w:szCs w:val="20"/>
        </w:rPr>
      </w:pPr>
      <w:r w:rsidRPr="008946A3">
        <w:rPr>
          <w:rFonts w:ascii="Verdana" w:hAnsi="Verdana" w:cs="Arial"/>
          <w:iCs/>
          <w:sz w:val="20"/>
          <w:szCs w:val="20"/>
        </w:rPr>
        <w:t> </w:t>
      </w:r>
    </w:p>
    <w:p w14:paraId="4DBB787E" w14:textId="77777777" w:rsidR="00C2656E" w:rsidRPr="008946A3" w:rsidRDefault="00C2656E" w:rsidP="00C2656E">
      <w:pPr>
        <w:rPr>
          <w:rFonts w:ascii="Verdana" w:hAnsi="Verdana" w:cs="Arial"/>
          <w:sz w:val="20"/>
          <w:szCs w:val="20"/>
        </w:rPr>
      </w:pPr>
      <w:r w:rsidRPr="008946A3">
        <w:rPr>
          <w:rFonts w:ascii="Verdana" w:hAnsi="Verdana" w:cs="Arial"/>
          <w:iCs/>
          <w:sz w:val="20"/>
          <w:szCs w:val="20"/>
        </w:rPr>
        <w:t xml:space="preserve">Para tentar solucionar essa questão, em 05 de junho de 2018, aconteceu a 3ª Reunião Extraordinária do Conselho Nacional de Política Energética  - CNPE, na qual foi determinada a formação de um Grupo de </w:t>
      </w:r>
      <w:r w:rsidRPr="008946A3">
        <w:rPr>
          <w:rFonts w:ascii="Verdana" w:hAnsi="Verdana" w:cs="Arial"/>
          <w:iCs/>
          <w:sz w:val="20"/>
          <w:szCs w:val="20"/>
        </w:rPr>
        <w:lastRenderedPageBreak/>
        <w:t>Trabalho -GT liderado pelo MME, com a participação dos Ministérios do Planejamento e da Fazenda, da Empresa de Pesquisa Energética - EPE, da Eletrobras, da ELETRONUCLEAR e do Gabinete de Segurança Institucional - GSI, visando elaborar, em 60 dias, um documento propondo e justificando a revisão da tarifa de Angra 3 e as medidas necessárias para conclusão do projeto. A versão final do documento foi concluída em setembro de 2018.</w:t>
      </w:r>
    </w:p>
    <w:p w14:paraId="2C0A5E41" w14:textId="77777777" w:rsidR="00C2656E" w:rsidRPr="008946A3" w:rsidRDefault="00C2656E" w:rsidP="00C2656E">
      <w:pPr>
        <w:rPr>
          <w:rFonts w:ascii="Verdana" w:hAnsi="Verdana" w:cs="Arial"/>
          <w:sz w:val="20"/>
          <w:szCs w:val="20"/>
        </w:rPr>
      </w:pPr>
      <w:r w:rsidRPr="008946A3">
        <w:rPr>
          <w:rFonts w:ascii="Verdana" w:hAnsi="Verdana" w:cs="Arial"/>
          <w:iCs/>
          <w:sz w:val="20"/>
          <w:szCs w:val="20"/>
        </w:rPr>
        <w:t> </w:t>
      </w:r>
    </w:p>
    <w:p w14:paraId="24CEAD58" w14:textId="77777777" w:rsidR="00C2656E" w:rsidRPr="008946A3" w:rsidRDefault="00C2656E" w:rsidP="00C2656E">
      <w:pPr>
        <w:rPr>
          <w:rFonts w:ascii="Verdana" w:hAnsi="Verdana" w:cs="Arial"/>
          <w:sz w:val="20"/>
          <w:szCs w:val="20"/>
        </w:rPr>
      </w:pPr>
      <w:r w:rsidRPr="008946A3">
        <w:rPr>
          <w:rFonts w:ascii="Verdana" w:hAnsi="Verdana" w:cs="Arial"/>
          <w:iCs/>
          <w:sz w:val="20"/>
          <w:szCs w:val="20"/>
        </w:rPr>
        <w:t>Em 23 de outubro de 2018, foi publicada no DOU a Resolução nº 14 do CNPE, que estabelece condições iniciais para a viabilização de Angra 3, confirmando as decisões da 4ª Reunião Extraordinária do CNPE, ocorrida no dia 09 de outubro de 2018, que apreciou as considerações do referido Grupo de Trabalho. Tal resolução determinou a aprovação do valor de referência para o preço de energia de Angra 3, de R$ 480,00/</w:t>
      </w:r>
      <w:proofErr w:type="spellStart"/>
      <w:r w:rsidRPr="008946A3">
        <w:rPr>
          <w:rFonts w:ascii="Verdana" w:hAnsi="Verdana" w:cs="Arial"/>
          <w:iCs/>
          <w:sz w:val="20"/>
          <w:szCs w:val="20"/>
        </w:rPr>
        <w:t>MWh</w:t>
      </w:r>
      <w:proofErr w:type="spellEnd"/>
      <w:r w:rsidRPr="008946A3">
        <w:rPr>
          <w:rFonts w:ascii="Verdana" w:hAnsi="Verdana" w:cs="Arial"/>
          <w:iCs/>
          <w:sz w:val="20"/>
          <w:szCs w:val="20"/>
        </w:rPr>
        <w:t xml:space="preserve"> (base julho de 2018), conforme calculado pela Empresa de pesquisa Energética - EPE, bem como remeter ao Conselho do Programa de Parceria de Investimento a avaliação dos três modelos propostos pelo Grupo de Trabalho para a viabilização de Angra 3 por meio de participação de investidor privado (societária, não societária e sociedade de propósito específico - SPE) e definição do modelo de negócio e processo competitivo mais adequados.</w:t>
      </w:r>
    </w:p>
    <w:p w14:paraId="27DCD89F" w14:textId="77777777" w:rsidR="00C2656E" w:rsidRPr="008946A3" w:rsidRDefault="00C2656E" w:rsidP="00C2656E">
      <w:pPr>
        <w:rPr>
          <w:rFonts w:ascii="Verdana" w:hAnsi="Verdana" w:cs="Arial"/>
          <w:sz w:val="20"/>
          <w:szCs w:val="20"/>
        </w:rPr>
      </w:pPr>
      <w:r w:rsidRPr="008946A3">
        <w:rPr>
          <w:rFonts w:ascii="Verdana" w:hAnsi="Verdana" w:cs="Arial"/>
          <w:iCs/>
          <w:sz w:val="20"/>
          <w:szCs w:val="20"/>
        </w:rPr>
        <w:t> </w:t>
      </w:r>
    </w:p>
    <w:p w14:paraId="5E6F0275" w14:textId="77777777" w:rsidR="00C2656E" w:rsidRPr="008946A3" w:rsidRDefault="00C2656E" w:rsidP="00C2656E">
      <w:pPr>
        <w:rPr>
          <w:rFonts w:ascii="Verdana" w:hAnsi="Verdana" w:cs="Arial"/>
          <w:sz w:val="20"/>
          <w:szCs w:val="20"/>
        </w:rPr>
      </w:pPr>
      <w:r w:rsidRPr="008946A3">
        <w:rPr>
          <w:rFonts w:ascii="Verdana" w:hAnsi="Verdana" w:cs="Arial"/>
          <w:iCs/>
          <w:sz w:val="20"/>
          <w:szCs w:val="20"/>
        </w:rPr>
        <w:t>Essa revisão tarifária foi fundamental, pois, além de dar condições para a renegociação da dívida, restabeleceu a atratividade do projeto, fortalecendo o interesse dos eventuais parceiros.</w:t>
      </w:r>
    </w:p>
    <w:p w14:paraId="63BE3345" w14:textId="77777777" w:rsidR="00C2656E" w:rsidRPr="008946A3" w:rsidRDefault="00C2656E" w:rsidP="00C2656E">
      <w:pPr>
        <w:rPr>
          <w:rFonts w:ascii="Verdana" w:hAnsi="Verdana" w:cs="Arial"/>
          <w:sz w:val="20"/>
          <w:szCs w:val="20"/>
        </w:rPr>
      </w:pPr>
      <w:r w:rsidRPr="008946A3">
        <w:rPr>
          <w:rFonts w:ascii="Verdana" w:hAnsi="Verdana" w:cs="Arial"/>
          <w:iCs/>
          <w:sz w:val="20"/>
          <w:szCs w:val="20"/>
        </w:rPr>
        <w:t>  </w:t>
      </w:r>
    </w:p>
    <w:p w14:paraId="12C1C612" w14:textId="77777777" w:rsidR="00C2656E" w:rsidRPr="008946A3" w:rsidRDefault="00C2656E" w:rsidP="00C2656E">
      <w:pPr>
        <w:rPr>
          <w:rFonts w:ascii="Verdana" w:hAnsi="Verdana" w:cs="Arial"/>
          <w:sz w:val="20"/>
          <w:szCs w:val="20"/>
        </w:rPr>
      </w:pPr>
      <w:r w:rsidRPr="008946A3">
        <w:rPr>
          <w:rFonts w:ascii="Verdana" w:hAnsi="Verdana" w:cs="Arial"/>
          <w:iCs/>
          <w:sz w:val="20"/>
          <w:szCs w:val="20"/>
        </w:rPr>
        <w:t xml:space="preserve">Conforme orientação do Conselho de Programa de Parcerias de Investimentos - CPPI, a ELETRONUCLEAR realizou, em maio e junho de 2019, o processo de </w:t>
      </w:r>
      <w:r w:rsidRPr="008946A3">
        <w:rPr>
          <w:rFonts w:ascii="Verdana" w:hAnsi="Verdana" w:cs="Arial"/>
          <w:i/>
          <w:iCs/>
          <w:sz w:val="20"/>
          <w:szCs w:val="20"/>
        </w:rPr>
        <w:t xml:space="preserve">Market </w:t>
      </w:r>
      <w:proofErr w:type="spellStart"/>
      <w:r w:rsidRPr="008946A3">
        <w:rPr>
          <w:rFonts w:ascii="Verdana" w:hAnsi="Verdana" w:cs="Arial"/>
          <w:i/>
          <w:iCs/>
          <w:sz w:val="20"/>
          <w:szCs w:val="20"/>
        </w:rPr>
        <w:t>Sounding</w:t>
      </w:r>
      <w:proofErr w:type="spellEnd"/>
      <w:r w:rsidRPr="008946A3">
        <w:rPr>
          <w:rFonts w:ascii="Verdana" w:hAnsi="Verdana" w:cs="Arial"/>
          <w:iCs/>
          <w:sz w:val="20"/>
          <w:szCs w:val="20"/>
        </w:rPr>
        <w:t xml:space="preserve"> junto aos potenciais parceiros, detentores e proprietários de tecnologia de usinas nucleares à água pressurizada (PWR), com experiência em construção e comissionamento de usinas nucleares e atuação internacional no setor nuclear. Após convites e confirmações de interesse em participar desta etapa, as empresas que participaram deste processo foram: </w:t>
      </w:r>
      <w:proofErr w:type="spellStart"/>
      <w:r w:rsidRPr="008946A3">
        <w:rPr>
          <w:rFonts w:ascii="Verdana" w:hAnsi="Verdana" w:cs="Arial"/>
          <w:i/>
          <w:iCs/>
          <w:sz w:val="20"/>
          <w:szCs w:val="20"/>
        </w:rPr>
        <w:t>Électricité</w:t>
      </w:r>
      <w:proofErr w:type="spellEnd"/>
      <w:r w:rsidRPr="008946A3">
        <w:rPr>
          <w:rFonts w:ascii="Verdana" w:hAnsi="Verdana" w:cs="Arial"/>
          <w:i/>
          <w:iCs/>
          <w:sz w:val="20"/>
          <w:szCs w:val="20"/>
        </w:rPr>
        <w:t xml:space="preserve"> de France</w:t>
      </w:r>
      <w:r w:rsidRPr="008946A3">
        <w:rPr>
          <w:rFonts w:ascii="Verdana" w:hAnsi="Verdana" w:cs="Arial"/>
          <w:iCs/>
          <w:sz w:val="20"/>
          <w:szCs w:val="20"/>
        </w:rPr>
        <w:t xml:space="preserve"> - EDF e </w:t>
      </w:r>
      <w:proofErr w:type="spellStart"/>
      <w:r w:rsidRPr="008946A3">
        <w:rPr>
          <w:rFonts w:ascii="Verdana" w:hAnsi="Verdana" w:cs="Arial"/>
          <w:iCs/>
          <w:sz w:val="20"/>
          <w:szCs w:val="20"/>
        </w:rPr>
        <w:t>Framatome</w:t>
      </w:r>
      <w:proofErr w:type="spellEnd"/>
      <w:r w:rsidRPr="008946A3">
        <w:rPr>
          <w:rFonts w:ascii="Verdana" w:hAnsi="Verdana" w:cs="Arial"/>
          <w:iCs/>
          <w:sz w:val="20"/>
          <w:szCs w:val="20"/>
        </w:rPr>
        <w:t xml:space="preserve"> (ambas da França), </w:t>
      </w:r>
      <w:proofErr w:type="spellStart"/>
      <w:r w:rsidRPr="008946A3">
        <w:rPr>
          <w:rFonts w:ascii="Verdana" w:hAnsi="Verdana" w:cs="Arial"/>
          <w:i/>
          <w:iCs/>
          <w:sz w:val="20"/>
          <w:szCs w:val="20"/>
        </w:rPr>
        <w:t>Rosatom</w:t>
      </w:r>
      <w:proofErr w:type="spellEnd"/>
      <w:r w:rsidRPr="008946A3">
        <w:rPr>
          <w:rFonts w:ascii="Verdana" w:hAnsi="Verdana" w:cs="Arial"/>
          <w:i/>
          <w:iCs/>
          <w:sz w:val="20"/>
          <w:szCs w:val="20"/>
        </w:rPr>
        <w:t xml:space="preserve"> </w:t>
      </w:r>
      <w:proofErr w:type="spellStart"/>
      <w:r w:rsidRPr="008946A3">
        <w:rPr>
          <w:rFonts w:ascii="Verdana" w:hAnsi="Verdana" w:cs="Arial"/>
          <w:i/>
          <w:iCs/>
          <w:sz w:val="20"/>
          <w:szCs w:val="20"/>
        </w:rPr>
        <w:t>State</w:t>
      </w:r>
      <w:proofErr w:type="spellEnd"/>
      <w:r w:rsidRPr="008946A3">
        <w:rPr>
          <w:rFonts w:ascii="Verdana" w:hAnsi="Verdana" w:cs="Arial"/>
          <w:i/>
          <w:iCs/>
          <w:sz w:val="20"/>
          <w:szCs w:val="20"/>
        </w:rPr>
        <w:t xml:space="preserve"> </w:t>
      </w:r>
      <w:proofErr w:type="spellStart"/>
      <w:r w:rsidRPr="008946A3">
        <w:rPr>
          <w:rFonts w:ascii="Verdana" w:hAnsi="Verdana" w:cs="Arial"/>
          <w:i/>
          <w:iCs/>
          <w:sz w:val="20"/>
          <w:szCs w:val="20"/>
        </w:rPr>
        <w:t>Atomic</w:t>
      </w:r>
      <w:proofErr w:type="spellEnd"/>
      <w:r w:rsidRPr="008946A3">
        <w:rPr>
          <w:rFonts w:ascii="Verdana" w:hAnsi="Verdana" w:cs="Arial"/>
          <w:i/>
          <w:iCs/>
          <w:sz w:val="20"/>
          <w:szCs w:val="20"/>
        </w:rPr>
        <w:t xml:space="preserve"> Energy Corporation </w:t>
      </w:r>
      <w:r w:rsidRPr="008946A3">
        <w:rPr>
          <w:rFonts w:ascii="Verdana" w:hAnsi="Verdana" w:cs="Arial"/>
          <w:iCs/>
          <w:sz w:val="20"/>
          <w:szCs w:val="20"/>
        </w:rPr>
        <w:t xml:space="preserve">(Rússia), </w:t>
      </w:r>
      <w:r w:rsidRPr="008946A3">
        <w:rPr>
          <w:rFonts w:ascii="Verdana" w:hAnsi="Verdana" w:cs="Arial"/>
          <w:i/>
          <w:iCs/>
          <w:sz w:val="20"/>
          <w:szCs w:val="20"/>
        </w:rPr>
        <w:t>China Nacional Nuclear Corporation</w:t>
      </w:r>
      <w:r w:rsidRPr="008946A3">
        <w:rPr>
          <w:rFonts w:ascii="Verdana" w:hAnsi="Verdana" w:cs="Arial"/>
          <w:iCs/>
          <w:sz w:val="20"/>
          <w:szCs w:val="20"/>
        </w:rPr>
        <w:t xml:space="preserve"> - CNNC e </w:t>
      </w:r>
      <w:proofErr w:type="spellStart"/>
      <w:r w:rsidRPr="008946A3">
        <w:rPr>
          <w:rFonts w:ascii="Verdana" w:hAnsi="Verdana" w:cs="Arial"/>
          <w:i/>
          <w:iCs/>
          <w:sz w:val="20"/>
          <w:szCs w:val="20"/>
        </w:rPr>
        <w:t>State</w:t>
      </w:r>
      <w:proofErr w:type="spellEnd"/>
      <w:r w:rsidRPr="008946A3">
        <w:rPr>
          <w:rFonts w:ascii="Verdana" w:hAnsi="Verdana" w:cs="Arial"/>
          <w:i/>
          <w:iCs/>
          <w:sz w:val="20"/>
          <w:szCs w:val="20"/>
        </w:rPr>
        <w:t xml:space="preserve"> Nuclear Power Technology </w:t>
      </w:r>
      <w:r w:rsidRPr="008946A3">
        <w:rPr>
          <w:rFonts w:ascii="Verdana" w:hAnsi="Verdana" w:cs="Arial"/>
          <w:iCs/>
          <w:sz w:val="20"/>
          <w:szCs w:val="20"/>
        </w:rPr>
        <w:t>-</w:t>
      </w:r>
      <w:r w:rsidRPr="008946A3">
        <w:rPr>
          <w:rFonts w:ascii="Verdana" w:hAnsi="Verdana" w:cs="Arial"/>
          <w:i/>
          <w:iCs/>
          <w:sz w:val="20"/>
          <w:szCs w:val="20"/>
        </w:rPr>
        <w:t xml:space="preserve"> SNPTC</w:t>
      </w:r>
      <w:r w:rsidRPr="008946A3">
        <w:rPr>
          <w:rFonts w:ascii="Verdana" w:hAnsi="Verdana" w:cs="Arial"/>
          <w:iCs/>
          <w:sz w:val="20"/>
          <w:szCs w:val="20"/>
        </w:rPr>
        <w:t xml:space="preserve"> (ambas chinesas), </w:t>
      </w:r>
      <w:proofErr w:type="spellStart"/>
      <w:r w:rsidRPr="008946A3">
        <w:rPr>
          <w:rFonts w:ascii="Verdana" w:hAnsi="Verdana" w:cs="Arial"/>
          <w:i/>
          <w:iCs/>
          <w:sz w:val="20"/>
          <w:szCs w:val="20"/>
        </w:rPr>
        <w:t>Korea</w:t>
      </w:r>
      <w:proofErr w:type="spellEnd"/>
      <w:r w:rsidRPr="008946A3">
        <w:rPr>
          <w:rFonts w:ascii="Verdana" w:hAnsi="Verdana" w:cs="Arial"/>
          <w:i/>
          <w:iCs/>
          <w:sz w:val="20"/>
          <w:szCs w:val="20"/>
        </w:rPr>
        <w:t xml:space="preserve"> Electric Power Corporation</w:t>
      </w:r>
      <w:r w:rsidRPr="008946A3">
        <w:rPr>
          <w:rFonts w:ascii="Verdana" w:hAnsi="Verdana" w:cs="Arial"/>
          <w:iCs/>
          <w:sz w:val="20"/>
          <w:szCs w:val="20"/>
        </w:rPr>
        <w:t xml:space="preserve"> - KEPCO (Cor</w:t>
      </w:r>
      <w:r>
        <w:rPr>
          <w:rFonts w:ascii="Verdana" w:hAnsi="Verdana" w:cs="Arial"/>
          <w:iCs/>
          <w:sz w:val="20"/>
          <w:szCs w:val="20"/>
        </w:rPr>
        <w:t>eia</w:t>
      </w:r>
      <w:r w:rsidRPr="008946A3">
        <w:rPr>
          <w:rFonts w:ascii="Verdana" w:hAnsi="Verdana" w:cs="Arial"/>
          <w:iCs/>
          <w:sz w:val="20"/>
          <w:szCs w:val="20"/>
        </w:rPr>
        <w:t xml:space="preserve">) e </w:t>
      </w:r>
      <w:proofErr w:type="spellStart"/>
      <w:r w:rsidRPr="008946A3">
        <w:rPr>
          <w:rFonts w:ascii="Verdana" w:hAnsi="Verdana" w:cs="Arial"/>
          <w:i/>
          <w:iCs/>
          <w:sz w:val="20"/>
          <w:szCs w:val="20"/>
        </w:rPr>
        <w:t>Westinghouse</w:t>
      </w:r>
      <w:proofErr w:type="spellEnd"/>
      <w:r w:rsidRPr="008946A3">
        <w:rPr>
          <w:rFonts w:ascii="Verdana" w:hAnsi="Verdana" w:cs="Arial"/>
          <w:iCs/>
          <w:sz w:val="20"/>
          <w:szCs w:val="20"/>
        </w:rPr>
        <w:t xml:space="preserve"> (EUA). Os potenciais parceiros enviaram seus questionamentos sobre o documento recebido e suas considerações sobre os modelos propostos, que foram apresentadas durante reuniões individuais com cada potencial parceiro interessado na viabilização de Angra 3. O relatório com os resultados do processo foi encaminhado à Eletrobras, MME e CPPI em julho de 2019. É importante ressaltar que grande parte dessas empresas já visitaram o sítio e estabeleceram Memorandos de Entendimento com a ELETRONUCLEAR para troca de informações sobre o Projeto.</w:t>
      </w:r>
    </w:p>
    <w:p w14:paraId="2ED85883" w14:textId="77777777" w:rsidR="00C2656E" w:rsidRPr="008946A3" w:rsidRDefault="00C2656E" w:rsidP="00C2656E">
      <w:pPr>
        <w:rPr>
          <w:rFonts w:ascii="Verdana" w:hAnsi="Verdana" w:cs="Arial"/>
          <w:iCs/>
          <w:sz w:val="20"/>
          <w:szCs w:val="20"/>
        </w:rPr>
      </w:pPr>
      <w:r w:rsidRPr="008946A3">
        <w:rPr>
          <w:rFonts w:ascii="Verdana" w:hAnsi="Verdana" w:cs="Arial"/>
          <w:iCs/>
          <w:sz w:val="20"/>
          <w:szCs w:val="20"/>
        </w:rPr>
        <w:t> </w:t>
      </w:r>
    </w:p>
    <w:p w14:paraId="3CC8675E" w14:textId="77777777" w:rsidR="00C2656E" w:rsidRPr="008946A3" w:rsidRDefault="00C2656E" w:rsidP="00C2656E">
      <w:pPr>
        <w:rPr>
          <w:rFonts w:ascii="Verdana" w:hAnsi="Verdana" w:cs="Arial"/>
          <w:sz w:val="20"/>
          <w:szCs w:val="20"/>
        </w:rPr>
      </w:pPr>
      <w:r w:rsidRPr="008946A3">
        <w:rPr>
          <w:rFonts w:ascii="Verdana" w:hAnsi="Verdana" w:cs="Arial"/>
          <w:iCs/>
          <w:sz w:val="20"/>
          <w:szCs w:val="20"/>
        </w:rPr>
        <w:t>Em 16 de julho de 2019, foi publicado o Decreto Presidencial nº 9915/2019 que qualificou Angra 3 no Programa de Parceria de Investimentos - PPI. O mesmo decreto criou um Comitê Interministerial para conduzir o processo de definição do modelo de negócio a ser efetivamente adotado. O Comitê é formado por representantes do Ministério de Minas e Energia, Ministério da Economia, do PPI e do Gabinete de Segurança Institucional da Presidência da República. O parágrafo único do artigo 2º do aludido decreto presidencial prevê que a ELETRONUCLEAR contrate estudos independentes para suportar a decisão final do CPPI, na seleção do modelo.</w:t>
      </w:r>
    </w:p>
    <w:p w14:paraId="6F324974" w14:textId="77777777" w:rsidR="00C2656E" w:rsidRPr="008946A3" w:rsidRDefault="00C2656E" w:rsidP="00C2656E">
      <w:pPr>
        <w:rPr>
          <w:rFonts w:ascii="Verdana" w:hAnsi="Verdana" w:cs="Arial"/>
          <w:sz w:val="20"/>
          <w:szCs w:val="20"/>
        </w:rPr>
      </w:pPr>
      <w:r w:rsidRPr="008946A3">
        <w:rPr>
          <w:rFonts w:ascii="Verdana" w:hAnsi="Verdana" w:cs="Arial"/>
          <w:iCs/>
          <w:sz w:val="20"/>
          <w:szCs w:val="20"/>
        </w:rPr>
        <w:t> </w:t>
      </w:r>
    </w:p>
    <w:p w14:paraId="7738CBD7" w14:textId="77777777" w:rsidR="00C2656E" w:rsidRPr="008946A3" w:rsidRDefault="00C2656E" w:rsidP="00C2656E">
      <w:pPr>
        <w:rPr>
          <w:rFonts w:ascii="Verdana" w:hAnsi="Verdana" w:cs="Arial"/>
          <w:sz w:val="20"/>
          <w:szCs w:val="20"/>
        </w:rPr>
      </w:pPr>
      <w:r w:rsidRPr="008946A3">
        <w:rPr>
          <w:rFonts w:ascii="Verdana" w:hAnsi="Verdana" w:cs="Arial"/>
          <w:iCs/>
          <w:sz w:val="20"/>
          <w:szCs w:val="20"/>
        </w:rPr>
        <w:t xml:space="preserve">Em 25 de outubro de 2019, foi assinado o contrato com o BNDES para a estruturação do modelo jurídico, econômico e operacional junto à iniciativa privada para a construção, manutenção e exploração de Angra 3. O escopo do trabalho inclui a avaliação independente do trabalho de modelagem realizado pela ELETRONUCLEAR anteriormente, conjuntamente com a Alvarez &amp; </w:t>
      </w:r>
      <w:proofErr w:type="spellStart"/>
      <w:r w:rsidRPr="008946A3">
        <w:rPr>
          <w:rFonts w:ascii="Verdana" w:hAnsi="Verdana" w:cs="Arial"/>
          <w:iCs/>
          <w:sz w:val="20"/>
          <w:szCs w:val="20"/>
        </w:rPr>
        <w:t>Marsal</w:t>
      </w:r>
      <w:proofErr w:type="spellEnd"/>
      <w:r w:rsidRPr="008946A3">
        <w:rPr>
          <w:rFonts w:ascii="Verdana" w:hAnsi="Verdana" w:cs="Arial"/>
          <w:iCs/>
          <w:sz w:val="20"/>
          <w:szCs w:val="20"/>
        </w:rPr>
        <w:t>, e recomendação sobre modelo de negócios mais adequado a ser adotado para a conclusão de Angra 3, bem como estruturação, condução e conclusão do processo de seleção de um parceiro e dos atos contratuais decorrentes.</w:t>
      </w:r>
    </w:p>
    <w:p w14:paraId="58F0FC1A" w14:textId="77777777" w:rsidR="00C2656E" w:rsidRPr="008946A3" w:rsidRDefault="00C2656E" w:rsidP="00C2656E">
      <w:pPr>
        <w:rPr>
          <w:rFonts w:ascii="Verdana" w:hAnsi="Verdana" w:cs="Arial"/>
          <w:sz w:val="20"/>
          <w:szCs w:val="20"/>
        </w:rPr>
      </w:pPr>
      <w:r w:rsidRPr="008946A3">
        <w:rPr>
          <w:rFonts w:ascii="Verdana" w:hAnsi="Verdana" w:cs="Arial"/>
          <w:iCs/>
          <w:sz w:val="20"/>
          <w:szCs w:val="20"/>
        </w:rPr>
        <w:t> </w:t>
      </w:r>
    </w:p>
    <w:p w14:paraId="30045B2C" w14:textId="77777777" w:rsidR="00C2656E" w:rsidRPr="008946A3" w:rsidRDefault="00C2656E" w:rsidP="00C2656E">
      <w:pPr>
        <w:rPr>
          <w:rFonts w:ascii="Verdana" w:hAnsi="Verdana" w:cs="Arial"/>
          <w:iCs/>
          <w:sz w:val="20"/>
          <w:szCs w:val="20"/>
        </w:rPr>
      </w:pPr>
      <w:r w:rsidRPr="008946A3">
        <w:rPr>
          <w:rFonts w:ascii="Verdana" w:hAnsi="Verdana" w:cs="Arial"/>
          <w:iCs/>
          <w:sz w:val="20"/>
          <w:szCs w:val="20"/>
        </w:rPr>
        <w:t xml:space="preserve">A minuta do relatório com os resultados da fase 1, com a indicação do modelo, foi entregue em janeiro de 2020. </w:t>
      </w:r>
    </w:p>
    <w:p w14:paraId="322A65C7" w14:textId="77777777" w:rsidR="00C2656E" w:rsidRPr="008946A3" w:rsidRDefault="00C2656E" w:rsidP="00C2656E">
      <w:pPr>
        <w:rPr>
          <w:rFonts w:ascii="Verdana" w:hAnsi="Verdana" w:cs="Arial"/>
          <w:iCs/>
          <w:sz w:val="20"/>
          <w:szCs w:val="20"/>
        </w:rPr>
      </w:pPr>
    </w:p>
    <w:p w14:paraId="1F8F3F03" w14:textId="77777777" w:rsidR="00C2656E" w:rsidRPr="008946A3" w:rsidRDefault="00C2656E" w:rsidP="00C2656E">
      <w:pPr>
        <w:rPr>
          <w:rFonts w:ascii="Verdana" w:hAnsi="Verdana" w:cs="Arial"/>
          <w:iCs/>
          <w:sz w:val="20"/>
          <w:szCs w:val="20"/>
        </w:rPr>
      </w:pPr>
      <w:r w:rsidRPr="008946A3">
        <w:rPr>
          <w:rFonts w:ascii="Verdana" w:hAnsi="Verdana" w:cs="Arial"/>
          <w:iCs/>
          <w:sz w:val="20"/>
          <w:szCs w:val="20"/>
        </w:rPr>
        <w:t xml:space="preserve">Em 10 de junho de 2020, após validação do Comitê Interministerial, o modelo alternativo proposto no relatório final da primeira fase do trabalho realizado pelo BNDES, para a viabilização da retomada do empreendimento de Angra 3, foi aprovado em reunião do Conselho do Programa de Parcerias de Investimentos - CPPI, dando início à segunda fase do contrato no qual está prevista a estruturação do modelo proposto. O documento recomenda a contratação de uma empresa especializada por contrato de </w:t>
      </w:r>
      <w:r w:rsidRPr="008946A3">
        <w:rPr>
          <w:rFonts w:ascii="Verdana" w:hAnsi="Verdana" w:cs="Arial"/>
          <w:iCs/>
          <w:sz w:val="20"/>
          <w:szCs w:val="20"/>
        </w:rPr>
        <w:lastRenderedPageBreak/>
        <w:t>EPC - o que significa engenharia, gestão de compras e construção, na tradução do inglês - para terminar a obra, com base em avaliação independente feita pelo BNDES. Após a entrega do modelo proposto de retomada, o banco iniciou a fase seguinte, com o detalhamento do modelo selecionado. Nessa reunião, o CPPI também decidiu que, uma vez que a equalização do empreendimento não carece necessariamente de uma parceria nos moldes do programa do PPI, o projeto seja encaminhado ao Conselho Nacional de Política Energética - CNPE que fará o acompanhamento do trabalho elaborado pelo BNDES.</w:t>
      </w:r>
      <w:bookmarkEnd w:id="29"/>
    </w:p>
    <w:p w14:paraId="55712703" w14:textId="77777777" w:rsidR="00C2656E" w:rsidRPr="008946A3" w:rsidRDefault="00C2656E" w:rsidP="00C2656E">
      <w:pPr>
        <w:rPr>
          <w:rFonts w:ascii="Verdana" w:hAnsi="Verdana" w:cs="Arial"/>
          <w:iCs/>
          <w:sz w:val="20"/>
          <w:szCs w:val="20"/>
        </w:rPr>
      </w:pPr>
    </w:p>
    <w:p w14:paraId="70F27E85" w14:textId="77777777" w:rsidR="00C2656E" w:rsidRPr="008946A3" w:rsidRDefault="00C2656E" w:rsidP="00C2656E">
      <w:pPr>
        <w:rPr>
          <w:rFonts w:ascii="Verdana" w:hAnsi="Verdana" w:cs="Arial"/>
          <w:iCs/>
          <w:sz w:val="20"/>
          <w:szCs w:val="20"/>
        </w:rPr>
      </w:pPr>
      <w:bookmarkStart w:id="30" w:name="_Hlk66659174"/>
      <w:r w:rsidRPr="008946A3">
        <w:rPr>
          <w:rFonts w:ascii="Verdana" w:hAnsi="Verdana" w:cs="Arial"/>
          <w:iCs/>
          <w:sz w:val="20"/>
          <w:szCs w:val="20"/>
        </w:rPr>
        <w:t>Apesar da decisão final pela contratação de uma empresa especialista para conclusão de Angra 3, o CPPI abriu espaço para a entrada de um sócio no empreendimento, afirmando que essa seria uma escolha estratégica da ELETRONUCLEAR. Caso a Companhia resolva efetivamente selecionar um parceiro, este teria participação minoritária pois a exploração da energia nuclear no Brasil é monopólio da União, segundo a Constituição. Grandes empresas da área nuclear já demonstraram interesse na conclusão de Angra 3.</w:t>
      </w:r>
    </w:p>
    <w:p w14:paraId="21ECABC1" w14:textId="77777777" w:rsidR="00C2656E" w:rsidRPr="008946A3" w:rsidRDefault="00C2656E" w:rsidP="00C2656E">
      <w:pPr>
        <w:rPr>
          <w:rFonts w:ascii="Verdana" w:hAnsi="Verdana" w:cs="Arial"/>
          <w:iCs/>
          <w:sz w:val="20"/>
          <w:szCs w:val="20"/>
        </w:rPr>
      </w:pPr>
    </w:p>
    <w:p w14:paraId="0F85D346" w14:textId="77777777" w:rsidR="00C2656E" w:rsidRPr="008946A3" w:rsidRDefault="00C2656E" w:rsidP="00C2656E">
      <w:pPr>
        <w:pStyle w:val="xmsonormal"/>
        <w:shd w:val="clear" w:color="auto" w:fill="FFFFFF"/>
        <w:spacing w:before="0" w:beforeAutospacing="0" w:after="0" w:afterAutospacing="0"/>
        <w:rPr>
          <w:rFonts w:ascii="Verdana" w:hAnsi="Verdana" w:cs="Arial"/>
          <w:iCs/>
          <w:sz w:val="20"/>
          <w:szCs w:val="20"/>
        </w:rPr>
      </w:pPr>
      <w:r w:rsidRPr="008946A3">
        <w:rPr>
          <w:rFonts w:ascii="Verdana" w:hAnsi="Verdana" w:cs="Arial"/>
          <w:iCs/>
          <w:sz w:val="20"/>
          <w:szCs w:val="20"/>
        </w:rPr>
        <w:t xml:space="preserve">Os trabalhos conduzidos pelo BNDES, atualmente em sua fase 2, concentram-se atualmente na realização da </w:t>
      </w:r>
      <w:proofErr w:type="spellStart"/>
      <w:r w:rsidRPr="009262E7">
        <w:rPr>
          <w:rFonts w:ascii="Verdana" w:hAnsi="Verdana" w:cs="Arial"/>
          <w:i/>
          <w:sz w:val="20"/>
          <w:szCs w:val="20"/>
        </w:rPr>
        <w:t>Due</w:t>
      </w:r>
      <w:proofErr w:type="spellEnd"/>
      <w:r w:rsidRPr="009262E7">
        <w:rPr>
          <w:rFonts w:ascii="Verdana" w:hAnsi="Verdana" w:cs="Arial"/>
          <w:i/>
          <w:sz w:val="20"/>
          <w:szCs w:val="20"/>
        </w:rPr>
        <w:t xml:space="preserve"> </w:t>
      </w:r>
      <w:proofErr w:type="spellStart"/>
      <w:r w:rsidRPr="009262E7">
        <w:rPr>
          <w:rFonts w:ascii="Verdana" w:hAnsi="Verdana" w:cs="Arial"/>
          <w:i/>
          <w:sz w:val="20"/>
          <w:szCs w:val="20"/>
        </w:rPr>
        <w:t>Diligence</w:t>
      </w:r>
      <w:proofErr w:type="spellEnd"/>
      <w:r w:rsidRPr="008946A3">
        <w:rPr>
          <w:rFonts w:ascii="Verdana" w:hAnsi="Verdana" w:cs="Arial"/>
          <w:iCs/>
          <w:sz w:val="20"/>
          <w:szCs w:val="20"/>
        </w:rPr>
        <w:t xml:space="preserve"> Técnico-Operacional pelo consórcio formado pelas empresas Tractebel Brasil, Tractebel Bélgica e Empresários Agrupados (Espanha), contratadas pelo BNDES. Os trabalhos tiveram início em julho de 2021 e prosseguem em ritmo satisfatório, sendo a entrega da versão preliminar prevista para o início de dezembro. Também estão em curso a </w:t>
      </w:r>
      <w:proofErr w:type="spellStart"/>
      <w:r w:rsidRPr="009262E7">
        <w:rPr>
          <w:rFonts w:ascii="Verdana" w:hAnsi="Verdana" w:cs="Arial"/>
          <w:i/>
          <w:sz w:val="20"/>
          <w:szCs w:val="20"/>
        </w:rPr>
        <w:t>Due</w:t>
      </w:r>
      <w:proofErr w:type="spellEnd"/>
      <w:r w:rsidRPr="009262E7">
        <w:rPr>
          <w:rFonts w:ascii="Verdana" w:hAnsi="Verdana" w:cs="Arial"/>
          <w:i/>
          <w:sz w:val="20"/>
          <w:szCs w:val="20"/>
        </w:rPr>
        <w:t xml:space="preserve"> </w:t>
      </w:r>
      <w:proofErr w:type="spellStart"/>
      <w:r w:rsidRPr="009262E7">
        <w:rPr>
          <w:rFonts w:ascii="Verdana" w:hAnsi="Verdana" w:cs="Arial"/>
          <w:i/>
          <w:sz w:val="20"/>
          <w:szCs w:val="20"/>
        </w:rPr>
        <w:t>Diligence</w:t>
      </w:r>
      <w:proofErr w:type="spellEnd"/>
      <w:r w:rsidRPr="008946A3">
        <w:rPr>
          <w:rFonts w:ascii="Verdana" w:hAnsi="Verdana" w:cs="Arial"/>
          <w:iCs/>
          <w:sz w:val="20"/>
          <w:szCs w:val="20"/>
        </w:rPr>
        <w:t xml:space="preserve"> Jurídica, a </w:t>
      </w:r>
      <w:proofErr w:type="spellStart"/>
      <w:r w:rsidRPr="009262E7">
        <w:rPr>
          <w:rFonts w:ascii="Verdana" w:hAnsi="Verdana" w:cs="Arial"/>
          <w:i/>
          <w:sz w:val="20"/>
          <w:szCs w:val="20"/>
        </w:rPr>
        <w:t>Due</w:t>
      </w:r>
      <w:proofErr w:type="spellEnd"/>
      <w:r w:rsidRPr="009262E7">
        <w:rPr>
          <w:rFonts w:ascii="Verdana" w:hAnsi="Verdana" w:cs="Arial"/>
          <w:i/>
          <w:sz w:val="20"/>
          <w:szCs w:val="20"/>
        </w:rPr>
        <w:t xml:space="preserve"> </w:t>
      </w:r>
      <w:proofErr w:type="spellStart"/>
      <w:r w:rsidRPr="009262E7">
        <w:rPr>
          <w:rFonts w:ascii="Verdana" w:hAnsi="Verdana" w:cs="Arial"/>
          <w:i/>
          <w:sz w:val="20"/>
          <w:szCs w:val="20"/>
        </w:rPr>
        <w:t>Diligence</w:t>
      </w:r>
      <w:proofErr w:type="spellEnd"/>
      <w:r w:rsidRPr="009262E7">
        <w:rPr>
          <w:rFonts w:ascii="Verdana" w:hAnsi="Verdana" w:cs="Arial"/>
          <w:i/>
          <w:sz w:val="20"/>
          <w:szCs w:val="20"/>
        </w:rPr>
        <w:t xml:space="preserve"> </w:t>
      </w:r>
      <w:r w:rsidRPr="008946A3">
        <w:rPr>
          <w:rFonts w:ascii="Verdana" w:hAnsi="Verdana" w:cs="Arial"/>
          <w:iCs/>
          <w:sz w:val="20"/>
          <w:szCs w:val="20"/>
        </w:rPr>
        <w:t>Contábil-Patrimonial, a Avaliação Ambiental e do licenciamento nuclear e a Avaliação de Recursos Humanos e previdenciária. Além disso tiveram início os trabalhos da Assessoria Financeira. Adicionalmente, os seguintes serviços técnicos especializados necessários à estruturação do modelo estão em fase de contratação pelo BNDES: Modelagem da reestruturação; Assessoria Jurídica; Assessoria de Comunicação; Outros Serviços Especializados.</w:t>
      </w:r>
    </w:p>
    <w:p w14:paraId="1C06D4D6" w14:textId="77777777" w:rsidR="00C2656E" w:rsidRPr="008946A3" w:rsidRDefault="00C2656E" w:rsidP="00C2656E">
      <w:pPr>
        <w:rPr>
          <w:rFonts w:ascii="Verdana" w:hAnsi="Verdana" w:cs="Arial"/>
          <w:iCs/>
          <w:sz w:val="20"/>
          <w:szCs w:val="20"/>
        </w:rPr>
      </w:pPr>
    </w:p>
    <w:bookmarkEnd w:id="30"/>
    <w:p w14:paraId="4FC19F3A" w14:textId="4D1FD641" w:rsidR="003F182D" w:rsidRPr="00FD080B" w:rsidRDefault="00C2656E" w:rsidP="00C2656E">
      <w:pPr>
        <w:rPr>
          <w:rFonts w:ascii="Verdana" w:hAnsi="Verdana" w:cs="Arial"/>
          <w:iCs/>
          <w:sz w:val="20"/>
          <w:szCs w:val="20"/>
        </w:rPr>
      </w:pPr>
      <w:r w:rsidRPr="008946A3">
        <w:rPr>
          <w:rFonts w:ascii="Verdana" w:hAnsi="Verdana" w:cs="Arial"/>
          <w:iCs/>
          <w:sz w:val="20"/>
          <w:szCs w:val="20"/>
        </w:rPr>
        <w:t>O quadro abaixo apresenta o fluxo de ações para a viabilização da retomada e conclusão do empreendimento</w:t>
      </w:r>
      <w:r w:rsidR="006044CC" w:rsidRPr="005E4A4C">
        <w:rPr>
          <w:rFonts w:ascii="Verdana" w:hAnsi="Verdana" w:cs="Arial"/>
          <w:iCs/>
          <w:sz w:val="20"/>
          <w:szCs w:val="20"/>
        </w:rPr>
        <w:t>:</w:t>
      </w:r>
    </w:p>
    <w:p w14:paraId="520653D4" w14:textId="77777777" w:rsidR="006044CC" w:rsidRPr="003C42B3" w:rsidRDefault="006044CC" w:rsidP="006044CC">
      <w:pPr>
        <w:rPr>
          <w:rFonts w:ascii="Verdana" w:hAnsi="Verdana" w:cs="Arial"/>
          <w:sz w:val="20"/>
          <w:szCs w:val="20"/>
          <w:highlight w:val="yellow"/>
        </w:rPr>
      </w:pPr>
    </w:p>
    <w:p w14:paraId="57CACB19" w14:textId="77777777" w:rsidR="006044CC" w:rsidRPr="003C42B3" w:rsidRDefault="006044CC" w:rsidP="006044CC">
      <w:pPr>
        <w:rPr>
          <w:rFonts w:ascii="Verdana" w:hAnsi="Verdana" w:cs="Arial"/>
          <w:sz w:val="20"/>
          <w:szCs w:val="20"/>
          <w:highlight w:val="yellow"/>
        </w:rPr>
      </w:pPr>
      <w:r w:rsidRPr="005E4A4C">
        <w:rPr>
          <w:rFonts w:ascii="Verdana" w:hAnsi="Verdana" w:cs="Arial"/>
          <w:noProof/>
          <w:sz w:val="20"/>
          <w:szCs w:val="20"/>
        </w:rPr>
        <w:drawing>
          <wp:inline distT="0" distB="0" distL="0" distR="0" wp14:anchorId="7E590D62" wp14:editId="396371A5">
            <wp:extent cx="5400040" cy="2771745"/>
            <wp:effectExtent l="0" t="0" r="0" b="0"/>
            <wp:docPr id="1618300601" name="Imagem 1618300601" descr="Gráfic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00601" name="Imagem 1618300601" descr="Gráfico, Diagrama&#10;&#10;Descrição gerada automaticamente"/>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400040" cy="2771745"/>
                    </a:xfrm>
                    <a:prstGeom prst="rect">
                      <a:avLst/>
                    </a:prstGeom>
                    <a:noFill/>
                  </pic:spPr>
                </pic:pic>
              </a:graphicData>
            </a:graphic>
          </wp:inline>
        </w:drawing>
      </w:r>
    </w:p>
    <w:p w14:paraId="19DE6B2E" w14:textId="77777777" w:rsidR="006044CC" w:rsidRPr="005E4A4C" w:rsidRDefault="006044CC" w:rsidP="006044CC">
      <w:pPr>
        <w:rPr>
          <w:rFonts w:ascii="Verdana" w:hAnsi="Verdana" w:cs="Arial"/>
          <w:sz w:val="20"/>
          <w:szCs w:val="20"/>
        </w:rPr>
      </w:pPr>
      <w:r w:rsidRPr="005E4A4C">
        <w:rPr>
          <w:rFonts w:ascii="Verdana" w:hAnsi="Verdana" w:cs="Arial"/>
          <w:i/>
          <w:iCs/>
          <w:sz w:val="20"/>
          <w:szCs w:val="20"/>
        </w:rPr>
        <w:t> </w:t>
      </w:r>
    </w:p>
    <w:p w14:paraId="7EF3643E" w14:textId="77777777" w:rsidR="00C2656E" w:rsidRPr="008946A3" w:rsidRDefault="00C2656E" w:rsidP="00C2656E">
      <w:pPr>
        <w:rPr>
          <w:rFonts w:ascii="Verdana" w:hAnsi="Verdana"/>
          <w:sz w:val="20"/>
          <w:szCs w:val="20"/>
          <w:lang w:eastAsia="en-GB"/>
        </w:rPr>
      </w:pPr>
      <w:bookmarkStart w:id="31" w:name="_Hlk66659182"/>
      <w:bookmarkStart w:id="32" w:name="_Hlk98406522"/>
      <w:bookmarkStart w:id="33" w:name="_Hlk66659288"/>
      <w:r w:rsidRPr="008946A3">
        <w:rPr>
          <w:rFonts w:ascii="Verdana" w:hAnsi="Verdana"/>
          <w:sz w:val="20"/>
          <w:szCs w:val="20"/>
          <w:lang w:eastAsia="en-GB"/>
        </w:rPr>
        <w:t>Em paralelo ao trabalho desenvolvido pelo BNDES, após as respectivas apresentações do relatório para o Conselho da Eletrobras e da ELETRONUCLEAR, foi solicitado um estudo adicional sobre riscos e alternativas caso a implementação do modelo proposto sofra atrasos em função de fatos não gerenciáveis pela empresa. </w:t>
      </w:r>
    </w:p>
    <w:p w14:paraId="5A598C98" w14:textId="77777777" w:rsidR="00C2656E" w:rsidRPr="008946A3" w:rsidRDefault="00C2656E" w:rsidP="00C2656E">
      <w:pPr>
        <w:rPr>
          <w:rFonts w:ascii="Verdana" w:hAnsi="Verdana"/>
          <w:sz w:val="20"/>
          <w:szCs w:val="20"/>
          <w:lang w:eastAsia="en-GB"/>
        </w:rPr>
      </w:pPr>
    </w:p>
    <w:p w14:paraId="3873769D" w14:textId="77777777" w:rsidR="00C2656E" w:rsidRPr="008946A3" w:rsidRDefault="00C2656E" w:rsidP="00C2656E">
      <w:pPr>
        <w:rPr>
          <w:rFonts w:ascii="Verdana" w:hAnsi="Verdana"/>
          <w:sz w:val="20"/>
          <w:szCs w:val="20"/>
          <w:lang w:eastAsia="en-GB"/>
        </w:rPr>
      </w:pPr>
      <w:r w:rsidRPr="008946A3">
        <w:rPr>
          <w:rFonts w:ascii="Verdana" w:hAnsi="Verdana"/>
          <w:sz w:val="20"/>
          <w:szCs w:val="20"/>
          <w:lang w:eastAsia="en-GB"/>
        </w:rPr>
        <w:t xml:space="preserve">Em 17 de agosto de 2020, na esteira da aprovação pelo CPPI, em junho de 2020, do relatório do comitê interministerial sobre o modelo de negócios para concluir Angra 3, a Eletrobras aprovou o Plano de Aceleração da Linha Crítica do empreendimento, com a previsão de aporte na ELETRONUCLEAR, por meio de Adiantamentos para Futuro Aumento de Capital – AFAC, de cerca de R$ 1.052.181 no ano de 2020 e de aproximadamente R$ 2.447.464 em 2021, para viabilizar a retomada das obras de construção </w:t>
      </w:r>
      <w:r w:rsidRPr="008946A3">
        <w:rPr>
          <w:rFonts w:ascii="Verdana" w:hAnsi="Verdana"/>
          <w:sz w:val="20"/>
          <w:szCs w:val="20"/>
          <w:lang w:eastAsia="en-GB"/>
        </w:rPr>
        <w:lastRenderedPageBreak/>
        <w:t>de Angra 3. O montante total do AFAC consta no Plano Diretor de Negócios e Gestão – PDNG (2020-2024) da Eletrobras.</w:t>
      </w:r>
    </w:p>
    <w:p w14:paraId="409A453E" w14:textId="77777777" w:rsidR="00C2656E" w:rsidRPr="008946A3" w:rsidRDefault="00C2656E" w:rsidP="00C2656E">
      <w:pPr>
        <w:rPr>
          <w:rFonts w:ascii="Verdana" w:hAnsi="Verdana"/>
          <w:sz w:val="20"/>
          <w:szCs w:val="20"/>
          <w:lang w:eastAsia="en-GB"/>
        </w:rPr>
      </w:pPr>
    </w:p>
    <w:p w14:paraId="795F3E0D" w14:textId="77777777" w:rsidR="00C2656E" w:rsidRPr="008946A3" w:rsidRDefault="00C2656E" w:rsidP="00C2656E">
      <w:pPr>
        <w:rPr>
          <w:rFonts w:ascii="Verdana" w:hAnsi="Verdana"/>
          <w:sz w:val="20"/>
          <w:szCs w:val="20"/>
          <w:lang w:eastAsia="en-GB"/>
        </w:rPr>
      </w:pPr>
      <w:r w:rsidRPr="008946A3">
        <w:rPr>
          <w:rFonts w:ascii="Verdana" w:hAnsi="Verdana"/>
          <w:sz w:val="20"/>
          <w:szCs w:val="20"/>
          <w:lang w:eastAsia="en-GB"/>
        </w:rPr>
        <w:t xml:space="preserve">Os aportes iniciais aprovados no âmbito do Programa de Aceleração da Linha Crítica serão realizados pela Eletrobras na ELETRONUCLEAR por meio de Adiantamento para Futuro Aumento de Capital conforme o contrato ECF-3387, formalizado entre as partes em 05 de agosto de 2020 (nota 28). </w:t>
      </w:r>
    </w:p>
    <w:p w14:paraId="55DC7374" w14:textId="77777777" w:rsidR="00C2656E" w:rsidRPr="008946A3" w:rsidRDefault="00C2656E" w:rsidP="00C2656E">
      <w:pPr>
        <w:rPr>
          <w:rFonts w:ascii="Verdana" w:hAnsi="Verdana"/>
          <w:sz w:val="20"/>
          <w:szCs w:val="20"/>
          <w:lang w:eastAsia="en-GB"/>
        </w:rPr>
      </w:pPr>
      <w:r w:rsidRPr="008946A3">
        <w:rPr>
          <w:rFonts w:ascii="Verdana" w:hAnsi="Verdana"/>
          <w:sz w:val="20"/>
          <w:szCs w:val="20"/>
          <w:lang w:eastAsia="en-GB"/>
        </w:rPr>
        <w:t> </w:t>
      </w:r>
    </w:p>
    <w:p w14:paraId="0546175D" w14:textId="77777777" w:rsidR="00C2656E" w:rsidRPr="008946A3" w:rsidRDefault="00C2656E" w:rsidP="00C2656E">
      <w:pPr>
        <w:rPr>
          <w:rFonts w:ascii="Verdana" w:hAnsi="Verdana"/>
          <w:sz w:val="20"/>
          <w:szCs w:val="20"/>
          <w:lang w:eastAsia="en-GB"/>
        </w:rPr>
      </w:pPr>
      <w:r w:rsidRPr="008946A3">
        <w:rPr>
          <w:rFonts w:ascii="Verdana" w:hAnsi="Verdana"/>
          <w:sz w:val="20"/>
          <w:szCs w:val="20"/>
          <w:lang w:eastAsia="en-GB"/>
        </w:rPr>
        <w:t>O principal objetivo do plano de aceleração é preservar a data de entrada em operação da usina, prevista para novembro de 2027. O Plano de Aceleração ocorrerá paralelamente à execução da fase 2 do detalhamento do modelo selecionado pelo CPPI para conclusão de Angra 3 e não concorre com a solução para o projeto completo que vem sendo trabalhada pelo BNDES. Trata-se de uma ação corporativa com vistas a preservar o valor do empreendimento, sendo, portanto, complementar àquela.</w:t>
      </w:r>
    </w:p>
    <w:p w14:paraId="6CFB05AD" w14:textId="77777777" w:rsidR="00C2656E" w:rsidRPr="008946A3" w:rsidRDefault="00C2656E" w:rsidP="00C2656E">
      <w:pPr>
        <w:rPr>
          <w:rFonts w:ascii="Verdana" w:hAnsi="Verdana"/>
          <w:sz w:val="20"/>
          <w:szCs w:val="20"/>
          <w:lang w:eastAsia="en-GB"/>
        </w:rPr>
      </w:pPr>
      <w:r w:rsidRPr="008946A3">
        <w:rPr>
          <w:rFonts w:ascii="Verdana" w:hAnsi="Verdana"/>
          <w:sz w:val="20"/>
          <w:szCs w:val="20"/>
          <w:lang w:eastAsia="en-GB"/>
        </w:rPr>
        <w:t> </w:t>
      </w:r>
    </w:p>
    <w:p w14:paraId="7515B535" w14:textId="77777777" w:rsidR="00C2656E" w:rsidRPr="008946A3" w:rsidRDefault="00C2656E" w:rsidP="00C2656E">
      <w:pPr>
        <w:rPr>
          <w:rFonts w:ascii="Verdana" w:hAnsi="Verdana"/>
          <w:sz w:val="20"/>
          <w:szCs w:val="20"/>
          <w:lang w:eastAsia="en-GB"/>
        </w:rPr>
      </w:pPr>
      <w:r w:rsidRPr="008946A3">
        <w:rPr>
          <w:rFonts w:ascii="Verdana" w:hAnsi="Verdana"/>
          <w:sz w:val="20"/>
          <w:szCs w:val="20"/>
          <w:lang w:eastAsia="en-GB"/>
        </w:rPr>
        <w:t>Essa decisão foi suportada por diversos estudos, dentre os quais destacamos uma análise que demonstrou que esses investimentos não trazem quaisquer empecilhos ao eventual processo de capitalização da Eletrobras.</w:t>
      </w:r>
    </w:p>
    <w:p w14:paraId="5CD599BA" w14:textId="77777777" w:rsidR="00C2656E" w:rsidRPr="008946A3" w:rsidRDefault="00C2656E" w:rsidP="00C2656E">
      <w:pPr>
        <w:rPr>
          <w:rFonts w:ascii="Verdana" w:hAnsi="Verdana"/>
          <w:sz w:val="20"/>
          <w:szCs w:val="20"/>
          <w:lang w:eastAsia="en-GB"/>
        </w:rPr>
      </w:pPr>
    </w:p>
    <w:p w14:paraId="09776EEF" w14:textId="77777777" w:rsidR="00C2656E" w:rsidRPr="008946A3" w:rsidRDefault="00C2656E" w:rsidP="00C2656E">
      <w:pPr>
        <w:rPr>
          <w:rFonts w:ascii="Verdana" w:hAnsi="Verdana"/>
          <w:sz w:val="20"/>
          <w:szCs w:val="20"/>
          <w:lang w:eastAsia="en-GB"/>
        </w:rPr>
      </w:pPr>
      <w:r w:rsidRPr="008946A3">
        <w:rPr>
          <w:rFonts w:ascii="Verdana" w:hAnsi="Verdana"/>
          <w:sz w:val="20"/>
          <w:szCs w:val="20"/>
          <w:lang w:eastAsia="en-GB"/>
        </w:rPr>
        <w:t>Entre as principais medidas que constam no Plano de Aceleração da Linha Crítica está a conclusão da superestrutura de concreto do edifício do reator de Angra 3 e o avanço de parte importante da montagem eletromecânica. Para viabilizar esse plano é necessária a contratação de uma empresa que será responsável por finalizar os projetos de engenharia e uma empreiteira para realizar as obras civis e a montagem eletromecânica.</w:t>
      </w:r>
    </w:p>
    <w:p w14:paraId="45E76BB0" w14:textId="77777777" w:rsidR="00C2656E" w:rsidRPr="008946A3" w:rsidRDefault="00C2656E" w:rsidP="00C2656E">
      <w:pPr>
        <w:rPr>
          <w:rFonts w:ascii="Verdana" w:hAnsi="Verdana"/>
          <w:sz w:val="20"/>
          <w:szCs w:val="20"/>
          <w:lang w:eastAsia="en-GB"/>
        </w:rPr>
      </w:pPr>
      <w:r w:rsidRPr="008946A3">
        <w:rPr>
          <w:rFonts w:ascii="Verdana" w:hAnsi="Verdana"/>
          <w:sz w:val="20"/>
          <w:szCs w:val="20"/>
          <w:lang w:eastAsia="en-GB"/>
        </w:rPr>
        <w:t> </w:t>
      </w:r>
    </w:p>
    <w:p w14:paraId="5A1B26DD" w14:textId="77777777" w:rsidR="00C2656E" w:rsidRPr="008946A3" w:rsidRDefault="00C2656E" w:rsidP="00C2656E">
      <w:pPr>
        <w:rPr>
          <w:rFonts w:ascii="Verdana" w:hAnsi="Verdana"/>
          <w:sz w:val="20"/>
          <w:szCs w:val="20"/>
          <w:lang w:eastAsia="en-GB"/>
        </w:rPr>
      </w:pPr>
      <w:r w:rsidRPr="008946A3">
        <w:rPr>
          <w:rFonts w:ascii="Verdana" w:hAnsi="Verdana"/>
          <w:sz w:val="20"/>
          <w:szCs w:val="20"/>
          <w:lang w:eastAsia="en-GB"/>
        </w:rPr>
        <w:t xml:space="preserve">Somam-se à lista de atividades para o retorno efetivo do projeto de Angra 3 a retomada de alguns contratos de fornecimento para o empreendimento que estavam suspensos ou paralisados, além do início do processo de licitação para contratação de novos fornecedores para atendimento das necessidades do empreendimento. Para tal foi firmado contrato com o escritório </w:t>
      </w:r>
      <w:proofErr w:type="spellStart"/>
      <w:r w:rsidRPr="008946A3">
        <w:rPr>
          <w:rFonts w:ascii="Verdana" w:hAnsi="Verdana"/>
          <w:sz w:val="20"/>
          <w:szCs w:val="20"/>
          <w:lang w:eastAsia="en-GB"/>
        </w:rPr>
        <w:t>Veirano</w:t>
      </w:r>
      <w:proofErr w:type="spellEnd"/>
      <w:r w:rsidRPr="008946A3">
        <w:rPr>
          <w:rFonts w:ascii="Verdana" w:hAnsi="Verdana"/>
          <w:sz w:val="20"/>
          <w:szCs w:val="20"/>
          <w:lang w:eastAsia="en-GB"/>
        </w:rPr>
        <w:t xml:space="preserve"> Advogados, que está auxiliando a Companhia no processo de retomada dos contratos de fornecimento de Angra 3. Como consequência disso, contatos foram feitos com os fornecedores desses contratos, tendo-se iniciado o processo de renegociação caso a caso.</w:t>
      </w:r>
    </w:p>
    <w:p w14:paraId="5EAEC3A6" w14:textId="77777777" w:rsidR="00C2656E" w:rsidRPr="008946A3" w:rsidRDefault="00C2656E" w:rsidP="00C2656E">
      <w:pPr>
        <w:rPr>
          <w:rFonts w:ascii="Verdana" w:hAnsi="Verdana"/>
          <w:sz w:val="20"/>
          <w:szCs w:val="20"/>
          <w:lang w:eastAsia="en-GB"/>
        </w:rPr>
      </w:pPr>
      <w:r w:rsidRPr="008946A3">
        <w:rPr>
          <w:rFonts w:ascii="Verdana" w:hAnsi="Verdana"/>
          <w:sz w:val="20"/>
          <w:szCs w:val="20"/>
          <w:lang w:eastAsia="en-GB"/>
        </w:rPr>
        <w:t> </w:t>
      </w:r>
    </w:p>
    <w:p w14:paraId="7194AF90" w14:textId="77777777" w:rsidR="00C2656E" w:rsidRPr="008946A3" w:rsidRDefault="00C2656E" w:rsidP="00C2656E">
      <w:pPr>
        <w:rPr>
          <w:rFonts w:ascii="Verdana" w:hAnsi="Verdana"/>
          <w:sz w:val="20"/>
          <w:szCs w:val="20"/>
          <w:lang w:eastAsia="en-GB"/>
        </w:rPr>
      </w:pPr>
      <w:r w:rsidRPr="008946A3">
        <w:rPr>
          <w:rFonts w:ascii="Verdana" w:hAnsi="Verdana"/>
          <w:sz w:val="20"/>
          <w:szCs w:val="20"/>
          <w:lang w:eastAsia="en-GB"/>
        </w:rPr>
        <w:t xml:space="preserve">Em janeiro de 2021, houve aprovação do </w:t>
      </w:r>
      <w:proofErr w:type="spellStart"/>
      <w:r w:rsidRPr="008946A3">
        <w:rPr>
          <w:rFonts w:ascii="Verdana" w:hAnsi="Verdana"/>
          <w:sz w:val="20"/>
          <w:szCs w:val="20"/>
          <w:lang w:eastAsia="en-GB"/>
        </w:rPr>
        <w:t>descontingenciamento</w:t>
      </w:r>
      <w:proofErr w:type="spellEnd"/>
      <w:r w:rsidRPr="008946A3">
        <w:rPr>
          <w:rFonts w:ascii="Verdana" w:hAnsi="Verdana"/>
          <w:sz w:val="20"/>
          <w:szCs w:val="20"/>
          <w:lang w:eastAsia="en-GB"/>
        </w:rPr>
        <w:t xml:space="preserve"> dos recursos necessários para a ELETRONUCLEAR publicar o edital de contratação da obra civil de Angra 3. Em 25 de fevereiro de 2021, a ELETRONUCLEAR publicou no DOU o edital para contratação da empresa que retomará a obra civil de Angra 3 e realizará parte da montagem eletromecânica.  </w:t>
      </w:r>
    </w:p>
    <w:p w14:paraId="7020159B" w14:textId="77777777" w:rsidR="00C2656E" w:rsidRPr="008946A3" w:rsidRDefault="00C2656E" w:rsidP="00C2656E">
      <w:pPr>
        <w:rPr>
          <w:rFonts w:ascii="Verdana" w:hAnsi="Verdana"/>
          <w:sz w:val="20"/>
          <w:szCs w:val="20"/>
          <w:lang w:eastAsia="en-GB"/>
        </w:rPr>
      </w:pPr>
    </w:p>
    <w:p w14:paraId="19E9C389" w14:textId="77777777" w:rsidR="00C2656E" w:rsidRPr="008946A3" w:rsidRDefault="00C2656E" w:rsidP="00C2656E">
      <w:pPr>
        <w:rPr>
          <w:rFonts w:ascii="Verdana" w:hAnsi="Verdana"/>
          <w:sz w:val="20"/>
          <w:szCs w:val="20"/>
          <w:lang w:eastAsia="en-GB"/>
        </w:rPr>
      </w:pPr>
      <w:r w:rsidRPr="008946A3">
        <w:rPr>
          <w:rFonts w:ascii="Verdana" w:hAnsi="Verdana"/>
          <w:sz w:val="20"/>
          <w:szCs w:val="20"/>
          <w:lang w:eastAsia="en-GB"/>
        </w:rPr>
        <w:t>Em 29 de junho de 2021, foi realizada sessão pública para abertura das propostas da licitação para contratação da empresa responsável pela execução dos serviços de obras civis</w:t>
      </w:r>
      <w:r>
        <w:rPr>
          <w:rFonts w:ascii="Verdana" w:hAnsi="Verdana"/>
          <w:sz w:val="20"/>
          <w:szCs w:val="20"/>
          <w:lang w:eastAsia="en-GB"/>
        </w:rPr>
        <w:t>,</w:t>
      </w:r>
      <w:r w:rsidRPr="008946A3">
        <w:rPr>
          <w:rFonts w:ascii="Verdana" w:hAnsi="Verdana"/>
          <w:sz w:val="20"/>
          <w:szCs w:val="20"/>
          <w:lang w:eastAsia="en-GB"/>
        </w:rPr>
        <w:t xml:space="preserve"> no âmbito do Plano de Aceleração do Caminho Crítico. O licitante melhor classificado apresentou os documentos de habilitação para serem analisados. </w:t>
      </w:r>
    </w:p>
    <w:p w14:paraId="37FF2BB9" w14:textId="77777777" w:rsidR="00C2656E" w:rsidRPr="008946A3" w:rsidRDefault="00C2656E" w:rsidP="00C2656E">
      <w:pPr>
        <w:rPr>
          <w:rFonts w:ascii="Verdana" w:hAnsi="Verdana"/>
          <w:sz w:val="20"/>
          <w:szCs w:val="20"/>
          <w:lang w:eastAsia="en-GB"/>
        </w:rPr>
      </w:pPr>
    </w:p>
    <w:p w14:paraId="533D2096" w14:textId="77777777" w:rsidR="00C2656E" w:rsidRPr="008946A3" w:rsidRDefault="00C2656E" w:rsidP="00C2656E">
      <w:pPr>
        <w:rPr>
          <w:rFonts w:ascii="Verdana" w:hAnsi="Verdana"/>
          <w:color w:val="000000"/>
          <w:sz w:val="20"/>
          <w:szCs w:val="20"/>
          <w:bdr w:val="none" w:sz="0" w:space="0" w:color="auto" w:frame="1"/>
        </w:rPr>
      </w:pPr>
      <w:r w:rsidRPr="008946A3">
        <w:rPr>
          <w:rFonts w:ascii="Verdana" w:hAnsi="Verdana"/>
          <w:sz w:val="20"/>
          <w:szCs w:val="20"/>
          <w:lang w:eastAsia="en-GB"/>
        </w:rPr>
        <w:t>Após análise e aprovação da documentação do licitante, o resultado foi divulgado em sessão pública realizada em 23 de julho de 202</w:t>
      </w:r>
      <w:r>
        <w:rPr>
          <w:rFonts w:ascii="Verdana" w:hAnsi="Verdana"/>
          <w:sz w:val="20"/>
          <w:szCs w:val="20"/>
          <w:lang w:eastAsia="en-GB"/>
        </w:rPr>
        <w:t>1, qu</w:t>
      </w:r>
      <w:r w:rsidRPr="008946A3">
        <w:rPr>
          <w:rFonts w:ascii="Verdana" w:hAnsi="Verdana"/>
          <w:sz w:val="20"/>
          <w:szCs w:val="20"/>
          <w:lang w:eastAsia="en-GB"/>
        </w:rPr>
        <w:t xml:space="preserve">ando a ELETRONUCLEAR declarou o consórcio composto por Ferreira Guedes, Matricial e </w:t>
      </w:r>
      <w:proofErr w:type="spellStart"/>
      <w:r w:rsidRPr="008946A3">
        <w:rPr>
          <w:rFonts w:ascii="Verdana" w:hAnsi="Verdana"/>
          <w:sz w:val="20"/>
          <w:szCs w:val="20"/>
          <w:lang w:eastAsia="en-GB"/>
        </w:rPr>
        <w:t>ADtranz</w:t>
      </w:r>
      <w:proofErr w:type="spellEnd"/>
      <w:r w:rsidRPr="008946A3">
        <w:rPr>
          <w:rFonts w:ascii="Verdana" w:hAnsi="Verdana"/>
          <w:sz w:val="20"/>
          <w:szCs w:val="20"/>
          <w:lang w:eastAsia="en-GB"/>
        </w:rPr>
        <w:t xml:space="preserve"> vencedor da licitação.</w:t>
      </w:r>
      <w:r w:rsidRPr="008946A3">
        <w:rPr>
          <w:rFonts w:ascii="Verdana" w:hAnsi="Verdana"/>
          <w:color w:val="000000"/>
          <w:sz w:val="20"/>
          <w:szCs w:val="20"/>
        </w:rPr>
        <w:t xml:space="preserve"> O lance vencedor significou deságio de aproximadamente 16% em relação ao valor de referência. Após o fim da fase recursal da licitação, as empresas vencedoras</w:t>
      </w:r>
      <w:r w:rsidRPr="008946A3">
        <w:rPr>
          <w:rFonts w:ascii="Verdana" w:hAnsi="Verdana"/>
          <w:sz w:val="20"/>
          <w:szCs w:val="20"/>
          <w:lang w:eastAsia="en-GB"/>
        </w:rPr>
        <w:t> foram</w:t>
      </w:r>
      <w:r w:rsidRPr="008946A3">
        <w:rPr>
          <w:rFonts w:ascii="Verdana" w:hAnsi="Verdana"/>
          <w:color w:val="0070C0"/>
          <w:sz w:val="20"/>
          <w:szCs w:val="20"/>
          <w:bdr w:val="none" w:sz="0" w:space="0" w:color="auto" w:frame="1"/>
        </w:rPr>
        <w:t> </w:t>
      </w:r>
      <w:r w:rsidRPr="008946A3">
        <w:rPr>
          <w:rFonts w:ascii="Verdana" w:hAnsi="Verdana"/>
          <w:color w:val="000000"/>
          <w:sz w:val="20"/>
          <w:szCs w:val="20"/>
          <w:bdr w:val="none" w:sz="0" w:space="0" w:color="auto" w:frame="1"/>
        </w:rPr>
        <w:t>submetidas a uma avaliação de </w:t>
      </w:r>
      <w:proofErr w:type="spellStart"/>
      <w:r w:rsidRPr="008946A3">
        <w:rPr>
          <w:rFonts w:ascii="Verdana" w:hAnsi="Verdana"/>
          <w:i/>
          <w:iCs/>
          <w:color w:val="000000"/>
          <w:sz w:val="20"/>
          <w:szCs w:val="20"/>
          <w:bdr w:val="none" w:sz="0" w:space="0" w:color="auto" w:frame="1"/>
        </w:rPr>
        <w:t>compliance</w:t>
      </w:r>
      <w:proofErr w:type="spellEnd"/>
      <w:r w:rsidRPr="008946A3">
        <w:rPr>
          <w:rFonts w:ascii="Verdana" w:hAnsi="Verdana"/>
          <w:color w:val="000000"/>
          <w:sz w:val="20"/>
          <w:szCs w:val="20"/>
          <w:bdr w:val="none" w:sz="0" w:space="0" w:color="auto" w:frame="1"/>
        </w:rPr>
        <w:t>, antes de o processo ser encaminhado para homologação</w:t>
      </w:r>
    </w:p>
    <w:p w14:paraId="6B180629" w14:textId="77777777" w:rsidR="00C2656E" w:rsidRPr="008946A3" w:rsidRDefault="00C2656E" w:rsidP="00C2656E">
      <w:pPr>
        <w:rPr>
          <w:rFonts w:ascii="Verdana" w:hAnsi="Verdana"/>
          <w:sz w:val="20"/>
          <w:szCs w:val="20"/>
          <w:lang w:eastAsia="en-GB"/>
        </w:rPr>
      </w:pPr>
    </w:p>
    <w:p w14:paraId="13B153C6" w14:textId="77777777" w:rsidR="00C2656E" w:rsidRPr="008946A3" w:rsidRDefault="00C2656E" w:rsidP="00C2656E">
      <w:pPr>
        <w:pStyle w:val="xmsonormal"/>
        <w:shd w:val="clear" w:color="auto" w:fill="FFFFFF"/>
        <w:spacing w:before="0" w:beforeAutospacing="0" w:after="0" w:afterAutospacing="0"/>
        <w:rPr>
          <w:rFonts w:ascii="Verdana" w:hAnsi="Verdana"/>
          <w:sz w:val="20"/>
          <w:szCs w:val="20"/>
          <w:lang w:eastAsia="en-GB"/>
        </w:rPr>
      </w:pPr>
      <w:r w:rsidRPr="008946A3">
        <w:rPr>
          <w:rFonts w:ascii="Verdana" w:hAnsi="Verdana"/>
          <w:sz w:val="20"/>
          <w:szCs w:val="20"/>
          <w:lang w:eastAsia="en-GB"/>
        </w:rPr>
        <w:t xml:space="preserve">A assinatura do contrato ficou pendente da aprovação do Conselho de Administração da Eletrobras. Para dar suporte à decisão, a ELETRONUCLEAR realizou um estudo atualizado da tarifa de equilíbrio de Angra 3, incluindo cenários e análise de sensibilidade. Para realização do estudo mencionado, foi firmado em setembro de 2021 um aditamento contratual específico com a consultora Alvarez &amp; </w:t>
      </w:r>
      <w:proofErr w:type="spellStart"/>
      <w:r w:rsidRPr="008946A3">
        <w:rPr>
          <w:rFonts w:ascii="Verdana" w:hAnsi="Verdana"/>
          <w:sz w:val="20"/>
          <w:szCs w:val="20"/>
          <w:lang w:eastAsia="en-GB"/>
        </w:rPr>
        <w:t>Marsal</w:t>
      </w:r>
      <w:proofErr w:type="spellEnd"/>
      <w:r w:rsidRPr="008946A3">
        <w:rPr>
          <w:rFonts w:ascii="Verdana" w:hAnsi="Verdana"/>
          <w:sz w:val="20"/>
          <w:szCs w:val="20"/>
          <w:lang w:eastAsia="en-GB"/>
        </w:rPr>
        <w:t xml:space="preserve"> que apresentou os resultados para a ELETRONUCLEAR e sua </w:t>
      </w:r>
      <w:r w:rsidRPr="00931BC6">
        <w:rPr>
          <w:rFonts w:ascii="Verdana" w:hAnsi="Verdana"/>
          <w:i/>
          <w:iCs/>
          <w:sz w:val="20"/>
          <w:szCs w:val="20"/>
          <w:lang w:eastAsia="en-GB"/>
        </w:rPr>
        <w:t>Holding.</w:t>
      </w:r>
      <w:r w:rsidRPr="008946A3">
        <w:rPr>
          <w:rFonts w:ascii="Verdana" w:hAnsi="Verdana"/>
          <w:sz w:val="20"/>
          <w:szCs w:val="20"/>
          <w:lang w:eastAsia="en-GB"/>
        </w:rPr>
        <w:t> </w:t>
      </w:r>
    </w:p>
    <w:p w14:paraId="14E79698" w14:textId="77777777" w:rsidR="00C2656E" w:rsidRPr="008946A3" w:rsidRDefault="00C2656E" w:rsidP="00C2656E">
      <w:pPr>
        <w:pStyle w:val="xmsonormal"/>
        <w:shd w:val="clear" w:color="auto" w:fill="FFFFFF"/>
        <w:spacing w:after="0"/>
        <w:rPr>
          <w:rFonts w:ascii="Verdana" w:hAnsi="Verdana"/>
          <w:sz w:val="20"/>
          <w:szCs w:val="20"/>
          <w:lang w:eastAsia="en-GB"/>
        </w:rPr>
      </w:pPr>
      <w:r w:rsidRPr="008946A3">
        <w:rPr>
          <w:rFonts w:ascii="Verdana" w:hAnsi="Verdana"/>
          <w:sz w:val="20"/>
          <w:szCs w:val="20"/>
          <w:lang w:eastAsia="en-GB"/>
        </w:rPr>
        <w:t xml:space="preserve">Em 28 de janeiro de 2022, o Conselho de Administração da Eletrobras autorizou a assinatura do contrato com o consórcio composto por Ferreira Guedes, Matricial e </w:t>
      </w:r>
      <w:proofErr w:type="spellStart"/>
      <w:r w:rsidRPr="008946A3">
        <w:rPr>
          <w:rFonts w:ascii="Verdana" w:hAnsi="Verdana"/>
          <w:sz w:val="20"/>
          <w:szCs w:val="20"/>
          <w:lang w:eastAsia="en-GB"/>
        </w:rPr>
        <w:t>ADtranz</w:t>
      </w:r>
      <w:proofErr w:type="spellEnd"/>
      <w:r w:rsidRPr="008946A3">
        <w:rPr>
          <w:rFonts w:ascii="Verdana" w:hAnsi="Verdana"/>
          <w:sz w:val="20"/>
          <w:szCs w:val="20"/>
          <w:lang w:eastAsia="en-GB"/>
        </w:rPr>
        <w:t xml:space="preserve"> para realização das obras civis. Em </w:t>
      </w:r>
      <w:r w:rsidRPr="008946A3">
        <w:rPr>
          <w:rFonts w:ascii="Verdana" w:hAnsi="Verdana"/>
          <w:sz w:val="20"/>
          <w:szCs w:val="20"/>
          <w:lang w:eastAsia="en-GB"/>
        </w:rPr>
        <w:lastRenderedPageBreak/>
        <w:t xml:space="preserve">ato contínuo, o contrato foi assinado em 9 de fevereiro de 2022. Será realizada outra licitação para contratar a empresa ou o consórcio que vai finalizar as obras civis e a montagem eletromecânica da usina. </w:t>
      </w:r>
    </w:p>
    <w:p w14:paraId="1388F986" w14:textId="77777777" w:rsidR="00C2656E" w:rsidRPr="008946A3" w:rsidRDefault="00C2656E" w:rsidP="00C2656E">
      <w:pPr>
        <w:rPr>
          <w:rFonts w:ascii="Verdana" w:hAnsi="Verdana" w:cs="Arial"/>
          <w:iCs/>
          <w:sz w:val="20"/>
          <w:szCs w:val="20"/>
        </w:rPr>
      </w:pPr>
      <w:bookmarkStart w:id="34" w:name="_Hlk66659268"/>
      <w:bookmarkEnd w:id="31"/>
      <w:r w:rsidRPr="008946A3">
        <w:rPr>
          <w:rFonts w:ascii="Verdana" w:hAnsi="Verdana" w:cs="Arial"/>
          <w:iCs/>
          <w:sz w:val="20"/>
          <w:szCs w:val="20"/>
        </w:rPr>
        <w:t xml:space="preserve">Em que pesem as necessidades para a viabilidade de conclusão do empreendimento “Angra 3” estejam endereçadas no mais alto nível da administração governamental, por meio de esforços conjuntos do poder executivo e coordenados pelo Ministério de Minas e Energia - MME, a Companhia tem, juntamente com a sua </w:t>
      </w:r>
      <w:r w:rsidRPr="008946A3">
        <w:rPr>
          <w:rFonts w:ascii="Verdana" w:hAnsi="Verdana" w:cs="Arial"/>
          <w:i/>
          <w:iCs/>
          <w:sz w:val="20"/>
          <w:szCs w:val="20"/>
        </w:rPr>
        <w:t>holding</w:t>
      </w:r>
      <w:r w:rsidRPr="008946A3">
        <w:rPr>
          <w:rFonts w:ascii="Verdana" w:hAnsi="Verdana" w:cs="Arial"/>
          <w:iCs/>
          <w:sz w:val="20"/>
          <w:szCs w:val="20"/>
        </w:rPr>
        <w:t xml:space="preserve"> Eletrobras, buscado alternativas para mitigar os riscos de liquidez de curto prazo, sendo estas alternativas alcançadas por meio de alívios no seu fluxo de caixa, sob a forma de manutenção de suspensões de pagamentos de amortizações em contratos de financiamentos junto à própria Eletrobras, bem como na obtenção de novos aportes de sua </w:t>
      </w:r>
      <w:r>
        <w:rPr>
          <w:rFonts w:ascii="Verdana" w:hAnsi="Verdana" w:cs="Arial"/>
          <w:i/>
          <w:iCs/>
          <w:sz w:val="20"/>
          <w:szCs w:val="20"/>
        </w:rPr>
        <w:t>H</w:t>
      </w:r>
      <w:r w:rsidRPr="008946A3">
        <w:rPr>
          <w:rFonts w:ascii="Verdana" w:hAnsi="Verdana" w:cs="Arial"/>
          <w:i/>
          <w:iCs/>
          <w:sz w:val="20"/>
          <w:szCs w:val="20"/>
        </w:rPr>
        <w:t>olding</w:t>
      </w:r>
      <w:r w:rsidRPr="008946A3">
        <w:rPr>
          <w:rFonts w:ascii="Verdana" w:hAnsi="Verdana" w:cs="Arial"/>
          <w:iCs/>
          <w:sz w:val="20"/>
          <w:szCs w:val="20"/>
        </w:rPr>
        <w:t xml:space="preserve"> conforme observado na nota 28. </w:t>
      </w:r>
    </w:p>
    <w:bookmarkEnd w:id="34"/>
    <w:p w14:paraId="08D934EB" w14:textId="77777777" w:rsidR="00C2656E" w:rsidRPr="008946A3" w:rsidRDefault="00C2656E" w:rsidP="00C2656E">
      <w:pPr>
        <w:rPr>
          <w:rFonts w:ascii="Verdana" w:hAnsi="Verdana" w:cs="Arial"/>
          <w:iCs/>
          <w:sz w:val="20"/>
          <w:szCs w:val="20"/>
        </w:rPr>
      </w:pPr>
    </w:p>
    <w:p w14:paraId="0FCFC76F" w14:textId="77777777" w:rsidR="00C2656E" w:rsidRPr="008946A3" w:rsidRDefault="00C2656E" w:rsidP="00C2656E">
      <w:pPr>
        <w:rPr>
          <w:rFonts w:ascii="Verdana" w:hAnsi="Verdana" w:cs="Arial"/>
          <w:iCs/>
          <w:sz w:val="20"/>
          <w:szCs w:val="20"/>
        </w:rPr>
      </w:pPr>
      <w:bookmarkStart w:id="35" w:name="_Hlk66659279"/>
      <w:r w:rsidRPr="008946A3">
        <w:rPr>
          <w:rFonts w:ascii="Verdana" w:hAnsi="Verdana" w:cs="Arial"/>
          <w:iCs/>
          <w:sz w:val="20"/>
          <w:szCs w:val="20"/>
        </w:rPr>
        <w:t xml:space="preserve">Do ponto de vista legal e jurídico, em 01 de setembro de 2020, foi editada a Medida Provisória nº 998 de 2020 (DOU de  02 de setembro de 2020), que trazia diversos aspectos relevantes do Setor Elétrico Brasileiro e um artigo dedicado especificamente ao projeto de Angra 3, estabelecendo novos parâmetros para outorga da usina, além da autorização para celebração de um novo Contrato de Energia de Reserva - CER e, principalmente, definindo que o preço de venda da energia deverá garantir a viabilidade econômico-financeira do projeto. A referida MP foi aprovada na Câmara dos Deputados em 17 de dezembro de 2020 na forma de Projeto de Conversão de Lei – PLC nº 42/2020 e depois pelo Senado Federal em 04 de fevereiro de 2021. </w:t>
      </w:r>
    </w:p>
    <w:p w14:paraId="3122994F" w14:textId="77777777" w:rsidR="00C2656E" w:rsidRPr="008946A3" w:rsidRDefault="00C2656E" w:rsidP="00C2656E">
      <w:pPr>
        <w:rPr>
          <w:rFonts w:ascii="Verdana" w:hAnsi="Verdana" w:cs="Arial"/>
          <w:iCs/>
          <w:sz w:val="20"/>
          <w:szCs w:val="20"/>
        </w:rPr>
      </w:pPr>
    </w:p>
    <w:p w14:paraId="17603714" w14:textId="77777777" w:rsidR="00C2656E" w:rsidRPr="008946A3" w:rsidRDefault="00C2656E" w:rsidP="00C2656E">
      <w:pPr>
        <w:rPr>
          <w:rFonts w:ascii="Verdana" w:hAnsi="Verdana" w:cs="Arial"/>
          <w:iCs/>
          <w:sz w:val="20"/>
          <w:szCs w:val="20"/>
        </w:rPr>
      </w:pPr>
      <w:r w:rsidRPr="008946A3">
        <w:rPr>
          <w:rFonts w:ascii="Verdana" w:hAnsi="Verdana" w:cs="Arial"/>
          <w:iCs/>
          <w:sz w:val="20"/>
          <w:szCs w:val="20"/>
        </w:rPr>
        <w:t>Em 01 de março de 2021, o texto da MP 998/20 foi sancionado pelo Sr. Presidente da República e convertida na Lei 14.120/2021. A Lei estabelece um marco legal para diversas questões relacionadas ao empreendimento, dando segurança jurídica para que a ELETRONUCLEAR possa investir na retomada da usina.</w:t>
      </w:r>
    </w:p>
    <w:p w14:paraId="612DC9C3" w14:textId="77777777" w:rsidR="00C2656E" w:rsidRPr="008946A3" w:rsidRDefault="00C2656E" w:rsidP="00C2656E">
      <w:pPr>
        <w:rPr>
          <w:rFonts w:ascii="Verdana" w:hAnsi="Verdana" w:cs="Arial"/>
          <w:iCs/>
          <w:sz w:val="20"/>
          <w:szCs w:val="20"/>
        </w:rPr>
      </w:pPr>
    </w:p>
    <w:p w14:paraId="34A23354" w14:textId="77777777" w:rsidR="00C2656E" w:rsidRPr="008946A3" w:rsidRDefault="00C2656E" w:rsidP="00C2656E">
      <w:pPr>
        <w:pStyle w:val="xmsonormal"/>
        <w:shd w:val="clear" w:color="auto" w:fill="FFFFFF"/>
        <w:spacing w:before="0" w:beforeAutospacing="0" w:after="0" w:afterAutospacing="0"/>
        <w:rPr>
          <w:rFonts w:ascii="Verdana" w:hAnsi="Verdana" w:cs="Arial"/>
          <w:iCs/>
          <w:sz w:val="20"/>
          <w:szCs w:val="20"/>
        </w:rPr>
      </w:pPr>
      <w:r w:rsidRPr="008946A3">
        <w:rPr>
          <w:rFonts w:ascii="Verdana" w:hAnsi="Verdana" w:cs="Arial"/>
          <w:iCs/>
          <w:sz w:val="20"/>
          <w:szCs w:val="20"/>
        </w:rPr>
        <w:t xml:space="preserve">Uma das mais importantes é a rescisão do contrato de energia de reserva existente, sem prejuízo às partes envolvidas, além da </w:t>
      </w:r>
      <w:proofErr w:type="spellStart"/>
      <w:r w:rsidRPr="008946A3">
        <w:rPr>
          <w:rFonts w:ascii="Verdana" w:hAnsi="Verdana" w:cs="Arial"/>
          <w:iCs/>
          <w:sz w:val="20"/>
          <w:szCs w:val="20"/>
        </w:rPr>
        <w:t>pactuação</w:t>
      </w:r>
      <w:proofErr w:type="spellEnd"/>
      <w:r w:rsidRPr="008946A3">
        <w:rPr>
          <w:rFonts w:ascii="Verdana" w:hAnsi="Verdana" w:cs="Arial"/>
          <w:iCs/>
          <w:sz w:val="20"/>
          <w:szCs w:val="20"/>
        </w:rPr>
        <w:t xml:space="preserve"> de um novo contrato, com preço da energia que atenda à rentabilidade do empreendimento e à modicidade tarifária. Neste sentido, salienta-se que a Resolução 14, de 9 de outubro de 2018, que define o preço de </w:t>
      </w:r>
      <w:bookmarkStart w:id="36" w:name="x__Hlk66659288"/>
      <w:bookmarkEnd w:id="36"/>
      <w:r w:rsidRPr="008946A3">
        <w:rPr>
          <w:rFonts w:ascii="Verdana" w:hAnsi="Verdana" w:cs="Arial"/>
          <w:iCs/>
          <w:sz w:val="20"/>
          <w:szCs w:val="20"/>
        </w:rPr>
        <w:t xml:space="preserve">referência para Angra 3, continua vigente e que os estudos em andamento do BNDES, que conta com uma </w:t>
      </w:r>
      <w:proofErr w:type="spellStart"/>
      <w:r w:rsidRPr="00826E1B">
        <w:rPr>
          <w:rFonts w:ascii="Verdana" w:hAnsi="Verdana" w:cs="Arial"/>
          <w:i/>
          <w:sz w:val="20"/>
          <w:szCs w:val="20"/>
        </w:rPr>
        <w:t>due</w:t>
      </w:r>
      <w:proofErr w:type="spellEnd"/>
      <w:r w:rsidRPr="00826E1B">
        <w:rPr>
          <w:rFonts w:ascii="Verdana" w:hAnsi="Verdana" w:cs="Arial"/>
          <w:i/>
          <w:sz w:val="20"/>
          <w:szCs w:val="20"/>
        </w:rPr>
        <w:t xml:space="preserve"> </w:t>
      </w:r>
      <w:proofErr w:type="spellStart"/>
      <w:r w:rsidRPr="00826E1B">
        <w:rPr>
          <w:rFonts w:ascii="Verdana" w:hAnsi="Verdana" w:cs="Arial"/>
          <w:i/>
          <w:sz w:val="20"/>
          <w:szCs w:val="20"/>
        </w:rPr>
        <w:t>diligence</w:t>
      </w:r>
      <w:proofErr w:type="spellEnd"/>
      <w:r w:rsidRPr="00826E1B">
        <w:rPr>
          <w:rFonts w:ascii="Verdana" w:hAnsi="Verdana" w:cs="Arial"/>
          <w:i/>
          <w:sz w:val="20"/>
          <w:szCs w:val="20"/>
        </w:rPr>
        <w:t xml:space="preserve"> </w:t>
      </w:r>
      <w:r w:rsidRPr="008946A3">
        <w:rPr>
          <w:rFonts w:ascii="Verdana" w:hAnsi="Verdana" w:cs="Arial"/>
          <w:iCs/>
          <w:sz w:val="20"/>
          <w:szCs w:val="20"/>
        </w:rPr>
        <w:t>técnico-operacional realizada pelo consórcio composto pelas empresas Tractebel Brasil, Tractebel Bélgica e Empresários Agrupados (Espanha), contratados pelo banco de fomento, conterão informações mais atualizadas com a realidade da usina. Haverá, ainda, conforme previsto no texto sancionado, a apropriação para o preço de energia dos possíveis ganhos que venham a ocorrer durante o processo competitivo de contratações de fornecedores para a conclusão do empreendimento.</w:t>
      </w:r>
    </w:p>
    <w:bookmarkEnd w:id="35"/>
    <w:p w14:paraId="4D97F029" w14:textId="77777777" w:rsidR="00C2656E" w:rsidRPr="008946A3" w:rsidRDefault="00C2656E" w:rsidP="00C2656E">
      <w:pPr>
        <w:rPr>
          <w:rFonts w:ascii="Verdana" w:hAnsi="Verdana" w:cs="Arial"/>
          <w:iCs/>
          <w:sz w:val="20"/>
          <w:szCs w:val="20"/>
        </w:rPr>
      </w:pPr>
    </w:p>
    <w:p w14:paraId="58E53C25" w14:textId="77777777" w:rsidR="00C2656E" w:rsidRPr="008946A3" w:rsidRDefault="00C2656E" w:rsidP="00C2656E">
      <w:pPr>
        <w:rPr>
          <w:rFonts w:ascii="Verdana" w:hAnsi="Verdana" w:cs="Arial"/>
          <w:iCs/>
          <w:sz w:val="20"/>
          <w:szCs w:val="20"/>
        </w:rPr>
      </w:pPr>
      <w:r w:rsidRPr="008946A3">
        <w:rPr>
          <w:rFonts w:ascii="Verdana" w:hAnsi="Verdana" w:cs="Arial"/>
          <w:iCs/>
          <w:sz w:val="20"/>
          <w:szCs w:val="20"/>
        </w:rPr>
        <w:t xml:space="preserve">Ainda conforme a lei sancionada, o prazo de suprimento do novo contrato de energia de reserva será de 40 anos, a partir do início da operação comercial e caberá ao CNPE autorizar a celebração desse novo instrumento contratual e dar outorga – ou seja, a permissão de operação da usina, que terá um prazo de 50 anos, prorrogáveis por mais 20 anos. </w:t>
      </w:r>
    </w:p>
    <w:p w14:paraId="6D413CD1" w14:textId="77777777" w:rsidR="00C2656E" w:rsidRPr="008946A3" w:rsidRDefault="00C2656E" w:rsidP="00C2656E">
      <w:pPr>
        <w:pStyle w:val="xmsonormal"/>
        <w:shd w:val="clear" w:color="auto" w:fill="FFFFFF"/>
        <w:spacing w:after="0"/>
        <w:rPr>
          <w:rFonts w:ascii="Verdana" w:hAnsi="Verdana" w:cs="Calibri"/>
          <w:color w:val="000000"/>
          <w:sz w:val="20"/>
          <w:szCs w:val="20"/>
        </w:rPr>
      </w:pPr>
      <w:r w:rsidRPr="008946A3">
        <w:rPr>
          <w:rFonts w:ascii="Verdana" w:hAnsi="Verdana" w:cs="Calibri"/>
          <w:color w:val="000000"/>
          <w:sz w:val="20"/>
          <w:szCs w:val="20"/>
        </w:rPr>
        <w:t xml:space="preserve">Em 20 de outubro de 2021, foi publicado no Diário Oficial da União (DOU) a Resolução CPPI nº 203, de 19 de outubro de 2021, que aprovou as condições para o processo de desestatização da Eletrobras e que em seu item XII do artigo 11º  define que a Eletrobras e a </w:t>
      </w:r>
      <w:proofErr w:type="spellStart"/>
      <w:r w:rsidRPr="008946A3">
        <w:rPr>
          <w:rFonts w:ascii="Verdana" w:hAnsi="Verdana" w:cs="Calibri"/>
          <w:color w:val="000000"/>
          <w:sz w:val="20"/>
          <w:szCs w:val="20"/>
        </w:rPr>
        <w:t>ENBPar</w:t>
      </w:r>
      <w:proofErr w:type="spellEnd"/>
      <w:r w:rsidRPr="008946A3">
        <w:rPr>
          <w:rFonts w:ascii="Verdana" w:hAnsi="Verdana" w:cs="Calibri"/>
          <w:color w:val="000000"/>
          <w:sz w:val="20"/>
          <w:szCs w:val="20"/>
        </w:rPr>
        <w:t xml:space="preserve">, que será a nova holding da ELETRONUCLEAR, devem celebrar acordo de investimento prevendo a participação das partes na obtenção de novas captações de financiamento para o projeto de Angra 3, seja como repassadoras de mútuo ou como garantidoras na proporção de suas participações acionárias na ELETRONUCLEAR (nota 1). </w:t>
      </w:r>
    </w:p>
    <w:p w14:paraId="7AC714E9" w14:textId="77777777" w:rsidR="00C2656E" w:rsidRPr="008946A3" w:rsidRDefault="00C2656E" w:rsidP="00C2656E">
      <w:pPr>
        <w:pStyle w:val="xmsonormal"/>
        <w:shd w:val="clear" w:color="auto" w:fill="FFFFFF"/>
        <w:spacing w:after="0"/>
        <w:rPr>
          <w:rFonts w:ascii="Verdana" w:hAnsi="Verdana" w:cs="Calibri"/>
          <w:color w:val="000000"/>
          <w:sz w:val="20"/>
          <w:szCs w:val="20"/>
        </w:rPr>
      </w:pPr>
      <w:r w:rsidRPr="008946A3">
        <w:rPr>
          <w:rFonts w:ascii="Verdana" w:hAnsi="Verdana" w:cs="Calibri"/>
          <w:color w:val="000000"/>
          <w:sz w:val="20"/>
          <w:szCs w:val="20"/>
        </w:rPr>
        <w:t xml:space="preserve">Em 22 de outubro de 2021, foi publicado no DOU a Resolução CNPE nº 23, de 20 de outubro de 2021, que estabeleceu as diretrizes gerais para a definição do preço de energia da Usinas de Angra 3, a ser calculada pelo BNDES, considerando a viabilidade econômico-financeira do projeto no prazo do Contrato de Comercialização de Energia da planta assim como sua </w:t>
      </w:r>
      <w:proofErr w:type="spellStart"/>
      <w:r w:rsidRPr="008946A3">
        <w:rPr>
          <w:rFonts w:ascii="Verdana" w:hAnsi="Verdana" w:cs="Calibri"/>
          <w:color w:val="000000"/>
          <w:sz w:val="20"/>
          <w:szCs w:val="20"/>
        </w:rPr>
        <w:t>financiabilidade</w:t>
      </w:r>
      <w:proofErr w:type="spellEnd"/>
      <w:r w:rsidRPr="008946A3">
        <w:rPr>
          <w:rFonts w:ascii="Verdana" w:hAnsi="Verdana" w:cs="Calibri"/>
          <w:color w:val="000000"/>
          <w:sz w:val="20"/>
          <w:szCs w:val="20"/>
        </w:rPr>
        <w:t xml:space="preserve"> em condições de mercado. A Resolução ratifica que o preço da energia elétrica produzida por Angra 3 será o resultante dos estudos do BNDES, e considerará a viabilidade econômico-financeira do empreendimento tendo em vista o custo </w:t>
      </w:r>
      <w:r w:rsidRPr="008946A3">
        <w:rPr>
          <w:rFonts w:ascii="Verdana" w:hAnsi="Verdana" w:cs="Calibri"/>
          <w:color w:val="000000"/>
          <w:sz w:val="20"/>
          <w:szCs w:val="20"/>
        </w:rPr>
        <w:lastRenderedPageBreak/>
        <w:t>de capital próprio de 8,88% ao ano, em termos reais, os investimentos necessários para conclusão do empreendimento e o pagamento das dívidas novas e pré-existentes. Além disso, a resolução confirma que as reduções de custos decorrentes da existência de competição em contratações de fornecedores para conclusão do empreendimento deverão ser incorporadas de forma a reduzir o preço da energia elétrica de Angra 3. Também foi estabelecido que a Empresa de Pesquisa Energética - EPE será ouvida em relação ao impacto ao consumidor previamente à aprovação do preço.</w:t>
      </w:r>
    </w:p>
    <w:p w14:paraId="427A1991" w14:textId="77777777" w:rsidR="00C2656E" w:rsidRPr="008946A3" w:rsidRDefault="00C2656E" w:rsidP="00C2656E">
      <w:pPr>
        <w:pStyle w:val="xmsonormal"/>
        <w:shd w:val="clear" w:color="auto" w:fill="FFFFFF"/>
        <w:spacing w:before="0" w:beforeAutospacing="0" w:after="0" w:afterAutospacing="0"/>
        <w:rPr>
          <w:rFonts w:ascii="Verdana" w:hAnsi="Verdana" w:cs="Calibri"/>
          <w:color w:val="000000"/>
          <w:sz w:val="20"/>
          <w:szCs w:val="20"/>
        </w:rPr>
      </w:pPr>
      <w:r w:rsidRPr="008946A3">
        <w:rPr>
          <w:rFonts w:ascii="Verdana" w:hAnsi="Verdana" w:cs="Calibri"/>
          <w:color w:val="000000"/>
          <w:sz w:val="20"/>
          <w:szCs w:val="20"/>
        </w:rPr>
        <w:t xml:space="preserve">Em 30 de dezembro de 2021 foi encaminhado pelo Consórcio Angra </w:t>
      </w:r>
      <w:proofErr w:type="spellStart"/>
      <w:r w:rsidRPr="008946A3">
        <w:rPr>
          <w:rFonts w:ascii="Verdana" w:hAnsi="Verdana" w:cs="Calibri"/>
          <w:color w:val="000000"/>
          <w:sz w:val="20"/>
          <w:szCs w:val="20"/>
        </w:rPr>
        <w:t>Eurobras</w:t>
      </w:r>
      <w:proofErr w:type="spellEnd"/>
      <w:r w:rsidRPr="008946A3">
        <w:rPr>
          <w:rFonts w:ascii="Verdana" w:hAnsi="Verdana" w:cs="Calibri"/>
          <w:color w:val="000000"/>
          <w:sz w:val="20"/>
          <w:szCs w:val="20"/>
        </w:rPr>
        <w:t xml:space="preserve"> NES, contratado pelo BNDES para os serviços de </w:t>
      </w:r>
      <w:proofErr w:type="spellStart"/>
      <w:r w:rsidRPr="00826E1B">
        <w:rPr>
          <w:rFonts w:ascii="Verdana" w:hAnsi="Verdana" w:cs="Calibri"/>
          <w:i/>
          <w:iCs/>
          <w:color w:val="000000"/>
          <w:sz w:val="20"/>
          <w:szCs w:val="20"/>
        </w:rPr>
        <w:t>Due</w:t>
      </w:r>
      <w:proofErr w:type="spellEnd"/>
      <w:r w:rsidRPr="00826E1B">
        <w:rPr>
          <w:rFonts w:ascii="Verdana" w:hAnsi="Verdana" w:cs="Calibri"/>
          <w:i/>
          <w:iCs/>
          <w:color w:val="000000"/>
          <w:sz w:val="20"/>
          <w:szCs w:val="20"/>
        </w:rPr>
        <w:t xml:space="preserve"> </w:t>
      </w:r>
      <w:proofErr w:type="spellStart"/>
      <w:r w:rsidRPr="00826E1B">
        <w:rPr>
          <w:rFonts w:ascii="Verdana" w:hAnsi="Verdana" w:cs="Calibri"/>
          <w:i/>
          <w:iCs/>
          <w:color w:val="000000"/>
          <w:sz w:val="20"/>
          <w:szCs w:val="20"/>
        </w:rPr>
        <w:t>Diligence</w:t>
      </w:r>
      <w:proofErr w:type="spellEnd"/>
      <w:r w:rsidRPr="008946A3">
        <w:rPr>
          <w:rFonts w:ascii="Verdana" w:hAnsi="Verdana" w:cs="Calibri"/>
          <w:color w:val="000000"/>
          <w:sz w:val="20"/>
          <w:szCs w:val="20"/>
        </w:rPr>
        <w:t xml:space="preserve"> e Assessoria Técnica na revisão do CAPEX e Cronograma do empreendimento de Angra 3, a versão preliminar do Relatório Final. Esse relatório está atualmente em fase de avaliação e comentários. O trabalho aponta um custo de conclusão de R$ 21,042 bilhões e a data de entrada em operação como sendo 29 de novembro de 2027.</w:t>
      </w:r>
    </w:p>
    <w:p w14:paraId="6133B14E" w14:textId="77777777" w:rsidR="00C2656E" w:rsidRPr="008946A3" w:rsidRDefault="00C2656E" w:rsidP="00C2656E">
      <w:pPr>
        <w:pStyle w:val="xmsonormal"/>
        <w:shd w:val="clear" w:color="auto" w:fill="FFFFFF"/>
        <w:spacing w:before="0" w:beforeAutospacing="0" w:after="0" w:afterAutospacing="0"/>
        <w:rPr>
          <w:rFonts w:ascii="Verdana" w:hAnsi="Verdana" w:cs="Calibri"/>
          <w:color w:val="000000"/>
          <w:sz w:val="20"/>
          <w:szCs w:val="20"/>
        </w:rPr>
      </w:pPr>
    </w:p>
    <w:p w14:paraId="5FD9DD9B" w14:textId="1725F12E" w:rsidR="00333BF8" w:rsidRPr="005E4A4C" w:rsidRDefault="00C2656E" w:rsidP="00C2656E">
      <w:pPr>
        <w:pStyle w:val="xmsonormal"/>
        <w:shd w:val="clear" w:color="auto" w:fill="FFFFFF"/>
        <w:spacing w:before="0" w:beforeAutospacing="0" w:after="0" w:afterAutospacing="0"/>
        <w:rPr>
          <w:rFonts w:ascii="Verdana" w:hAnsi="Verdana" w:cs="Calibri"/>
          <w:color w:val="000000"/>
          <w:sz w:val="20"/>
          <w:szCs w:val="20"/>
        </w:rPr>
      </w:pPr>
      <w:r w:rsidRPr="008946A3">
        <w:rPr>
          <w:rFonts w:ascii="Verdana" w:hAnsi="Verdana" w:cs="Calibri"/>
          <w:color w:val="000000"/>
          <w:sz w:val="20"/>
          <w:szCs w:val="20"/>
        </w:rPr>
        <w:t xml:space="preserve">A ELETRONUCLEAR encomendou à A&amp;M uma atualização do estudo da tarifa de equilíbrio, considerando as novas estimativas de valores de </w:t>
      </w:r>
      <w:proofErr w:type="spellStart"/>
      <w:r w:rsidRPr="008946A3">
        <w:rPr>
          <w:rFonts w:ascii="Verdana" w:hAnsi="Verdana" w:cs="Calibri"/>
          <w:color w:val="000000"/>
          <w:sz w:val="20"/>
          <w:szCs w:val="20"/>
        </w:rPr>
        <w:t>Capex</w:t>
      </w:r>
      <w:proofErr w:type="spellEnd"/>
      <w:r w:rsidRPr="008946A3">
        <w:rPr>
          <w:rFonts w:ascii="Verdana" w:hAnsi="Verdana" w:cs="Calibri"/>
          <w:color w:val="000000"/>
          <w:sz w:val="20"/>
          <w:szCs w:val="20"/>
        </w:rPr>
        <w:t xml:space="preserve">, avaliados de forma independente e indicados no estudo do Consórcio Angra </w:t>
      </w:r>
      <w:proofErr w:type="spellStart"/>
      <w:r w:rsidRPr="008946A3">
        <w:rPr>
          <w:rFonts w:ascii="Verdana" w:hAnsi="Verdana" w:cs="Calibri"/>
          <w:color w:val="000000"/>
          <w:sz w:val="20"/>
          <w:szCs w:val="20"/>
        </w:rPr>
        <w:t>Eurobras</w:t>
      </w:r>
      <w:proofErr w:type="spellEnd"/>
      <w:r w:rsidRPr="008946A3">
        <w:rPr>
          <w:rFonts w:ascii="Verdana" w:hAnsi="Verdana" w:cs="Calibri"/>
          <w:color w:val="000000"/>
          <w:sz w:val="20"/>
          <w:szCs w:val="20"/>
        </w:rPr>
        <w:t xml:space="preserve"> NES, mantendo a data estimada de entrada em operação comercial como sendo 29 de novembro de 2027, bem como todos os parâmetros aplicados ao Projeto e garantidos por meio da Resolução CNPE nº 23/2021</w:t>
      </w:r>
      <w:r w:rsidR="00333BF8" w:rsidRPr="005E4A4C">
        <w:rPr>
          <w:rFonts w:ascii="Verdana" w:hAnsi="Verdana" w:cs="Calibri"/>
          <w:color w:val="000000"/>
          <w:sz w:val="20"/>
          <w:szCs w:val="20"/>
        </w:rPr>
        <w:t>.</w:t>
      </w:r>
      <w:bookmarkEnd w:id="32"/>
    </w:p>
    <w:bookmarkEnd w:id="33"/>
    <w:p w14:paraId="44176205" w14:textId="3F33C5D3" w:rsidR="006044CC" w:rsidRDefault="006044CC" w:rsidP="00ED6E29">
      <w:pPr>
        <w:pStyle w:val="xmsonormal"/>
        <w:shd w:val="clear" w:color="auto" w:fill="FFFFFF"/>
        <w:spacing w:before="0" w:beforeAutospacing="0" w:after="0" w:afterAutospacing="0"/>
        <w:rPr>
          <w:rFonts w:ascii="Verdana" w:hAnsi="Verdana"/>
          <w:b/>
          <w:color w:val="0D63B5"/>
          <w:sz w:val="20"/>
          <w:szCs w:val="20"/>
        </w:rPr>
      </w:pPr>
    </w:p>
    <w:p w14:paraId="50182412" w14:textId="0D1F340E" w:rsidR="00D93BAC" w:rsidRDefault="00D93BAC" w:rsidP="00ED6E29">
      <w:pPr>
        <w:widowControl w:val="0"/>
        <w:autoSpaceDE w:val="0"/>
        <w:autoSpaceDN w:val="0"/>
        <w:jc w:val="left"/>
        <w:rPr>
          <w:rFonts w:ascii="Verdana" w:hAnsi="Verdana"/>
          <w:b/>
          <w:color w:val="0D63B5"/>
          <w:sz w:val="20"/>
          <w:szCs w:val="20"/>
        </w:rPr>
      </w:pPr>
    </w:p>
    <w:p w14:paraId="011CB3A3" w14:textId="77777777" w:rsidR="00ED6E29" w:rsidRPr="00362BA4" w:rsidRDefault="00ED6E29" w:rsidP="00ED6E29">
      <w:pPr>
        <w:widowControl w:val="0"/>
        <w:autoSpaceDE w:val="0"/>
        <w:autoSpaceDN w:val="0"/>
        <w:jc w:val="left"/>
        <w:rPr>
          <w:rFonts w:ascii="Verdana" w:hAnsi="Verdana"/>
          <w:b/>
          <w:color w:val="0D63B5"/>
          <w:sz w:val="20"/>
          <w:szCs w:val="20"/>
        </w:rPr>
      </w:pPr>
    </w:p>
    <w:p w14:paraId="492CA09A" w14:textId="77777777" w:rsidR="00C511B7" w:rsidRPr="007B3197" w:rsidRDefault="00C511B7" w:rsidP="00ED6E29">
      <w:pPr>
        <w:tabs>
          <w:tab w:val="left" w:pos="567"/>
          <w:tab w:val="left" w:pos="1134"/>
          <w:tab w:val="left" w:pos="1701"/>
          <w:tab w:val="left" w:pos="2268"/>
          <w:tab w:val="left" w:pos="2835"/>
        </w:tabs>
        <w:outlineLvl w:val="0"/>
        <w:rPr>
          <w:rFonts w:ascii="Verdana" w:hAnsi="Verdana"/>
          <w:b/>
          <w:color w:val="0D63B5"/>
          <w:sz w:val="20"/>
          <w:szCs w:val="20"/>
        </w:rPr>
      </w:pPr>
      <w:r w:rsidRPr="007B3197">
        <w:rPr>
          <w:rFonts w:ascii="Verdana" w:hAnsi="Verdana"/>
          <w:b/>
          <w:color w:val="0D63B5"/>
          <w:sz w:val="20"/>
          <w:szCs w:val="20"/>
        </w:rPr>
        <w:t xml:space="preserve">NOTA </w:t>
      </w:r>
      <w:r>
        <w:rPr>
          <w:rFonts w:ascii="Verdana" w:hAnsi="Verdana"/>
          <w:b/>
          <w:color w:val="0D63B5"/>
          <w:sz w:val="20"/>
          <w:szCs w:val="20"/>
        </w:rPr>
        <w:t>3</w:t>
      </w:r>
      <w:r w:rsidR="00B7719C">
        <w:rPr>
          <w:rFonts w:ascii="Verdana" w:hAnsi="Verdana"/>
          <w:b/>
          <w:color w:val="0D63B5"/>
          <w:sz w:val="20"/>
          <w:szCs w:val="20"/>
        </w:rPr>
        <w:t>6</w:t>
      </w:r>
      <w:r w:rsidRPr="007B3197">
        <w:rPr>
          <w:rFonts w:ascii="Verdana" w:hAnsi="Verdana"/>
          <w:b/>
          <w:color w:val="0D63B5"/>
          <w:sz w:val="20"/>
          <w:szCs w:val="20"/>
        </w:rPr>
        <w:t xml:space="preserve"> – TRANSAÇÕES COM PARTES RELACIONADAS</w:t>
      </w:r>
      <w:r>
        <w:rPr>
          <w:rFonts w:ascii="Verdana" w:hAnsi="Verdana"/>
          <w:b/>
          <w:color w:val="0D63B5"/>
          <w:sz w:val="20"/>
          <w:szCs w:val="20"/>
        </w:rPr>
        <w:t xml:space="preserve"> </w:t>
      </w:r>
    </w:p>
    <w:p w14:paraId="147853B5" w14:textId="77777777" w:rsidR="00C511B7" w:rsidRPr="007B3197" w:rsidRDefault="00C511B7" w:rsidP="00C511B7">
      <w:pPr>
        <w:rPr>
          <w:rFonts w:ascii="Verdana" w:hAnsi="Verdana"/>
          <w:sz w:val="20"/>
          <w:szCs w:val="20"/>
        </w:rPr>
      </w:pPr>
    </w:p>
    <w:p w14:paraId="6730161A" w14:textId="77777777" w:rsidR="00C511B7" w:rsidRPr="003B5FEC" w:rsidRDefault="00C511B7" w:rsidP="00C511B7">
      <w:pPr>
        <w:rPr>
          <w:rFonts w:ascii="Verdana" w:hAnsi="Verdana"/>
          <w:color w:val="000000"/>
          <w:spacing w:val="-4"/>
          <w:sz w:val="20"/>
          <w:szCs w:val="20"/>
        </w:rPr>
      </w:pPr>
      <w:r w:rsidRPr="003B5FEC">
        <w:rPr>
          <w:rFonts w:ascii="Verdana" w:hAnsi="Verdana"/>
          <w:color w:val="000000"/>
          <w:spacing w:val="-4"/>
          <w:sz w:val="20"/>
          <w:szCs w:val="20"/>
        </w:rPr>
        <w:t xml:space="preserve">Dentre as principais </w:t>
      </w:r>
      <w:r w:rsidRPr="003A0265">
        <w:rPr>
          <w:rFonts w:ascii="Verdana" w:hAnsi="Verdana"/>
          <w:color w:val="000000"/>
          <w:spacing w:val="-4"/>
          <w:sz w:val="20"/>
          <w:szCs w:val="20"/>
        </w:rPr>
        <w:t xml:space="preserve">operações ocorridas com partes relacionadas durante o exercício findo em 31 de dezembro de 2021, destacamos </w:t>
      </w:r>
      <w:r w:rsidR="003B5FEC" w:rsidRPr="003A0265">
        <w:rPr>
          <w:rFonts w:ascii="Verdana" w:hAnsi="Verdana"/>
          <w:color w:val="000000"/>
          <w:spacing w:val="-4"/>
          <w:sz w:val="20"/>
          <w:szCs w:val="20"/>
        </w:rPr>
        <w:t>o adiantamento para Futuro Aumento de Capital.</w:t>
      </w:r>
    </w:p>
    <w:p w14:paraId="3ACCCAFF" w14:textId="77777777" w:rsidR="00C511B7" w:rsidRPr="003B5FEC" w:rsidRDefault="00C511B7" w:rsidP="00C511B7">
      <w:pPr>
        <w:rPr>
          <w:rFonts w:ascii="Verdana" w:hAnsi="Verdana"/>
          <w:color w:val="000000"/>
          <w:spacing w:val="-4"/>
          <w:sz w:val="20"/>
          <w:szCs w:val="20"/>
        </w:rPr>
      </w:pPr>
    </w:p>
    <w:p w14:paraId="5D947386" w14:textId="77777777" w:rsidR="00C511B7" w:rsidRDefault="00C511B7" w:rsidP="00C511B7">
      <w:pPr>
        <w:rPr>
          <w:rFonts w:ascii="Verdana" w:hAnsi="Verdana"/>
          <w:color w:val="0D63B5"/>
          <w:spacing w:val="-4"/>
          <w:sz w:val="20"/>
          <w:szCs w:val="20"/>
        </w:rPr>
      </w:pPr>
      <w:r w:rsidRPr="003B5FEC">
        <w:rPr>
          <w:rFonts w:ascii="Verdana" w:hAnsi="Verdana"/>
          <w:color w:val="0D63B5"/>
          <w:spacing w:val="-4"/>
          <w:sz w:val="20"/>
          <w:szCs w:val="20"/>
        </w:rPr>
        <w:t>3</w:t>
      </w:r>
      <w:r w:rsidR="00B7719C">
        <w:rPr>
          <w:rFonts w:ascii="Verdana" w:hAnsi="Verdana"/>
          <w:color w:val="0D63B5"/>
          <w:spacing w:val="-4"/>
          <w:sz w:val="20"/>
          <w:szCs w:val="20"/>
        </w:rPr>
        <w:t>6</w:t>
      </w:r>
      <w:r w:rsidRPr="003B5FEC">
        <w:rPr>
          <w:rFonts w:ascii="Verdana" w:hAnsi="Verdana"/>
          <w:color w:val="0D63B5"/>
          <w:spacing w:val="-4"/>
          <w:sz w:val="20"/>
          <w:szCs w:val="20"/>
        </w:rPr>
        <w:t>.1 – Principais transações ocorridas em 2021</w:t>
      </w:r>
    </w:p>
    <w:p w14:paraId="2320C22F" w14:textId="77777777" w:rsidR="00C511B7" w:rsidRDefault="00C511B7" w:rsidP="00C511B7">
      <w:pPr>
        <w:rPr>
          <w:rFonts w:ascii="Verdana" w:hAnsi="Verdana"/>
          <w:color w:val="0D63B5"/>
          <w:spacing w:val="-4"/>
          <w:sz w:val="20"/>
          <w:szCs w:val="20"/>
        </w:rPr>
      </w:pPr>
    </w:p>
    <w:p w14:paraId="3AC64B22" w14:textId="77777777" w:rsidR="00C511B7" w:rsidRDefault="00292D61" w:rsidP="00C511B7">
      <w:pPr>
        <w:rPr>
          <w:rFonts w:ascii="Verdana" w:hAnsi="Verdana"/>
          <w:color w:val="0D63B5"/>
          <w:spacing w:val="-4"/>
          <w:sz w:val="20"/>
          <w:szCs w:val="20"/>
        </w:rPr>
      </w:pPr>
      <w:r w:rsidRPr="00292D61">
        <w:rPr>
          <w:noProof/>
        </w:rPr>
        <w:drawing>
          <wp:inline distT="0" distB="0" distL="0" distR="0" wp14:anchorId="66CE9466" wp14:editId="49B3F50F">
            <wp:extent cx="6652895" cy="405303"/>
            <wp:effectExtent l="0" t="0" r="0" b="0"/>
            <wp:docPr id="508" name="Imagem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652895" cy="405303"/>
                    </a:xfrm>
                    <a:prstGeom prst="rect">
                      <a:avLst/>
                    </a:prstGeom>
                    <a:noFill/>
                    <a:ln>
                      <a:noFill/>
                    </a:ln>
                  </pic:spPr>
                </pic:pic>
              </a:graphicData>
            </a:graphic>
          </wp:inline>
        </w:drawing>
      </w:r>
    </w:p>
    <w:p w14:paraId="643D2AD2" w14:textId="77777777" w:rsidR="00C511B7" w:rsidRPr="007B3197" w:rsidRDefault="00C511B7" w:rsidP="00C511B7">
      <w:pPr>
        <w:rPr>
          <w:rFonts w:ascii="Verdana" w:hAnsi="Verdana"/>
          <w:color w:val="0D63B5"/>
          <w:spacing w:val="-4"/>
          <w:sz w:val="20"/>
          <w:szCs w:val="20"/>
        </w:rPr>
      </w:pPr>
    </w:p>
    <w:p w14:paraId="19A0A178" w14:textId="77777777" w:rsidR="00C511B7" w:rsidRPr="002D2920" w:rsidRDefault="00C511B7" w:rsidP="00C511B7">
      <w:pPr>
        <w:widowControl w:val="0"/>
        <w:autoSpaceDE w:val="0"/>
        <w:autoSpaceDN w:val="0"/>
        <w:jc w:val="left"/>
        <w:rPr>
          <w:rFonts w:ascii="Verdana" w:hAnsi="Verdana"/>
          <w:color w:val="FF0000"/>
          <w:spacing w:val="-4"/>
          <w:sz w:val="20"/>
          <w:szCs w:val="20"/>
        </w:rPr>
      </w:pPr>
      <w:r w:rsidRPr="002D2920">
        <w:rPr>
          <w:rFonts w:ascii="Verdana" w:hAnsi="Verdana"/>
          <w:color w:val="0D63B5"/>
          <w:spacing w:val="-4"/>
          <w:sz w:val="20"/>
          <w:szCs w:val="20"/>
        </w:rPr>
        <w:t>3</w:t>
      </w:r>
      <w:r w:rsidR="00B7719C">
        <w:rPr>
          <w:rFonts w:ascii="Verdana" w:hAnsi="Verdana"/>
          <w:color w:val="0D63B5"/>
          <w:spacing w:val="-4"/>
          <w:sz w:val="20"/>
          <w:szCs w:val="20"/>
        </w:rPr>
        <w:t>6</w:t>
      </w:r>
      <w:r w:rsidRPr="002D2920">
        <w:rPr>
          <w:rFonts w:ascii="Verdana" w:hAnsi="Verdana"/>
          <w:color w:val="0D63B5"/>
          <w:spacing w:val="-4"/>
          <w:sz w:val="20"/>
          <w:szCs w:val="20"/>
        </w:rPr>
        <w:t xml:space="preserve">.2 - Transações com Entidades Governamentais </w:t>
      </w:r>
    </w:p>
    <w:p w14:paraId="425F30A4" w14:textId="77777777" w:rsidR="00C511B7" w:rsidRPr="003C2CA4" w:rsidRDefault="00C511B7" w:rsidP="00C511B7">
      <w:pPr>
        <w:widowControl w:val="0"/>
        <w:autoSpaceDE w:val="0"/>
        <w:autoSpaceDN w:val="0"/>
        <w:jc w:val="left"/>
        <w:rPr>
          <w:rFonts w:ascii="Verdana" w:hAnsi="Verdana"/>
          <w:color w:val="FF0000"/>
          <w:spacing w:val="-4"/>
          <w:sz w:val="20"/>
          <w:szCs w:val="20"/>
          <w:highlight w:val="yellow"/>
        </w:rPr>
      </w:pPr>
    </w:p>
    <w:p w14:paraId="58D9D852" w14:textId="77777777" w:rsidR="00C511B7" w:rsidRPr="004E7532" w:rsidRDefault="00C511B7" w:rsidP="00C511B7">
      <w:pPr>
        <w:widowControl w:val="0"/>
        <w:autoSpaceDE w:val="0"/>
        <w:autoSpaceDN w:val="0"/>
        <w:jc w:val="left"/>
        <w:rPr>
          <w:rFonts w:ascii="Verdana" w:hAnsi="Verdana"/>
          <w:color w:val="000000"/>
          <w:spacing w:val="-4"/>
          <w:sz w:val="20"/>
          <w:szCs w:val="20"/>
        </w:rPr>
      </w:pPr>
    </w:p>
    <w:p w14:paraId="384CAC56" w14:textId="27EC924C" w:rsidR="00C511B7" w:rsidRPr="004E7532" w:rsidRDefault="00C511B7" w:rsidP="00C511B7">
      <w:pPr>
        <w:rPr>
          <w:rFonts w:ascii="Verdana" w:hAnsi="Verdana"/>
          <w:color w:val="000000"/>
          <w:spacing w:val="-4"/>
          <w:sz w:val="20"/>
          <w:szCs w:val="20"/>
        </w:rPr>
      </w:pPr>
      <w:r w:rsidRPr="004E7532">
        <w:rPr>
          <w:rFonts w:ascii="Verdana" w:hAnsi="Verdana"/>
          <w:color w:val="000000"/>
          <w:spacing w:val="-4"/>
          <w:sz w:val="20"/>
          <w:szCs w:val="20"/>
        </w:rPr>
        <w:t xml:space="preserve">Além das operações </w:t>
      </w:r>
      <w:proofErr w:type="gramStart"/>
      <w:r w:rsidRPr="004E7532">
        <w:rPr>
          <w:rFonts w:ascii="Verdana" w:hAnsi="Verdana"/>
          <w:color w:val="000000"/>
          <w:spacing w:val="-4"/>
          <w:sz w:val="20"/>
          <w:szCs w:val="20"/>
        </w:rPr>
        <w:t xml:space="preserve">com </w:t>
      </w:r>
      <w:r w:rsidR="00D93BAC" w:rsidRPr="004E7532">
        <w:rPr>
          <w:rFonts w:ascii="Verdana" w:hAnsi="Verdana"/>
          <w:color w:val="000000"/>
          <w:spacing w:val="-4"/>
          <w:sz w:val="20"/>
          <w:szCs w:val="20"/>
        </w:rPr>
        <w:t xml:space="preserve"> a</w:t>
      </w:r>
      <w:proofErr w:type="gramEnd"/>
      <w:r w:rsidR="00D93BAC" w:rsidRPr="004E7532">
        <w:rPr>
          <w:rFonts w:ascii="Verdana" w:hAnsi="Verdana"/>
          <w:color w:val="000000"/>
          <w:spacing w:val="-4"/>
          <w:sz w:val="20"/>
          <w:szCs w:val="20"/>
        </w:rPr>
        <w:t xml:space="preserve"> Elet</w:t>
      </w:r>
      <w:r w:rsidR="00C374D3">
        <w:rPr>
          <w:rFonts w:ascii="Verdana" w:hAnsi="Verdana"/>
          <w:color w:val="000000"/>
          <w:spacing w:val="-4"/>
          <w:sz w:val="20"/>
          <w:szCs w:val="20"/>
        </w:rPr>
        <w:t>r</w:t>
      </w:r>
      <w:r w:rsidR="00D93BAC" w:rsidRPr="004E7532">
        <w:rPr>
          <w:rFonts w:ascii="Verdana" w:hAnsi="Verdana"/>
          <w:color w:val="000000"/>
          <w:spacing w:val="-4"/>
          <w:sz w:val="20"/>
          <w:szCs w:val="20"/>
        </w:rPr>
        <w:t>obras</w:t>
      </w:r>
      <w:r w:rsidR="003564E3">
        <w:rPr>
          <w:rFonts w:ascii="Verdana" w:hAnsi="Verdana"/>
          <w:color w:val="000000"/>
          <w:spacing w:val="-4"/>
          <w:sz w:val="20"/>
          <w:szCs w:val="20"/>
        </w:rPr>
        <w:t>, a</w:t>
      </w:r>
      <w:r w:rsidR="00D93BAC" w:rsidRPr="004E7532">
        <w:rPr>
          <w:rFonts w:ascii="Verdana" w:hAnsi="Verdana"/>
          <w:color w:val="000000"/>
          <w:spacing w:val="-4"/>
          <w:sz w:val="20"/>
          <w:szCs w:val="20"/>
        </w:rPr>
        <w:t xml:space="preserve"> </w:t>
      </w:r>
      <w:r w:rsidR="00E52A93">
        <w:rPr>
          <w:rFonts w:ascii="Verdana" w:hAnsi="Verdana"/>
          <w:color w:val="000000"/>
          <w:spacing w:val="-4"/>
          <w:sz w:val="20"/>
          <w:szCs w:val="20"/>
        </w:rPr>
        <w:t>ELETRONUCLEAR</w:t>
      </w:r>
      <w:r w:rsidR="00D93BAC" w:rsidRPr="004E7532">
        <w:rPr>
          <w:rFonts w:ascii="Verdana" w:hAnsi="Verdana"/>
          <w:color w:val="000000"/>
          <w:spacing w:val="-4"/>
          <w:sz w:val="20"/>
          <w:szCs w:val="20"/>
        </w:rPr>
        <w:t xml:space="preserve"> </w:t>
      </w:r>
      <w:r w:rsidRPr="004E7532">
        <w:rPr>
          <w:rFonts w:ascii="Verdana" w:hAnsi="Verdana"/>
          <w:color w:val="000000"/>
          <w:spacing w:val="-4"/>
          <w:sz w:val="20"/>
          <w:szCs w:val="20"/>
        </w:rPr>
        <w:t xml:space="preserve">mantém transações com outras entidades governamentais, sob controle comum, no curso de suas operações. Os saldos das principais transações com estas entidades estão resumidos a seguir: </w:t>
      </w:r>
    </w:p>
    <w:p w14:paraId="707C4451" w14:textId="77777777" w:rsidR="00C511B7" w:rsidRPr="003C2CA4" w:rsidRDefault="00C511B7" w:rsidP="00C511B7">
      <w:pPr>
        <w:rPr>
          <w:rFonts w:ascii="Verdana" w:hAnsi="Verdana"/>
          <w:strike/>
          <w:color w:val="000000"/>
          <w:spacing w:val="-4"/>
          <w:sz w:val="20"/>
          <w:szCs w:val="20"/>
          <w:highlight w:val="yellow"/>
        </w:rPr>
      </w:pPr>
    </w:p>
    <w:p w14:paraId="6A55D8E6" w14:textId="77777777" w:rsidR="00C511B7" w:rsidRPr="003C2CA4" w:rsidRDefault="002D2920" w:rsidP="00C511B7">
      <w:pPr>
        <w:rPr>
          <w:rFonts w:ascii="Verdana" w:hAnsi="Verdana"/>
          <w:strike/>
          <w:color w:val="000000"/>
          <w:spacing w:val="-4"/>
          <w:sz w:val="20"/>
          <w:szCs w:val="20"/>
          <w:highlight w:val="yellow"/>
        </w:rPr>
      </w:pPr>
      <w:r w:rsidRPr="004E7532">
        <w:rPr>
          <w:noProof/>
        </w:rPr>
        <w:drawing>
          <wp:inline distT="0" distB="0" distL="0" distR="0" wp14:anchorId="1E08506E" wp14:editId="7209B9A8">
            <wp:extent cx="6652895" cy="1096645"/>
            <wp:effectExtent l="0" t="0" r="0" b="0"/>
            <wp:docPr id="456" name="Imagem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6652895" cy="1096645"/>
                    </a:xfrm>
                    <a:prstGeom prst="rect">
                      <a:avLst/>
                    </a:prstGeom>
                    <a:noFill/>
                    <a:ln>
                      <a:noFill/>
                    </a:ln>
                  </pic:spPr>
                </pic:pic>
              </a:graphicData>
            </a:graphic>
          </wp:inline>
        </w:drawing>
      </w:r>
    </w:p>
    <w:p w14:paraId="7A6EEAF5" w14:textId="77777777" w:rsidR="00C511B7" w:rsidRPr="003C2CA4" w:rsidRDefault="00C511B7" w:rsidP="00C511B7">
      <w:pPr>
        <w:rPr>
          <w:rFonts w:ascii="Verdana" w:hAnsi="Verdana"/>
          <w:strike/>
          <w:color w:val="000000"/>
          <w:spacing w:val="-4"/>
          <w:sz w:val="20"/>
          <w:szCs w:val="20"/>
          <w:highlight w:val="yellow"/>
        </w:rPr>
      </w:pPr>
    </w:p>
    <w:p w14:paraId="0C38BF6E" w14:textId="056F237D" w:rsidR="00C511B7" w:rsidRDefault="00C511B7" w:rsidP="00C511B7">
      <w:pPr>
        <w:rPr>
          <w:rFonts w:ascii="Verdana" w:hAnsi="Verdana"/>
          <w:color w:val="0D63B5"/>
          <w:spacing w:val="-4"/>
          <w:sz w:val="20"/>
          <w:szCs w:val="20"/>
        </w:rPr>
      </w:pPr>
    </w:p>
    <w:p w14:paraId="13B11A80" w14:textId="5904E6E9" w:rsidR="0017008C" w:rsidRDefault="0017008C" w:rsidP="00C511B7">
      <w:pPr>
        <w:rPr>
          <w:rFonts w:ascii="Verdana" w:hAnsi="Verdana"/>
          <w:color w:val="0D63B5"/>
          <w:spacing w:val="-4"/>
          <w:sz w:val="20"/>
          <w:szCs w:val="20"/>
        </w:rPr>
      </w:pPr>
    </w:p>
    <w:p w14:paraId="2C1B5CC0" w14:textId="54A0292A" w:rsidR="0017008C" w:rsidRDefault="0017008C" w:rsidP="00C511B7">
      <w:pPr>
        <w:rPr>
          <w:rFonts w:ascii="Verdana" w:hAnsi="Verdana"/>
          <w:color w:val="0D63B5"/>
          <w:spacing w:val="-4"/>
          <w:sz w:val="20"/>
          <w:szCs w:val="20"/>
        </w:rPr>
      </w:pPr>
    </w:p>
    <w:p w14:paraId="1F5823A6" w14:textId="1774264E" w:rsidR="0017008C" w:rsidRDefault="0017008C" w:rsidP="00C511B7">
      <w:pPr>
        <w:rPr>
          <w:rFonts w:ascii="Verdana" w:hAnsi="Verdana"/>
          <w:color w:val="0D63B5"/>
          <w:spacing w:val="-4"/>
          <w:sz w:val="20"/>
          <w:szCs w:val="20"/>
        </w:rPr>
      </w:pPr>
    </w:p>
    <w:p w14:paraId="5DEE4824" w14:textId="3219518E" w:rsidR="0017008C" w:rsidRDefault="0017008C" w:rsidP="00C511B7">
      <w:pPr>
        <w:rPr>
          <w:rFonts w:ascii="Verdana" w:hAnsi="Verdana"/>
          <w:color w:val="0D63B5"/>
          <w:spacing w:val="-4"/>
          <w:sz w:val="20"/>
          <w:szCs w:val="20"/>
        </w:rPr>
      </w:pPr>
    </w:p>
    <w:p w14:paraId="105A8549" w14:textId="7A85E480" w:rsidR="0017008C" w:rsidRDefault="0017008C" w:rsidP="00C511B7">
      <w:pPr>
        <w:rPr>
          <w:rFonts w:ascii="Verdana" w:hAnsi="Verdana"/>
          <w:color w:val="0D63B5"/>
          <w:spacing w:val="-4"/>
          <w:sz w:val="20"/>
          <w:szCs w:val="20"/>
        </w:rPr>
      </w:pPr>
    </w:p>
    <w:p w14:paraId="7D9BF609" w14:textId="71F2EED9" w:rsidR="0017008C" w:rsidRDefault="0017008C" w:rsidP="00C511B7">
      <w:pPr>
        <w:rPr>
          <w:rFonts w:ascii="Verdana" w:hAnsi="Verdana"/>
          <w:color w:val="0D63B5"/>
          <w:spacing w:val="-4"/>
          <w:sz w:val="20"/>
          <w:szCs w:val="20"/>
        </w:rPr>
      </w:pPr>
    </w:p>
    <w:p w14:paraId="0FC1E8FB" w14:textId="1E1CB3BA" w:rsidR="0017008C" w:rsidRDefault="0017008C" w:rsidP="00C511B7">
      <w:pPr>
        <w:rPr>
          <w:rFonts w:ascii="Verdana" w:hAnsi="Verdana"/>
          <w:color w:val="0D63B5"/>
          <w:spacing w:val="-4"/>
          <w:sz w:val="20"/>
          <w:szCs w:val="20"/>
        </w:rPr>
      </w:pPr>
    </w:p>
    <w:p w14:paraId="4E27A4AF" w14:textId="124F9C76" w:rsidR="0017008C" w:rsidRDefault="0017008C" w:rsidP="00C511B7">
      <w:pPr>
        <w:rPr>
          <w:rFonts w:ascii="Verdana" w:hAnsi="Verdana"/>
          <w:color w:val="0D63B5"/>
          <w:spacing w:val="-4"/>
          <w:sz w:val="20"/>
          <w:szCs w:val="20"/>
        </w:rPr>
      </w:pPr>
    </w:p>
    <w:p w14:paraId="13322772" w14:textId="77777777" w:rsidR="0017008C" w:rsidRDefault="0017008C" w:rsidP="00C511B7">
      <w:pPr>
        <w:rPr>
          <w:rFonts w:ascii="Verdana" w:hAnsi="Verdana"/>
          <w:color w:val="0D63B5"/>
          <w:spacing w:val="-4"/>
          <w:sz w:val="20"/>
          <w:szCs w:val="20"/>
        </w:rPr>
      </w:pPr>
    </w:p>
    <w:p w14:paraId="78148D57" w14:textId="77777777" w:rsidR="00C511B7" w:rsidRPr="00CB7F42" w:rsidRDefault="00C511B7" w:rsidP="00C511B7">
      <w:pPr>
        <w:rPr>
          <w:rFonts w:ascii="Verdana" w:hAnsi="Verdana"/>
          <w:color w:val="0D63B5"/>
          <w:spacing w:val="-4"/>
          <w:sz w:val="20"/>
          <w:szCs w:val="20"/>
        </w:rPr>
      </w:pPr>
      <w:r w:rsidRPr="00CB7F42">
        <w:rPr>
          <w:rFonts w:ascii="Verdana" w:hAnsi="Verdana"/>
          <w:color w:val="0D63B5"/>
          <w:spacing w:val="-4"/>
          <w:sz w:val="20"/>
          <w:szCs w:val="20"/>
        </w:rPr>
        <w:lastRenderedPageBreak/>
        <w:t>3</w:t>
      </w:r>
      <w:r w:rsidR="00B7719C">
        <w:rPr>
          <w:rFonts w:ascii="Verdana" w:hAnsi="Verdana"/>
          <w:color w:val="0D63B5"/>
          <w:spacing w:val="-4"/>
          <w:sz w:val="20"/>
          <w:szCs w:val="20"/>
        </w:rPr>
        <w:t>6</w:t>
      </w:r>
      <w:r w:rsidRPr="00CB7F42">
        <w:rPr>
          <w:rFonts w:ascii="Verdana" w:hAnsi="Verdana"/>
          <w:color w:val="0D63B5"/>
          <w:spacing w:val="-4"/>
          <w:sz w:val="20"/>
          <w:szCs w:val="20"/>
        </w:rPr>
        <w:t>.3 - Transações com empresas do mesmo grupo</w:t>
      </w:r>
    </w:p>
    <w:p w14:paraId="477F2D27" w14:textId="77777777" w:rsidR="00C511B7" w:rsidRPr="00CB7F42" w:rsidRDefault="00C511B7" w:rsidP="00C511B7">
      <w:pPr>
        <w:widowControl w:val="0"/>
        <w:autoSpaceDE w:val="0"/>
        <w:autoSpaceDN w:val="0"/>
        <w:jc w:val="left"/>
        <w:rPr>
          <w:rFonts w:ascii="Verdana" w:eastAsiaTheme="minorHAnsi" w:hAnsi="Verdana" w:cs="Verdana"/>
          <w:color w:val="000000"/>
          <w:sz w:val="16"/>
          <w:szCs w:val="20"/>
          <w:lang w:eastAsia="en-US"/>
        </w:rPr>
      </w:pPr>
    </w:p>
    <w:p w14:paraId="74F41665" w14:textId="77777777" w:rsidR="00C511B7" w:rsidRPr="00CB7F42" w:rsidRDefault="00C511B7" w:rsidP="00C511B7">
      <w:pPr>
        <w:rPr>
          <w:rFonts w:ascii="Verdana" w:hAnsi="Verdana"/>
          <w:sz w:val="20"/>
          <w:szCs w:val="20"/>
        </w:rPr>
      </w:pPr>
      <w:r w:rsidRPr="00CB7F42">
        <w:rPr>
          <w:rFonts w:ascii="Verdana" w:hAnsi="Verdana"/>
          <w:color w:val="000000"/>
          <w:spacing w:val="-4"/>
          <w:sz w:val="20"/>
          <w:szCs w:val="20"/>
        </w:rPr>
        <w:t>Abaixo se encontram resumidas as transações comerciais e respectivos</w:t>
      </w:r>
      <w:r w:rsidR="00CB7F42" w:rsidRPr="00CB7F42">
        <w:rPr>
          <w:rFonts w:ascii="Verdana" w:hAnsi="Verdana"/>
          <w:color w:val="000000"/>
          <w:spacing w:val="-4"/>
          <w:sz w:val="20"/>
          <w:szCs w:val="20"/>
        </w:rPr>
        <w:t xml:space="preserve"> saldos com partes relacionadas</w:t>
      </w:r>
      <w:r w:rsidRPr="00CB7F42">
        <w:rPr>
          <w:rFonts w:ascii="Verdana" w:hAnsi="Verdana"/>
          <w:color w:val="000000"/>
          <w:spacing w:val="-4"/>
          <w:sz w:val="20"/>
          <w:szCs w:val="20"/>
        </w:rPr>
        <w:t>:</w:t>
      </w:r>
      <w:r w:rsidRPr="00CB7F42">
        <w:rPr>
          <w:rFonts w:ascii="Verdana" w:hAnsi="Verdana"/>
          <w:sz w:val="20"/>
          <w:szCs w:val="20"/>
        </w:rPr>
        <w:t xml:space="preserve"> </w:t>
      </w:r>
    </w:p>
    <w:p w14:paraId="530C09BD" w14:textId="77777777" w:rsidR="00C511B7" w:rsidRDefault="00C511B7" w:rsidP="00C511B7">
      <w:pPr>
        <w:rPr>
          <w:rFonts w:ascii="Verdana" w:hAnsi="Verdana"/>
          <w:sz w:val="20"/>
          <w:szCs w:val="20"/>
          <w:highlight w:val="green"/>
        </w:rPr>
      </w:pPr>
    </w:p>
    <w:p w14:paraId="0FDE8AFA" w14:textId="77777777" w:rsidR="00C511B7" w:rsidRDefault="0041284D" w:rsidP="00C511B7">
      <w:pPr>
        <w:rPr>
          <w:rFonts w:ascii="Verdana" w:hAnsi="Verdana"/>
          <w:sz w:val="20"/>
          <w:szCs w:val="20"/>
          <w:highlight w:val="green"/>
        </w:rPr>
      </w:pPr>
      <w:r w:rsidRPr="0041284D">
        <w:rPr>
          <w:noProof/>
        </w:rPr>
        <w:drawing>
          <wp:inline distT="0" distB="0" distL="0" distR="0" wp14:anchorId="41D486B3" wp14:editId="4C3B7FCE">
            <wp:extent cx="6652895" cy="361315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6652895" cy="3613150"/>
                    </a:xfrm>
                    <a:prstGeom prst="rect">
                      <a:avLst/>
                    </a:prstGeom>
                    <a:noFill/>
                    <a:ln>
                      <a:noFill/>
                    </a:ln>
                  </pic:spPr>
                </pic:pic>
              </a:graphicData>
            </a:graphic>
          </wp:inline>
        </w:drawing>
      </w:r>
    </w:p>
    <w:p w14:paraId="67866133" w14:textId="77777777" w:rsidR="00C511B7" w:rsidRDefault="00C511B7" w:rsidP="00C511B7">
      <w:pPr>
        <w:rPr>
          <w:rFonts w:ascii="Verdana" w:hAnsi="Verdana"/>
          <w:sz w:val="20"/>
          <w:szCs w:val="20"/>
          <w:highlight w:val="green"/>
        </w:rPr>
      </w:pPr>
    </w:p>
    <w:p w14:paraId="294BCD33" w14:textId="77777777" w:rsidR="00C511B7" w:rsidRDefault="00C511B7" w:rsidP="00C511B7">
      <w:pPr>
        <w:rPr>
          <w:rFonts w:ascii="Verdana" w:hAnsi="Verdana"/>
          <w:sz w:val="20"/>
          <w:szCs w:val="20"/>
          <w:highlight w:val="cyan"/>
        </w:rPr>
      </w:pPr>
    </w:p>
    <w:p w14:paraId="5C0BF80A" w14:textId="77777777" w:rsidR="00C511B7" w:rsidRPr="005F6F78" w:rsidRDefault="00C511B7" w:rsidP="00C511B7">
      <w:pPr>
        <w:rPr>
          <w:rFonts w:ascii="Verdana" w:hAnsi="Verdana"/>
          <w:sz w:val="20"/>
          <w:szCs w:val="20"/>
          <w:highlight w:val="cyan"/>
        </w:rPr>
      </w:pPr>
    </w:p>
    <w:p w14:paraId="523781A8" w14:textId="77777777" w:rsidR="00C511B7" w:rsidRPr="00AE51DB" w:rsidRDefault="00C511B7" w:rsidP="00C511B7">
      <w:pPr>
        <w:widowControl w:val="0"/>
        <w:autoSpaceDE w:val="0"/>
        <w:autoSpaceDN w:val="0"/>
        <w:rPr>
          <w:rFonts w:ascii="Verdana" w:hAnsi="Verdana"/>
          <w:sz w:val="20"/>
          <w:szCs w:val="20"/>
        </w:rPr>
      </w:pPr>
      <w:r w:rsidRPr="00AE51DB">
        <w:rPr>
          <w:rFonts w:ascii="Verdana" w:hAnsi="Verdana"/>
          <w:color w:val="0D63B5"/>
          <w:sz w:val="20"/>
          <w:szCs w:val="20"/>
        </w:rPr>
        <w:t>Prática contábil</w:t>
      </w:r>
      <w:r w:rsidRPr="00AE51DB">
        <w:rPr>
          <w:rFonts w:ascii="Verdana" w:hAnsi="Verdana"/>
          <w:sz w:val="20"/>
          <w:szCs w:val="20"/>
        </w:rPr>
        <w:t xml:space="preserve"> </w:t>
      </w:r>
    </w:p>
    <w:p w14:paraId="3675E4B2" w14:textId="77777777" w:rsidR="00C511B7" w:rsidRPr="00AE51DB" w:rsidRDefault="00C511B7" w:rsidP="00C511B7">
      <w:pPr>
        <w:widowControl w:val="0"/>
        <w:autoSpaceDE w:val="0"/>
        <w:autoSpaceDN w:val="0"/>
        <w:rPr>
          <w:rFonts w:ascii="Verdana" w:hAnsi="Verdana"/>
          <w:sz w:val="20"/>
          <w:szCs w:val="20"/>
        </w:rPr>
      </w:pPr>
    </w:p>
    <w:p w14:paraId="63D35242" w14:textId="77777777" w:rsidR="00C511B7" w:rsidRDefault="00C511B7" w:rsidP="00C511B7">
      <w:pPr>
        <w:rPr>
          <w:rFonts w:ascii="Verdana" w:hAnsi="Verdana"/>
          <w:sz w:val="20"/>
          <w:szCs w:val="20"/>
        </w:rPr>
      </w:pPr>
      <w:r w:rsidRPr="00AE51DB">
        <w:rPr>
          <w:rFonts w:ascii="Verdana" w:hAnsi="Verdana"/>
          <w:sz w:val="20"/>
          <w:szCs w:val="20"/>
        </w:rPr>
        <w:t xml:space="preserve">As transações com partes relacionadas da Companhia são realizadas a preços e condições definidos entre as partes, que levam em consideração as condições que poderiam ser praticadas no mercado com partes não relacionadas, quando </w:t>
      </w:r>
      <w:r w:rsidR="0041284D" w:rsidRPr="00AE51DB">
        <w:rPr>
          <w:rFonts w:ascii="Verdana" w:hAnsi="Verdana"/>
          <w:sz w:val="20"/>
          <w:szCs w:val="20"/>
        </w:rPr>
        <w:t>aplicável.</w:t>
      </w:r>
    </w:p>
    <w:p w14:paraId="3D07A6C3" w14:textId="77777777" w:rsidR="00C511B7" w:rsidRPr="004D789C" w:rsidRDefault="00C511B7" w:rsidP="00C511B7">
      <w:pPr>
        <w:rPr>
          <w:rFonts w:ascii="Verdana" w:hAnsi="Verdana"/>
          <w:sz w:val="20"/>
          <w:szCs w:val="20"/>
        </w:rPr>
      </w:pPr>
    </w:p>
    <w:p w14:paraId="6995592F" w14:textId="77777777" w:rsidR="00413E0C" w:rsidRDefault="00413E0C" w:rsidP="00C511B7">
      <w:pPr>
        <w:rPr>
          <w:rFonts w:ascii="Verdana" w:hAnsi="Verdana"/>
          <w:sz w:val="20"/>
          <w:szCs w:val="20"/>
        </w:rPr>
      </w:pPr>
    </w:p>
    <w:p w14:paraId="218B51D1" w14:textId="2E2201C1" w:rsidR="00C511B7" w:rsidRPr="0041284D" w:rsidRDefault="00C511B7" w:rsidP="00C511B7">
      <w:pPr>
        <w:rPr>
          <w:rFonts w:ascii="Verdana" w:hAnsi="Verdana"/>
          <w:color w:val="0D63B5"/>
          <w:sz w:val="20"/>
          <w:szCs w:val="20"/>
        </w:rPr>
      </w:pPr>
      <w:r w:rsidRPr="0041284D">
        <w:rPr>
          <w:rFonts w:ascii="Verdana" w:hAnsi="Verdana"/>
          <w:color w:val="0D63B5"/>
          <w:sz w:val="20"/>
          <w:szCs w:val="20"/>
        </w:rPr>
        <w:t>3</w:t>
      </w:r>
      <w:r w:rsidR="00B7719C">
        <w:rPr>
          <w:rFonts w:ascii="Verdana" w:hAnsi="Verdana"/>
          <w:color w:val="0D63B5"/>
          <w:sz w:val="20"/>
          <w:szCs w:val="20"/>
        </w:rPr>
        <w:t>6</w:t>
      </w:r>
      <w:r w:rsidRPr="0041284D">
        <w:rPr>
          <w:rFonts w:ascii="Verdana" w:hAnsi="Verdana"/>
          <w:color w:val="0D63B5"/>
          <w:sz w:val="20"/>
          <w:szCs w:val="20"/>
        </w:rPr>
        <w:t xml:space="preserve">.4 - Remuneração </w:t>
      </w:r>
      <w:proofErr w:type="gramStart"/>
      <w:r w:rsidRPr="0041284D">
        <w:rPr>
          <w:rFonts w:ascii="Verdana" w:hAnsi="Verdana"/>
          <w:color w:val="0D63B5"/>
          <w:sz w:val="20"/>
          <w:szCs w:val="20"/>
        </w:rPr>
        <w:t>do pessoal chave</w:t>
      </w:r>
      <w:proofErr w:type="gramEnd"/>
      <w:r w:rsidRPr="0041284D">
        <w:rPr>
          <w:rFonts w:ascii="Verdana" w:hAnsi="Verdana"/>
          <w:color w:val="0D63B5"/>
          <w:sz w:val="20"/>
          <w:szCs w:val="20"/>
        </w:rPr>
        <w:t xml:space="preserve"> </w:t>
      </w:r>
    </w:p>
    <w:p w14:paraId="78CE8E6C" w14:textId="77777777" w:rsidR="00C511B7" w:rsidRPr="0041284D" w:rsidRDefault="00C511B7" w:rsidP="00C511B7">
      <w:pPr>
        <w:adjustRightInd w:val="0"/>
        <w:rPr>
          <w:rFonts w:ascii="Verdana" w:hAnsi="Verdana"/>
          <w:sz w:val="20"/>
          <w:szCs w:val="20"/>
        </w:rPr>
      </w:pPr>
    </w:p>
    <w:p w14:paraId="273ABAB9" w14:textId="77777777" w:rsidR="006109F1" w:rsidRDefault="00C511B7" w:rsidP="00C511B7">
      <w:pPr>
        <w:rPr>
          <w:rFonts w:ascii="Verdana" w:hAnsi="Verdana"/>
          <w:sz w:val="20"/>
          <w:szCs w:val="20"/>
        </w:rPr>
      </w:pPr>
      <w:r w:rsidRPr="0041284D">
        <w:rPr>
          <w:rFonts w:ascii="Verdana" w:hAnsi="Verdana"/>
          <w:sz w:val="20"/>
          <w:szCs w:val="20"/>
        </w:rPr>
        <w:t xml:space="preserve">A remuneração </w:t>
      </w:r>
      <w:proofErr w:type="gramStart"/>
      <w:r w:rsidRPr="0041284D">
        <w:rPr>
          <w:rFonts w:ascii="Verdana" w:hAnsi="Verdana"/>
          <w:sz w:val="20"/>
          <w:szCs w:val="20"/>
        </w:rPr>
        <w:t>do pessoal chave</w:t>
      </w:r>
      <w:proofErr w:type="gramEnd"/>
      <w:r w:rsidRPr="0041284D">
        <w:rPr>
          <w:rFonts w:ascii="Verdana" w:hAnsi="Verdana"/>
          <w:sz w:val="20"/>
          <w:szCs w:val="20"/>
        </w:rPr>
        <w:t xml:space="preserve"> da Companhia (membros da Diretoria Executiva, Conselho de Administração e Conselho Fiscal) é como segue:</w:t>
      </w:r>
      <w:r w:rsidRPr="007B3197">
        <w:rPr>
          <w:rFonts w:ascii="Verdana" w:hAnsi="Verdana"/>
          <w:sz w:val="20"/>
          <w:szCs w:val="20"/>
        </w:rPr>
        <w:t xml:space="preserve"> </w:t>
      </w:r>
    </w:p>
    <w:p w14:paraId="131A1DDB" w14:textId="77777777" w:rsidR="006109F1" w:rsidRDefault="006109F1" w:rsidP="00C511B7">
      <w:pPr>
        <w:rPr>
          <w:rFonts w:ascii="Verdana" w:hAnsi="Verdana"/>
          <w:sz w:val="20"/>
          <w:szCs w:val="20"/>
        </w:rPr>
      </w:pPr>
    </w:p>
    <w:p w14:paraId="6BF81B72" w14:textId="77777777" w:rsidR="00C511B7" w:rsidRDefault="006109F1" w:rsidP="006109F1">
      <w:pPr>
        <w:jc w:val="center"/>
        <w:rPr>
          <w:rFonts w:ascii="Verdana" w:hAnsi="Verdana"/>
          <w:sz w:val="20"/>
          <w:szCs w:val="20"/>
        </w:rPr>
      </w:pPr>
      <w:r w:rsidRPr="006109F1">
        <w:rPr>
          <w:noProof/>
        </w:rPr>
        <w:drawing>
          <wp:inline distT="0" distB="0" distL="0" distR="0" wp14:anchorId="0131FE60" wp14:editId="1F3D9C10">
            <wp:extent cx="4318000" cy="568769"/>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364855" cy="574941"/>
                    </a:xfrm>
                    <a:prstGeom prst="rect">
                      <a:avLst/>
                    </a:prstGeom>
                    <a:noFill/>
                    <a:ln>
                      <a:noFill/>
                    </a:ln>
                  </pic:spPr>
                </pic:pic>
              </a:graphicData>
            </a:graphic>
          </wp:inline>
        </w:drawing>
      </w:r>
    </w:p>
    <w:p w14:paraId="2841C9CB" w14:textId="77777777" w:rsidR="00C511B7" w:rsidRDefault="00C511B7" w:rsidP="00C511B7">
      <w:pPr>
        <w:rPr>
          <w:rFonts w:ascii="Verdana" w:hAnsi="Verdana"/>
          <w:sz w:val="20"/>
          <w:szCs w:val="20"/>
        </w:rPr>
      </w:pPr>
    </w:p>
    <w:p w14:paraId="7EE74171" w14:textId="77777777" w:rsidR="000976AF" w:rsidRPr="007B3197" w:rsidRDefault="000976AF" w:rsidP="00C511B7">
      <w:pPr>
        <w:rPr>
          <w:rFonts w:ascii="Verdana" w:hAnsi="Verdana"/>
          <w:sz w:val="20"/>
          <w:szCs w:val="20"/>
        </w:rPr>
      </w:pPr>
    </w:p>
    <w:p w14:paraId="08C67DF2" w14:textId="77777777" w:rsidR="00C511B7" w:rsidRDefault="00C511B7" w:rsidP="00C511B7">
      <w:pPr>
        <w:widowControl w:val="0"/>
        <w:autoSpaceDE w:val="0"/>
        <w:autoSpaceDN w:val="0"/>
        <w:jc w:val="left"/>
        <w:rPr>
          <w:rFonts w:ascii="Verdana" w:hAnsi="Verdana"/>
          <w:sz w:val="20"/>
          <w:szCs w:val="20"/>
        </w:rPr>
      </w:pPr>
      <w:r w:rsidRPr="00074CD5">
        <w:rPr>
          <w:rFonts w:ascii="Verdana" w:hAnsi="Verdana"/>
          <w:sz w:val="20"/>
          <w:szCs w:val="20"/>
        </w:rPr>
        <w:t>A remuneração máxima, mínima e média dos dirigentes e empregados pode ser observada abaixo:</w:t>
      </w:r>
    </w:p>
    <w:p w14:paraId="41DA63FD" w14:textId="77777777" w:rsidR="00074CD5" w:rsidRDefault="00074CD5" w:rsidP="00C511B7">
      <w:pPr>
        <w:widowControl w:val="0"/>
        <w:autoSpaceDE w:val="0"/>
        <w:autoSpaceDN w:val="0"/>
        <w:jc w:val="left"/>
        <w:rPr>
          <w:rFonts w:ascii="Verdana" w:hAnsi="Verdana"/>
          <w:sz w:val="20"/>
          <w:szCs w:val="20"/>
        </w:rPr>
      </w:pPr>
    </w:p>
    <w:p w14:paraId="723AA7CA" w14:textId="0005E8DC" w:rsidR="00074CD5" w:rsidRDefault="00074CD5" w:rsidP="00C511B7">
      <w:pPr>
        <w:widowControl w:val="0"/>
        <w:autoSpaceDE w:val="0"/>
        <w:autoSpaceDN w:val="0"/>
        <w:jc w:val="left"/>
        <w:rPr>
          <w:rFonts w:ascii="Verdana" w:hAnsi="Verdana"/>
          <w:sz w:val="20"/>
          <w:szCs w:val="20"/>
        </w:rPr>
      </w:pPr>
    </w:p>
    <w:p w14:paraId="7DC3005B" w14:textId="77777777" w:rsidR="0017008C" w:rsidRPr="00074CD5" w:rsidRDefault="0017008C" w:rsidP="00C511B7">
      <w:pPr>
        <w:widowControl w:val="0"/>
        <w:autoSpaceDE w:val="0"/>
        <w:autoSpaceDN w:val="0"/>
        <w:jc w:val="left"/>
        <w:rPr>
          <w:rFonts w:ascii="Verdana" w:hAnsi="Verdana"/>
          <w:sz w:val="20"/>
          <w:szCs w:val="20"/>
        </w:rPr>
      </w:pPr>
      <w:bookmarkStart w:id="37" w:name="_GoBack"/>
      <w:bookmarkEnd w:id="37"/>
    </w:p>
    <w:p w14:paraId="4F43EA24" w14:textId="77777777" w:rsidR="00C511B7" w:rsidRPr="00074CD5" w:rsidRDefault="00074CD5" w:rsidP="00074CD5">
      <w:pPr>
        <w:jc w:val="center"/>
        <w:rPr>
          <w:rFonts w:ascii="Verdana" w:hAnsi="Verdana"/>
          <w:sz w:val="20"/>
          <w:szCs w:val="20"/>
        </w:rPr>
      </w:pPr>
      <w:r w:rsidRPr="00074CD5">
        <w:rPr>
          <w:noProof/>
        </w:rPr>
        <w:lastRenderedPageBreak/>
        <w:drawing>
          <wp:inline distT="0" distB="0" distL="0" distR="0" wp14:anchorId="1C1AA434" wp14:editId="27E29D15">
            <wp:extent cx="4615512" cy="2247900"/>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631983" cy="2255922"/>
                    </a:xfrm>
                    <a:prstGeom prst="rect">
                      <a:avLst/>
                    </a:prstGeom>
                    <a:noFill/>
                    <a:ln>
                      <a:noFill/>
                    </a:ln>
                  </pic:spPr>
                </pic:pic>
              </a:graphicData>
            </a:graphic>
          </wp:inline>
        </w:drawing>
      </w:r>
    </w:p>
    <w:p w14:paraId="7B7A475C" w14:textId="77777777" w:rsidR="00C511B7" w:rsidRDefault="00C511B7" w:rsidP="00C511B7">
      <w:pPr>
        <w:jc w:val="center"/>
        <w:rPr>
          <w:rFonts w:ascii="Verdana" w:hAnsi="Verdana"/>
          <w:sz w:val="20"/>
          <w:szCs w:val="20"/>
        </w:rPr>
      </w:pPr>
    </w:p>
    <w:p w14:paraId="1D107DEC" w14:textId="77777777" w:rsidR="00074CD5" w:rsidRDefault="00074CD5" w:rsidP="00C511B7">
      <w:pPr>
        <w:jc w:val="center"/>
        <w:rPr>
          <w:rFonts w:ascii="Verdana" w:hAnsi="Verdana"/>
          <w:sz w:val="20"/>
          <w:szCs w:val="20"/>
        </w:rPr>
      </w:pPr>
    </w:p>
    <w:p w14:paraId="1CBB96FC" w14:textId="77777777" w:rsidR="00074CD5" w:rsidRPr="00074CD5" w:rsidRDefault="00074CD5" w:rsidP="00C511B7">
      <w:pPr>
        <w:jc w:val="center"/>
        <w:rPr>
          <w:rFonts w:ascii="Verdana" w:hAnsi="Verdana"/>
          <w:sz w:val="20"/>
          <w:szCs w:val="20"/>
        </w:rPr>
      </w:pPr>
    </w:p>
    <w:p w14:paraId="639C09A0" w14:textId="77777777" w:rsidR="00C511B7" w:rsidRPr="00A4117D" w:rsidRDefault="00C511B7" w:rsidP="00C511B7">
      <w:pPr>
        <w:widowControl w:val="0"/>
        <w:autoSpaceDE w:val="0"/>
        <w:autoSpaceDN w:val="0"/>
        <w:rPr>
          <w:rFonts w:ascii="Verdana" w:hAnsi="Verdana"/>
          <w:sz w:val="20"/>
          <w:szCs w:val="20"/>
        </w:rPr>
      </w:pPr>
      <w:r w:rsidRPr="00A4117D">
        <w:rPr>
          <w:rFonts w:ascii="Verdana" w:hAnsi="Verdana"/>
          <w:color w:val="0D63B5"/>
          <w:sz w:val="20"/>
          <w:szCs w:val="20"/>
        </w:rPr>
        <w:t>Prática contábil</w:t>
      </w:r>
      <w:r w:rsidRPr="00A4117D">
        <w:rPr>
          <w:rFonts w:ascii="Verdana" w:hAnsi="Verdana"/>
          <w:sz w:val="20"/>
          <w:szCs w:val="20"/>
        </w:rPr>
        <w:t xml:space="preserve"> </w:t>
      </w:r>
    </w:p>
    <w:p w14:paraId="742A3549" w14:textId="77777777" w:rsidR="00C511B7" w:rsidRPr="00A4117D" w:rsidRDefault="00C511B7" w:rsidP="00C511B7">
      <w:pPr>
        <w:widowControl w:val="0"/>
        <w:autoSpaceDE w:val="0"/>
        <w:autoSpaceDN w:val="0"/>
        <w:rPr>
          <w:rFonts w:ascii="Verdana" w:hAnsi="Verdana"/>
          <w:sz w:val="20"/>
          <w:szCs w:val="20"/>
        </w:rPr>
      </w:pPr>
    </w:p>
    <w:p w14:paraId="02FA989B" w14:textId="77777777" w:rsidR="00C2656E" w:rsidRDefault="00C2656E" w:rsidP="00C2656E">
      <w:pPr>
        <w:rPr>
          <w:rFonts w:ascii="Verdana" w:hAnsi="Verdana"/>
          <w:sz w:val="20"/>
          <w:szCs w:val="20"/>
        </w:rPr>
      </w:pPr>
      <w:r w:rsidRPr="00893A85">
        <w:rPr>
          <w:rFonts w:ascii="Verdana" w:hAnsi="Verdana"/>
          <w:sz w:val="20"/>
          <w:szCs w:val="20"/>
        </w:rPr>
        <w:t>As remunerações totais dos dirigentes e dos empregados da Companhia têm por base as diretrizes estabelecidas pela Secretaria de Coordenação e Governança das Empresas Estatais - SEST, do Ministério da Economia, e pelo Ministério de Minas e Energia, nos quais são divulgadas a maior remuneração, a menor remuneração e a remuneração média de cada uma dessas categorias.</w:t>
      </w:r>
    </w:p>
    <w:p w14:paraId="124B1C85" w14:textId="2751C316" w:rsidR="00D379E2" w:rsidRDefault="00D379E2" w:rsidP="00563E1F">
      <w:pPr>
        <w:rPr>
          <w:rFonts w:ascii="Verdana" w:hAnsi="Verdana"/>
          <w:sz w:val="20"/>
          <w:szCs w:val="20"/>
        </w:rPr>
      </w:pPr>
    </w:p>
    <w:p w14:paraId="6691DC7A" w14:textId="77777777" w:rsidR="005D59E2" w:rsidRDefault="005D59E2" w:rsidP="00563E1F">
      <w:pPr>
        <w:rPr>
          <w:rFonts w:ascii="Verdana" w:hAnsi="Verdana"/>
          <w:sz w:val="20"/>
          <w:szCs w:val="20"/>
        </w:rPr>
      </w:pPr>
    </w:p>
    <w:p w14:paraId="04C41D13" w14:textId="77777777" w:rsidR="007C756A" w:rsidRDefault="007C756A" w:rsidP="00563E1F">
      <w:pPr>
        <w:rPr>
          <w:rFonts w:ascii="Verdana" w:hAnsi="Verdana"/>
          <w:sz w:val="20"/>
          <w:szCs w:val="20"/>
        </w:rPr>
      </w:pPr>
    </w:p>
    <w:p w14:paraId="729C12D4" w14:textId="77777777" w:rsidR="007C756A" w:rsidRDefault="007C756A" w:rsidP="00563E1F">
      <w:pPr>
        <w:rPr>
          <w:rFonts w:ascii="Verdana" w:hAnsi="Verdana"/>
          <w:sz w:val="20"/>
          <w:szCs w:val="20"/>
        </w:rPr>
      </w:pPr>
    </w:p>
    <w:p w14:paraId="688B404E" w14:textId="77777777" w:rsidR="00655587" w:rsidRDefault="00D379E2" w:rsidP="00563E1F">
      <w:pPr>
        <w:rPr>
          <w:rFonts w:ascii="Verdana" w:hAnsi="Verdana" w:cs="Times-Roman"/>
          <w:b/>
          <w:color w:val="0D63B5"/>
          <w:sz w:val="20"/>
          <w:szCs w:val="20"/>
        </w:rPr>
      </w:pPr>
      <w:r w:rsidRPr="00655587">
        <w:rPr>
          <w:rFonts w:ascii="Verdana" w:hAnsi="Verdana"/>
          <w:b/>
          <w:color w:val="0D63B5"/>
          <w:sz w:val="20"/>
          <w:szCs w:val="20"/>
        </w:rPr>
        <w:t>NOTA 3</w:t>
      </w:r>
      <w:r w:rsidR="00B7719C">
        <w:rPr>
          <w:rFonts w:ascii="Verdana" w:hAnsi="Verdana"/>
          <w:b/>
          <w:color w:val="0D63B5"/>
          <w:sz w:val="20"/>
          <w:szCs w:val="20"/>
        </w:rPr>
        <w:t>7</w:t>
      </w:r>
      <w:r w:rsidRPr="00655587">
        <w:rPr>
          <w:rFonts w:ascii="Verdana" w:hAnsi="Verdana"/>
          <w:b/>
          <w:color w:val="0D63B5"/>
          <w:sz w:val="20"/>
          <w:szCs w:val="20"/>
        </w:rPr>
        <w:t xml:space="preserve"> – </w:t>
      </w:r>
      <w:proofErr w:type="gramStart"/>
      <w:r w:rsidRPr="00655587">
        <w:rPr>
          <w:rFonts w:ascii="Verdana" w:hAnsi="Verdana" w:cs="Times-Roman"/>
          <w:b/>
          <w:color w:val="0D63B5"/>
          <w:sz w:val="20"/>
          <w:szCs w:val="20"/>
        </w:rPr>
        <w:t xml:space="preserve">TAXAS </w:t>
      </w:r>
      <w:r w:rsidR="00655587" w:rsidRPr="00655587">
        <w:rPr>
          <w:rFonts w:ascii="Verdana" w:hAnsi="Verdana" w:cs="Times-Roman"/>
          <w:b/>
          <w:color w:val="0D63B5"/>
          <w:sz w:val="20"/>
          <w:szCs w:val="20"/>
        </w:rPr>
        <w:t xml:space="preserve"> REGULAMENTARES</w:t>
      </w:r>
      <w:proofErr w:type="gramEnd"/>
      <w:r w:rsidRPr="00655587">
        <w:rPr>
          <w:rFonts w:ascii="Verdana" w:hAnsi="Verdana" w:cs="Times-Roman"/>
          <w:b/>
          <w:color w:val="0D63B5"/>
          <w:sz w:val="20"/>
          <w:szCs w:val="20"/>
        </w:rPr>
        <w:t xml:space="preserve"> </w:t>
      </w:r>
    </w:p>
    <w:p w14:paraId="412EE2C0" w14:textId="77777777" w:rsidR="00655587" w:rsidRDefault="00655587" w:rsidP="00563E1F">
      <w:pPr>
        <w:rPr>
          <w:rFonts w:ascii="Verdana" w:hAnsi="Verdana" w:cs="Times-Roman"/>
          <w:b/>
          <w:color w:val="0D63B5"/>
          <w:sz w:val="20"/>
          <w:szCs w:val="20"/>
        </w:rPr>
      </w:pPr>
    </w:p>
    <w:p w14:paraId="3EBDC79A" w14:textId="77777777" w:rsidR="00655587" w:rsidRDefault="00655587" w:rsidP="00563E1F">
      <w:pPr>
        <w:rPr>
          <w:rFonts w:ascii="Verdana" w:hAnsi="Verdana" w:cs="Times-Roman"/>
          <w:bCs/>
          <w:sz w:val="20"/>
          <w:szCs w:val="20"/>
        </w:rPr>
      </w:pPr>
    </w:p>
    <w:p w14:paraId="119F2F59" w14:textId="2D20F686" w:rsidR="00C23642" w:rsidRDefault="00CB71CC" w:rsidP="00563E1F">
      <w:pPr>
        <w:rPr>
          <w:rFonts w:ascii="Verdana" w:hAnsi="Verdana" w:cs="Times-Roman"/>
          <w:bCs/>
          <w:sz w:val="20"/>
          <w:szCs w:val="20"/>
        </w:rPr>
      </w:pPr>
      <w:r>
        <w:rPr>
          <w:rFonts w:ascii="Verdana" w:hAnsi="Verdana" w:cs="Times-Roman"/>
          <w:bCs/>
          <w:sz w:val="20"/>
          <w:szCs w:val="20"/>
        </w:rPr>
        <w:t>A C</w:t>
      </w:r>
      <w:r w:rsidR="00655587">
        <w:rPr>
          <w:rFonts w:ascii="Verdana" w:hAnsi="Verdana" w:cs="Times-Roman"/>
          <w:bCs/>
          <w:sz w:val="20"/>
          <w:szCs w:val="20"/>
        </w:rPr>
        <w:t xml:space="preserve">ompanhia incorreu, durante o </w:t>
      </w:r>
      <w:proofErr w:type="spellStart"/>
      <w:r w:rsidR="00655587">
        <w:rPr>
          <w:rFonts w:ascii="Verdana" w:hAnsi="Verdana" w:cs="Times-Roman"/>
          <w:bCs/>
          <w:sz w:val="20"/>
          <w:szCs w:val="20"/>
        </w:rPr>
        <w:t>perído</w:t>
      </w:r>
      <w:proofErr w:type="spellEnd"/>
      <w:r w:rsidR="00655587">
        <w:rPr>
          <w:rFonts w:ascii="Verdana" w:hAnsi="Verdana" w:cs="Times-Roman"/>
          <w:bCs/>
          <w:sz w:val="20"/>
          <w:szCs w:val="20"/>
        </w:rPr>
        <w:t>, nos seguintes encargos do setor elétrico, apropriados ao resultado:</w:t>
      </w:r>
    </w:p>
    <w:p w14:paraId="22E818FD" w14:textId="77777777" w:rsidR="00C23642" w:rsidRDefault="00C23642" w:rsidP="00563E1F">
      <w:pPr>
        <w:rPr>
          <w:rFonts w:ascii="Verdana" w:hAnsi="Verdana" w:cs="Times-Roman"/>
          <w:bCs/>
          <w:sz w:val="20"/>
          <w:szCs w:val="20"/>
        </w:rPr>
      </w:pPr>
    </w:p>
    <w:p w14:paraId="3D136978" w14:textId="77777777" w:rsidR="007652CF" w:rsidRPr="00A81E70" w:rsidRDefault="003F5E97" w:rsidP="009B3003">
      <w:pPr>
        <w:jc w:val="center"/>
        <w:rPr>
          <w:rFonts w:ascii="Verdana" w:hAnsi="Verdana"/>
          <w:sz w:val="20"/>
          <w:szCs w:val="20"/>
        </w:rPr>
      </w:pPr>
      <w:r w:rsidRPr="003F5E97">
        <w:rPr>
          <w:noProof/>
        </w:rPr>
        <w:drawing>
          <wp:inline distT="0" distB="0" distL="0" distR="0" wp14:anchorId="650F188F" wp14:editId="6E5CBF69">
            <wp:extent cx="5729692" cy="1518166"/>
            <wp:effectExtent l="0" t="0" r="4445" b="6350"/>
            <wp:docPr id="509" name="Imagem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772282" cy="1529451"/>
                    </a:xfrm>
                    <a:prstGeom prst="rect">
                      <a:avLst/>
                    </a:prstGeom>
                    <a:noFill/>
                    <a:ln>
                      <a:noFill/>
                    </a:ln>
                  </pic:spPr>
                </pic:pic>
              </a:graphicData>
            </a:graphic>
          </wp:inline>
        </w:drawing>
      </w:r>
      <w:r w:rsidR="00563E1F" w:rsidRPr="000B7648">
        <w:rPr>
          <w:rFonts w:ascii="Verdana" w:hAnsi="Verdana"/>
          <w:b/>
          <w:color w:val="0D63B5"/>
          <w:sz w:val="20"/>
          <w:szCs w:val="20"/>
        </w:rPr>
        <w:br w:type="page"/>
      </w:r>
    </w:p>
    <w:p w14:paraId="2CC1E5FB" w14:textId="77777777" w:rsidR="00931B81" w:rsidRDefault="00931B81" w:rsidP="00931B81">
      <w:pPr>
        <w:rPr>
          <w:rFonts w:ascii="Verdana" w:hAnsi="Verdana" w:cs="Times-Roman"/>
          <w:b/>
          <w:color w:val="0D63B5"/>
          <w:sz w:val="20"/>
          <w:szCs w:val="20"/>
        </w:rPr>
      </w:pPr>
      <w:r w:rsidRPr="00655587">
        <w:rPr>
          <w:rFonts w:ascii="Verdana" w:hAnsi="Verdana"/>
          <w:b/>
          <w:color w:val="0D63B5"/>
          <w:sz w:val="20"/>
          <w:szCs w:val="20"/>
        </w:rPr>
        <w:lastRenderedPageBreak/>
        <w:t>NOTA 3</w:t>
      </w:r>
      <w:r w:rsidR="00B7719C">
        <w:rPr>
          <w:rFonts w:ascii="Verdana" w:hAnsi="Verdana"/>
          <w:b/>
          <w:color w:val="0D63B5"/>
          <w:sz w:val="20"/>
          <w:szCs w:val="20"/>
        </w:rPr>
        <w:t>8</w:t>
      </w:r>
      <w:r w:rsidRPr="00655587">
        <w:rPr>
          <w:rFonts w:ascii="Verdana" w:hAnsi="Verdana"/>
          <w:b/>
          <w:color w:val="0D63B5"/>
          <w:sz w:val="20"/>
          <w:szCs w:val="20"/>
        </w:rPr>
        <w:t xml:space="preserve"> – </w:t>
      </w:r>
      <w:r>
        <w:rPr>
          <w:rFonts w:ascii="Verdana" w:hAnsi="Verdana" w:cs="Times-Roman"/>
          <w:b/>
          <w:color w:val="0D63B5"/>
          <w:sz w:val="20"/>
          <w:szCs w:val="20"/>
        </w:rPr>
        <w:t>SEGUROS</w:t>
      </w:r>
      <w:r w:rsidRPr="00655587">
        <w:rPr>
          <w:rFonts w:ascii="Verdana" w:hAnsi="Verdana" w:cs="Times-Roman"/>
          <w:b/>
          <w:color w:val="0D63B5"/>
          <w:sz w:val="20"/>
          <w:szCs w:val="20"/>
        </w:rPr>
        <w:t xml:space="preserve"> </w:t>
      </w:r>
    </w:p>
    <w:p w14:paraId="25A0894E" w14:textId="77777777" w:rsidR="00931B81" w:rsidRDefault="00931B81" w:rsidP="00931B81">
      <w:pPr>
        <w:rPr>
          <w:rFonts w:ascii="Verdana" w:hAnsi="Verdana" w:cs="Times-Roman"/>
          <w:b/>
          <w:color w:val="0D63B5"/>
          <w:sz w:val="20"/>
          <w:szCs w:val="20"/>
        </w:rPr>
      </w:pPr>
    </w:p>
    <w:p w14:paraId="1AC034E1" w14:textId="77777777" w:rsidR="00931B81" w:rsidRDefault="00931B81" w:rsidP="00931B81">
      <w:pPr>
        <w:rPr>
          <w:rFonts w:ascii="Verdana" w:hAnsi="Verdana" w:cs="Times-Roman"/>
          <w:b/>
          <w:color w:val="0D63B5"/>
          <w:sz w:val="20"/>
          <w:szCs w:val="20"/>
        </w:rPr>
      </w:pPr>
    </w:p>
    <w:p w14:paraId="290AF361" w14:textId="77777777" w:rsidR="00C2656E" w:rsidRPr="00FD016C" w:rsidRDefault="00C2656E" w:rsidP="00C2656E">
      <w:pPr>
        <w:rPr>
          <w:rFonts w:ascii="Verdana" w:hAnsi="Verdana" w:cs="Arial"/>
          <w:sz w:val="20"/>
          <w:szCs w:val="20"/>
        </w:rPr>
      </w:pPr>
      <w:r w:rsidRPr="00FD016C">
        <w:rPr>
          <w:rFonts w:ascii="Verdana" w:hAnsi="Verdana" w:cs="Arial"/>
          <w:sz w:val="20"/>
          <w:szCs w:val="20"/>
        </w:rPr>
        <w:t xml:space="preserve">A Companhia mantém uma política de seguros considerada pela administração como suficiente para cobrir eventuais perdas, considerando os principais ativos, bem como a responsabilidade civil inerente a suas atividades. </w:t>
      </w:r>
    </w:p>
    <w:p w14:paraId="2427A5E2" w14:textId="77777777" w:rsidR="00C2656E" w:rsidRPr="00FD016C" w:rsidRDefault="00C2656E" w:rsidP="00C2656E">
      <w:pPr>
        <w:rPr>
          <w:rFonts w:ascii="Verdana" w:hAnsi="Verdana" w:cs="Arial"/>
          <w:sz w:val="20"/>
          <w:szCs w:val="20"/>
        </w:rPr>
      </w:pPr>
    </w:p>
    <w:p w14:paraId="20139A2F" w14:textId="77777777" w:rsidR="00C2656E" w:rsidRPr="00FD016C" w:rsidRDefault="00C2656E" w:rsidP="00C2656E">
      <w:pPr>
        <w:rPr>
          <w:rFonts w:ascii="Verdana" w:hAnsi="Verdana" w:cs="Arial"/>
          <w:sz w:val="20"/>
          <w:szCs w:val="20"/>
        </w:rPr>
      </w:pPr>
      <w:r w:rsidRPr="00FD016C">
        <w:rPr>
          <w:rFonts w:ascii="Verdana" w:hAnsi="Verdana" w:cs="Arial"/>
          <w:sz w:val="20"/>
          <w:szCs w:val="20"/>
        </w:rPr>
        <w:t>Os valores segurados referem-se ao total das apólices vigentes para reembolso em caso de sinistro, representados pela quantidade de moeda de origem convertida para reais, pela respectiva cotação na data das demonstrações financeiras.</w:t>
      </w:r>
    </w:p>
    <w:p w14:paraId="2B0EB0B4" w14:textId="77777777" w:rsidR="00C2656E" w:rsidRPr="00FD016C" w:rsidRDefault="00C2656E" w:rsidP="00C2656E">
      <w:pPr>
        <w:rPr>
          <w:rFonts w:ascii="Verdana" w:hAnsi="Verdana" w:cs="Arial"/>
          <w:sz w:val="20"/>
          <w:szCs w:val="20"/>
        </w:rPr>
      </w:pPr>
    </w:p>
    <w:p w14:paraId="6D9DA2A2" w14:textId="77777777" w:rsidR="00C2656E" w:rsidRPr="00FD016C" w:rsidRDefault="00C2656E" w:rsidP="00C2656E">
      <w:pPr>
        <w:rPr>
          <w:rFonts w:ascii="Verdana" w:hAnsi="Verdana" w:cs="Arial"/>
          <w:sz w:val="20"/>
          <w:szCs w:val="20"/>
        </w:rPr>
      </w:pPr>
      <w:r w:rsidRPr="00FD016C">
        <w:rPr>
          <w:rFonts w:ascii="Verdana" w:hAnsi="Verdana" w:cs="Arial"/>
          <w:sz w:val="20"/>
          <w:szCs w:val="20"/>
        </w:rPr>
        <w:t>Como prêmio, estão apresentados os valores pagos e a pagar das apólices, na moeda de origem, atualizados para equivalente em reais pela respectiva cotação na data das demonstrações financeiras.</w:t>
      </w:r>
    </w:p>
    <w:p w14:paraId="5375185D" w14:textId="77777777" w:rsidR="00C2656E" w:rsidRPr="00FD016C" w:rsidRDefault="00C2656E" w:rsidP="00C2656E">
      <w:pPr>
        <w:rPr>
          <w:rFonts w:ascii="Verdana" w:hAnsi="Verdana" w:cs="Arial"/>
          <w:sz w:val="20"/>
          <w:szCs w:val="20"/>
        </w:rPr>
      </w:pPr>
    </w:p>
    <w:p w14:paraId="4E3476D5" w14:textId="77777777" w:rsidR="00C2656E" w:rsidRDefault="00C2656E" w:rsidP="00C2656E">
      <w:pPr>
        <w:rPr>
          <w:rFonts w:ascii="Verdana" w:hAnsi="Verdana" w:cs="Arial"/>
          <w:sz w:val="20"/>
          <w:szCs w:val="20"/>
        </w:rPr>
      </w:pPr>
      <w:r w:rsidRPr="00FD016C">
        <w:rPr>
          <w:rFonts w:ascii="Verdana" w:hAnsi="Verdana" w:cs="Arial"/>
          <w:sz w:val="20"/>
          <w:szCs w:val="20"/>
        </w:rPr>
        <w:t xml:space="preserve">O montante global segurado, em </w:t>
      </w:r>
      <w:r>
        <w:rPr>
          <w:rFonts w:ascii="Verdana" w:hAnsi="Verdana" w:cs="Arial"/>
          <w:sz w:val="20"/>
          <w:szCs w:val="20"/>
        </w:rPr>
        <w:t>31 de dezembro</w:t>
      </w:r>
      <w:r w:rsidRPr="00FD016C">
        <w:rPr>
          <w:rFonts w:ascii="Verdana" w:hAnsi="Verdana" w:cs="Arial"/>
          <w:sz w:val="20"/>
          <w:szCs w:val="20"/>
        </w:rPr>
        <w:t xml:space="preserve"> de 2021, é de R$ 34.</w:t>
      </w:r>
      <w:r>
        <w:rPr>
          <w:rFonts w:ascii="Verdana" w:hAnsi="Verdana" w:cs="Arial"/>
          <w:sz w:val="20"/>
          <w:szCs w:val="20"/>
        </w:rPr>
        <w:t>913.344</w:t>
      </w:r>
      <w:r w:rsidRPr="00FD016C">
        <w:rPr>
          <w:rFonts w:ascii="Verdana" w:hAnsi="Verdana" w:cs="Arial"/>
          <w:sz w:val="20"/>
          <w:szCs w:val="20"/>
        </w:rPr>
        <w:t xml:space="preserve"> e está assim distribuído:</w:t>
      </w:r>
    </w:p>
    <w:p w14:paraId="452A56F5" w14:textId="69D30F26" w:rsidR="00931B81" w:rsidRPr="00FD016C" w:rsidRDefault="00931B81" w:rsidP="00931B81">
      <w:pPr>
        <w:rPr>
          <w:rFonts w:ascii="Verdana" w:hAnsi="Verdana" w:cs="Arial"/>
          <w:sz w:val="20"/>
          <w:szCs w:val="20"/>
        </w:rPr>
      </w:pPr>
    </w:p>
    <w:p w14:paraId="0456DE95" w14:textId="77777777" w:rsidR="00931B81" w:rsidRDefault="00931B81" w:rsidP="00931B81">
      <w:pPr>
        <w:rPr>
          <w:rFonts w:ascii="Verdana" w:hAnsi="Verdana" w:cs="Times-Roman"/>
          <w:b/>
          <w:color w:val="0D63B5"/>
          <w:sz w:val="20"/>
          <w:szCs w:val="20"/>
        </w:rPr>
      </w:pPr>
    </w:p>
    <w:p w14:paraId="13A5AAFC" w14:textId="77777777" w:rsidR="007652CF" w:rsidRDefault="007D43A0" w:rsidP="007D43A0">
      <w:pPr>
        <w:widowControl w:val="0"/>
        <w:autoSpaceDE w:val="0"/>
        <w:autoSpaceDN w:val="0"/>
        <w:jc w:val="center"/>
        <w:rPr>
          <w:rFonts w:ascii="Verdana" w:hAnsi="Verdana"/>
          <w:b/>
          <w:color w:val="0D63B5"/>
          <w:sz w:val="20"/>
          <w:szCs w:val="20"/>
        </w:rPr>
      </w:pPr>
      <w:r w:rsidRPr="007D43A0">
        <w:rPr>
          <w:noProof/>
        </w:rPr>
        <w:drawing>
          <wp:inline distT="0" distB="0" distL="0" distR="0" wp14:anchorId="5F1020A1" wp14:editId="15BA583D">
            <wp:extent cx="5688330" cy="1734677"/>
            <wp:effectExtent l="0" t="0" r="0" b="0"/>
            <wp:docPr id="467" name="Imagem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728308" cy="1746868"/>
                    </a:xfrm>
                    <a:prstGeom prst="rect">
                      <a:avLst/>
                    </a:prstGeom>
                    <a:noFill/>
                    <a:ln>
                      <a:noFill/>
                    </a:ln>
                  </pic:spPr>
                </pic:pic>
              </a:graphicData>
            </a:graphic>
          </wp:inline>
        </w:drawing>
      </w:r>
    </w:p>
    <w:p w14:paraId="559D4981" w14:textId="77777777" w:rsidR="00AF07E6" w:rsidRDefault="00AF07E6">
      <w:pPr>
        <w:widowControl w:val="0"/>
        <w:autoSpaceDE w:val="0"/>
        <w:autoSpaceDN w:val="0"/>
        <w:jc w:val="left"/>
        <w:rPr>
          <w:rFonts w:ascii="Verdana" w:hAnsi="Verdana"/>
          <w:b/>
          <w:color w:val="0D63B5"/>
          <w:sz w:val="20"/>
          <w:szCs w:val="20"/>
        </w:rPr>
      </w:pPr>
    </w:p>
    <w:p w14:paraId="0E19D067" w14:textId="77777777" w:rsidR="007D43A0" w:rsidRDefault="007D43A0">
      <w:pPr>
        <w:widowControl w:val="0"/>
        <w:autoSpaceDE w:val="0"/>
        <w:autoSpaceDN w:val="0"/>
        <w:jc w:val="left"/>
        <w:rPr>
          <w:rFonts w:ascii="Verdana" w:hAnsi="Verdana"/>
          <w:b/>
          <w:color w:val="0D63B5"/>
          <w:sz w:val="20"/>
          <w:szCs w:val="20"/>
        </w:rPr>
      </w:pPr>
    </w:p>
    <w:p w14:paraId="0F5CC089" w14:textId="77777777" w:rsidR="007D43A0" w:rsidRDefault="007D43A0">
      <w:pPr>
        <w:widowControl w:val="0"/>
        <w:autoSpaceDE w:val="0"/>
        <w:autoSpaceDN w:val="0"/>
        <w:jc w:val="left"/>
        <w:rPr>
          <w:rFonts w:ascii="Verdana" w:hAnsi="Verdana"/>
          <w:b/>
          <w:color w:val="0D63B5"/>
          <w:sz w:val="20"/>
          <w:szCs w:val="20"/>
        </w:rPr>
      </w:pPr>
    </w:p>
    <w:p w14:paraId="7452F553" w14:textId="77777777" w:rsidR="00560A58" w:rsidRDefault="00560A58" w:rsidP="00560A58">
      <w:pPr>
        <w:tabs>
          <w:tab w:val="left" w:pos="567"/>
          <w:tab w:val="left" w:pos="1134"/>
          <w:tab w:val="left" w:pos="1701"/>
          <w:tab w:val="left" w:pos="2268"/>
          <w:tab w:val="left" w:pos="2835"/>
        </w:tabs>
        <w:outlineLvl w:val="0"/>
        <w:rPr>
          <w:rFonts w:ascii="Verdana" w:hAnsi="Verdana" w:cs="Times-Roman"/>
          <w:b/>
          <w:color w:val="0D63B5"/>
          <w:sz w:val="20"/>
          <w:szCs w:val="20"/>
        </w:rPr>
      </w:pPr>
      <w:r w:rsidRPr="007D43A0">
        <w:rPr>
          <w:rFonts w:ascii="Verdana" w:hAnsi="Verdana"/>
          <w:b/>
          <w:color w:val="0D63B5"/>
          <w:sz w:val="20"/>
          <w:szCs w:val="20"/>
        </w:rPr>
        <w:t xml:space="preserve">NOTA </w:t>
      </w:r>
      <w:r w:rsidR="00B7719C">
        <w:rPr>
          <w:rFonts w:ascii="Verdana" w:hAnsi="Verdana"/>
          <w:b/>
          <w:color w:val="0D63B5"/>
          <w:sz w:val="20"/>
          <w:szCs w:val="20"/>
        </w:rPr>
        <w:t>39</w:t>
      </w:r>
      <w:r w:rsidRPr="007D43A0">
        <w:rPr>
          <w:rFonts w:ascii="Verdana" w:hAnsi="Verdana"/>
          <w:b/>
          <w:color w:val="0D63B5"/>
          <w:sz w:val="20"/>
          <w:szCs w:val="20"/>
        </w:rPr>
        <w:t xml:space="preserve"> – </w:t>
      </w:r>
      <w:r w:rsidR="00C11901" w:rsidRPr="007D43A0">
        <w:rPr>
          <w:rFonts w:ascii="Verdana" w:hAnsi="Verdana" w:cs="Times-Roman"/>
          <w:b/>
          <w:color w:val="0D63B5"/>
          <w:sz w:val="20"/>
          <w:szCs w:val="20"/>
        </w:rPr>
        <w:t>COMPROMISSOS OPERACIONAIS DE LONGO PRAZO</w:t>
      </w:r>
      <w:r w:rsidR="007E0667" w:rsidRPr="007D43A0">
        <w:rPr>
          <w:rFonts w:ascii="Verdana" w:hAnsi="Verdana" w:cs="Times-Roman"/>
          <w:b/>
          <w:color w:val="0D63B5"/>
          <w:sz w:val="20"/>
          <w:szCs w:val="20"/>
        </w:rPr>
        <w:t xml:space="preserve"> </w:t>
      </w:r>
    </w:p>
    <w:p w14:paraId="2D9A5BC7" w14:textId="77777777" w:rsidR="007D43A0" w:rsidRDefault="007D43A0" w:rsidP="00560A58">
      <w:pPr>
        <w:tabs>
          <w:tab w:val="left" w:pos="567"/>
          <w:tab w:val="left" w:pos="1134"/>
          <w:tab w:val="left" w:pos="1701"/>
          <w:tab w:val="left" w:pos="2268"/>
          <w:tab w:val="left" w:pos="2835"/>
        </w:tabs>
        <w:outlineLvl w:val="0"/>
        <w:rPr>
          <w:rFonts w:ascii="Verdana" w:hAnsi="Verdana" w:cs="Times-Roman"/>
          <w:b/>
          <w:color w:val="0D63B5"/>
          <w:sz w:val="20"/>
          <w:szCs w:val="20"/>
        </w:rPr>
      </w:pPr>
    </w:p>
    <w:p w14:paraId="15BFA70E" w14:textId="77777777" w:rsidR="007D43A0" w:rsidRDefault="007D43A0" w:rsidP="00560A58">
      <w:pPr>
        <w:tabs>
          <w:tab w:val="left" w:pos="567"/>
          <w:tab w:val="left" w:pos="1134"/>
          <w:tab w:val="left" w:pos="1701"/>
          <w:tab w:val="left" w:pos="2268"/>
          <w:tab w:val="left" w:pos="2835"/>
        </w:tabs>
        <w:outlineLvl w:val="0"/>
        <w:rPr>
          <w:rFonts w:ascii="Verdana" w:hAnsi="Verdana" w:cs="Times-Roman"/>
          <w:b/>
          <w:color w:val="0D63B5"/>
          <w:sz w:val="20"/>
          <w:szCs w:val="20"/>
        </w:rPr>
      </w:pPr>
    </w:p>
    <w:p w14:paraId="3F50C3DB" w14:textId="77777777" w:rsidR="00C2656E" w:rsidRPr="00FD016C" w:rsidRDefault="00C2656E" w:rsidP="00C2656E">
      <w:pPr>
        <w:rPr>
          <w:rFonts w:ascii="Verdana" w:hAnsi="Verdana" w:cs="Arial"/>
          <w:sz w:val="20"/>
          <w:szCs w:val="20"/>
        </w:rPr>
      </w:pPr>
      <w:r w:rsidRPr="00FD016C">
        <w:rPr>
          <w:rFonts w:ascii="Verdana" w:hAnsi="Verdana" w:cs="Arial"/>
          <w:sz w:val="20"/>
          <w:szCs w:val="20"/>
        </w:rPr>
        <w:t>Além das obrigações registradas no presente balanço, a Companhia possui outros compromissos contratados até a data do balanço, mas ainda não incorridos e cujas realizações ocorrerão nos próximos exercícios, portanto sem registros patrimoniais em 3</w:t>
      </w:r>
      <w:r>
        <w:rPr>
          <w:rFonts w:ascii="Verdana" w:hAnsi="Verdana" w:cs="Arial"/>
          <w:sz w:val="20"/>
          <w:szCs w:val="20"/>
        </w:rPr>
        <w:t>1</w:t>
      </w:r>
      <w:r w:rsidRPr="00FD016C">
        <w:rPr>
          <w:rFonts w:ascii="Verdana" w:hAnsi="Verdana" w:cs="Arial"/>
          <w:sz w:val="20"/>
          <w:szCs w:val="20"/>
        </w:rPr>
        <w:t xml:space="preserve"> de </w:t>
      </w:r>
      <w:r>
        <w:rPr>
          <w:rFonts w:ascii="Verdana" w:hAnsi="Verdana" w:cs="Arial"/>
          <w:sz w:val="20"/>
          <w:szCs w:val="20"/>
        </w:rPr>
        <w:t>dezembro</w:t>
      </w:r>
      <w:r w:rsidRPr="00FD016C">
        <w:rPr>
          <w:rFonts w:ascii="Verdana" w:hAnsi="Verdana" w:cs="Arial"/>
          <w:sz w:val="20"/>
          <w:szCs w:val="20"/>
        </w:rPr>
        <w:t xml:space="preserve"> de 2021. Trata-se de contratos e termos de compromissos referentes: à venda de energia elétrica, à aquisição de matéria-prima - combustível nuclear - para produção de energia elétrica, aos compromissos socioambientais vinculados ao empreendimento Angra 3 e à aquisição de bens e serviços para substituições em seu ativo imobilizado, a saber: </w:t>
      </w:r>
    </w:p>
    <w:p w14:paraId="18766B8C" w14:textId="77777777" w:rsidR="00C2656E" w:rsidRPr="00FD016C" w:rsidRDefault="00C2656E" w:rsidP="00C2656E">
      <w:pPr>
        <w:rPr>
          <w:rFonts w:ascii="Verdana" w:hAnsi="Verdana" w:cs="Arial"/>
          <w:b/>
          <w:sz w:val="20"/>
          <w:szCs w:val="20"/>
        </w:rPr>
      </w:pPr>
    </w:p>
    <w:p w14:paraId="12089C2D" w14:textId="77777777" w:rsidR="00C2656E" w:rsidRPr="00FD016C" w:rsidRDefault="00C2656E" w:rsidP="00C2656E">
      <w:pPr>
        <w:rPr>
          <w:rFonts w:ascii="Verdana" w:hAnsi="Verdana" w:cs="Arial"/>
          <w:b/>
          <w:sz w:val="20"/>
          <w:szCs w:val="20"/>
        </w:rPr>
      </w:pPr>
    </w:p>
    <w:p w14:paraId="6F5C144E" w14:textId="77777777" w:rsidR="00C2656E" w:rsidRPr="007D43A0" w:rsidRDefault="00C2656E" w:rsidP="00C2656E">
      <w:pPr>
        <w:rPr>
          <w:rFonts w:ascii="Verdana" w:hAnsi="Verdana" w:cs="Arial"/>
          <w:bCs/>
          <w:color w:val="0070C0"/>
          <w:sz w:val="20"/>
          <w:szCs w:val="20"/>
        </w:rPr>
      </w:pPr>
      <w:r>
        <w:rPr>
          <w:rFonts w:ascii="Verdana" w:hAnsi="Verdana" w:cs="Arial"/>
          <w:bCs/>
          <w:color w:val="0070C0"/>
          <w:sz w:val="20"/>
          <w:szCs w:val="20"/>
        </w:rPr>
        <w:t>39.1</w:t>
      </w:r>
      <w:r w:rsidRPr="007D43A0">
        <w:rPr>
          <w:rFonts w:ascii="Verdana" w:hAnsi="Verdana" w:cs="Arial"/>
          <w:bCs/>
          <w:color w:val="0070C0"/>
          <w:sz w:val="20"/>
          <w:szCs w:val="20"/>
        </w:rPr>
        <w:t xml:space="preserve"> – Venda de energia elétrica</w:t>
      </w:r>
    </w:p>
    <w:p w14:paraId="3A83E9C0" w14:textId="77777777" w:rsidR="00C2656E" w:rsidRPr="00FD016C" w:rsidRDefault="00C2656E" w:rsidP="00C2656E">
      <w:pPr>
        <w:rPr>
          <w:rFonts w:ascii="Arial" w:hAnsi="Arial" w:cs="Arial"/>
          <w:b/>
        </w:rPr>
      </w:pPr>
    </w:p>
    <w:p w14:paraId="71AB3680" w14:textId="77777777" w:rsidR="00C2656E" w:rsidRPr="00FD016C" w:rsidRDefault="00C2656E" w:rsidP="00C2656E">
      <w:pPr>
        <w:rPr>
          <w:rFonts w:ascii="Verdana" w:hAnsi="Verdana" w:cs="Arial"/>
          <w:sz w:val="20"/>
          <w:szCs w:val="20"/>
        </w:rPr>
      </w:pPr>
      <w:r w:rsidRPr="00FD016C">
        <w:rPr>
          <w:rFonts w:ascii="Verdana" w:hAnsi="Verdana" w:cs="Arial"/>
          <w:sz w:val="20"/>
          <w:szCs w:val="20"/>
        </w:rPr>
        <w:t>Com a regulamentação da Aneel para o dispositivo do art.11, da Lei 12.111/2009 e mediante a edição da Resolução Normativa nº 530, em 21 de dezembro de 2012, toda a receita decorrente da geração das Usinas Angra 1 e 2 será rateada entre todas as concessionárias, permissionárias ou autorizadas de serviço público de distribuição do Sistema Interligado Nacional – SIN, de acordo com as cotas-partes estabelecidas pela Aneel para o período de 202</w:t>
      </w:r>
      <w:r>
        <w:rPr>
          <w:rFonts w:ascii="Verdana" w:hAnsi="Verdana" w:cs="Arial"/>
          <w:sz w:val="20"/>
          <w:szCs w:val="20"/>
        </w:rPr>
        <w:t>2</w:t>
      </w:r>
      <w:r w:rsidRPr="00FD016C">
        <w:rPr>
          <w:rFonts w:ascii="Verdana" w:hAnsi="Verdana" w:cs="Arial"/>
          <w:sz w:val="20"/>
          <w:szCs w:val="20"/>
        </w:rPr>
        <w:t xml:space="preserve"> a 202</w:t>
      </w:r>
      <w:r>
        <w:rPr>
          <w:rFonts w:ascii="Verdana" w:hAnsi="Verdana" w:cs="Arial"/>
          <w:sz w:val="20"/>
          <w:szCs w:val="20"/>
        </w:rPr>
        <w:t>9</w:t>
      </w:r>
      <w:r w:rsidRPr="00FD016C">
        <w:rPr>
          <w:rFonts w:ascii="Verdana" w:hAnsi="Verdana" w:cs="Arial"/>
          <w:sz w:val="20"/>
          <w:szCs w:val="20"/>
        </w:rPr>
        <w:t xml:space="preserve">. A Resolução Homologatória Aneel nº </w:t>
      </w:r>
      <w:r>
        <w:rPr>
          <w:rFonts w:ascii="Verdana" w:hAnsi="Verdana" w:cs="Arial"/>
          <w:iCs/>
          <w:sz w:val="20"/>
          <w:szCs w:val="20"/>
        </w:rPr>
        <w:t>3.002</w:t>
      </w:r>
      <w:r w:rsidRPr="00FD016C">
        <w:rPr>
          <w:rFonts w:ascii="Verdana" w:hAnsi="Verdana" w:cs="Arial"/>
          <w:sz w:val="20"/>
          <w:szCs w:val="20"/>
        </w:rPr>
        <w:t>/202</w:t>
      </w:r>
      <w:r>
        <w:rPr>
          <w:rFonts w:ascii="Verdana" w:hAnsi="Verdana" w:cs="Arial"/>
          <w:sz w:val="20"/>
          <w:szCs w:val="20"/>
        </w:rPr>
        <w:t>1</w:t>
      </w:r>
      <w:r w:rsidRPr="00FD016C">
        <w:rPr>
          <w:rFonts w:ascii="Verdana" w:hAnsi="Verdana" w:cs="Arial"/>
          <w:sz w:val="20"/>
          <w:szCs w:val="20"/>
        </w:rPr>
        <w:t xml:space="preserve"> estabeleceu a receita fixa de R$ </w:t>
      </w:r>
      <w:r>
        <w:rPr>
          <w:rFonts w:ascii="Verdana" w:hAnsi="Verdana" w:cs="Arial"/>
          <w:iCs/>
          <w:sz w:val="20"/>
          <w:szCs w:val="20"/>
        </w:rPr>
        <w:t>4</w:t>
      </w:r>
      <w:r w:rsidRPr="00591454">
        <w:rPr>
          <w:rFonts w:ascii="Verdana" w:hAnsi="Verdana" w:cs="Arial"/>
          <w:iCs/>
          <w:sz w:val="20"/>
          <w:szCs w:val="20"/>
        </w:rPr>
        <w:t>.</w:t>
      </w:r>
      <w:r>
        <w:rPr>
          <w:rFonts w:ascii="Verdana" w:hAnsi="Verdana" w:cs="Arial"/>
          <w:iCs/>
          <w:sz w:val="20"/>
          <w:szCs w:val="20"/>
        </w:rPr>
        <w:t>672</w:t>
      </w:r>
      <w:r w:rsidRPr="00591454">
        <w:rPr>
          <w:rFonts w:ascii="Verdana" w:hAnsi="Verdana" w:cs="Arial"/>
          <w:iCs/>
          <w:sz w:val="20"/>
          <w:szCs w:val="20"/>
        </w:rPr>
        <w:t>.</w:t>
      </w:r>
      <w:r>
        <w:rPr>
          <w:rFonts w:ascii="Verdana" w:hAnsi="Verdana" w:cs="Arial"/>
          <w:iCs/>
          <w:sz w:val="20"/>
          <w:szCs w:val="20"/>
        </w:rPr>
        <w:t xml:space="preserve">327 </w:t>
      </w:r>
      <w:r w:rsidRPr="00FD016C">
        <w:rPr>
          <w:rFonts w:ascii="Verdana" w:hAnsi="Verdana" w:cs="Arial"/>
          <w:sz w:val="20"/>
          <w:szCs w:val="20"/>
        </w:rPr>
        <w:t>para o ano de 202</w:t>
      </w:r>
      <w:r>
        <w:rPr>
          <w:rFonts w:ascii="Verdana" w:hAnsi="Verdana" w:cs="Arial"/>
          <w:sz w:val="20"/>
          <w:szCs w:val="20"/>
        </w:rPr>
        <w:t>2</w:t>
      </w:r>
      <w:r w:rsidRPr="00FD016C">
        <w:rPr>
          <w:rFonts w:ascii="Verdana" w:hAnsi="Verdana" w:cs="Arial"/>
          <w:sz w:val="20"/>
          <w:szCs w:val="20"/>
        </w:rPr>
        <w:t xml:space="preserve">, relativa às Centrais de Geração Angra 1 e 2. </w:t>
      </w:r>
    </w:p>
    <w:p w14:paraId="5056BED7" w14:textId="77777777" w:rsidR="00C2656E" w:rsidRDefault="00C2656E" w:rsidP="00C2656E">
      <w:pPr>
        <w:rPr>
          <w:rFonts w:ascii="Verdana" w:hAnsi="Verdana" w:cs="Arial"/>
          <w:sz w:val="20"/>
          <w:szCs w:val="20"/>
        </w:rPr>
      </w:pPr>
    </w:p>
    <w:p w14:paraId="2AE41F24" w14:textId="77777777" w:rsidR="00C2656E" w:rsidRPr="00FD016C" w:rsidRDefault="00C2656E" w:rsidP="00C2656E">
      <w:pPr>
        <w:pStyle w:val="Default"/>
        <w:spacing w:line="264" w:lineRule="auto"/>
        <w:jc w:val="both"/>
        <w:rPr>
          <w:rFonts w:cs="Arial"/>
          <w:color w:val="auto"/>
          <w:sz w:val="20"/>
          <w:szCs w:val="20"/>
        </w:rPr>
      </w:pPr>
      <w:r w:rsidRPr="00FD016C">
        <w:rPr>
          <w:rFonts w:cs="Arial"/>
          <w:color w:val="auto"/>
          <w:sz w:val="20"/>
          <w:szCs w:val="20"/>
        </w:rPr>
        <w:t>Conforme está previsto nos procedimentos estabelecidos pela Aneel, as atualizações da receita fixa das Usinas Angra 1 e 2 ocorrerão nas seguintes condições:</w:t>
      </w:r>
    </w:p>
    <w:p w14:paraId="0C8B642D" w14:textId="77777777" w:rsidR="00C2656E" w:rsidRPr="00FD016C" w:rsidRDefault="00C2656E" w:rsidP="00C2656E">
      <w:pPr>
        <w:pStyle w:val="Default"/>
        <w:spacing w:line="264" w:lineRule="auto"/>
        <w:jc w:val="both"/>
        <w:rPr>
          <w:rFonts w:cs="Arial"/>
          <w:color w:val="auto"/>
          <w:sz w:val="20"/>
          <w:szCs w:val="20"/>
        </w:rPr>
      </w:pPr>
    </w:p>
    <w:p w14:paraId="5A8EB962" w14:textId="77777777" w:rsidR="00C2656E" w:rsidRDefault="00C2656E" w:rsidP="00C2656E">
      <w:pPr>
        <w:pStyle w:val="Default"/>
        <w:numPr>
          <w:ilvl w:val="0"/>
          <w:numId w:val="33"/>
        </w:numPr>
        <w:adjustRightInd/>
        <w:spacing w:line="264" w:lineRule="auto"/>
        <w:ind w:left="1418" w:hanging="425"/>
        <w:jc w:val="both"/>
        <w:rPr>
          <w:rFonts w:cs="Arial"/>
          <w:color w:val="auto"/>
          <w:sz w:val="20"/>
          <w:szCs w:val="20"/>
        </w:rPr>
      </w:pPr>
      <w:r w:rsidRPr="00FD016C">
        <w:rPr>
          <w:rFonts w:cs="Arial"/>
          <w:color w:val="auto"/>
          <w:sz w:val="20"/>
          <w:szCs w:val="20"/>
        </w:rPr>
        <w:lastRenderedPageBreak/>
        <w:t>Reajustes tarifários anuais, representados pela atualização inflacionária dos valores do período;</w:t>
      </w:r>
    </w:p>
    <w:p w14:paraId="306AD6CB" w14:textId="77777777" w:rsidR="00C2656E" w:rsidRPr="00FD016C" w:rsidRDefault="00C2656E" w:rsidP="00C2656E">
      <w:pPr>
        <w:pStyle w:val="Default"/>
        <w:adjustRightInd/>
        <w:spacing w:line="264" w:lineRule="auto"/>
        <w:ind w:left="1418"/>
        <w:jc w:val="both"/>
        <w:rPr>
          <w:rFonts w:cs="Arial"/>
          <w:color w:val="auto"/>
          <w:sz w:val="20"/>
          <w:szCs w:val="20"/>
        </w:rPr>
      </w:pPr>
    </w:p>
    <w:p w14:paraId="0DBEFCB2" w14:textId="77777777" w:rsidR="00C2656E" w:rsidRPr="00FD016C" w:rsidRDefault="00C2656E" w:rsidP="00C2656E">
      <w:pPr>
        <w:pStyle w:val="Default"/>
        <w:numPr>
          <w:ilvl w:val="0"/>
          <w:numId w:val="33"/>
        </w:numPr>
        <w:adjustRightInd/>
        <w:spacing w:line="264" w:lineRule="auto"/>
        <w:ind w:left="1418" w:hanging="425"/>
        <w:jc w:val="both"/>
        <w:rPr>
          <w:rFonts w:cs="Arial"/>
          <w:color w:val="auto"/>
          <w:sz w:val="20"/>
          <w:szCs w:val="20"/>
        </w:rPr>
      </w:pPr>
      <w:r w:rsidRPr="00FD016C">
        <w:rPr>
          <w:rFonts w:cs="Arial"/>
          <w:color w:val="auto"/>
          <w:sz w:val="20"/>
          <w:szCs w:val="20"/>
        </w:rPr>
        <w:t>Revisões tarifárias a cada intervalo de três anos;</w:t>
      </w:r>
    </w:p>
    <w:p w14:paraId="72F0EF0F" w14:textId="77777777" w:rsidR="00C2656E" w:rsidRPr="00FD016C" w:rsidRDefault="00C2656E" w:rsidP="00C2656E">
      <w:pPr>
        <w:pStyle w:val="Default"/>
        <w:adjustRightInd/>
        <w:spacing w:line="264" w:lineRule="auto"/>
        <w:jc w:val="both"/>
        <w:rPr>
          <w:rFonts w:cs="Arial"/>
          <w:color w:val="auto"/>
          <w:sz w:val="20"/>
          <w:szCs w:val="20"/>
        </w:rPr>
      </w:pPr>
    </w:p>
    <w:p w14:paraId="20100DB5" w14:textId="77777777" w:rsidR="00C2656E" w:rsidRPr="00FD016C" w:rsidRDefault="00C2656E" w:rsidP="00C2656E">
      <w:pPr>
        <w:pStyle w:val="PargrafodaLista"/>
        <w:numPr>
          <w:ilvl w:val="0"/>
          <w:numId w:val="33"/>
        </w:numPr>
        <w:autoSpaceDE w:val="0"/>
        <w:autoSpaceDN w:val="0"/>
        <w:spacing w:line="264" w:lineRule="auto"/>
        <w:ind w:left="1418" w:hanging="425"/>
        <w:contextualSpacing/>
        <w:rPr>
          <w:rFonts w:ascii="Verdana" w:hAnsi="Verdana" w:cs="Arial"/>
          <w:sz w:val="20"/>
          <w:szCs w:val="20"/>
        </w:rPr>
      </w:pPr>
      <w:r w:rsidRPr="00FD016C">
        <w:rPr>
          <w:rFonts w:ascii="Verdana" w:hAnsi="Verdana" w:cs="Arial"/>
          <w:sz w:val="20"/>
          <w:szCs w:val="20"/>
        </w:rPr>
        <w:t xml:space="preserve">Revisões extraordinárias poderão ser realizadas por solicitação da </w:t>
      </w:r>
      <w:r>
        <w:rPr>
          <w:rFonts w:ascii="Verdana" w:hAnsi="Verdana" w:cs="Arial"/>
          <w:sz w:val="20"/>
          <w:szCs w:val="20"/>
        </w:rPr>
        <w:t>ELETRONUCLEAR</w:t>
      </w:r>
      <w:r w:rsidRPr="00FD016C">
        <w:rPr>
          <w:rFonts w:ascii="Verdana" w:hAnsi="Verdana" w:cs="Arial"/>
          <w:sz w:val="20"/>
          <w:szCs w:val="20"/>
        </w:rPr>
        <w:t xml:space="preserve"> ou por iniciativa da Aneel, para cobertura de custos excepcionais, visando restabelecer o equilíbrio econômico-financeiro dos empreendimentos. </w:t>
      </w:r>
    </w:p>
    <w:p w14:paraId="70711EF1" w14:textId="66DD1EC6" w:rsidR="007D43A0" w:rsidRPr="00FD016C" w:rsidRDefault="007D43A0" w:rsidP="00C2656E">
      <w:pPr>
        <w:pStyle w:val="PargrafodaLista"/>
        <w:autoSpaceDE w:val="0"/>
        <w:autoSpaceDN w:val="0"/>
        <w:spacing w:line="264" w:lineRule="auto"/>
        <w:ind w:left="1418"/>
        <w:contextualSpacing/>
        <w:rPr>
          <w:rFonts w:ascii="Verdana" w:hAnsi="Verdana" w:cs="Arial"/>
          <w:sz w:val="20"/>
          <w:szCs w:val="20"/>
        </w:rPr>
      </w:pPr>
      <w:r w:rsidRPr="00FD016C">
        <w:rPr>
          <w:rFonts w:ascii="Verdana" w:hAnsi="Verdana" w:cs="Arial"/>
          <w:sz w:val="20"/>
          <w:szCs w:val="20"/>
        </w:rPr>
        <w:t xml:space="preserve"> </w:t>
      </w:r>
    </w:p>
    <w:p w14:paraId="3EBD01A8" w14:textId="77777777" w:rsidR="007D43A0" w:rsidRDefault="007D43A0" w:rsidP="00560A58">
      <w:pPr>
        <w:tabs>
          <w:tab w:val="left" w:pos="567"/>
          <w:tab w:val="left" w:pos="1134"/>
          <w:tab w:val="left" w:pos="1701"/>
          <w:tab w:val="left" w:pos="2268"/>
          <w:tab w:val="left" w:pos="2835"/>
        </w:tabs>
        <w:outlineLvl w:val="0"/>
        <w:rPr>
          <w:rFonts w:ascii="Verdana" w:hAnsi="Verdana" w:cs="Times-Roman"/>
          <w:b/>
          <w:color w:val="0D63B5"/>
          <w:sz w:val="20"/>
          <w:szCs w:val="20"/>
        </w:rPr>
      </w:pPr>
    </w:p>
    <w:p w14:paraId="73F5587A" w14:textId="77777777" w:rsidR="007D43A0" w:rsidRDefault="00755A03" w:rsidP="005E4A4C">
      <w:pPr>
        <w:tabs>
          <w:tab w:val="left" w:pos="567"/>
          <w:tab w:val="left" w:pos="1134"/>
          <w:tab w:val="left" w:pos="1701"/>
          <w:tab w:val="left" w:pos="2268"/>
          <w:tab w:val="left" w:pos="2835"/>
        </w:tabs>
        <w:jc w:val="center"/>
        <w:outlineLvl w:val="0"/>
        <w:rPr>
          <w:rFonts w:ascii="Verdana" w:hAnsi="Verdana"/>
          <w:b/>
          <w:sz w:val="20"/>
          <w:szCs w:val="20"/>
        </w:rPr>
      </w:pPr>
      <w:r w:rsidRPr="00755A03">
        <w:rPr>
          <w:noProof/>
        </w:rPr>
        <w:drawing>
          <wp:inline distT="0" distB="0" distL="0" distR="0" wp14:anchorId="68B5B33B" wp14:editId="7234166D">
            <wp:extent cx="6652895" cy="6872595"/>
            <wp:effectExtent l="0" t="0" r="0" b="5080"/>
            <wp:docPr id="510" name="Imagem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6652895" cy="6872595"/>
                    </a:xfrm>
                    <a:prstGeom prst="rect">
                      <a:avLst/>
                    </a:prstGeom>
                    <a:noFill/>
                    <a:ln>
                      <a:noFill/>
                    </a:ln>
                  </pic:spPr>
                </pic:pic>
              </a:graphicData>
            </a:graphic>
          </wp:inline>
        </w:drawing>
      </w:r>
    </w:p>
    <w:p w14:paraId="26504758" w14:textId="77777777" w:rsidR="00755A03" w:rsidRDefault="00755A03" w:rsidP="00560A58">
      <w:pPr>
        <w:tabs>
          <w:tab w:val="left" w:pos="567"/>
          <w:tab w:val="left" w:pos="1134"/>
          <w:tab w:val="left" w:pos="1701"/>
          <w:tab w:val="left" w:pos="2268"/>
          <w:tab w:val="left" w:pos="2835"/>
        </w:tabs>
        <w:outlineLvl w:val="0"/>
        <w:rPr>
          <w:rFonts w:ascii="Verdana" w:hAnsi="Verdana"/>
          <w:b/>
          <w:sz w:val="20"/>
          <w:szCs w:val="20"/>
        </w:rPr>
      </w:pPr>
    </w:p>
    <w:p w14:paraId="4746849A" w14:textId="77777777" w:rsidR="00500F27" w:rsidRPr="00500F27" w:rsidRDefault="00B7719C" w:rsidP="00500F27">
      <w:pPr>
        <w:tabs>
          <w:tab w:val="left" w:pos="180"/>
          <w:tab w:val="left" w:pos="360"/>
        </w:tabs>
        <w:rPr>
          <w:rFonts w:ascii="Verdana" w:hAnsi="Verdana" w:cs="Arial"/>
          <w:bCs/>
          <w:color w:val="0070C0"/>
          <w:sz w:val="20"/>
          <w:szCs w:val="20"/>
        </w:rPr>
      </w:pPr>
      <w:r>
        <w:rPr>
          <w:rFonts w:ascii="Verdana" w:hAnsi="Verdana" w:cs="Arial"/>
          <w:bCs/>
          <w:color w:val="0070C0"/>
          <w:sz w:val="20"/>
          <w:szCs w:val="20"/>
        </w:rPr>
        <w:lastRenderedPageBreak/>
        <w:t>39</w:t>
      </w:r>
      <w:r w:rsidR="00500F27" w:rsidRPr="00500F27">
        <w:rPr>
          <w:rFonts w:ascii="Verdana" w:hAnsi="Verdana" w:cs="Arial"/>
          <w:bCs/>
          <w:color w:val="0070C0"/>
          <w:sz w:val="20"/>
          <w:szCs w:val="20"/>
        </w:rPr>
        <w:t>.2 – Combustível nuclear</w:t>
      </w:r>
    </w:p>
    <w:p w14:paraId="7759D4D2" w14:textId="77777777" w:rsidR="00500F27" w:rsidRPr="00FD016C" w:rsidRDefault="00500F27" w:rsidP="00500F27">
      <w:pPr>
        <w:tabs>
          <w:tab w:val="left" w:pos="180"/>
          <w:tab w:val="left" w:pos="360"/>
        </w:tabs>
        <w:rPr>
          <w:rFonts w:ascii="Verdana" w:hAnsi="Verdana" w:cs="Arial"/>
          <w:b/>
          <w:sz w:val="20"/>
          <w:szCs w:val="20"/>
        </w:rPr>
      </w:pPr>
    </w:p>
    <w:p w14:paraId="4C466410" w14:textId="6AEC7F5B" w:rsidR="00500F27" w:rsidRPr="00FD016C" w:rsidRDefault="00C2656E" w:rsidP="00500F27">
      <w:pPr>
        <w:tabs>
          <w:tab w:val="center" w:pos="4782"/>
          <w:tab w:val="right" w:pos="9564"/>
        </w:tabs>
        <w:rPr>
          <w:rFonts w:ascii="Verdana" w:hAnsi="Verdana" w:cs="Arial"/>
          <w:sz w:val="20"/>
          <w:szCs w:val="20"/>
        </w:rPr>
      </w:pPr>
      <w:r w:rsidRPr="00FD016C">
        <w:rPr>
          <w:rFonts w:ascii="Verdana" w:hAnsi="Verdana" w:cs="Arial"/>
          <w:sz w:val="20"/>
          <w:szCs w:val="20"/>
        </w:rPr>
        <w:t>Contratos assinados com a Indústrias Nucleares Brasileiras - INB, para aquisição de matéria-prima para produção de energia elétrica e combustível nuclear para as próximas recargas das Usinas Angra 1 e Angra 2, bem como a carga inicial e futuras recargas de Angra 3 conforme quadro demonstrativo a seguir</w:t>
      </w:r>
      <w:r w:rsidR="00500F27" w:rsidRPr="00FD016C">
        <w:rPr>
          <w:rFonts w:ascii="Verdana" w:hAnsi="Verdana" w:cs="Arial"/>
          <w:sz w:val="20"/>
          <w:szCs w:val="20"/>
        </w:rPr>
        <w:t>:</w:t>
      </w:r>
    </w:p>
    <w:p w14:paraId="4379A9AE" w14:textId="77777777" w:rsidR="00500F27" w:rsidRDefault="00500F27" w:rsidP="00500F27">
      <w:pPr>
        <w:tabs>
          <w:tab w:val="center" w:pos="4782"/>
          <w:tab w:val="right" w:pos="9564"/>
        </w:tabs>
        <w:rPr>
          <w:rFonts w:ascii="Verdana" w:hAnsi="Verdana" w:cs="Arial"/>
          <w:sz w:val="20"/>
          <w:szCs w:val="20"/>
        </w:rPr>
      </w:pPr>
    </w:p>
    <w:p w14:paraId="2D6F5952" w14:textId="77777777" w:rsidR="00FF0156" w:rsidRDefault="00FF0156" w:rsidP="00FF0156">
      <w:pPr>
        <w:tabs>
          <w:tab w:val="center" w:pos="4782"/>
          <w:tab w:val="right" w:pos="9564"/>
        </w:tabs>
        <w:jc w:val="center"/>
        <w:rPr>
          <w:rFonts w:ascii="Verdana" w:hAnsi="Verdana" w:cs="Arial"/>
          <w:sz w:val="20"/>
          <w:szCs w:val="20"/>
        </w:rPr>
      </w:pPr>
      <w:r w:rsidRPr="00FF0156">
        <w:rPr>
          <w:noProof/>
        </w:rPr>
        <w:drawing>
          <wp:inline distT="0" distB="0" distL="0" distR="0" wp14:anchorId="4F4A58FA" wp14:editId="2A710241">
            <wp:extent cx="3081655" cy="1753457"/>
            <wp:effectExtent l="0" t="0" r="4445" b="0"/>
            <wp:docPr id="475" name="Imagem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093447" cy="1760167"/>
                    </a:xfrm>
                    <a:prstGeom prst="rect">
                      <a:avLst/>
                    </a:prstGeom>
                    <a:noFill/>
                    <a:ln>
                      <a:noFill/>
                    </a:ln>
                  </pic:spPr>
                </pic:pic>
              </a:graphicData>
            </a:graphic>
          </wp:inline>
        </w:drawing>
      </w:r>
    </w:p>
    <w:p w14:paraId="23C261DA" w14:textId="77777777" w:rsidR="00FF0156" w:rsidRDefault="00FF0156" w:rsidP="00500F27">
      <w:pPr>
        <w:tabs>
          <w:tab w:val="center" w:pos="4782"/>
          <w:tab w:val="right" w:pos="9564"/>
        </w:tabs>
        <w:rPr>
          <w:rFonts w:ascii="Verdana" w:hAnsi="Verdana" w:cs="Arial"/>
          <w:sz w:val="20"/>
          <w:szCs w:val="20"/>
        </w:rPr>
      </w:pPr>
    </w:p>
    <w:p w14:paraId="7330B179" w14:textId="77777777" w:rsidR="00FF0156" w:rsidRDefault="00FF0156" w:rsidP="00500F27">
      <w:pPr>
        <w:tabs>
          <w:tab w:val="center" w:pos="4782"/>
          <w:tab w:val="right" w:pos="9564"/>
        </w:tabs>
        <w:rPr>
          <w:rFonts w:ascii="Verdana" w:hAnsi="Verdana" w:cs="Arial"/>
          <w:bCs/>
          <w:color w:val="0070C0"/>
        </w:rPr>
      </w:pPr>
    </w:p>
    <w:p w14:paraId="2E156186" w14:textId="77777777" w:rsidR="00500F27" w:rsidRPr="00500F27" w:rsidRDefault="00B7719C" w:rsidP="00500F27">
      <w:pPr>
        <w:tabs>
          <w:tab w:val="center" w:pos="4782"/>
          <w:tab w:val="right" w:pos="9564"/>
        </w:tabs>
        <w:rPr>
          <w:rFonts w:ascii="Verdana" w:hAnsi="Verdana" w:cs="Arial"/>
          <w:bCs/>
          <w:color w:val="0070C0"/>
        </w:rPr>
      </w:pPr>
      <w:r>
        <w:rPr>
          <w:rFonts w:ascii="Verdana" w:hAnsi="Verdana" w:cs="Arial"/>
          <w:bCs/>
          <w:color w:val="0070C0"/>
        </w:rPr>
        <w:t>39</w:t>
      </w:r>
      <w:r w:rsidR="00500F27" w:rsidRPr="00500F27">
        <w:rPr>
          <w:rFonts w:ascii="Verdana" w:hAnsi="Verdana" w:cs="Arial"/>
          <w:bCs/>
          <w:color w:val="0070C0"/>
        </w:rPr>
        <w:t>.3 – Compromissos socioambientais</w:t>
      </w:r>
    </w:p>
    <w:p w14:paraId="054B212F" w14:textId="77777777" w:rsidR="00500F27" w:rsidRPr="00FD016C" w:rsidRDefault="00500F27" w:rsidP="00500F27">
      <w:pPr>
        <w:rPr>
          <w:rFonts w:ascii="Verdana" w:hAnsi="Verdana" w:cs="Arial"/>
          <w:sz w:val="20"/>
          <w:szCs w:val="20"/>
        </w:rPr>
      </w:pPr>
    </w:p>
    <w:p w14:paraId="2E44B0D6" w14:textId="72244475" w:rsidR="00500F27" w:rsidRPr="00FD016C" w:rsidRDefault="00C2656E" w:rsidP="00500F27">
      <w:pPr>
        <w:rPr>
          <w:rFonts w:ascii="Verdana" w:hAnsi="Verdana" w:cs="Arial"/>
          <w:sz w:val="20"/>
          <w:szCs w:val="20"/>
        </w:rPr>
      </w:pPr>
      <w:r w:rsidRPr="00FD016C">
        <w:rPr>
          <w:rFonts w:ascii="Verdana" w:hAnsi="Verdana" w:cs="Arial"/>
          <w:sz w:val="20"/>
          <w:szCs w:val="20"/>
        </w:rPr>
        <w:t xml:space="preserve">Termos de compromissos assumidos com os Municípios, nos quais a </w:t>
      </w:r>
      <w:r>
        <w:rPr>
          <w:rFonts w:ascii="Verdana" w:hAnsi="Verdana" w:cs="Arial"/>
          <w:sz w:val="20"/>
          <w:szCs w:val="20"/>
        </w:rPr>
        <w:t>ELETRONUCLEAR</w:t>
      </w:r>
      <w:r w:rsidRPr="00FD016C">
        <w:rPr>
          <w:rFonts w:ascii="Verdana" w:hAnsi="Verdana" w:cs="Arial"/>
          <w:sz w:val="20"/>
          <w:szCs w:val="20"/>
        </w:rPr>
        <w:t xml:space="preserve"> se compromete a celebrar convênios específicos de portes socioambientais, vinculados ao empreendimento Angra 3, visando à execução dos programas e projetos em consonância com as condicionantes estabelecidas pelo Instituto Brasileiro do Meio Ambiente e dos Recursos Naturais Renováveis – Ibama conforme quadro demonstrativo a seguir</w:t>
      </w:r>
      <w:r w:rsidR="00500F27" w:rsidRPr="00FD016C">
        <w:rPr>
          <w:rFonts w:ascii="Verdana" w:hAnsi="Verdana" w:cs="Arial"/>
          <w:sz w:val="20"/>
          <w:szCs w:val="20"/>
        </w:rPr>
        <w:t>:</w:t>
      </w:r>
    </w:p>
    <w:p w14:paraId="1C40D464" w14:textId="77777777" w:rsidR="00500F27" w:rsidRPr="00FD016C" w:rsidRDefault="00500F27" w:rsidP="00500F27">
      <w:pPr>
        <w:rPr>
          <w:rFonts w:ascii="Verdana" w:hAnsi="Verdana" w:cs="Arial"/>
          <w:sz w:val="20"/>
          <w:szCs w:val="20"/>
        </w:rPr>
      </w:pPr>
    </w:p>
    <w:p w14:paraId="7E20C136" w14:textId="77777777" w:rsidR="00500F27" w:rsidRPr="00FD016C" w:rsidRDefault="00500F27" w:rsidP="00500F27">
      <w:pPr>
        <w:rPr>
          <w:rFonts w:ascii="Verdana" w:hAnsi="Verdana" w:cs="Arial"/>
          <w:sz w:val="20"/>
          <w:szCs w:val="20"/>
        </w:rPr>
      </w:pPr>
    </w:p>
    <w:p w14:paraId="49A1405C" w14:textId="77777777" w:rsidR="00500F27" w:rsidRPr="00FD016C" w:rsidRDefault="00FF0156" w:rsidP="00FF0156">
      <w:pPr>
        <w:jc w:val="center"/>
        <w:rPr>
          <w:rFonts w:ascii="Verdana" w:hAnsi="Verdana" w:cs="Arial"/>
          <w:sz w:val="20"/>
          <w:szCs w:val="20"/>
        </w:rPr>
      </w:pPr>
      <w:r w:rsidRPr="00FF0156">
        <w:rPr>
          <w:noProof/>
        </w:rPr>
        <w:drawing>
          <wp:inline distT="0" distB="0" distL="0" distR="0" wp14:anchorId="50E99CEE" wp14:editId="6AAC1B45">
            <wp:extent cx="3067050" cy="1745146"/>
            <wp:effectExtent l="0" t="0" r="0" b="7620"/>
            <wp:docPr id="474" name="Imagem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077756" cy="1751238"/>
                    </a:xfrm>
                    <a:prstGeom prst="rect">
                      <a:avLst/>
                    </a:prstGeom>
                    <a:noFill/>
                    <a:ln>
                      <a:noFill/>
                    </a:ln>
                  </pic:spPr>
                </pic:pic>
              </a:graphicData>
            </a:graphic>
          </wp:inline>
        </w:drawing>
      </w:r>
    </w:p>
    <w:p w14:paraId="4A2EDA1F" w14:textId="77777777" w:rsidR="00500F27" w:rsidRPr="00FD016C" w:rsidRDefault="00500F27" w:rsidP="00500F27">
      <w:pPr>
        <w:rPr>
          <w:rFonts w:ascii="Verdana" w:hAnsi="Verdana" w:cs="Arial"/>
          <w:noProof/>
          <w:sz w:val="20"/>
          <w:szCs w:val="20"/>
        </w:rPr>
      </w:pPr>
    </w:p>
    <w:p w14:paraId="0272A2CB" w14:textId="77777777" w:rsidR="00500F27" w:rsidRDefault="00500F27" w:rsidP="00500F27">
      <w:pPr>
        <w:rPr>
          <w:rFonts w:ascii="Verdana" w:hAnsi="Verdana" w:cs="Arial"/>
          <w:noProof/>
          <w:sz w:val="20"/>
          <w:szCs w:val="20"/>
        </w:rPr>
      </w:pPr>
    </w:p>
    <w:p w14:paraId="02DBFCD3" w14:textId="77777777" w:rsidR="00500F27" w:rsidRDefault="00500F27" w:rsidP="00500F27">
      <w:pPr>
        <w:rPr>
          <w:rFonts w:ascii="Verdana" w:hAnsi="Verdana" w:cs="Arial"/>
          <w:noProof/>
          <w:sz w:val="20"/>
          <w:szCs w:val="20"/>
        </w:rPr>
      </w:pPr>
    </w:p>
    <w:p w14:paraId="088522CA" w14:textId="77777777" w:rsidR="00500F27" w:rsidRPr="00500F27" w:rsidRDefault="00B7719C" w:rsidP="00500F27">
      <w:pPr>
        <w:tabs>
          <w:tab w:val="left" w:pos="360"/>
        </w:tabs>
        <w:rPr>
          <w:rFonts w:ascii="Verdana" w:hAnsi="Verdana" w:cs="Arial"/>
          <w:bCs/>
          <w:color w:val="0070C0"/>
        </w:rPr>
      </w:pPr>
      <w:r>
        <w:rPr>
          <w:rFonts w:ascii="Verdana" w:hAnsi="Verdana" w:cs="Arial"/>
          <w:bCs/>
          <w:color w:val="0070C0"/>
        </w:rPr>
        <w:t>39</w:t>
      </w:r>
      <w:r w:rsidR="00500F27">
        <w:rPr>
          <w:rFonts w:ascii="Verdana" w:hAnsi="Verdana" w:cs="Arial"/>
          <w:bCs/>
          <w:color w:val="0070C0"/>
        </w:rPr>
        <w:t>.4</w:t>
      </w:r>
      <w:r w:rsidR="00500F27" w:rsidRPr="00500F27">
        <w:rPr>
          <w:rFonts w:ascii="Verdana" w:hAnsi="Verdana" w:cs="Arial"/>
          <w:bCs/>
          <w:color w:val="0070C0"/>
        </w:rPr>
        <w:t xml:space="preserve"> – Aquisições de bens e serviços</w:t>
      </w:r>
    </w:p>
    <w:p w14:paraId="76944BAA" w14:textId="77777777" w:rsidR="00500F27" w:rsidRPr="00FD016C" w:rsidRDefault="00500F27" w:rsidP="00500F27">
      <w:pPr>
        <w:rPr>
          <w:rFonts w:ascii="Verdana" w:hAnsi="Verdana" w:cs="Arial"/>
          <w:sz w:val="20"/>
          <w:szCs w:val="20"/>
        </w:rPr>
      </w:pPr>
    </w:p>
    <w:p w14:paraId="3227A003" w14:textId="4D22993F" w:rsidR="00500F27" w:rsidRPr="00FD016C" w:rsidRDefault="00C2656E" w:rsidP="00500F27">
      <w:pPr>
        <w:rPr>
          <w:rFonts w:ascii="Verdana" w:hAnsi="Verdana" w:cs="Arial"/>
          <w:sz w:val="20"/>
          <w:szCs w:val="20"/>
        </w:rPr>
      </w:pPr>
      <w:r w:rsidRPr="00FD016C">
        <w:rPr>
          <w:rFonts w:ascii="Verdana" w:hAnsi="Verdana" w:cs="Arial"/>
          <w:sz w:val="20"/>
          <w:szCs w:val="20"/>
        </w:rPr>
        <w:t>Contratos assinados com fornecedores diversos para aquisição de bens e serviços das Usinas Angra 1, Angra 2 e Angra 3, necessários à garantia de performance operacional desses ativos conforme quadro demonstrativo a seguir</w:t>
      </w:r>
      <w:r w:rsidR="00500F27" w:rsidRPr="00FD016C">
        <w:rPr>
          <w:rFonts w:ascii="Verdana" w:hAnsi="Verdana" w:cs="Arial"/>
          <w:sz w:val="20"/>
          <w:szCs w:val="20"/>
        </w:rPr>
        <w:t>:</w:t>
      </w:r>
    </w:p>
    <w:p w14:paraId="35325241" w14:textId="77777777" w:rsidR="00500F27" w:rsidRPr="00FD016C" w:rsidRDefault="00500F27" w:rsidP="00500F27">
      <w:pPr>
        <w:rPr>
          <w:rFonts w:ascii="Verdana" w:hAnsi="Verdana" w:cs="Arial"/>
          <w:b/>
          <w:sz w:val="20"/>
          <w:szCs w:val="20"/>
        </w:rPr>
      </w:pPr>
    </w:p>
    <w:p w14:paraId="668A662C" w14:textId="0CA2B425" w:rsidR="00500F27" w:rsidRPr="00FD016C" w:rsidRDefault="00FD080B" w:rsidP="005079C5">
      <w:pPr>
        <w:jc w:val="center"/>
        <w:rPr>
          <w:rFonts w:ascii="Verdana" w:hAnsi="Verdana" w:cs="Arial"/>
          <w:b/>
          <w:sz w:val="20"/>
          <w:szCs w:val="20"/>
        </w:rPr>
      </w:pPr>
      <w:r w:rsidRPr="00FD080B">
        <w:rPr>
          <w:noProof/>
        </w:rPr>
        <w:lastRenderedPageBreak/>
        <w:drawing>
          <wp:inline distT="0" distB="0" distL="0" distR="0" wp14:anchorId="09261F9B" wp14:editId="4951EB75">
            <wp:extent cx="2914650" cy="165843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919091" cy="1660957"/>
                    </a:xfrm>
                    <a:prstGeom prst="rect">
                      <a:avLst/>
                    </a:prstGeom>
                    <a:noFill/>
                    <a:ln>
                      <a:noFill/>
                    </a:ln>
                  </pic:spPr>
                </pic:pic>
              </a:graphicData>
            </a:graphic>
          </wp:inline>
        </w:drawing>
      </w:r>
    </w:p>
    <w:p w14:paraId="667E88AA" w14:textId="77777777" w:rsidR="00616AAE" w:rsidRPr="0089056A" w:rsidRDefault="00616AAE" w:rsidP="00616AAE">
      <w:pPr>
        <w:rPr>
          <w:rFonts w:ascii="Verdana" w:hAnsi="Verdana"/>
          <w:sz w:val="20"/>
          <w:szCs w:val="20"/>
        </w:rPr>
      </w:pPr>
      <w:r w:rsidRPr="0089056A">
        <w:rPr>
          <w:rFonts w:ascii="Verdana" w:hAnsi="Verdana"/>
          <w:color w:val="0D63B5"/>
          <w:sz w:val="20"/>
          <w:szCs w:val="20"/>
        </w:rPr>
        <w:t xml:space="preserve">Prática Contábil </w:t>
      </w:r>
    </w:p>
    <w:p w14:paraId="1F4DC411" w14:textId="77777777" w:rsidR="00616AAE" w:rsidRPr="0089056A" w:rsidRDefault="00616AAE" w:rsidP="00616AAE">
      <w:pPr>
        <w:widowControl w:val="0"/>
        <w:autoSpaceDE w:val="0"/>
        <w:autoSpaceDN w:val="0"/>
        <w:rPr>
          <w:rFonts w:ascii="Verdana" w:hAnsi="Verdana"/>
          <w:sz w:val="20"/>
          <w:szCs w:val="20"/>
        </w:rPr>
      </w:pPr>
    </w:p>
    <w:p w14:paraId="05677FA5" w14:textId="1FE41F29" w:rsidR="000E5D40" w:rsidRPr="00616AAE" w:rsidRDefault="00C2656E" w:rsidP="000E5D40">
      <w:pPr>
        <w:widowControl w:val="0"/>
        <w:autoSpaceDE w:val="0"/>
        <w:autoSpaceDN w:val="0"/>
        <w:rPr>
          <w:rFonts w:ascii="Verdana" w:hAnsi="Verdana"/>
          <w:sz w:val="20"/>
          <w:szCs w:val="20"/>
        </w:rPr>
      </w:pPr>
      <w:r w:rsidRPr="0089056A">
        <w:rPr>
          <w:rFonts w:ascii="Verdana" w:hAnsi="Verdana"/>
          <w:sz w:val="20"/>
          <w:szCs w:val="20"/>
        </w:rPr>
        <w:t>A Companhia divulga, de acordo com os requerimentos das normas contábeis CPC 27/IAS 16 – Ativo imobilizado e CPC 45/IFRS 12 - Divulgação de Participações em outras Entidades, os compromissos para aquisição de imobilizado, separadamente do valor de outros compromissos. Adicionalmente, a Companhia divulga os compromissos de compra e venda de energia, compromissos socioambientais, e compras com fornecedores de combustíveis</w:t>
      </w:r>
      <w:r w:rsidR="000E5D40" w:rsidRPr="0089056A">
        <w:rPr>
          <w:rFonts w:ascii="Verdana" w:hAnsi="Verdana"/>
          <w:sz w:val="20"/>
          <w:szCs w:val="20"/>
        </w:rPr>
        <w:t>.</w:t>
      </w:r>
      <w:r w:rsidR="000E5D40" w:rsidRPr="00616AAE">
        <w:rPr>
          <w:rFonts w:ascii="Verdana" w:hAnsi="Verdana"/>
          <w:sz w:val="20"/>
          <w:szCs w:val="20"/>
        </w:rPr>
        <w:t xml:space="preserve"> </w:t>
      </w:r>
    </w:p>
    <w:p w14:paraId="6E988AA5" w14:textId="77777777" w:rsidR="008173D6" w:rsidRPr="00AF3755" w:rsidRDefault="008173D6" w:rsidP="008173D6">
      <w:pPr>
        <w:rPr>
          <w:rFonts w:ascii="Verdana" w:hAnsi="Verdana"/>
          <w:sz w:val="20"/>
          <w:szCs w:val="20"/>
        </w:rPr>
      </w:pPr>
    </w:p>
    <w:p w14:paraId="6D0BD480" w14:textId="77777777" w:rsidR="003E7920" w:rsidRDefault="003E7920" w:rsidP="001C7802">
      <w:pPr>
        <w:tabs>
          <w:tab w:val="left" w:pos="567"/>
          <w:tab w:val="left" w:pos="1134"/>
          <w:tab w:val="left" w:pos="1701"/>
          <w:tab w:val="left" w:pos="2268"/>
          <w:tab w:val="left" w:pos="2835"/>
        </w:tabs>
        <w:jc w:val="left"/>
        <w:outlineLvl w:val="0"/>
        <w:rPr>
          <w:rFonts w:ascii="Verdana" w:hAnsi="Verdana"/>
          <w:b/>
          <w:color w:val="0D63B5"/>
          <w:sz w:val="20"/>
          <w:szCs w:val="20"/>
        </w:rPr>
      </w:pPr>
    </w:p>
    <w:p w14:paraId="79E41660" w14:textId="77777777" w:rsidR="003E7920" w:rsidRDefault="003E7920" w:rsidP="001C7802">
      <w:pPr>
        <w:tabs>
          <w:tab w:val="left" w:pos="567"/>
          <w:tab w:val="left" w:pos="1134"/>
          <w:tab w:val="left" w:pos="1701"/>
          <w:tab w:val="left" w:pos="2268"/>
          <w:tab w:val="left" w:pos="2835"/>
        </w:tabs>
        <w:jc w:val="left"/>
        <w:outlineLvl w:val="0"/>
        <w:rPr>
          <w:rFonts w:ascii="Verdana" w:hAnsi="Verdana"/>
          <w:b/>
          <w:color w:val="0D63B5"/>
          <w:sz w:val="20"/>
          <w:szCs w:val="20"/>
        </w:rPr>
      </w:pPr>
    </w:p>
    <w:p w14:paraId="3E3B6606" w14:textId="77777777" w:rsidR="00FC7CC8" w:rsidRPr="00B566CF" w:rsidRDefault="004363D4" w:rsidP="004C7FAE">
      <w:pPr>
        <w:tabs>
          <w:tab w:val="left" w:pos="567"/>
          <w:tab w:val="left" w:pos="1134"/>
          <w:tab w:val="left" w:pos="1701"/>
          <w:tab w:val="left" w:pos="2268"/>
          <w:tab w:val="left" w:pos="2835"/>
        </w:tabs>
        <w:outlineLvl w:val="0"/>
        <w:rPr>
          <w:rFonts w:ascii="Verdana" w:hAnsi="Verdana"/>
          <w:b/>
          <w:color w:val="0D63B5"/>
          <w:sz w:val="20"/>
          <w:szCs w:val="20"/>
          <w:highlight w:val="yellow"/>
        </w:rPr>
      </w:pPr>
      <w:bookmarkStart w:id="38" w:name="_Hlk94203137"/>
      <w:r w:rsidRPr="005E4A4C">
        <w:rPr>
          <w:rFonts w:ascii="Verdana" w:hAnsi="Verdana"/>
          <w:b/>
          <w:color w:val="0D63B5"/>
          <w:sz w:val="20"/>
          <w:szCs w:val="20"/>
        </w:rPr>
        <w:t xml:space="preserve">NOTA </w:t>
      </w:r>
      <w:bookmarkStart w:id="39" w:name="OLE_LINK2"/>
      <w:r w:rsidR="005949DF" w:rsidRPr="005E4A4C">
        <w:rPr>
          <w:rFonts w:ascii="Verdana" w:hAnsi="Verdana"/>
          <w:b/>
          <w:color w:val="0D63B5"/>
          <w:sz w:val="20"/>
          <w:szCs w:val="20"/>
        </w:rPr>
        <w:t>4</w:t>
      </w:r>
      <w:r w:rsidR="00B7719C" w:rsidRPr="005E4A4C">
        <w:rPr>
          <w:rFonts w:ascii="Verdana" w:hAnsi="Verdana"/>
          <w:b/>
          <w:color w:val="0D63B5"/>
          <w:sz w:val="20"/>
          <w:szCs w:val="20"/>
        </w:rPr>
        <w:t>0</w:t>
      </w:r>
      <w:r w:rsidR="005D59E2" w:rsidRPr="005E4A4C">
        <w:rPr>
          <w:rFonts w:ascii="Verdana" w:hAnsi="Verdana"/>
          <w:b/>
          <w:color w:val="0D63B5"/>
          <w:sz w:val="20"/>
          <w:szCs w:val="20"/>
        </w:rPr>
        <w:t xml:space="preserve"> </w:t>
      </w:r>
      <w:r w:rsidRPr="005E4A4C">
        <w:rPr>
          <w:rFonts w:ascii="Verdana" w:hAnsi="Verdana"/>
          <w:b/>
          <w:color w:val="0D63B5"/>
          <w:sz w:val="20"/>
          <w:szCs w:val="20"/>
        </w:rPr>
        <w:t>– EVENTOS SUBSEQUENTES</w:t>
      </w:r>
      <w:bookmarkEnd w:id="39"/>
    </w:p>
    <w:p w14:paraId="07C5C57B" w14:textId="77777777" w:rsidR="00CA192C" w:rsidRPr="00B566CF" w:rsidRDefault="00CA192C" w:rsidP="00CA192C">
      <w:pPr>
        <w:rPr>
          <w:rFonts w:ascii="Verdana" w:hAnsi="Verdana"/>
          <w:sz w:val="20"/>
          <w:szCs w:val="20"/>
          <w:highlight w:val="yellow"/>
        </w:rPr>
      </w:pPr>
    </w:p>
    <w:p w14:paraId="4935B63B" w14:textId="77777777" w:rsidR="00F33660" w:rsidRPr="005E4A4C" w:rsidRDefault="00F33660" w:rsidP="3D647C91">
      <w:pPr>
        <w:rPr>
          <w:rFonts w:ascii="Verdana" w:hAnsi="Verdana"/>
          <w:color w:val="0070C0"/>
          <w:sz w:val="20"/>
          <w:szCs w:val="20"/>
          <w:highlight w:val="yellow"/>
        </w:rPr>
      </w:pPr>
    </w:p>
    <w:p w14:paraId="2C9CD844"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18217296"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56359BB7"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61A3904C"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5AE3A520"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6A429D94"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18A4389E"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6F1CD6EB"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406DE730"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534AF2FB"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7D585927"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4161226E"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4672BA24"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3A5BCB4C"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6E9302BD"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18DD0E97"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73856921"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601F129E"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231A2C83"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3E2A73C2"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7DA7AEF7"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24F0439A"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305E26D0"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2703D86C"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59927F6C"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642F4A6B"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0546D233"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08FAB484"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14EBD218"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35E7A7A7"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13178FB5"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09F0C4A9"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74B539D2"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6778107E"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041D9E80"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7F56371D"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298D5098"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2D5990D7"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601655BB"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53E3C7AA"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646FB1B4"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2C012447"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42D9821F"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2D61C04C"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1A1ADFB4" w14:textId="77777777" w:rsidR="00E94B5F" w:rsidRPr="005E4A4C" w:rsidRDefault="00E94B5F" w:rsidP="002876C8">
      <w:pPr>
        <w:pStyle w:val="PargrafodaLista"/>
        <w:numPr>
          <w:ilvl w:val="0"/>
          <w:numId w:val="9"/>
        </w:numPr>
        <w:rPr>
          <w:rFonts w:ascii="Verdana" w:hAnsi="Verdana"/>
          <w:vanish/>
          <w:color w:val="0070C0"/>
          <w:sz w:val="20"/>
          <w:szCs w:val="20"/>
          <w:highlight w:val="yellow"/>
        </w:rPr>
      </w:pPr>
    </w:p>
    <w:p w14:paraId="1404C9CB" w14:textId="77777777" w:rsidR="00F33660" w:rsidRPr="005E4A4C" w:rsidRDefault="009901B9" w:rsidP="005E4A4C">
      <w:pPr>
        <w:pStyle w:val="PargrafodaLista"/>
        <w:numPr>
          <w:ilvl w:val="1"/>
          <w:numId w:val="43"/>
        </w:numPr>
        <w:rPr>
          <w:rFonts w:ascii="Verdana" w:hAnsi="Verdana"/>
          <w:color w:val="0070C0"/>
          <w:sz w:val="20"/>
          <w:szCs w:val="20"/>
        </w:rPr>
      </w:pPr>
      <w:r w:rsidRPr="005E4A4C">
        <w:rPr>
          <w:rFonts w:ascii="Verdana" w:hAnsi="Verdana"/>
          <w:color w:val="0070C0"/>
          <w:sz w:val="20"/>
          <w:szCs w:val="20"/>
        </w:rPr>
        <w:t xml:space="preserve">Guerra Rússia </w:t>
      </w:r>
      <w:proofErr w:type="gramStart"/>
      <w:r w:rsidRPr="005E4A4C">
        <w:rPr>
          <w:rFonts w:ascii="Verdana" w:hAnsi="Verdana"/>
          <w:color w:val="0070C0"/>
          <w:sz w:val="20"/>
          <w:szCs w:val="20"/>
        </w:rPr>
        <w:t>x</w:t>
      </w:r>
      <w:proofErr w:type="gramEnd"/>
      <w:r w:rsidRPr="005E4A4C">
        <w:rPr>
          <w:rFonts w:ascii="Verdana" w:hAnsi="Verdana"/>
          <w:color w:val="0070C0"/>
          <w:sz w:val="20"/>
          <w:szCs w:val="20"/>
        </w:rPr>
        <w:t xml:space="preserve"> Ucrânia</w:t>
      </w:r>
    </w:p>
    <w:p w14:paraId="16BE3C94" w14:textId="77777777" w:rsidR="0010619B" w:rsidRPr="005E4A4C" w:rsidRDefault="0010619B" w:rsidP="00F33660">
      <w:pPr>
        <w:pStyle w:val="PargrafodaLista"/>
        <w:ind w:left="720"/>
        <w:rPr>
          <w:rFonts w:ascii="Verdana" w:hAnsi="Verdana" w:cs="Calibri"/>
          <w:color w:val="0070C0"/>
          <w:sz w:val="20"/>
          <w:szCs w:val="20"/>
          <w:highlight w:val="yellow"/>
        </w:rPr>
      </w:pPr>
    </w:p>
    <w:p w14:paraId="5C0D68F3" w14:textId="77777777" w:rsidR="00C2656E" w:rsidRPr="0045347B" w:rsidRDefault="00C2656E" w:rsidP="00C2656E">
      <w:pPr>
        <w:rPr>
          <w:rFonts w:ascii="Verdana" w:hAnsi="Verdana" w:cs="Arial"/>
          <w:sz w:val="20"/>
          <w:szCs w:val="20"/>
        </w:rPr>
      </w:pPr>
      <w:r w:rsidRPr="0045347B">
        <w:rPr>
          <w:rFonts w:ascii="Verdana" w:hAnsi="Verdana" w:cs="Arial"/>
          <w:sz w:val="20"/>
          <w:szCs w:val="20"/>
        </w:rPr>
        <w:t>Em fevereiro de 2022, a Rússia deu início à invasão da Ucrânia, iniciando o conflito entre os dois países. Além dos efeitos diretos originados pela luta bélica, a guerra naturalmente afeta a economia da região envolvida, atingindo, portanto, as operações das empresas que lá atuam. No entanto, a Companhia, atualmente, não tem dependência de bens e serviços com entidades situadas na região do conflito para cumprimento do seu objetivo social.</w:t>
      </w:r>
    </w:p>
    <w:p w14:paraId="09800813" w14:textId="77777777" w:rsidR="00C2656E" w:rsidRPr="0045347B" w:rsidRDefault="00C2656E" w:rsidP="00C2656E">
      <w:pPr>
        <w:rPr>
          <w:rFonts w:ascii="Verdana" w:hAnsi="Verdana" w:cs="Arial"/>
          <w:sz w:val="20"/>
          <w:szCs w:val="20"/>
        </w:rPr>
      </w:pPr>
    </w:p>
    <w:p w14:paraId="0FC2738F" w14:textId="77777777" w:rsidR="00C2656E" w:rsidRPr="0045347B" w:rsidRDefault="00C2656E" w:rsidP="00C2656E">
      <w:pPr>
        <w:rPr>
          <w:rFonts w:ascii="Verdana" w:hAnsi="Verdana" w:cs="Arial"/>
          <w:sz w:val="20"/>
          <w:szCs w:val="20"/>
        </w:rPr>
      </w:pPr>
      <w:r w:rsidRPr="0045347B">
        <w:rPr>
          <w:rFonts w:ascii="Verdana" w:hAnsi="Verdana" w:cs="Arial"/>
          <w:sz w:val="20"/>
          <w:szCs w:val="20"/>
        </w:rPr>
        <w:t xml:space="preserve">Conforme já divulgado em comunicado ao mercado </w:t>
      </w:r>
      <w:r>
        <w:rPr>
          <w:rFonts w:ascii="Verdana" w:hAnsi="Verdana" w:cs="Arial"/>
          <w:sz w:val="20"/>
          <w:szCs w:val="20"/>
        </w:rPr>
        <w:t>pela</w:t>
      </w:r>
      <w:r w:rsidRPr="0045347B">
        <w:rPr>
          <w:rFonts w:ascii="Verdana" w:hAnsi="Verdana" w:cs="Arial"/>
          <w:sz w:val="20"/>
          <w:szCs w:val="20"/>
        </w:rPr>
        <w:t xml:space="preserve"> nossa Controladora (Eletrobras), em setembro de 2021, a Eletronuclear e a estatal russa de energia atômica </w:t>
      </w:r>
      <w:proofErr w:type="spellStart"/>
      <w:r w:rsidRPr="0045347B">
        <w:rPr>
          <w:rFonts w:ascii="Verdana" w:hAnsi="Verdana" w:cs="Arial"/>
          <w:sz w:val="20"/>
          <w:szCs w:val="20"/>
        </w:rPr>
        <w:t>Rosatom</w:t>
      </w:r>
      <w:proofErr w:type="spellEnd"/>
      <w:r w:rsidRPr="0045347B">
        <w:rPr>
          <w:rFonts w:ascii="Verdana" w:hAnsi="Verdana" w:cs="Arial"/>
          <w:sz w:val="20"/>
          <w:szCs w:val="20"/>
        </w:rPr>
        <w:t xml:space="preserve"> celebraram um memorando de entendimento não vinculante para trocar informações sobre novos projetos de usinas nucleares de larga escala. O acordo também inclui intercâmbio de dados sobre pequenos reatores modulares terrestres e flutuantes, ciclo de combustível nuclear, suporte no ciclo de vida de novas usinas, além de extensão da vida útil e desenvolvimento tecnológico relacionado ao setor nuclear. O acordo não abrange nenhum dos projetos atualmente em curso pela Eletronuclear. </w:t>
      </w:r>
    </w:p>
    <w:p w14:paraId="31D7E055" w14:textId="77777777" w:rsidR="00C2656E" w:rsidRPr="0045347B" w:rsidRDefault="00C2656E" w:rsidP="00C2656E">
      <w:pPr>
        <w:rPr>
          <w:rFonts w:ascii="Verdana" w:hAnsi="Verdana" w:cs="Arial"/>
          <w:sz w:val="20"/>
          <w:szCs w:val="20"/>
        </w:rPr>
      </w:pPr>
    </w:p>
    <w:p w14:paraId="41C5FD3D" w14:textId="77777777" w:rsidR="00C2656E" w:rsidRPr="0045347B" w:rsidRDefault="00C2656E" w:rsidP="00C2656E">
      <w:pPr>
        <w:rPr>
          <w:rFonts w:ascii="Verdana" w:hAnsi="Verdana" w:cs="Arial"/>
          <w:sz w:val="20"/>
          <w:szCs w:val="20"/>
        </w:rPr>
      </w:pPr>
      <w:r w:rsidRPr="0045347B">
        <w:rPr>
          <w:rFonts w:ascii="Verdana" w:hAnsi="Verdana" w:cs="Arial"/>
          <w:sz w:val="20"/>
          <w:szCs w:val="20"/>
        </w:rPr>
        <w:t>O memorando citado é um instrumento meramente de cooperação e troca de informações, não implicando em qualquer compromisso contratual ou financeiro para qualquer uma das partes.</w:t>
      </w:r>
    </w:p>
    <w:p w14:paraId="60C7D402" w14:textId="5A3FAFD0" w:rsidR="00CE0BE3" w:rsidRDefault="00CE0BE3" w:rsidP="00CE0BE3">
      <w:pPr>
        <w:ind w:left="708"/>
        <w:rPr>
          <w:rFonts w:ascii="Verdana" w:hAnsi="Verdana"/>
          <w:sz w:val="20"/>
          <w:szCs w:val="20"/>
        </w:rPr>
      </w:pPr>
    </w:p>
    <w:p w14:paraId="0CB645A4" w14:textId="0CB69896" w:rsidR="00AB70CA" w:rsidRDefault="00AB70CA" w:rsidP="00CE0BE3">
      <w:pPr>
        <w:ind w:left="708"/>
        <w:rPr>
          <w:rFonts w:ascii="Verdana" w:hAnsi="Verdana"/>
          <w:sz w:val="20"/>
          <w:szCs w:val="20"/>
        </w:rPr>
      </w:pPr>
    </w:p>
    <w:p w14:paraId="540860F2" w14:textId="0C0B7CFA" w:rsidR="00AB70CA" w:rsidRDefault="00AB70CA" w:rsidP="00CE0BE3">
      <w:pPr>
        <w:ind w:left="708"/>
        <w:rPr>
          <w:rFonts w:ascii="Verdana" w:hAnsi="Verdana"/>
          <w:sz w:val="20"/>
          <w:szCs w:val="20"/>
        </w:rPr>
      </w:pPr>
    </w:p>
    <w:p w14:paraId="0FC5F8D8" w14:textId="1673452F" w:rsidR="00AB70CA" w:rsidRDefault="00AB70CA" w:rsidP="00AB70CA">
      <w:pPr>
        <w:pStyle w:val="PargrafodaLista"/>
        <w:numPr>
          <w:ilvl w:val="1"/>
          <w:numId w:val="43"/>
        </w:numPr>
        <w:rPr>
          <w:rFonts w:ascii="Verdana" w:hAnsi="Verdana"/>
          <w:color w:val="0070C0"/>
          <w:sz w:val="20"/>
          <w:szCs w:val="20"/>
        </w:rPr>
      </w:pPr>
      <w:r w:rsidRPr="00566BF0" w:rsidDel="009901B9">
        <w:rPr>
          <w:rFonts w:ascii="Verdana" w:hAnsi="Verdana" w:cs="Calibri"/>
          <w:color w:val="FF0000"/>
          <w:sz w:val="20"/>
          <w:szCs w:val="20"/>
        </w:rPr>
        <w:t xml:space="preserve"> </w:t>
      </w:r>
      <w:r w:rsidRPr="00566BF0">
        <w:rPr>
          <w:rFonts w:ascii="Verdana" w:hAnsi="Verdana"/>
          <w:color w:val="0070C0"/>
          <w:sz w:val="20"/>
          <w:szCs w:val="20"/>
        </w:rPr>
        <w:t xml:space="preserve">Contrato para aquisição de Elementos Combustíveis </w:t>
      </w:r>
    </w:p>
    <w:p w14:paraId="5F31D47E" w14:textId="6258C7C1" w:rsidR="005F1494" w:rsidRDefault="005F1494" w:rsidP="005F1494">
      <w:pPr>
        <w:rPr>
          <w:rFonts w:ascii="Verdana" w:hAnsi="Verdana"/>
          <w:color w:val="0070C0"/>
          <w:sz w:val="20"/>
          <w:szCs w:val="20"/>
        </w:rPr>
      </w:pPr>
    </w:p>
    <w:p w14:paraId="1D116827" w14:textId="5252E0A8" w:rsidR="001C1431" w:rsidRPr="00EE48F3" w:rsidRDefault="005F1494" w:rsidP="005F1494">
      <w:pPr>
        <w:rPr>
          <w:rFonts w:ascii="Verdana" w:hAnsi="Verdana"/>
          <w:sz w:val="20"/>
          <w:szCs w:val="20"/>
        </w:rPr>
      </w:pPr>
      <w:r w:rsidRPr="0045347B">
        <w:rPr>
          <w:rFonts w:ascii="Verdana" w:hAnsi="Verdana" w:cs="Arial"/>
          <w:sz w:val="20"/>
          <w:szCs w:val="20"/>
        </w:rPr>
        <w:t xml:space="preserve">Conforme já divulgado em comunicado ao mercado </w:t>
      </w:r>
      <w:r>
        <w:rPr>
          <w:rFonts w:ascii="Verdana" w:hAnsi="Verdana" w:cs="Arial"/>
          <w:sz w:val="20"/>
          <w:szCs w:val="20"/>
        </w:rPr>
        <w:t xml:space="preserve">pela </w:t>
      </w:r>
      <w:r w:rsidRPr="0045347B">
        <w:rPr>
          <w:rFonts w:ascii="Verdana" w:hAnsi="Verdana" w:cs="Arial"/>
          <w:sz w:val="20"/>
          <w:szCs w:val="20"/>
        </w:rPr>
        <w:t>nossa Controladora (Eletrobras), em fevereiro de 2022, a Eletronuclear e a estatal brasileira Indústrias Nucleares do Brasil – INB, celebraram contrato para fornecimento do concentrado de U3O8, para a execução da conversão e enriquecimento de urânio e para a fabricação de elementos combustíveis, relativos ao fornecimento de combustível para as 28ª à 32ª Recargas de Angra 1 e para as 19ª à 23ª Recargas de Angra 2 pelo valor total de R$ 6.553.463. A contratação inclui atualizações referentes à Legislação vigente (Lei 13.303/2016), ao Regulamento de Licitações e Contratos da Eletrobras e ajusta os valores dos Elementos Combustíveis, bem como reestabelece um correto ajuste dos preços aos custos efetivamente incorridos na produção, promovendo a mitigação dos riscos de suprimento de combustível nuclear para as Usinas Nucleares de Angra 1 e Angra 2, conforme divulgado na Nota 35.3.5 - Risco Operacional</w:t>
      </w:r>
      <w:r w:rsidRPr="00566BF0">
        <w:rPr>
          <w:rFonts w:ascii="Verdana" w:hAnsi="Verdana"/>
          <w:sz w:val="20"/>
          <w:szCs w:val="20"/>
        </w:rPr>
        <w:t>.</w:t>
      </w:r>
      <w:bookmarkEnd w:id="38"/>
      <w:r w:rsidRPr="00EE48F3">
        <w:rPr>
          <w:rFonts w:ascii="Verdana" w:hAnsi="Verdana"/>
          <w:sz w:val="20"/>
          <w:szCs w:val="20"/>
        </w:rPr>
        <w:t xml:space="preserve"> </w:t>
      </w:r>
    </w:p>
    <w:sectPr w:rsidR="001C1431" w:rsidRPr="00EE48F3" w:rsidSect="00AE1905">
      <w:headerReference w:type="default" r:id="rId99"/>
      <w:footerReference w:type="default" r:id="rId100"/>
      <w:pgSz w:w="11906" w:h="16838"/>
      <w:pgMar w:top="922" w:right="709" w:bottom="720" w:left="720" w:header="181" w:footer="64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F1FF8" w16cex:dateUtc="2022-03-18T18:12:00Z"/>
  <w16cex:commentExtensible w16cex:durableId="25DF1BAF" w16cex:dateUtc="2022-03-18T17:54:00Z"/>
  <w16cex:commentExtensible w16cex:durableId="25DF1C1E" w16cex:dateUtc="2022-03-18T17:56:00Z"/>
  <w16cex:commentExtensible w16cex:durableId="25DF2187" w16cex:dateUtc="2022-03-18T18:19:00Z"/>
  <w16cex:commentExtensible w16cex:durableId="25DF1EAC" w16cex:dateUtc="2022-03-18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404214" w16cid:durableId="25DF1FF8"/>
  <w16cid:commentId w16cid:paraId="29A293BB" w16cid:durableId="25DF0F58"/>
  <w16cid:commentId w16cid:paraId="3F3D4D5E" w16cid:durableId="25DF1BAF"/>
  <w16cid:commentId w16cid:paraId="6D4A7594" w16cid:durableId="25DF1C1E"/>
  <w16cid:commentId w16cid:paraId="7DB301EC" w16cid:durableId="25DF0F63"/>
  <w16cid:commentId w16cid:paraId="1067D74A" w16cid:durableId="25DF0F65"/>
  <w16cid:commentId w16cid:paraId="0E0044DB" w16cid:durableId="25DF2187"/>
  <w16cid:commentId w16cid:paraId="55047A29" w16cid:durableId="25DF1E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278C0" w14:textId="77777777" w:rsidR="00BD760A" w:rsidRDefault="00BD760A">
      <w:r>
        <w:separator/>
      </w:r>
    </w:p>
  </w:endnote>
  <w:endnote w:type="continuationSeparator" w:id="0">
    <w:p w14:paraId="21F16C8D" w14:textId="77777777" w:rsidR="00BD760A" w:rsidRDefault="00BD760A">
      <w:r>
        <w:continuationSeparator/>
      </w:r>
    </w:p>
  </w:endnote>
  <w:endnote w:type="continuationNotice" w:id="1">
    <w:p w14:paraId="76A02D40" w14:textId="77777777" w:rsidR="00BD760A" w:rsidRDefault="00BD7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610180"/>
      <w:docPartObj>
        <w:docPartGallery w:val="Page Numbers (Bottom of Page)"/>
        <w:docPartUnique/>
      </w:docPartObj>
    </w:sdtPr>
    <w:sdtEndPr>
      <w:rPr>
        <w:rFonts w:ascii="Verdana" w:hAnsi="Verdana"/>
        <w:sz w:val="20"/>
        <w:szCs w:val="20"/>
      </w:rPr>
    </w:sdtEndPr>
    <w:sdtContent>
      <w:p w14:paraId="1AE0B4E9" w14:textId="729E73F5" w:rsidR="002517C1" w:rsidRPr="00F65B87" w:rsidRDefault="002517C1">
        <w:pPr>
          <w:pStyle w:val="Rodap"/>
          <w:jc w:val="right"/>
          <w:rPr>
            <w:rFonts w:ascii="Verdana" w:hAnsi="Verdana"/>
            <w:sz w:val="20"/>
            <w:szCs w:val="20"/>
          </w:rPr>
        </w:pPr>
        <w:r w:rsidRPr="00F65B87">
          <w:rPr>
            <w:rFonts w:ascii="Verdana" w:hAnsi="Verdana"/>
            <w:sz w:val="20"/>
            <w:szCs w:val="20"/>
          </w:rPr>
          <w:fldChar w:fldCharType="begin"/>
        </w:r>
        <w:r w:rsidRPr="00F65B87">
          <w:rPr>
            <w:rFonts w:ascii="Verdana" w:hAnsi="Verdana"/>
            <w:sz w:val="20"/>
            <w:szCs w:val="20"/>
          </w:rPr>
          <w:instrText xml:space="preserve"> PAGE   \* MERGEFORMAT </w:instrText>
        </w:r>
        <w:r w:rsidRPr="00F65B87">
          <w:rPr>
            <w:rFonts w:ascii="Verdana" w:hAnsi="Verdana"/>
            <w:sz w:val="20"/>
            <w:szCs w:val="20"/>
          </w:rPr>
          <w:fldChar w:fldCharType="separate"/>
        </w:r>
        <w:r w:rsidR="0017008C">
          <w:rPr>
            <w:rFonts w:ascii="Verdana" w:hAnsi="Verdana"/>
            <w:noProof/>
            <w:sz w:val="20"/>
            <w:szCs w:val="20"/>
          </w:rPr>
          <w:t>70</w:t>
        </w:r>
        <w:r w:rsidRPr="00F65B87">
          <w:rPr>
            <w:rFonts w:ascii="Verdana" w:hAnsi="Verdana"/>
            <w:noProof/>
            <w:sz w:val="20"/>
            <w:szCs w:val="20"/>
          </w:rPr>
          <w:fldChar w:fldCharType="end"/>
        </w:r>
      </w:p>
    </w:sdtContent>
  </w:sdt>
  <w:p w14:paraId="39891F7E" w14:textId="77777777" w:rsidR="002517C1" w:rsidRDefault="002517C1" w:rsidP="005C0F89">
    <w:pPr>
      <w:pStyle w:val="Corpodetexto"/>
      <w:spacing w:line="14" w:lineRule="auto"/>
    </w:pPr>
  </w:p>
  <w:p w14:paraId="5C89FE3D" w14:textId="77777777" w:rsidR="002517C1" w:rsidRDefault="002517C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27505" w14:textId="77777777" w:rsidR="00BD760A" w:rsidRDefault="00BD760A">
      <w:r>
        <w:separator/>
      </w:r>
    </w:p>
  </w:footnote>
  <w:footnote w:type="continuationSeparator" w:id="0">
    <w:p w14:paraId="7FB01253" w14:textId="77777777" w:rsidR="00BD760A" w:rsidRDefault="00BD760A">
      <w:r>
        <w:continuationSeparator/>
      </w:r>
    </w:p>
  </w:footnote>
  <w:footnote w:type="continuationNotice" w:id="1">
    <w:p w14:paraId="66078C3C" w14:textId="77777777" w:rsidR="00BD760A" w:rsidRDefault="00BD76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A01F5" w14:textId="77777777" w:rsidR="002517C1" w:rsidRDefault="002517C1" w:rsidP="00114904">
    <w:pPr>
      <w:pStyle w:val="Cabealho"/>
      <w:jc w:val="center"/>
    </w:pPr>
    <w:r w:rsidRPr="00F431E2">
      <w:rPr>
        <w:rFonts w:ascii="Verdana" w:hAnsi="Verdana"/>
        <w:noProof/>
        <w:color w:val="FF0000"/>
        <w:spacing w:val="26"/>
        <w:lang w:val="pt-BR"/>
      </w:rPr>
      <w:drawing>
        <wp:inline distT="0" distB="0" distL="0" distR="0" wp14:anchorId="6DF1BC50" wp14:editId="6DD24A76">
          <wp:extent cx="1308167" cy="952549"/>
          <wp:effectExtent l="0" t="0" r="6350" b="0"/>
          <wp:docPr id="1618300604" name="Imagem 1618300604"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00552" name="Imagem 1618300552" descr="Logotipo, nome da empresa&#10;&#10;Descrição gerada automaticamente"/>
                  <pic:cNvPicPr/>
                </pic:nvPicPr>
                <pic:blipFill>
                  <a:blip r:embed="rId1"/>
                  <a:stretch>
                    <a:fillRect/>
                  </a:stretch>
                </pic:blipFill>
                <pic:spPr>
                  <a:xfrm>
                    <a:off x="0" y="0"/>
                    <a:ext cx="1308167" cy="9525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ED4C45A"/>
    <w:lvl w:ilvl="0">
      <w:start w:val="1"/>
      <w:numFmt w:val="bullet"/>
      <w:pStyle w:val="Commarcadores"/>
      <w:lvlText w:val=""/>
      <w:lvlJc w:val="left"/>
      <w:pPr>
        <w:tabs>
          <w:tab w:val="num" w:pos="1844"/>
        </w:tabs>
        <w:ind w:left="1844" w:hanging="360"/>
      </w:pPr>
      <w:rPr>
        <w:rFonts w:ascii="Arial" w:hAnsi="Arial" w:hint="default"/>
      </w:rPr>
    </w:lvl>
  </w:abstractNum>
  <w:abstractNum w:abstractNumId="1" w15:restartNumberingAfterBreak="0">
    <w:nsid w:val="02B86D8D"/>
    <w:multiLevelType w:val="hybridMultilevel"/>
    <w:tmpl w:val="F78C65EC"/>
    <w:lvl w:ilvl="0" w:tplc="04160017">
      <w:start w:val="7"/>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D5D56"/>
    <w:multiLevelType w:val="multilevel"/>
    <w:tmpl w:val="CBC27112"/>
    <w:lvl w:ilvl="0">
      <w:start w:val="3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C621C7"/>
    <w:multiLevelType w:val="multilevel"/>
    <w:tmpl w:val="93A48786"/>
    <w:styleLink w:val="Style2"/>
    <w:lvl w:ilvl="0">
      <w:start w:val="36"/>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AE93BA0"/>
    <w:multiLevelType w:val="hybridMultilevel"/>
    <w:tmpl w:val="A00457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0F68C0"/>
    <w:multiLevelType w:val="hybridMultilevel"/>
    <w:tmpl w:val="A0263C78"/>
    <w:lvl w:ilvl="0" w:tplc="04160001">
      <w:start w:val="1"/>
      <w:numFmt w:val="bullet"/>
      <w:lvlText w:val=""/>
      <w:lvlJc w:val="left"/>
      <w:pPr>
        <w:ind w:left="363" w:hanging="360"/>
      </w:pPr>
      <w:rPr>
        <w:rFonts w:ascii="Symbol" w:hAnsi="Symbol" w:hint="default"/>
      </w:rPr>
    </w:lvl>
    <w:lvl w:ilvl="1" w:tplc="04160003">
      <w:start w:val="1"/>
      <w:numFmt w:val="bullet"/>
      <w:lvlText w:val="o"/>
      <w:lvlJc w:val="left"/>
      <w:pPr>
        <w:ind w:left="1083" w:hanging="360"/>
      </w:pPr>
      <w:rPr>
        <w:rFonts w:ascii="Courier New" w:hAnsi="Courier New" w:cs="Courier New" w:hint="default"/>
      </w:rPr>
    </w:lvl>
    <w:lvl w:ilvl="2" w:tplc="04160005">
      <w:start w:val="1"/>
      <w:numFmt w:val="bullet"/>
      <w:lvlText w:val=""/>
      <w:lvlJc w:val="left"/>
      <w:pPr>
        <w:ind w:left="1803" w:hanging="360"/>
      </w:pPr>
      <w:rPr>
        <w:rFonts w:ascii="Wingdings" w:hAnsi="Wingdings" w:hint="default"/>
      </w:rPr>
    </w:lvl>
    <w:lvl w:ilvl="3" w:tplc="04160001">
      <w:start w:val="1"/>
      <w:numFmt w:val="bullet"/>
      <w:lvlText w:val=""/>
      <w:lvlJc w:val="left"/>
      <w:pPr>
        <w:ind w:left="2523" w:hanging="360"/>
      </w:pPr>
      <w:rPr>
        <w:rFonts w:ascii="Symbol" w:hAnsi="Symbol" w:hint="default"/>
      </w:rPr>
    </w:lvl>
    <w:lvl w:ilvl="4" w:tplc="04160003">
      <w:start w:val="1"/>
      <w:numFmt w:val="bullet"/>
      <w:lvlText w:val="o"/>
      <w:lvlJc w:val="left"/>
      <w:pPr>
        <w:ind w:left="3243" w:hanging="360"/>
      </w:pPr>
      <w:rPr>
        <w:rFonts w:ascii="Courier New" w:hAnsi="Courier New" w:cs="Courier New" w:hint="default"/>
      </w:rPr>
    </w:lvl>
    <w:lvl w:ilvl="5" w:tplc="04160005">
      <w:start w:val="1"/>
      <w:numFmt w:val="bullet"/>
      <w:lvlText w:val=""/>
      <w:lvlJc w:val="left"/>
      <w:pPr>
        <w:ind w:left="3963" w:hanging="360"/>
      </w:pPr>
      <w:rPr>
        <w:rFonts w:ascii="Wingdings" w:hAnsi="Wingdings" w:hint="default"/>
      </w:rPr>
    </w:lvl>
    <w:lvl w:ilvl="6" w:tplc="04160001">
      <w:start w:val="1"/>
      <w:numFmt w:val="bullet"/>
      <w:lvlText w:val=""/>
      <w:lvlJc w:val="left"/>
      <w:pPr>
        <w:ind w:left="4683" w:hanging="360"/>
      </w:pPr>
      <w:rPr>
        <w:rFonts w:ascii="Symbol" w:hAnsi="Symbol" w:hint="default"/>
      </w:rPr>
    </w:lvl>
    <w:lvl w:ilvl="7" w:tplc="04160003">
      <w:start w:val="1"/>
      <w:numFmt w:val="bullet"/>
      <w:lvlText w:val="o"/>
      <w:lvlJc w:val="left"/>
      <w:pPr>
        <w:ind w:left="5403" w:hanging="360"/>
      </w:pPr>
      <w:rPr>
        <w:rFonts w:ascii="Courier New" w:hAnsi="Courier New" w:cs="Courier New" w:hint="default"/>
      </w:rPr>
    </w:lvl>
    <w:lvl w:ilvl="8" w:tplc="04160005">
      <w:start w:val="1"/>
      <w:numFmt w:val="bullet"/>
      <w:lvlText w:val=""/>
      <w:lvlJc w:val="left"/>
      <w:pPr>
        <w:ind w:left="6123" w:hanging="360"/>
      </w:pPr>
      <w:rPr>
        <w:rFonts w:ascii="Wingdings" w:hAnsi="Wingdings" w:hint="default"/>
      </w:rPr>
    </w:lvl>
  </w:abstractNum>
  <w:abstractNum w:abstractNumId="6" w15:restartNumberingAfterBreak="0">
    <w:nsid w:val="0CC22A25"/>
    <w:multiLevelType w:val="hybridMultilevel"/>
    <w:tmpl w:val="C5F4C3F8"/>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F610B"/>
    <w:multiLevelType w:val="hybridMultilevel"/>
    <w:tmpl w:val="C62AC396"/>
    <w:lvl w:ilvl="0" w:tplc="06BA6414">
      <w:start w:val="1"/>
      <w:numFmt w:val="lowerLetter"/>
      <w:lvlText w:val="%1)"/>
      <w:lvlJc w:val="left"/>
      <w:pPr>
        <w:ind w:left="720" w:hanging="360"/>
      </w:pPr>
      <w:rPr>
        <w:rFonts w:ascii="Verdana" w:hAnsi="Verdan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252D0F"/>
    <w:multiLevelType w:val="hybridMultilevel"/>
    <w:tmpl w:val="A7805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47A3EA1"/>
    <w:multiLevelType w:val="hybridMultilevel"/>
    <w:tmpl w:val="8C423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F0EC5"/>
    <w:multiLevelType w:val="hybridMultilevel"/>
    <w:tmpl w:val="AA5AD49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C035F3E"/>
    <w:multiLevelType w:val="hybridMultilevel"/>
    <w:tmpl w:val="901882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FB81677"/>
    <w:multiLevelType w:val="hybridMultilevel"/>
    <w:tmpl w:val="2E7EF404"/>
    <w:lvl w:ilvl="0" w:tplc="C3947AB0">
      <w:start w:val="7"/>
      <w:numFmt w:val="lowerLetter"/>
      <w:lvlText w:val="(%1)"/>
      <w:lvlJc w:val="left"/>
      <w:pPr>
        <w:ind w:left="786" w:hanging="360"/>
      </w:pPr>
      <w:rPr>
        <w:rFonts w:hint="default"/>
        <w:sz w:val="20"/>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3" w15:restartNumberingAfterBreak="0">
    <w:nsid w:val="21C66C11"/>
    <w:multiLevelType w:val="hybridMultilevel"/>
    <w:tmpl w:val="4F3A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91104"/>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971E6F"/>
    <w:multiLevelType w:val="multilevel"/>
    <w:tmpl w:val="639CDF76"/>
    <w:lvl w:ilvl="0">
      <w:start w:val="1"/>
      <w:numFmt w:val="decimal"/>
      <w:lvlText w:val="%1."/>
      <w:lvlJc w:val="left"/>
      <w:pPr>
        <w:ind w:left="360" w:hanging="360"/>
      </w:pPr>
      <w:rPr>
        <w:rFonts w:hint="default"/>
      </w:rPr>
    </w:lvl>
    <w:lvl w:ilvl="1">
      <w:start w:val="1"/>
      <w:numFmt w:val="decimal"/>
      <w:lvlText w:val="%1.%2."/>
      <w:lvlJc w:val="left"/>
      <w:pPr>
        <w:ind w:left="716" w:hanging="432"/>
      </w:pPr>
      <w:rPr>
        <w:rFonts w:ascii="Verdana" w:hAnsi="Verdana" w:hint="default"/>
        <w:sz w:val="20"/>
        <w:szCs w:val="20"/>
      </w:rPr>
    </w:lvl>
    <w:lvl w:ilvl="2">
      <w:start w:val="1"/>
      <w:numFmt w:val="decimal"/>
      <w:lvlText w:val="%1.%2.%3."/>
      <w:lvlJc w:val="left"/>
      <w:pPr>
        <w:ind w:left="1224" w:hanging="504"/>
      </w:pPr>
      <w:rPr>
        <w:rFonts w:ascii="Verdana" w:hAnsi="Verdana"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B81CB5"/>
    <w:multiLevelType w:val="multilevel"/>
    <w:tmpl w:val="7E609F96"/>
    <w:styleLink w:val="Style1"/>
    <w:lvl w:ilvl="0">
      <w:start w:val="33"/>
      <w:numFmt w:val="decimal"/>
      <w:lvlText w:val="%1"/>
      <w:lvlJc w:val="left"/>
      <w:pPr>
        <w:ind w:left="630" w:hanging="630"/>
      </w:pPr>
      <w:rPr>
        <w:rFonts w:ascii="Verdana" w:hAnsi="Verdana" w:hint="default"/>
      </w:rPr>
    </w:lvl>
    <w:lvl w:ilvl="1">
      <w:start w:val="4"/>
      <w:numFmt w:val="decimal"/>
      <w:lvlText w:val="%1.%2"/>
      <w:lvlJc w:val="left"/>
      <w:pPr>
        <w:ind w:left="630" w:hanging="630"/>
      </w:pPr>
      <w:rPr>
        <w:rFonts w:ascii="Verdana" w:hAnsi="Verdana" w:hint="default"/>
      </w:rPr>
    </w:lvl>
    <w:lvl w:ilvl="2">
      <w:start w:val="2"/>
      <w:numFmt w:val="decimal"/>
      <w:lvlText w:val="%1.%2.%3"/>
      <w:lvlJc w:val="left"/>
      <w:pPr>
        <w:ind w:left="720" w:hanging="720"/>
      </w:pPr>
      <w:rPr>
        <w:rFonts w:ascii="Verdana" w:hAnsi="Verdana" w:hint="default"/>
      </w:rPr>
    </w:lvl>
    <w:lvl w:ilvl="3">
      <w:start w:val="1"/>
      <w:numFmt w:val="decimal"/>
      <w:lvlText w:val="%1.%2.%3.%4"/>
      <w:lvlJc w:val="left"/>
      <w:pPr>
        <w:ind w:left="720" w:hanging="720"/>
      </w:pPr>
      <w:rPr>
        <w:rFonts w:ascii="Verdana" w:hAnsi="Verdana" w:hint="default"/>
      </w:rPr>
    </w:lvl>
    <w:lvl w:ilvl="4">
      <w:start w:val="1"/>
      <w:numFmt w:val="decimal"/>
      <w:lvlText w:val="%1.%2.%3.%4.%5"/>
      <w:lvlJc w:val="left"/>
      <w:pPr>
        <w:ind w:left="1080" w:hanging="1080"/>
      </w:pPr>
      <w:rPr>
        <w:rFonts w:ascii="Verdana" w:hAnsi="Verdana" w:hint="default"/>
      </w:rPr>
    </w:lvl>
    <w:lvl w:ilvl="5">
      <w:start w:val="1"/>
      <w:numFmt w:val="decimal"/>
      <w:lvlText w:val="%1.%2.%3.%4.%5.%6"/>
      <w:lvlJc w:val="left"/>
      <w:pPr>
        <w:ind w:left="1080" w:hanging="1080"/>
      </w:pPr>
      <w:rPr>
        <w:rFonts w:ascii="Verdana" w:hAnsi="Verdana" w:hint="default"/>
      </w:rPr>
    </w:lvl>
    <w:lvl w:ilvl="6">
      <w:start w:val="1"/>
      <w:numFmt w:val="decimal"/>
      <w:lvlText w:val="%1.%2.%3.%4.%5.%6.%7"/>
      <w:lvlJc w:val="left"/>
      <w:pPr>
        <w:ind w:left="1440" w:hanging="1440"/>
      </w:pPr>
      <w:rPr>
        <w:rFonts w:ascii="Verdana" w:hAnsi="Verdana" w:hint="default"/>
      </w:rPr>
    </w:lvl>
    <w:lvl w:ilvl="7">
      <w:start w:val="1"/>
      <w:numFmt w:val="decimal"/>
      <w:lvlText w:val="%1.%2.%3.%4.%5.%6.%7.%8"/>
      <w:lvlJc w:val="left"/>
      <w:pPr>
        <w:ind w:left="1440" w:hanging="1440"/>
      </w:pPr>
      <w:rPr>
        <w:rFonts w:ascii="Verdana" w:hAnsi="Verdana" w:hint="default"/>
      </w:rPr>
    </w:lvl>
    <w:lvl w:ilvl="8">
      <w:start w:val="1"/>
      <w:numFmt w:val="decimal"/>
      <w:lvlText w:val="%1.%2.%3.%4.%5.%6.%7.%8.%9"/>
      <w:lvlJc w:val="left"/>
      <w:pPr>
        <w:ind w:left="1800" w:hanging="1800"/>
      </w:pPr>
      <w:rPr>
        <w:rFonts w:ascii="Verdana" w:hAnsi="Verdana" w:hint="default"/>
      </w:rPr>
    </w:lvl>
  </w:abstractNum>
  <w:abstractNum w:abstractNumId="17" w15:restartNumberingAfterBreak="0">
    <w:nsid w:val="2DBF3F0B"/>
    <w:multiLevelType w:val="hybridMultilevel"/>
    <w:tmpl w:val="C2E0BF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E68081D"/>
    <w:multiLevelType w:val="multilevel"/>
    <w:tmpl w:val="105CD54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color w:val="0D63B5"/>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E733695"/>
    <w:multiLevelType w:val="hybridMultilevel"/>
    <w:tmpl w:val="8BD60E0A"/>
    <w:lvl w:ilvl="0" w:tplc="69BE326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2FDA6CC8"/>
    <w:multiLevelType w:val="hybridMultilevel"/>
    <w:tmpl w:val="DA58FB7C"/>
    <w:lvl w:ilvl="0" w:tplc="8BDE5D12">
      <w:start w:val="1"/>
      <w:numFmt w:val="lowerLetter"/>
      <w:lvlText w:val="%1)"/>
      <w:lvlJc w:val="left"/>
      <w:pPr>
        <w:ind w:left="7023" w:hanging="360"/>
      </w:pPr>
      <w:rPr>
        <w:rFonts w:hint="default"/>
        <w:b/>
      </w:rPr>
    </w:lvl>
    <w:lvl w:ilvl="1" w:tplc="04160019" w:tentative="1">
      <w:start w:val="1"/>
      <w:numFmt w:val="lowerLetter"/>
      <w:lvlText w:val="%2."/>
      <w:lvlJc w:val="left"/>
      <w:pPr>
        <w:ind w:left="7743" w:hanging="360"/>
      </w:pPr>
    </w:lvl>
    <w:lvl w:ilvl="2" w:tplc="0416001B" w:tentative="1">
      <w:start w:val="1"/>
      <w:numFmt w:val="lowerRoman"/>
      <w:lvlText w:val="%3."/>
      <w:lvlJc w:val="right"/>
      <w:pPr>
        <w:ind w:left="8463" w:hanging="180"/>
      </w:pPr>
    </w:lvl>
    <w:lvl w:ilvl="3" w:tplc="0416000F" w:tentative="1">
      <w:start w:val="1"/>
      <w:numFmt w:val="decimal"/>
      <w:lvlText w:val="%4."/>
      <w:lvlJc w:val="left"/>
      <w:pPr>
        <w:ind w:left="9183" w:hanging="360"/>
      </w:pPr>
    </w:lvl>
    <w:lvl w:ilvl="4" w:tplc="04160019" w:tentative="1">
      <w:start w:val="1"/>
      <w:numFmt w:val="lowerLetter"/>
      <w:lvlText w:val="%5."/>
      <w:lvlJc w:val="left"/>
      <w:pPr>
        <w:ind w:left="9903" w:hanging="360"/>
      </w:pPr>
    </w:lvl>
    <w:lvl w:ilvl="5" w:tplc="0416001B" w:tentative="1">
      <w:start w:val="1"/>
      <w:numFmt w:val="lowerRoman"/>
      <w:lvlText w:val="%6."/>
      <w:lvlJc w:val="right"/>
      <w:pPr>
        <w:ind w:left="10623" w:hanging="180"/>
      </w:pPr>
    </w:lvl>
    <w:lvl w:ilvl="6" w:tplc="0416000F" w:tentative="1">
      <w:start w:val="1"/>
      <w:numFmt w:val="decimal"/>
      <w:lvlText w:val="%7."/>
      <w:lvlJc w:val="left"/>
      <w:pPr>
        <w:ind w:left="11343" w:hanging="360"/>
      </w:pPr>
    </w:lvl>
    <w:lvl w:ilvl="7" w:tplc="04160019" w:tentative="1">
      <w:start w:val="1"/>
      <w:numFmt w:val="lowerLetter"/>
      <w:lvlText w:val="%8."/>
      <w:lvlJc w:val="left"/>
      <w:pPr>
        <w:ind w:left="12063" w:hanging="360"/>
      </w:pPr>
    </w:lvl>
    <w:lvl w:ilvl="8" w:tplc="0416001B" w:tentative="1">
      <w:start w:val="1"/>
      <w:numFmt w:val="lowerRoman"/>
      <w:lvlText w:val="%9."/>
      <w:lvlJc w:val="right"/>
      <w:pPr>
        <w:ind w:left="12783" w:hanging="180"/>
      </w:pPr>
    </w:lvl>
  </w:abstractNum>
  <w:abstractNum w:abstractNumId="21" w15:restartNumberingAfterBreak="0">
    <w:nsid w:val="352872FC"/>
    <w:multiLevelType w:val="hybridMultilevel"/>
    <w:tmpl w:val="49D87652"/>
    <w:lvl w:ilvl="0" w:tplc="990AB56E">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59E26A4"/>
    <w:multiLevelType w:val="hybridMultilevel"/>
    <w:tmpl w:val="7750C010"/>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3" w15:restartNumberingAfterBreak="0">
    <w:nsid w:val="36E24C01"/>
    <w:multiLevelType w:val="hybridMultilevel"/>
    <w:tmpl w:val="FE7A4AA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4" w15:restartNumberingAfterBreak="0">
    <w:nsid w:val="37322854"/>
    <w:multiLevelType w:val="multilevel"/>
    <w:tmpl w:val="B500558E"/>
    <w:lvl w:ilvl="0">
      <w:start w:val="33"/>
      <w:numFmt w:val="decimal"/>
      <w:lvlText w:val="%1."/>
      <w:lvlJc w:val="left"/>
      <w:pPr>
        <w:ind w:left="510" w:hanging="510"/>
      </w:pPr>
      <w:rPr>
        <w:rFonts w:ascii="Verdana" w:hAnsi="Verdana" w:hint="default"/>
      </w:rPr>
    </w:lvl>
    <w:lvl w:ilvl="1">
      <w:start w:val="2"/>
      <w:numFmt w:val="decimal"/>
      <w:lvlText w:val="%1.%2."/>
      <w:lvlJc w:val="left"/>
      <w:pPr>
        <w:ind w:left="1077" w:hanging="510"/>
      </w:pPr>
      <w:rPr>
        <w:rFonts w:ascii="Verdana" w:hAnsi="Verdana" w:hint="default"/>
      </w:rPr>
    </w:lvl>
    <w:lvl w:ilvl="2">
      <w:start w:val="1"/>
      <w:numFmt w:val="decimal"/>
      <w:lvlText w:val="%1.%2.%3."/>
      <w:lvlJc w:val="left"/>
      <w:pPr>
        <w:ind w:left="1854" w:hanging="720"/>
      </w:pPr>
      <w:rPr>
        <w:rFonts w:ascii="Verdana" w:hAnsi="Verdana" w:hint="default"/>
      </w:rPr>
    </w:lvl>
    <w:lvl w:ilvl="3">
      <w:start w:val="1"/>
      <w:numFmt w:val="decimal"/>
      <w:lvlText w:val="%1.%2.%3.%4."/>
      <w:lvlJc w:val="left"/>
      <w:pPr>
        <w:ind w:left="2421" w:hanging="720"/>
      </w:pPr>
      <w:rPr>
        <w:rFonts w:ascii="Verdana" w:hAnsi="Verdana" w:hint="default"/>
      </w:rPr>
    </w:lvl>
    <w:lvl w:ilvl="4">
      <w:start w:val="1"/>
      <w:numFmt w:val="decimal"/>
      <w:lvlText w:val="%1.%2.%3.%4.%5."/>
      <w:lvlJc w:val="left"/>
      <w:pPr>
        <w:ind w:left="3348" w:hanging="1080"/>
      </w:pPr>
      <w:rPr>
        <w:rFonts w:ascii="Verdana" w:hAnsi="Verdana" w:hint="default"/>
      </w:rPr>
    </w:lvl>
    <w:lvl w:ilvl="5">
      <w:start w:val="1"/>
      <w:numFmt w:val="decimal"/>
      <w:lvlText w:val="%1.%2.%3.%4.%5.%6."/>
      <w:lvlJc w:val="left"/>
      <w:pPr>
        <w:ind w:left="3915" w:hanging="1080"/>
      </w:pPr>
      <w:rPr>
        <w:rFonts w:ascii="Verdana" w:hAnsi="Verdana" w:hint="default"/>
      </w:rPr>
    </w:lvl>
    <w:lvl w:ilvl="6">
      <w:start w:val="1"/>
      <w:numFmt w:val="decimal"/>
      <w:lvlText w:val="%1.%2.%3.%4.%5.%6.%7."/>
      <w:lvlJc w:val="left"/>
      <w:pPr>
        <w:ind w:left="4842" w:hanging="1440"/>
      </w:pPr>
      <w:rPr>
        <w:rFonts w:ascii="Verdana" w:hAnsi="Verdana" w:hint="default"/>
      </w:rPr>
    </w:lvl>
    <w:lvl w:ilvl="7">
      <w:start w:val="1"/>
      <w:numFmt w:val="decimal"/>
      <w:lvlText w:val="%1.%2.%3.%4.%5.%6.%7.%8."/>
      <w:lvlJc w:val="left"/>
      <w:pPr>
        <w:ind w:left="5409" w:hanging="1440"/>
      </w:pPr>
      <w:rPr>
        <w:rFonts w:ascii="Verdana" w:hAnsi="Verdana" w:hint="default"/>
      </w:rPr>
    </w:lvl>
    <w:lvl w:ilvl="8">
      <w:start w:val="1"/>
      <w:numFmt w:val="decimal"/>
      <w:lvlText w:val="%1.%2.%3.%4.%5.%6.%7.%8.%9."/>
      <w:lvlJc w:val="left"/>
      <w:pPr>
        <w:ind w:left="6336" w:hanging="1800"/>
      </w:pPr>
      <w:rPr>
        <w:rFonts w:ascii="Verdana" w:hAnsi="Verdana" w:hint="default"/>
      </w:rPr>
    </w:lvl>
  </w:abstractNum>
  <w:abstractNum w:abstractNumId="25" w15:restartNumberingAfterBreak="0">
    <w:nsid w:val="37C53281"/>
    <w:multiLevelType w:val="hybridMultilevel"/>
    <w:tmpl w:val="A00457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C171C2"/>
    <w:multiLevelType w:val="hybridMultilevel"/>
    <w:tmpl w:val="DA545012"/>
    <w:lvl w:ilvl="0" w:tplc="0F02043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39D2FA4"/>
    <w:multiLevelType w:val="hybridMultilevel"/>
    <w:tmpl w:val="A8321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127003"/>
    <w:multiLevelType w:val="hybridMultilevel"/>
    <w:tmpl w:val="2C644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6E15C4F"/>
    <w:multiLevelType w:val="hybridMultilevel"/>
    <w:tmpl w:val="C25025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8361255"/>
    <w:multiLevelType w:val="hybridMultilevel"/>
    <w:tmpl w:val="C5F4C3F8"/>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820524"/>
    <w:multiLevelType w:val="hybridMultilevel"/>
    <w:tmpl w:val="776A79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E1A758C"/>
    <w:multiLevelType w:val="multilevel"/>
    <w:tmpl w:val="ABB828B0"/>
    <w:lvl w:ilvl="0">
      <w:start w:val="34"/>
      <w:numFmt w:val="decimal"/>
      <w:lvlText w:val="%1"/>
      <w:lvlJc w:val="left"/>
      <w:pPr>
        <w:ind w:left="900" w:hanging="900"/>
      </w:pPr>
      <w:rPr>
        <w:rFonts w:hint="default"/>
      </w:rPr>
    </w:lvl>
    <w:lvl w:ilvl="1">
      <w:start w:val="11"/>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5033711C"/>
    <w:multiLevelType w:val="hybridMultilevel"/>
    <w:tmpl w:val="BB7E53C0"/>
    <w:lvl w:ilvl="0" w:tplc="93DAB128">
      <w:start w:val="7"/>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4" w15:restartNumberingAfterBreak="0">
    <w:nsid w:val="511965D9"/>
    <w:multiLevelType w:val="hybridMultilevel"/>
    <w:tmpl w:val="255CBB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7CD2972"/>
    <w:multiLevelType w:val="hybridMultilevel"/>
    <w:tmpl w:val="8286F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58DB08D5"/>
    <w:multiLevelType w:val="singleLevel"/>
    <w:tmpl w:val="62524A7A"/>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2412BB4"/>
    <w:multiLevelType w:val="hybridMultilevel"/>
    <w:tmpl w:val="D128AAC0"/>
    <w:lvl w:ilvl="0" w:tplc="97A63146">
      <w:start w:val="7"/>
      <w:numFmt w:val="lowerLetter"/>
      <w:lvlText w:val="%1)"/>
      <w:lvlJc w:val="left"/>
      <w:pPr>
        <w:ind w:left="786" w:hanging="360"/>
      </w:pPr>
      <w:rPr>
        <w:rFonts w:cs="Times New Roman"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8" w15:restartNumberingAfterBreak="0">
    <w:nsid w:val="65FE0CFF"/>
    <w:multiLevelType w:val="hybridMultilevel"/>
    <w:tmpl w:val="A418D6F2"/>
    <w:lvl w:ilvl="0" w:tplc="04160017">
      <w:start w:val="7"/>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6D71D4F"/>
    <w:multiLevelType w:val="multilevel"/>
    <w:tmpl w:val="25FED9FC"/>
    <w:lvl w:ilvl="0">
      <w:start w:val="40"/>
      <w:numFmt w:val="decimal"/>
      <w:lvlText w:val="%1"/>
      <w:lvlJc w:val="left"/>
      <w:pPr>
        <w:ind w:left="460" w:hanging="460"/>
      </w:pPr>
      <w:rPr>
        <w:rFonts w:hint="default"/>
        <w:color w:val="FF0000"/>
      </w:rPr>
    </w:lvl>
    <w:lvl w:ilvl="1">
      <w:start w:val="1"/>
      <w:numFmt w:val="decimal"/>
      <w:lvlText w:val="%1.%2"/>
      <w:lvlJc w:val="left"/>
      <w:pPr>
        <w:ind w:left="720" w:hanging="720"/>
      </w:pPr>
      <w:rPr>
        <w:rFonts w:hint="default"/>
        <w:color w:val="0070C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440" w:hanging="144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2160" w:hanging="2160"/>
      </w:pPr>
      <w:rPr>
        <w:rFonts w:hint="default"/>
        <w:color w:val="FF0000"/>
      </w:rPr>
    </w:lvl>
    <w:lvl w:ilvl="8">
      <w:start w:val="1"/>
      <w:numFmt w:val="decimal"/>
      <w:lvlText w:val="%1.%2.%3.%4.%5.%6.%7.%8.%9"/>
      <w:lvlJc w:val="left"/>
      <w:pPr>
        <w:ind w:left="2160" w:hanging="2160"/>
      </w:pPr>
      <w:rPr>
        <w:rFonts w:hint="default"/>
        <w:color w:val="FF0000"/>
      </w:rPr>
    </w:lvl>
  </w:abstractNum>
  <w:abstractNum w:abstractNumId="40" w15:restartNumberingAfterBreak="0">
    <w:nsid w:val="6CBF3876"/>
    <w:multiLevelType w:val="hybridMultilevel"/>
    <w:tmpl w:val="D39206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F485D1C"/>
    <w:multiLevelType w:val="hybridMultilevel"/>
    <w:tmpl w:val="5210C50A"/>
    <w:lvl w:ilvl="0" w:tplc="04160001">
      <w:start w:val="1"/>
      <w:numFmt w:val="bullet"/>
      <w:lvlText w:val=""/>
      <w:lvlJc w:val="left"/>
      <w:pPr>
        <w:tabs>
          <w:tab w:val="num" w:pos="720"/>
        </w:tabs>
        <w:ind w:left="720" w:hanging="360"/>
      </w:pPr>
      <w:rPr>
        <w:rFonts w:ascii="Symbol" w:hAnsi="Symbol" w:hint="default"/>
      </w:rPr>
    </w:lvl>
    <w:lvl w:ilvl="1" w:tplc="BA7CD348">
      <w:numFmt w:val="bullet"/>
      <w:lvlText w:val="·"/>
      <w:lvlJc w:val="left"/>
      <w:pPr>
        <w:ind w:left="1755" w:hanging="675"/>
      </w:pPr>
      <w:rPr>
        <w:rFonts w:ascii="Arial" w:eastAsia="Times New Roman" w:hAnsi="Arial" w:cs="Aria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235773"/>
    <w:multiLevelType w:val="hybridMultilevel"/>
    <w:tmpl w:val="2F52AC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7D45040"/>
    <w:multiLevelType w:val="multilevel"/>
    <w:tmpl w:val="DAF8D7BC"/>
    <w:lvl w:ilvl="0">
      <w:start w:val="1"/>
      <w:numFmt w:val="decimal"/>
      <w:lvlText w:val="%1."/>
      <w:lvlJc w:val="left"/>
      <w:pPr>
        <w:ind w:left="360" w:hanging="360"/>
      </w:pPr>
      <w:rPr>
        <w:rFonts w:hint="default"/>
      </w:rPr>
    </w:lvl>
    <w:lvl w:ilvl="1">
      <w:start w:val="1"/>
      <w:numFmt w:val="decimal"/>
      <w:lvlText w:val="4.%2"/>
      <w:lvlJc w:val="left"/>
      <w:pPr>
        <w:ind w:left="1709" w:hanging="432"/>
      </w:pPr>
      <w:rPr>
        <w:rFonts w:hint="default"/>
        <w:color w:val="0D63B5"/>
      </w:rPr>
    </w:lvl>
    <w:lvl w:ilvl="2">
      <w:start w:val="1"/>
      <w:numFmt w:val="decimal"/>
      <w:lvlText w:val="%1.%2.%3."/>
      <w:lvlJc w:val="left"/>
      <w:pPr>
        <w:ind w:left="1224" w:hanging="504"/>
      </w:pPr>
      <w:rPr>
        <w:rFonts w:hint="default"/>
        <w:color w:val="0D63B5"/>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828596E"/>
    <w:multiLevelType w:val="hybridMultilevel"/>
    <w:tmpl w:val="C876FF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B5F4D07"/>
    <w:multiLevelType w:val="hybridMultilevel"/>
    <w:tmpl w:val="C876FF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FF23DC3"/>
    <w:multiLevelType w:val="hybridMultilevel"/>
    <w:tmpl w:val="7B26FCE2"/>
    <w:lvl w:ilvl="0" w:tplc="04160017">
      <w:start w:val="7"/>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4"/>
  </w:num>
  <w:num w:numId="3">
    <w:abstractNumId w:val="16"/>
  </w:num>
  <w:num w:numId="4">
    <w:abstractNumId w:val="3"/>
  </w:num>
  <w:num w:numId="5">
    <w:abstractNumId w:val="15"/>
  </w:num>
  <w:num w:numId="6">
    <w:abstractNumId w:val="43"/>
  </w:num>
  <w:num w:numId="7">
    <w:abstractNumId w:val="24"/>
  </w:num>
  <w:num w:numId="8">
    <w:abstractNumId w:val="2"/>
  </w:num>
  <w:num w:numId="9">
    <w:abstractNumId w:val="18"/>
  </w:num>
  <w:num w:numId="10">
    <w:abstractNumId w:val="28"/>
  </w:num>
  <w:num w:numId="11">
    <w:abstractNumId w:val="10"/>
  </w:num>
  <w:num w:numId="12">
    <w:abstractNumId w:val="9"/>
  </w:num>
  <w:num w:numId="13">
    <w:abstractNumId w:val="13"/>
  </w:num>
  <w:num w:numId="14">
    <w:abstractNumId w:val="32"/>
  </w:num>
  <w:num w:numId="15">
    <w:abstractNumId w:val="7"/>
  </w:num>
  <w:num w:numId="16">
    <w:abstractNumId w:val="30"/>
  </w:num>
  <w:num w:numId="17">
    <w:abstractNumId w:val="6"/>
  </w:num>
  <w:num w:numId="18">
    <w:abstractNumId w:val="27"/>
  </w:num>
  <w:num w:numId="19">
    <w:abstractNumId w:val="36"/>
  </w:num>
  <w:num w:numId="20">
    <w:abstractNumId w:val="41"/>
  </w:num>
  <w:num w:numId="21">
    <w:abstractNumId w:val="23"/>
  </w:num>
  <w:num w:numId="22">
    <w:abstractNumId w:val="34"/>
  </w:num>
  <w:num w:numId="23">
    <w:abstractNumId w:val="22"/>
  </w:num>
  <w:num w:numId="24">
    <w:abstractNumId w:val="42"/>
  </w:num>
  <w:num w:numId="25">
    <w:abstractNumId w:val="20"/>
  </w:num>
  <w:num w:numId="26">
    <w:abstractNumId w:val="40"/>
  </w:num>
  <w:num w:numId="27">
    <w:abstractNumId w:val="38"/>
  </w:num>
  <w:num w:numId="28">
    <w:abstractNumId w:val="46"/>
  </w:num>
  <w:num w:numId="29">
    <w:abstractNumId w:val="1"/>
  </w:num>
  <w:num w:numId="30">
    <w:abstractNumId w:val="12"/>
  </w:num>
  <w:num w:numId="31">
    <w:abstractNumId w:val="37"/>
  </w:num>
  <w:num w:numId="32">
    <w:abstractNumId w:val="33"/>
  </w:num>
  <w:num w:numId="33">
    <w:abstractNumId w:val="5"/>
  </w:num>
  <w:num w:numId="34">
    <w:abstractNumId w:val="17"/>
  </w:num>
  <w:num w:numId="35">
    <w:abstractNumId w:val="29"/>
  </w:num>
  <w:num w:numId="36">
    <w:abstractNumId w:val="35"/>
  </w:num>
  <w:num w:numId="37">
    <w:abstractNumId w:val="8"/>
  </w:num>
  <w:num w:numId="38">
    <w:abstractNumId w:val="19"/>
  </w:num>
  <w:num w:numId="39">
    <w:abstractNumId w:val="31"/>
  </w:num>
  <w:num w:numId="40">
    <w:abstractNumId w:val="11"/>
  </w:num>
  <w:num w:numId="41">
    <w:abstractNumId w:val="4"/>
  </w:num>
  <w:num w:numId="42">
    <w:abstractNumId w:val="25"/>
  </w:num>
  <w:num w:numId="43">
    <w:abstractNumId w:val="39"/>
  </w:num>
  <w:num w:numId="44">
    <w:abstractNumId w:val="21"/>
  </w:num>
  <w:num w:numId="45">
    <w:abstractNumId w:val="44"/>
  </w:num>
  <w:num w:numId="46">
    <w:abstractNumId w:val="45"/>
  </w:num>
  <w:num w:numId="47">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pt-PT" w:vendorID="64" w:dllVersion="6" w:nlCheck="1" w:checkStyle="0"/>
  <w:activeWritingStyle w:appName="MSWord" w:lang="en-US" w:vendorID="64" w:dllVersion="0" w:nlCheck="1" w:checkStyle="0"/>
  <w:activeWritingStyle w:appName="MSWord" w:lang="pt-BR" w:vendorID="64" w:dllVersion="131078"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068"/>
    <w:rsid w:val="00000062"/>
    <w:rsid w:val="00000093"/>
    <w:rsid w:val="000000B5"/>
    <w:rsid w:val="00000134"/>
    <w:rsid w:val="00000167"/>
    <w:rsid w:val="00000177"/>
    <w:rsid w:val="000002CF"/>
    <w:rsid w:val="000002E1"/>
    <w:rsid w:val="0000039A"/>
    <w:rsid w:val="000003C6"/>
    <w:rsid w:val="000003D0"/>
    <w:rsid w:val="00000476"/>
    <w:rsid w:val="00000502"/>
    <w:rsid w:val="00000569"/>
    <w:rsid w:val="000005A3"/>
    <w:rsid w:val="000005B0"/>
    <w:rsid w:val="00000650"/>
    <w:rsid w:val="000006DF"/>
    <w:rsid w:val="00000715"/>
    <w:rsid w:val="0000074C"/>
    <w:rsid w:val="000007B6"/>
    <w:rsid w:val="000007EC"/>
    <w:rsid w:val="0000084C"/>
    <w:rsid w:val="00000890"/>
    <w:rsid w:val="0000094D"/>
    <w:rsid w:val="0000098F"/>
    <w:rsid w:val="000009FA"/>
    <w:rsid w:val="00000A1C"/>
    <w:rsid w:val="00000A20"/>
    <w:rsid w:val="00000A31"/>
    <w:rsid w:val="00000A51"/>
    <w:rsid w:val="00000A80"/>
    <w:rsid w:val="00000B82"/>
    <w:rsid w:val="00000C4A"/>
    <w:rsid w:val="00000C87"/>
    <w:rsid w:val="00000D19"/>
    <w:rsid w:val="00000D4B"/>
    <w:rsid w:val="00000D9A"/>
    <w:rsid w:val="00000DD5"/>
    <w:rsid w:val="00000E1F"/>
    <w:rsid w:val="00000E43"/>
    <w:rsid w:val="00000E67"/>
    <w:rsid w:val="00000E88"/>
    <w:rsid w:val="00000ED7"/>
    <w:rsid w:val="00000F36"/>
    <w:rsid w:val="00000FFB"/>
    <w:rsid w:val="00001057"/>
    <w:rsid w:val="000010C3"/>
    <w:rsid w:val="00001114"/>
    <w:rsid w:val="00001153"/>
    <w:rsid w:val="00001171"/>
    <w:rsid w:val="00001250"/>
    <w:rsid w:val="000012C3"/>
    <w:rsid w:val="0000138E"/>
    <w:rsid w:val="000014A6"/>
    <w:rsid w:val="000014F2"/>
    <w:rsid w:val="0000150F"/>
    <w:rsid w:val="00001557"/>
    <w:rsid w:val="0000156E"/>
    <w:rsid w:val="00001586"/>
    <w:rsid w:val="000015CB"/>
    <w:rsid w:val="000015E6"/>
    <w:rsid w:val="0000160C"/>
    <w:rsid w:val="00001637"/>
    <w:rsid w:val="0000169D"/>
    <w:rsid w:val="0000173C"/>
    <w:rsid w:val="000017BD"/>
    <w:rsid w:val="0000180A"/>
    <w:rsid w:val="00001874"/>
    <w:rsid w:val="000018B8"/>
    <w:rsid w:val="000018E0"/>
    <w:rsid w:val="00001A69"/>
    <w:rsid w:val="00001A9F"/>
    <w:rsid w:val="00001AAA"/>
    <w:rsid w:val="00001AC1"/>
    <w:rsid w:val="00001B95"/>
    <w:rsid w:val="00001BEE"/>
    <w:rsid w:val="00001C0F"/>
    <w:rsid w:val="00001C2A"/>
    <w:rsid w:val="00001CC1"/>
    <w:rsid w:val="00001CCC"/>
    <w:rsid w:val="00001E2C"/>
    <w:rsid w:val="00001EF9"/>
    <w:rsid w:val="00001F5B"/>
    <w:rsid w:val="00001F77"/>
    <w:rsid w:val="00001FED"/>
    <w:rsid w:val="00002135"/>
    <w:rsid w:val="00002221"/>
    <w:rsid w:val="0000227C"/>
    <w:rsid w:val="0000230C"/>
    <w:rsid w:val="000023E5"/>
    <w:rsid w:val="00002421"/>
    <w:rsid w:val="00002448"/>
    <w:rsid w:val="000024DE"/>
    <w:rsid w:val="000025A8"/>
    <w:rsid w:val="000025DD"/>
    <w:rsid w:val="000025F0"/>
    <w:rsid w:val="00002656"/>
    <w:rsid w:val="0000268A"/>
    <w:rsid w:val="000026BC"/>
    <w:rsid w:val="0000270F"/>
    <w:rsid w:val="00002750"/>
    <w:rsid w:val="000027F9"/>
    <w:rsid w:val="00002880"/>
    <w:rsid w:val="000028BF"/>
    <w:rsid w:val="000028EC"/>
    <w:rsid w:val="00002919"/>
    <w:rsid w:val="00002A10"/>
    <w:rsid w:val="00002A24"/>
    <w:rsid w:val="00002A2E"/>
    <w:rsid w:val="00002A74"/>
    <w:rsid w:val="00002B46"/>
    <w:rsid w:val="00002BE5"/>
    <w:rsid w:val="00002DAD"/>
    <w:rsid w:val="00002DE2"/>
    <w:rsid w:val="00002E6B"/>
    <w:rsid w:val="00002F06"/>
    <w:rsid w:val="00002F6A"/>
    <w:rsid w:val="00002FBC"/>
    <w:rsid w:val="00003055"/>
    <w:rsid w:val="00003132"/>
    <w:rsid w:val="00003155"/>
    <w:rsid w:val="000031CE"/>
    <w:rsid w:val="00003351"/>
    <w:rsid w:val="000033A6"/>
    <w:rsid w:val="0000341C"/>
    <w:rsid w:val="00003465"/>
    <w:rsid w:val="000034F2"/>
    <w:rsid w:val="00003575"/>
    <w:rsid w:val="00003577"/>
    <w:rsid w:val="0000358C"/>
    <w:rsid w:val="00003596"/>
    <w:rsid w:val="000035F2"/>
    <w:rsid w:val="00003696"/>
    <w:rsid w:val="000036F8"/>
    <w:rsid w:val="0000370A"/>
    <w:rsid w:val="000037B6"/>
    <w:rsid w:val="000037C9"/>
    <w:rsid w:val="0000382A"/>
    <w:rsid w:val="000038AD"/>
    <w:rsid w:val="00003A27"/>
    <w:rsid w:val="00003AA9"/>
    <w:rsid w:val="00003B2F"/>
    <w:rsid w:val="00003BDD"/>
    <w:rsid w:val="00003C31"/>
    <w:rsid w:val="00003C3E"/>
    <w:rsid w:val="00003C70"/>
    <w:rsid w:val="00003E5F"/>
    <w:rsid w:val="00003E84"/>
    <w:rsid w:val="00003F01"/>
    <w:rsid w:val="00003F58"/>
    <w:rsid w:val="0000403E"/>
    <w:rsid w:val="00004049"/>
    <w:rsid w:val="00004093"/>
    <w:rsid w:val="0000409C"/>
    <w:rsid w:val="00004141"/>
    <w:rsid w:val="0000415D"/>
    <w:rsid w:val="00004189"/>
    <w:rsid w:val="0000430B"/>
    <w:rsid w:val="0000441E"/>
    <w:rsid w:val="000044A8"/>
    <w:rsid w:val="00004567"/>
    <w:rsid w:val="000045E4"/>
    <w:rsid w:val="000045F6"/>
    <w:rsid w:val="000046DC"/>
    <w:rsid w:val="000046DF"/>
    <w:rsid w:val="00004734"/>
    <w:rsid w:val="00004735"/>
    <w:rsid w:val="0000481E"/>
    <w:rsid w:val="000048F3"/>
    <w:rsid w:val="0000494D"/>
    <w:rsid w:val="0000495A"/>
    <w:rsid w:val="0000498B"/>
    <w:rsid w:val="000049DD"/>
    <w:rsid w:val="00004A09"/>
    <w:rsid w:val="00004B27"/>
    <w:rsid w:val="00004B2F"/>
    <w:rsid w:val="00004B79"/>
    <w:rsid w:val="00004B7D"/>
    <w:rsid w:val="00004CAD"/>
    <w:rsid w:val="00004D29"/>
    <w:rsid w:val="00004D2F"/>
    <w:rsid w:val="00004D39"/>
    <w:rsid w:val="00004D4D"/>
    <w:rsid w:val="00004D8D"/>
    <w:rsid w:val="00004DAA"/>
    <w:rsid w:val="00004DD9"/>
    <w:rsid w:val="00004E11"/>
    <w:rsid w:val="00004ECC"/>
    <w:rsid w:val="00004F43"/>
    <w:rsid w:val="00004F48"/>
    <w:rsid w:val="0000501A"/>
    <w:rsid w:val="000050A2"/>
    <w:rsid w:val="0000516D"/>
    <w:rsid w:val="000051E6"/>
    <w:rsid w:val="00005268"/>
    <w:rsid w:val="00005336"/>
    <w:rsid w:val="00005346"/>
    <w:rsid w:val="00005365"/>
    <w:rsid w:val="000053C2"/>
    <w:rsid w:val="000053E5"/>
    <w:rsid w:val="0000553F"/>
    <w:rsid w:val="00005573"/>
    <w:rsid w:val="000055ED"/>
    <w:rsid w:val="000055FF"/>
    <w:rsid w:val="0000562C"/>
    <w:rsid w:val="00005644"/>
    <w:rsid w:val="000056A4"/>
    <w:rsid w:val="00005787"/>
    <w:rsid w:val="000057F9"/>
    <w:rsid w:val="00005805"/>
    <w:rsid w:val="00005849"/>
    <w:rsid w:val="000058EC"/>
    <w:rsid w:val="000058FD"/>
    <w:rsid w:val="0000591E"/>
    <w:rsid w:val="000059A2"/>
    <w:rsid w:val="000059F5"/>
    <w:rsid w:val="00005B84"/>
    <w:rsid w:val="00005CB7"/>
    <w:rsid w:val="00005D8F"/>
    <w:rsid w:val="00005D99"/>
    <w:rsid w:val="00005DA8"/>
    <w:rsid w:val="00005DAB"/>
    <w:rsid w:val="00005DFD"/>
    <w:rsid w:val="00005E79"/>
    <w:rsid w:val="00005EBC"/>
    <w:rsid w:val="00005F2B"/>
    <w:rsid w:val="00005FC2"/>
    <w:rsid w:val="00005FD3"/>
    <w:rsid w:val="00006068"/>
    <w:rsid w:val="000060BF"/>
    <w:rsid w:val="000061A1"/>
    <w:rsid w:val="0000631E"/>
    <w:rsid w:val="00006320"/>
    <w:rsid w:val="00006331"/>
    <w:rsid w:val="0000645C"/>
    <w:rsid w:val="00006554"/>
    <w:rsid w:val="000065F5"/>
    <w:rsid w:val="00006623"/>
    <w:rsid w:val="00006707"/>
    <w:rsid w:val="00006719"/>
    <w:rsid w:val="00006774"/>
    <w:rsid w:val="000067FF"/>
    <w:rsid w:val="00006882"/>
    <w:rsid w:val="000069D7"/>
    <w:rsid w:val="000069D8"/>
    <w:rsid w:val="00006B2E"/>
    <w:rsid w:val="00006BFF"/>
    <w:rsid w:val="00006E7F"/>
    <w:rsid w:val="00006EC0"/>
    <w:rsid w:val="00006F39"/>
    <w:rsid w:val="00006F6A"/>
    <w:rsid w:val="00006F6C"/>
    <w:rsid w:val="00006F9E"/>
    <w:rsid w:val="00006FBE"/>
    <w:rsid w:val="00006FD5"/>
    <w:rsid w:val="00007013"/>
    <w:rsid w:val="00007039"/>
    <w:rsid w:val="0000704F"/>
    <w:rsid w:val="00007111"/>
    <w:rsid w:val="00007146"/>
    <w:rsid w:val="0000717A"/>
    <w:rsid w:val="000071E5"/>
    <w:rsid w:val="000071FC"/>
    <w:rsid w:val="0000725D"/>
    <w:rsid w:val="00007267"/>
    <w:rsid w:val="00007470"/>
    <w:rsid w:val="00007499"/>
    <w:rsid w:val="0000756E"/>
    <w:rsid w:val="00007643"/>
    <w:rsid w:val="00007679"/>
    <w:rsid w:val="000077AB"/>
    <w:rsid w:val="000077D8"/>
    <w:rsid w:val="000077EB"/>
    <w:rsid w:val="0000788D"/>
    <w:rsid w:val="00007902"/>
    <w:rsid w:val="0000792A"/>
    <w:rsid w:val="00007972"/>
    <w:rsid w:val="0000797B"/>
    <w:rsid w:val="000079D5"/>
    <w:rsid w:val="00007A4D"/>
    <w:rsid w:val="00007B2A"/>
    <w:rsid w:val="00007C02"/>
    <w:rsid w:val="00007C81"/>
    <w:rsid w:val="00007C90"/>
    <w:rsid w:val="00007D9E"/>
    <w:rsid w:val="00007DBC"/>
    <w:rsid w:val="00007E24"/>
    <w:rsid w:val="00007E2A"/>
    <w:rsid w:val="00007E3A"/>
    <w:rsid w:val="00007EAE"/>
    <w:rsid w:val="00007EBA"/>
    <w:rsid w:val="00007F3F"/>
    <w:rsid w:val="00007F77"/>
    <w:rsid w:val="00007FF5"/>
    <w:rsid w:val="0001009A"/>
    <w:rsid w:val="00010175"/>
    <w:rsid w:val="000103EC"/>
    <w:rsid w:val="00010463"/>
    <w:rsid w:val="000104A0"/>
    <w:rsid w:val="000104AA"/>
    <w:rsid w:val="000104DD"/>
    <w:rsid w:val="0001055C"/>
    <w:rsid w:val="000105FA"/>
    <w:rsid w:val="000106C5"/>
    <w:rsid w:val="000106DD"/>
    <w:rsid w:val="00010718"/>
    <w:rsid w:val="0001072E"/>
    <w:rsid w:val="00010792"/>
    <w:rsid w:val="000108C9"/>
    <w:rsid w:val="000109B8"/>
    <w:rsid w:val="000109FA"/>
    <w:rsid w:val="00010C7C"/>
    <w:rsid w:val="00010C8A"/>
    <w:rsid w:val="00010CA3"/>
    <w:rsid w:val="00010CDE"/>
    <w:rsid w:val="00010D17"/>
    <w:rsid w:val="00010D36"/>
    <w:rsid w:val="00010D7E"/>
    <w:rsid w:val="00010DB7"/>
    <w:rsid w:val="00010E7B"/>
    <w:rsid w:val="00010E8A"/>
    <w:rsid w:val="00010EAA"/>
    <w:rsid w:val="00010FA4"/>
    <w:rsid w:val="00010FDB"/>
    <w:rsid w:val="00011178"/>
    <w:rsid w:val="00011199"/>
    <w:rsid w:val="000111A6"/>
    <w:rsid w:val="00011225"/>
    <w:rsid w:val="000112D2"/>
    <w:rsid w:val="0001133F"/>
    <w:rsid w:val="000113E7"/>
    <w:rsid w:val="00011530"/>
    <w:rsid w:val="000115D6"/>
    <w:rsid w:val="000115F3"/>
    <w:rsid w:val="0001164F"/>
    <w:rsid w:val="00011739"/>
    <w:rsid w:val="00011763"/>
    <w:rsid w:val="000117FD"/>
    <w:rsid w:val="00011807"/>
    <w:rsid w:val="0001185C"/>
    <w:rsid w:val="000118D3"/>
    <w:rsid w:val="00011918"/>
    <w:rsid w:val="00011923"/>
    <w:rsid w:val="0001192D"/>
    <w:rsid w:val="00011959"/>
    <w:rsid w:val="00011A08"/>
    <w:rsid w:val="00011A5D"/>
    <w:rsid w:val="00011B57"/>
    <w:rsid w:val="00011B75"/>
    <w:rsid w:val="00011BF1"/>
    <w:rsid w:val="00011D3D"/>
    <w:rsid w:val="00011DD3"/>
    <w:rsid w:val="00011E99"/>
    <w:rsid w:val="00011EB3"/>
    <w:rsid w:val="00011EBE"/>
    <w:rsid w:val="00011F05"/>
    <w:rsid w:val="0001207E"/>
    <w:rsid w:val="00012222"/>
    <w:rsid w:val="0001229D"/>
    <w:rsid w:val="00012353"/>
    <w:rsid w:val="000123AB"/>
    <w:rsid w:val="0001253C"/>
    <w:rsid w:val="0001254D"/>
    <w:rsid w:val="00012553"/>
    <w:rsid w:val="00012568"/>
    <w:rsid w:val="0001260B"/>
    <w:rsid w:val="000126B8"/>
    <w:rsid w:val="000126C0"/>
    <w:rsid w:val="00012788"/>
    <w:rsid w:val="000127CE"/>
    <w:rsid w:val="00012814"/>
    <w:rsid w:val="00012849"/>
    <w:rsid w:val="000128BA"/>
    <w:rsid w:val="000128F2"/>
    <w:rsid w:val="00012933"/>
    <w:rsid w:val="00012993"/>
    <w:rsid w:val="00012A18"/>
    <w:rsid w:val="00012A3D"/>
    <w:rsid w:val="00012A75"/>
    <w:rsid w:val="00012AFE"/>
    <w:rsid w:val="00012B73"/>
    <w:rsid w:val="00012C8C"/>
    <w:rsid w:val="00012CA9"/>
    <w:rsid w:val="00012D1F"/>
    <w:rsid w:val="00012D8C"/>
    <w:rsid w:val="00012DE6"/>
    <w:rsid w:val="00012DFC"/>
    <w:rsid w:val="00012ED9"/>
    <w:rsid w:val="00012FAD"/>
    <w:rsid w:val="00013031"/>
    <w:rsid w:val="0001303D"/>
    <w:rsid w:val="0001310D"/>
    <w:rsid w:val="0001316C"/>
    <w:rsid w:val="00013175"/>
    <w:rsid w:val="000131CE"/>
    <w:rsid w:val="00013206"/>
    <w:rsid w:val="000133B2"/>
    <w:rsid w:val="000133EC"/>
    <w:rsid w:val="00013477"/>
    <w:rsid w:val="00013501"/>
    <w:rsid w:val="00013575"/>
    <w:rsid w:val="00013583"/>
    <w:rsid w:val="00013664"/>
    <w:rsid w:val="000137BE"/>
    <w:rsid w:val="0001391C"/>
    <w:rsid w:val="0001398B"/>
    <w:rsid w:val="000139E4"/>
    <w:rsid w:val="00013A4C"/>
    <w:rsid w:val="00013A4D"/>
    <w:rsid w:val="00013B31"/>
    <w:rsid w:val="00013B6C"/>
    <w:rsid w:val="00013D0E"/>
    <w:rsid w:val="00013E3D"/>
    <w:rsid w:val="00013E57"/>
    <w:rsid w:val="00013EFD"/>
    <w:rsid w:val="00013F8F"/>
    <w:rsid w:val="00014041"/>
    <w:rsid w:val="000141AE"/>
    <w:rsid w:val="000141E8"/>
    <w:rsid w:val="00014212"/>
    <w:rsid w:val="00014239"/>
    <w:rsid w:val="00014285"/>
    <w:rsid w:val="0001435D"/>
    <w:rsid w:val="0001436E"/>
    <w:rsid w:val="00014494"/>
    <w:rsid w:val="000144FB"/>
    <w:rsid w:val="000144FE"/>
    <w:rsid w:val="0001452F"/>
    <w:rsid w:val="00014536"/>
    <w:rsid w:val="00014655"/>
    <w:rsid w:val="00014656"/>
    <w:rsid w:val="0001465A"/>
    <w:rsid w:val="00014673"/>
    <w:rsid w:val="00014677"/>
    <w:rsid w:val="0001467F"/>
    <w:rsid w:val="0001474A"/>
    <w:rsid w:val="00014760"/>
    <w:rsid w:val="0001477B"/>
    <w:rsid w:val="00014887"/>
    <w:rsid w:val="000148C4"/>
    <w:rsid w:val="0001492A"/>
    <w:rsid w:val="0001493A"/>
    <w:rsid w:val="00014953"/>
    <w:rsid w:val="00014AE7"/>
    <w:rsid w:val="00014B07"/>
    <w:rsid w:val="00014B45"/>
    <w:rsid w:val="00014BEE"/>
    <w:rsid w:val="00014CD5"/>
    <w:rsid w:val="00014E9D"/>
    <w:rsid w:val="00014F4D"/>
    <w:rsid w:val="00014F54"/>
    <w:rsid w:val="00014F68"/>
    <w:rsid w:val="00014FB9"/>
    <w:rsid w:val="00014FE8"/>
    <w:rsid w:val="00015008"/>
    <w:rsid w:val="000150F9"/>
    <w:rsid w:val="0001511E"/>
    <w:rsid w:val="00015160"/>
    <w:rsid w:val="0001517C"/>
    <w:rsid w:val="00015191"/>
    <w:rsid w:val="00015193"/>
    <w:rsid w:val="00015211"/>
    <w:rsid w:val="00015259"/>
    <w:rsid w:val="0001538E"/>
    <w:rsid w:val="000153C2"/>
    <w:rsid w:val="000153DE"/>
    <w:rsid w:val="0001541C"/>
    <w:rsid w:val="00015628"/>
    <w:rsid w:val="00015732"/>
    <w:rsid w:val="00015764"/>
    <w:rsid w:val="000157A9"/>
    <w:rsid w:val="000157E7"/>
    <w:rsid w:val="000157EC"/>
    <w:rsid w:val="00015839"/>
    <w:rsid w:val="00015860"/>
    <w:rsid w:val="000158B7"/>
    <w:rsid w:val="00015900"/>
    <w:rsid w:val="00015966"/>
    <w:rsid w:val="00015995"/>
    <w:rsid w:val="000159A1"/>
    <w:rsid w:val="00015A55"/>
    <w:rsid w:val="00015A84"/>
    <w:rsid w:val="00015A9C"/>
    <w:rsid w:val="00015AFF"/>
    <w:rsid w:val="00015B3B"/>
    <w:rsid w:val="00015B74"/>
    <w:rsid w:val="00015C17"/>
    <w:rsid w:val="00015CB5"/>
    <w:rsid w:val="00015DEF"/>
    <w:rsid w:val="00015DFE"/>
    <w:rsid w:val="00015E9E"/>
    <w:rsid w:val="00015ECB"/>
    <w:rsid w:val="00015ED0"/>
    <w:rsid w:val="00015F27"/>
    <w:rsid w:val="000160A8"/>
    <w:rsid w:val="00016107"/>
    <w:rsid w:val="00016163"/>
    <w:rsid w:val="000162BD"/>
    <w:rsid w:val="00016366"/>
    <w:rsid w:val="000163F6"/>
    <w:rsid w:val="0001642F"/>
    <w:rsid w:val="0001645C"/>
    <w:rsid w:val="000164A3"/>
    <w:rsid w:val="000164B0"/>
    <w:rsid w:val="000164F4"/>
    <w:rsid w:val="00016537"/>
    <w:rsid w:val="00016553"/>
    <w:rsid w:val="00016607"/>
    <w:rsid w:val="000166A0"/>
    <w:rsid w:val="000166DD"/>
    <w:rsid w:val="00016880"/>
    <w:rsid w:val="00016889"/>
    <w:rsid w:val="000168CF"/>
    <w:rsid w:val="000168E8"/>
    <w:rsid w:val="00016982"/>
    <w:rsid w:val="000169D2"/>
    <w:rsid w:val="00016AC5"/>
    <w:rsid w:val="00016AD0"/>
    <w:rsid w:val="00016B1D"/>
    <w:rsid w:val="00016C1B"/>
    <w:rsid w:val="00016CE1"/>
    <w:rsid w:val="00016D1C"/>
    <w:rsid w:val="00016D60"/>
    <w:rsid w:val="00016D8D"/>
    <w:rsid w:val="00016DB3"/>
    <w:rsid w:val="00016DBE"/>
    <w:rsid w:val="00016EB2"/>
    <w:rsid w:val="00016F00"/>
    <w:rsid w:val="00016F41"/>
    <w:rsid w:val="00016FBD"/>
    <w:rsid w:val="0001708C"/>
    <w:rsid w:val="000170CF"/>
    <w:rsid w:val="00017112"/>
    <w:rsid w:val="00017195"/>
    <w:rsid w:val="000171B5"/>
    <w:rsid w:val="000172E8"/>
    <w:rsid w:val="0001730B"/>
    <w:rsid w:val="0001742F"/>
    <w:rsid w:val="00017481"/>
    <w:rsid w:val="000174B3"/>
    <w:rsid w:val="000174BB"/>
    <w:rsid w:val="0001751A"/>
    <w:rsid w:val="00017551"/>
    <w:rsid w:val="00017571"/>
    <w:rsid w:val="000175CA"/>
    <w:rsid w:val="000176A7"/>
    <w:rsid w:val="0001771D"/>
    <w:rsid w:val="000177C9"/>
    <w:rsid w:val="0001783B"/>
    <w:rsid w:val="00017919"/>
    <w:rsid w:val="0001797D"/>
    <w:rsid w:val="000179C1"/>
    <w:rsid w:val="00017B57"/>
    <w:rsid w:val="00017C05"/>
    <w:rsid w:val="00017CB4"/>
    <w:rsid w:val="00017CBE"/>
    <w:rsid w:val="00017D34"/>
    <w:rsid w:val="00017DD0"/>
    <w:rsid w:val="00017F1F"/>
    <w:rsid w:val="00017F50"/>
    <w:rsid w:val="00017F88"/>
    <w:rsid w:val="00017FAD"/>
    <w:rsid w:val="00020048"/>
    <w:rsid w:val="000200A6"/>
    <w:rsid w:val="00020193"/>
    <w:rsid w:val="0002019B"/>
    <w:rsid w:val="000201C5"/>
    <w:rsid w:val="00020299"/>
    <w:rsid w:val="000202CC"/>
    <w:rsid w:val="00020301"/>
    <w:rsid w:val="000203BA"/>
    <w:rsid w:val="00020595"/>
    <w:rsid w:val="000205EC"/>
    <w:rsid w:val="000206A8"/>
    <w:rsid w:val="0002079E"/>
    <w:rsid w:val="00020884"/>
    <w:rsid w:val="000208BA"/>
    <w:rsid w:val="00020951"/>
    <w:rsid w:val="00020964"/>
    <w:rsid w:val="0002096D"/>
    <w:rsid w:val="0002096E"/>
    <w:rsid w:val="000209A6"/>
    <w:rsid w:val="000209CE"/>
    <w:rsid w:val="00020B01"/>
    <w:rsid w:val="00020B40"/>
    <w:rsid w:val="00020BC2"/>
    <w:rsid w:val="00020C47"/>
    <w:rsid w:val="00020C6D"/>
    <w:rsid w:val="00020DCE"/>
    <w:rsid w:val="00020DEC"/>
    <w:rsid w:val="00020E27"/>
    <w:rsid w:val="00020EBB"/>
    <w:rsid w:val="00020F20"/>
    <w:rsid w:val="00020FD5"/>
    <w:rsid w:val="0002102D"/>
    <w:rsid w:val="00021032"/>
    <w:rsid w:val="00021154"/>
    <w:rsid w:val="000211DD"/>
    <w:rsid w:val="0002127C"/>
    <w:rsid w:val="00021281"/>
    <w:rsid w:val="000212E6"/>
    <w:rsid w:val="00021340"/>
    <w:rsid w:val="00021362"/>
    <w:rsid w:val="000213A1"/>
    <w:rsid w:val="0002141C"/>
    <w:rsid w:val="00021434"/>
    <w:rsid w:val="00021439"/>
    <w:rsid w:val="00021459"/>
    <w:rsid w:val="000214CE"/>
    <w:rsid w:val="00021507"/>
    <w:rsid w:val="000215A2"/>
    <w:rsid w:val="000215E0"/>
    <w:rsid w:val="000215F6"/>
    <w:rsid w:val="00021633"/>
    <w:rsid w:val="00021694"/>
    <w:rsid w:val="00021717"/>
    <w:rsid w:val="00021790"/>
    <w:rsid w:val="000217E8"/>
    <w:rsid w:val="000218AA"/>
    <w:rsid w:val="000218DC"/>
    <w:rsid w:val="00021954"/>
    <w:rsid w:val="00021A30"/>
    <w:rsid w:val="00021A40"/>
    <w:rsid w:val="00021AE7"/>
    <w:rsid w:val="00021BB3"/>
    <w:rsid w:val="00021C19"/>
    <w:rsid w:val="00021CE6"/>
    <w:rsid w:val="00021DB1"/>
    <w:rsid w:val="00021E72"/>
    <w:rsid w:val="00021EDF"/>
    <w:rsid w:val="00021F6C"/>
    <w:rsid w:val="00021FA6"/>
    <w:rsid w:val="000220FD"/>
    <w:rsid w:val="00022104"/>
    <w:rsid w:val="00022165"/>
    <w:rsid w:val="0002220D"/>
    <w:rsid w:val="00022220"/>
    <w:rsid w:val="00022223"/>
    <w:rsid w:val="0002228D"/>
    <w:rsid w:val="00022308"/>
    <w:rsid w:val="00022312"/>
    <w:rsid w:val="0002231F"/>
    <w:rsid w:val="000223D0"/>
    <w:rsid w:val="00022404"/>
    <w:rsid w:val="0002243F"/>
    <w:rsid w:val="0002257D"/>
    <w:rsid w:val="000225D2"/>
    <w:rsid w:val="00022718"/>
    <w:rsid w:val="000227A3"/>
    <w:rsid w:val="00022824"/>
    <w:rsid w:val="00022883"/>
    <w:rsid w:val="000228D9"/>
    <w:rsid w:val="000229B4"/>
    <w:rsid w:val="00022AF7"/>
    <w:rsid w:val="00022B05"/>
    <w:rsid w:val="00022B24"/>
    <w:rsid w:val="00022BE2"/>
    <w:rsid w:val="00022C01"/>
    <w:rsid w:val="00022C3A"/>
    <w:rsid w:val="00022C70"/>
    <w:rsid w:val="00022D0F"/>
    <w:rsid w:val="00022D8E"/>
    <w:rsid w:val="00022EB8"/>
    <w:rsid w:val="00022ECA"/>
    <w:rsid w:val="00022F24"/>
    <w:rsid w:val="00022F73"/>
    <w:rsid w:val="00022F80"/>
    <w:rsid w:val="0002302E"/>
    <w:rsid w:val="00023087"/>
    <w:rsid w:val="000230D2"/>
    <w:rsid w:val="00023142"/>
    <w:rsid w:val="000231F3"/>
    <w:rsid w:val="00023228"/>
    <w:rsid w:val="0002329E"/>
    <w:rsid w:val="000233D4"/>
    <w:rsid w:val="00023404"/>
    <w:rsid w:val="000234C7"/>
    <w:rsid w:val="00023552"/>
    <w:rsid w:val="0002357F"/>
    <w:rsid w:val="0002362F"/>
    <w:rsid w:val="00023647"/>
    <w:rsid w:val="000236A0"/>
    <w:rsid w:val="000236A9"/>
    <w:rsid w:val="0002376B"/>
    <w:rsid w:val="00023795"/>
    <w:rsid w:val="000237EB"/>
    <w:rsid w:val="0002382F"/>
    <w:rsid w:val="00023845"/>
    <w:rsid w:val="0002384D"/>
    <w:rsid w:val="00023862"/>
    <w:rsid w:val="000238DE"/>
    <w:rsid w:val="00023900"/>
    <w:rsid w:val="00023907"/>
    <w:rsid w:val="00023A14"/>
    <w:rsid w:val="00023A66"/>
    <w:rsid w:val="00023A74"/>
    <w:rsid w:val="00023B22"/>
    <w:rsid w:val="00023C1D"/>
    <w:rsid w:val="00023C20"/>
    <w:rsid w:val="00023CEC"/>
    <w:rsid w:val="00023E23"/>
    <w:rsid w:val="00023EAE"/>
    <w:rsid w:val="00023F26"/>
    <w:rsid w:val="00023F27"/>
    <w:rsid w:val="00023F5F"/>
    <w:rsid w:val="0002411A"/>
    <w:rsid w:val="00024273"/>
    <w:rsid w:val="00024281"/>
    <w:rsid w:val="0002431E"/>
    <w:rsid w:val="00024324"/>
    <w:rsid w:val="0002432F"/>
    <w:rsid w:val="00024358"/>
    <w:rsid w:val="000243D8"/>
    <w:rsid w:val="00024418"/>
    <w:rsid w:val="000244CB"/>
    <w:rsid w:val="000244E8"/>
    <w:rsid w:val="0002460D"/>
    <w:rsid w:val="000246B7"/>
    <w:rsid w:val="00024723"/>
    <w:rsid w:val="0002474A"/>
    <w:rsid w:val="0002479F"/>
    <w:rsid w:val="00024875"/>
    <w:rsid w:val="000248BE"/>
    <w:rsid w:val="00024B24"/>
    <w:rsid w:val="00024C2D"/>
    <w:rsid w:val="00024C72"/>
    <w:rsid w:val="00024E87"/>
    <w:rsid w:val="00024FB5"/>
    <w:rsid w:val="00024FBE"/>
    <w:rsid w:val="0002520F"/>
    <w:rsid w:val="00025362"/>
    <w:rsid w:val="00025386"/>
    <w:rsid w:val="00025412"/>
    <w:rsid w:val="0002551F"/>
    <w:rsid w:val="0002556D"/>
    <w:rsid w:val="00025596"/>
    <w:rsid w:val="0002561F"/>
    <w:rsid w:val="000256FB"/>
    <w:rsid w:val="000257DB"/>
    <w:rsid w:val="0002581B"/>
    <w:rsid w:val="000258B8"/>
    <w:rsid w:val="0002594D"/>
    <w:rsid w:val="000259BA"/>
    <w:rsid w:val="000259D4"/>
    <w:rsid w:val="000259D8"/>
    <w:rsid w:val="00025A4A"/>
    <w:rsid w:val="00025A9C"/>
    <w:rsid w:val="00025BC0"/>
    <w:rsid w:val="00025C6B"/>
    <w:rsid w:val="00025D44"/>
    <w:rsid w:val="00025D91"/>
    <w:rsid w:val="00025E2D"/>
    <w:rsid w:val="00025E5F"/>
    <w:rsid w:val="00025EF1"/>
    <w:rsid w:val="00025FAF"/>
    <w:rsid w:val="0002607B"/>
    <w:rsid w:val="000260B4"/>
    <w:rsid w:val="000260CE"/>
    <w:rsid w:val="0002610A"/>
    <w:rsid w:val="0002611B"/>
    <w:rsid w:val="00026172"/>
    <w:rsid w:val="00026175"/>
    <w:rsid w:val="000261C4"/>
    <w:rsid w:val="000261E7"/>
    <w:rsid w:val="000262C3"/>
    <w:rsid w:val="0002634E"/>
    <w:rsid w:val="000263DE"/>
    <w:rsid w:val="000264EB"/>
    <w:rsid w:val="00026789"/>
    <w:rsid w:val="000267BD"/>
    <w:rsid w:val="000267FC"/>
    <w:rsid w:val="00026A57"/>
    <w:rsid w:val="00026A90"/>
    <w:rsid w:val="00026B06"/>
    <w:rsid w:val="00026B19"/>
    <w:rsid w:val="00026B36"/>
    <w:rsid w:val="00026B44"/>
    <w:rsid w:val="00026B8D"/>
    <w:rsid w:val="00026C03"/>
    <w:rsid w:val="00026D62"/>
    <w:rsid w:val="00026E63"/>
    <w:rsid w:val="00026F71"/>
    <w:rsid w:val="00026F9C"/>
    <w:rsid w:val="00026FB3"/>
    <w:rsid w:val="00026FF0"/>
    <w:rsid w:val="0002704C"/>
    <w:rsid w:val="00027223"/>
    <w:rsid w:val="00027243"/>
    <w:rsid w:val="000273B8"/>
    <w:rsid w:val="00027400"/>
    <w:rsid w:val="00027435"/>
    <w:rsid w:val="000275E4"/>
    <w:rsid w:val="0002764C"/>
    <w:rsid w:val="0002768D"/>
    <w:rsid w:val="000276FF"/>
    <w:rsid w:val="0002770A"/>
    <w:rsid w:val="00027753"/>
    <w:rsid w:val="00027844"/>
    <w:rsid w:val="000278D4"/>
    <w:rsid w:val="000278D9"/>
    <w:rsid w:val="00027926"/>
    <w:rsid w:val="000279AB"/>
    <w:rsid w:val="00027A39"/>
    <w:rsid w:val="00027B0E"/>
    <w:rsid w:val="00027B18"/>
    <w:rsid w:val="00027B31"/>
    <w:rsid w:val="00027B4C"/>
    <w:rsid w:val="00027B80"/>
    <w:rsid w:val="00027B91"/>
    <w:rsid w:val="00027C20"/>
    <w:rsid w:val="00027C80"/>
    <w:rsid w:val="00027C82"/>
    <w:rsid w:val="00027CA1"/>
    <w:rsid w:val="00027CCA"/>
    <w:rsid w:val="00027CCF"/>
    <w:rsid w:val="00027CD4"/>
    <w:rsid w:val="00027D10"/>
    <w:rsid w:val="00027D26"/>
    <w:rsid w:val="00027F01"/>
    <w:rsid w:val="000300E4"/>
    <w:rsid w:val="000300FE"/>
    <w:rsid w:val="00030150"/>
    <w:rsid w:val="00030214"/>
    <w:rsid w:val="000302DF"/>
    <w:rsid w:val="00030319"/>
    <w:rsid w:val="00030354"/>
    <w:rsid w:val="00030393"/>
    <w:rsid w:val="000303FD"/>
    <w:rsid w:val="00030517"/>
    <w:rsid w:val="0003053D"/>
    <w:rsid w:val="0003061C"/>
    <w:rsid w:val="00030620"/>
    <w:rsid w:val="00030652"/>
    <w:rsid w:val="00030670"/>
    <w:rsid w:val="000306F4"/>
    <w:rsid w:val="00030819"/>
    <w:rsid w:val="000308E7"/>
    <w:rsid w:val="000309BD"/>
    <w:rsid w:val="00030A69"/>
    <w:rsid w:val="00030ABA"/>
    <w:rsid w:val="00030AFD"/>
    <w:rsid w:val="00030B96"/>
    <w:rsid w:val="00030C15"/>
    <w:rsid w:val="00030C75"/>
    <w:rsid w:val="00030C8E"/>
    <w:rsid w:val="00030CB7"/>
    <w:rsid w:val="00030CE4"/>
    <w:rsid w:val="00030DB4"/>
    <w:rsid w:val="00030E05"/>
    <w:rsid w:val="00030E3B"/>
    <w:rsid w:val="00030EE0"/>
    <w:rsid w:val="00030EE9"/>
    <w:rsid w:val="00030F37"/>
    <w:rsid w:val="00030F74"/>
    <w:rsid w:val="0003112B"/>
    <w:rsid w:val="000311F3"/>
    <w:rsid w:val="00031204"/>
    <w:rsid w:val="00031209"/>
    <w:rsid w:val="000312E5"/>
    <w:rsid w:val="00031370"/>
    <w:rsid w:val="0003137F"/>
    <w:rsid w:val="000313FA"/>
    <w:rsid w:val="000314AD"/>
    <w:rsid w:val="0003153C"/>
    <w:rsid w:val="0003163A"/>
    <w:rsid w:val="00031736"/>
    <w:rsid w:val="00031744"/>
    <w:rsid w:val="00031804"/>
    <w:rsid w:val="00031924"/>
    <w:rsid w:val="00031A15"/>
    <w:rsid w:val="00031A52"/>
    <w:rsid w:val="00031B0C"/>
    <w:rsid w:val="00031B60"/>
    <w:rsid w:val="00031B72"/>
    <w:rsid w:val="00031BC1"/>
    <w:rsid w:val="00031BD3"/>
    <w:rsid w:val="00031BDB"/>
    <w:rsid w:val="00031BE5"/>
    <w:rsid w:val="00031C88"/>
    <w:rsid w:val="00031C9F"/>
    <w:rsid w:val="00031CC9"/>
    <w:rsid w:val="00031CF0"/>
    <w:rsid w:val="00031D85"/>
    <w:rsid w:val="00031DA5"/>
    <w:rsid w:val="00031DAA"/>
    <w:rsid w:val="00031E5F"/>
    <w:rsid w:val="00031FE0"/>
    <w:rsid w:val="0003209D"/>
    <w:rsid w:val="000320CB"/>
    <w:rsid w:val="000320E2"/>
    <w:rsid w:val="000321B5"/>
    <w:rsid w:val="00032299"/>
    <w:rsid w:val="00032352"/>
    <w:rsid w:val="00032357"/>
    <w:rsid w:val="00032399"/>
    <w:rsid w:val="000323A2"/>
    <w:rsid w:val="00032405"/>
    <w:rsid w:val="000324C1"/>
    <w:rsid w:val="000324F4"/>
    <w:rsid w:val="000325E4"/>
    <w:rsid w:val="000325ED"/>
    <w:rsid w:val="000326FE"/>
    <w:rsid w:val="00032728"/>
    <w:rsid w:val="00032815"/>
    <w:rsid w:val="0003292D"/>
    <w:rsid w:val="00032947"/>
    <w:rsid w:val="00032977"/>
    <w:rsid w:val="00032990"/>
    <w:rsid w:val="000329C7"/>
    <w:rsid w:val="00032A53"/>
    <w:rsid w:val="00032A8D"/>
    <w:rsid w:val="00032A9B"/>
    <w:rsid w:val="00032B8D"/>
    <w:rsid w:val="00032BF3"/>
    <w:rsid w:val="00032C5D"/>
    <w:rsid w:val="00032E1F"/>
    <w:rsid w:val="00032E49"/>
    <w:rsid w:val="00032E9B"/>
    <w:rsid w:val="00032F46"/>
    <w:rsid w:val="00032F50"/>
    <w:rsid w:val="00032FAF"/>
    <w:rsid w:val="00033187"/>
    <w:rsid w:val="00033199"/>
    <w:rsid w:val="00033204"/>
    <w:rsid w:val="00033233"/>
    <w:rsid w:val="00033271"/>
    <w:rsid w:val="00033287"/>
    <w:rsid w:val="00033339"/>
    <w:rsid w:val="00033354"/>
    <w:rsid w:val="0003351A"/>
    <w:rsid w:val="0003367B"/>
    <w:rsid w:val="000336C6"/>
    <w:rsid w:val="000337C3"/>
    <w:rsid w:val="00033820"/>
    <w:rsid w:val="00033894"/>
    <w:rsid w:val="0003391C"/>
    <w:rsid w:val="0003394A"/>
    <w:rsid w:val="0003395F"/>
    <w:rsid w:val="000339B7"/>
    <w:rsid w:val="00033A0A"/>
    <w:rsid w:val="00033A9F"/>
    <w:rsid w:val="00033AF5"/>
    <w:rsid w:val="00033B94"/>
    <w:rsid w:val="00033C64"/>
    <w:rsid w:val="00033E19"/>
    <w:rsid w:val="00033E96"/>
    <w:rsid w:val="00033EBA"/>
    <w:rsid w:val="00033F03"/>
    <w:rsid w:val="00033F94"/>
    <w:rsid w:val="0003400E"/>
    <w:rsid w:val="00034083"/>
    <w:rsid w:val="00034147"/>
    <w:rsid w:val="0003419F"/>
    <w:rsid w:val="000341A5"/>
    <w:rsid w:val="00034222"/>
    <w:rsid w:val="00034288"/>
    <w:rsid w:val="000342F3"/>
    <w:rsid w:val="00034302"/>
    <w:rsid w:val="000343A0"/>
    <w:rsid w:val="000343C0"/>
    <w:rsid w:val="00034423"/>
    <w:rsid w:val="0003450A"/>
    <w:rsid w:val="000345BA"/>
    <w:rsid w:val="000345D6"/>
    <w:rsid w:val="000347A5"/>
    <w:rsid w:val="00034806"/>
    <w:rsid w:val="00034818"/>
    <w:rsid w:val="00034821"/>
    <w:rsid w:val="000348F9"/>
    <w:rsid w:val="00034931"/>
    <w:rsid w:val="000349AE"/>
    <w:rsid w:val="00034A0B"/>
    <w:rsid w:val="00034BA4"/>
    <w:rsid w:val="00034BFE"/>
    <w:rsid w:val="00034CE7"/>
    <w:rsid w:val="00034DBD"/>
    <w:rsid w:val="00034DD1"/>
    <w:rsid w:val="00034E03"/>
    <w:rsid w:val="00034E11"/>
    <w:rsid w:val="00034ECA"/>
    <w:rsid w:val="00034F8B"/>
    <w:rsid w:val="00034FA1"/>
    <w:rsid w:val="00034FD8"/>
    <w:rsid w:val="00035001"/>
    <w:rsid w:val="00035046"/>
    <w:rsid w:val="0003508D"/>
    <w:rsid w:val="000350D5"/>
    <w:rsid w:val="000350DF"/>
    <w:rsid w:val="00035289"/>
    <w:rsid w:val="000353A5"/>
    <w:rsid w:val="0003544D"/>
    <w:rsid w:val="00035461"/>
    <w:rsid w:val="000354CF"/>
    <w:rsid w:val="000354F5"/>
    <w:rsid w:val="0003551C"/>
    <w:rsid w:val="0003551F"/>
    <w:rsid w:val="00035561"/>
    <w:rsid w:val="000356CD"/>
    <w:rsid w:val="000356F7"/>
    <w:rsid w:val="00035772"/>
    <w:rsid w:val="00035777"/>
    <w:rsid w:val="00035892"/>
    <w:rsid w:val="00035913"/>
    <w:rsid w:val="000359D1"/>
    <w:rsid w:val="00035A40"/>
    <w:rsid w:val="00035B49"/>
    <w:rsid w:val="00035B86"/>
    <w:rsid w:val="00035CAD"/>
    <w:rsid w:val="00035D1F"/>
    <w:rsid w:val="00035D70"/>
    <w:rsid w:val="00035DE7"/>
    <w:rsid w:val="00035E5A"/>
    <w:rsid w:val="00035EB3"/>
    <w:rsid w:val="00035ED6"/>
    <w:rsid w:val="00035F09"/>
    <w:rsid w:val="00035F22"/>
    <w:rsid w:val="00035FCD"/>
    <w:rsid w:val="000360D0"/>
    <w:rsid w:val="000361EE"/>
    <w:rsid w:val="0003620A"/>
    <w:rsid w:val="00036234"/>
    <w:rsid w:val="00036247"/>
    <w:rsid w:val="00036255"/>
    <w:rsid w:val="0003626B"/>
    <w:rsid w:val="00036285"/>
    <w:rsid w:val="00036318"/>
    <w:rsid w:val="00036354"/>
    <w:rsid w:val="000363BC"/>
    <w:rsid w:val="0003657D"/>
    <w:rsid w:val="0003674F"/>
    <w:rsid w:val="000368DB"/>
    <w:rsid w:val="00036967"/>
    <w:rsid w:val="000369A2"/>
    <w:rsid w:val="000369FE"/>
    <w:rsid w:val="00036A30"/>
    <w:rsid w:val="00036B1D"/>
    <w:rsid w:val="00036B80"/>
    <w:rsid w:val="00036D0F"/>
    <w:rsid w:val="00036DE3"/>
    <w:rsid w:val="00036E8D"/>
    <w:rsid w:val="00036F77"/>
    <w:rsid w:val="000370FE"/>
    <w:rsid w:val="0003711E"/>
    <w:rsid w:val="00037132"/>
    <w:rsid w:val="0003721D"/>
    <w:rsid w:val="0003733C"/>
    <w:rsid w:val="00037350"/>
    <w:rsid w:val="000373B5"/>
    <w:rsid w:val="00037434"/>
    <w:rsid w:val="0003749B"/>
    <w:rsid w:val="000374AA"/>
    <w:rsid w:val="0003751B"/>
    <w:rsid w:val="000375F2"/>
    <w:rsid w:val="00037626"/>
    <w:rsid w:val="0003762D"/>
    <w:rsid w:val="000376CA"/>
    <w:rsid w:val="0003772E"/>
    <w:rsid w:val="00037732"/>
    <w:rsid w:val="00037834"/>
    <w:rsid w:val="00037976"/>
    <w:rsid w:val="00037A2F"/>
    <w:rsid w:val="00037A38"/>
    <w:rsid w:val="00037A40"/>
    <w:rsid w:val="00037AAB"/>
    <w:rsid w:val="00037AE7"/>
    <w:rsid w:val="00037AF3"/>
    <w:rsid w:val="00037B66"/>
    <w:rsid w:val="00037BE7"/>
    <w:rsid w:val="00037C63"/>
    <w:rsid w:val="00037C93"/>
    <w:rsid w:val="00037D13"/>
    <w:rsid w:val="00037D34"/>
    <w:rsid w:val="00037E5C"/>
    <w:rsid w:val="00037E6C"/>
    <w:rsid w:val="00037E72"/>
    <w:rsid w:val="00037EFF"/>
    <w:rsid w:val="00037F20"/>
    <w:rsid w:val="00037F35"/>
    <w:rsid w:val="00037F87"/>
    <w:rsid w:val="00037FB0"/>
    <w:rsid w:val="00037FC2"/>
    <w:rsid w:val="00040067"/>
    <w:rsid w:val="00040112"/>
    <w:rsid w:val="0004014D"/>
    <w:rsid w:val="000402DC"/>
    <w:rsid w:val="000402FF"/>
    <w:rsid w:val="00040307"/>
    <w:rsid w:val="0004034A"/>
    <w:rsid w:val="00040370"/>
    <w:rsid w:val="0004039E"/>
    <w:rsid w:val="000403D0"/>
    <w:rsid w:val="000403F4"/>
    <w:rsid w:val="00040422"/>
    <w:rsid w:val="00040487"/>
    <w:rsid w:val="0004050F"/>
    <w:rsid w:val="00040543"/>
    <w:rsid w:val="00040570"/>
    <w:rsid w:val="00040619"/>
    <w:rsid w:val="000406C6"/>
    <w:rsid w:val="000406F0"/>
    <w:rsid w:val="000407A0"/>
    <w:rsid w:val="000407B8"/>
    <w:rsid w:val="00040858"/>
    <w:rsid w:val="0004088A"/>
    <w:rsid w:val="0004093B"/>
    <w:rsid w:val="00040A35"/>
    <w:rsid w:val="00040A49"/>
    <w:rsid w:val="00040AB2"/>
    <w:rsid w:val="00040AC1"/>
    <w:rsid w:val="00040B87"/>
    <w:rsid w:val="00040B91"/>
    <w:rsid w:val="00040BF5"/>
    <w:rsid w:val="00040BFE"/>
    <w:rsid w:val="00040C1E"/>
    <w:rsid w:val="00040C5B"/>
    <w:rsid w:val="00040CBC"/>
    <w:rsid w:val="00040D12"/>
    <w:rsid w:val="00040EB7"/>
    <w:rsid w:val="00040ED1"/>
    <w:rsid w:val="00040EEF"/>
    <w:rsid w:val="00040EF2"/>
    <w:rsid w:val="00040F5A"/>
    <w:rsid w:val="00040FEB"/>
    <w:rsid w:val="00041114"/>
    <w:rsid w:val="0004111A"/>
    <w:rsid w:val="0004113A"/>
    <w:rsid w:val="00041205"/>
    <w:rsid w:val="0004127F"/>
    <w:rsid w:val="0004128E"/>
    <w:rsid w:val="00041294"/>
    <w:rsid w:val="000413C2"/>
    <w:rsid w:val="000414A5"/>
    <w:rsid w:val="000414BE"/>
    <w:rsid w:val="0004155D"/>
    <w:rsid w:val="00041577"/>
    <w:rsid w:val="00041612"/>
    <w:rsid w:val="0004169B"/>
    <w:rsid w:val="000416D4"/>
    <w:rsid w:val="000417BD"/>
    <w:rsid w:val="000417F5"/>
    <w:rsid w:val="00041924"/>
    <w:rsid w:val="00041940"/>
    <w:rsid w:val="0004195A"/>
    <w:rsid w:val="0004196D"/>
    <w:rsid w:val="00041A34"/>
    <w:rsid w:val="00041A64"/>
    <w:rsid w:val="00041A67"/>
    <w:rsid w:val="00041BA7"/>
    <w:rsid w:val="00041C30"/>
    <w:rsid w:val="00041C69"/>
    <w:rsid w:val="00041CCB"/>
    <w:rsid w:val="00041CDB"/>
    <w:rsid w:val="00041CE2"/>
    <w:rsid w:val="00041D5D"/>
    <w:rsid w:val="00041D82"/>
    <w:rsid w:val="00041E22"/>
    <w:rsid w:val="00041E9E"/>
    <w:rsid w:val="00041EB3"/>
    <w:rsid w:val="00041EF1"/>
    <w:rsid w:val="00041FD0"/>
    <w:rsid w:val="00042046"/>
    <w:rsid w:val="000421AF"/>
    <w:rsid w:val="00042220"/>
    <w:rsid w:val="000422CD"/>
    <w:rsid w:val="0004231E"/>
    <w:rsid w:val="0004233C"/>
    <w:rsid w:val="0004234F"/>
    <w:rsid w:val="0004241C"/>
    <w:rsid w:val="0004241D"/>
    <w:rsid w:val="000424A6"/>
    <w:rsid w:val="000424CA"/>
    <w:rsid w:val="00042550"/>
    <w:rsid w:val="000425B9"/>
    <w:rsid w:val="00042623"/>
    <w:rsid w:val="00042683"/>
    <w:rsid w:val="0004274A"/>
    <w:rsid w:val="000427E2"/>
    <w:rsid w:val="000427EC"/>
    <w:rsid w:val="00042902"/>
    <w:rsid w:val="00042907"/>
    <w:rsid w:val="0004294D"/>
    <w:rsid w:val="0004295F"/>
    <w:rsid w:val="00042963"/>
    <w:rsid w:val="000429D4"/>
    <w:rsid w:val="00042A1D"/>
    <w:rsid w:val="00042DCD"/>
    <w:rsid w:val="00042ECB"/>
    <w:rsid w:val="00042ED3"/>
    <w:rsid w:val="00042ED4"/>
    <w:rsid w:val="00042F10"/>
    <w:rsid w:val="00042F14"/>
    <w:rsid w:val="00042F50"/>
    <w:rsid w:val="00042F60"/>
    <w:rsid w:val="00043173"/>
    <w:rsid w:val="000431EC"/>
    <w:rsid w:val="00043202"/>
    <w:rsid w:val="00043297"/>
    <w:rsid w:val="0004329E"/>
    <w:rsid w:val="0004331D"/>
    <w:rsid w:val="0004334D"/>
    <w:rsid w:val="00043394"/>
    <w:rsid w:val="00043397"/>
    <w:rsid w:val="0004339A"/>
    <w:rsid w:val="000433C8"/>
    <w:rsid w:val="000433D1"/>
    <w:rsid w:val="00043488"/>
    <w:rsid w:val="000434E8"/>
    <w:rsid w:val="00043541"/>
    <w:rsid w:val="00043597"/>
    <w:rsid w:val="00043704"/>
    <w:rsid w:val="00043766"/>
    <w:rsid w:val="0004381E"/>
    <w:rsid w:val="000438EA"/>
    <w:rsid w:val="00043986"/>
    <w:rsid w:val="00043A3E"/>
    <w:rsid w:val="00043A54"/>
    <w:rsid w:val="00043B31"/>
    <w:rsid w:val="00043BCC"/>
    <w:rsid w:val="00043C05"/>
    <w:rsid w:val="00043D21"/>
    <w:rsid w:val="00043D23"/>
    <w:rsid w:val="00043D28"/>
    <w:rsid w:val="00043D67"/>
    <w:rsid w:val="00043DFA"/>
    <w:rsid w:val="00043E19"/>
    <w:rsid w:val="00044035"/>
    <w:rsid w:val="00044161"/>
    <w:rsid w:val="0004417E"/>
    <w:rsid w:val="000441A4"/>
    <w:rsid w:val="00044223"/>
    <w:rsid w:val="000442E3"/>
    <w:rsid w:val="00044351"/>
    <w:rsid w:val="0004438E"/>
    <w:rsid w:val="000443AE"/>
    <w:rsid w:val="000443F2"/>
    <w:rsid w:val="00044419"/>
    <w:rsid w:val="0004442F"/>
    <w:rsid w:val="0004453E"/>
    <w:rsid w:val="00044548"/>
    <w:rsid w:val="000445DF"/>
    <w:rsid w:val="000446F7"/>
    <w:rsid w:val="000447E7"/>
    <w:rsid w:val="000448B5"/>
    <w:rsid w:val="000448F4"/>
    <w:rsid w:val="00044914"/>
    <w:rsid w:val="00044997"/>
    <w:rsid w:val="00044C0A"/>
    <w:rsid w:val="00044D44"/>
    <w:rsid w:val="00044D96"/>
    <w:rsid w:val="00044E61"/>
    <w:rsid w:val="00044F53"/>
    <w:rsid w:val="00045101"/>
    <w:rsid w:val="000451C5"/>
    <w:rsid w:val="000451D2"/>
    <w:rsid w:val="0004522A"/>
    <w:rsid w:val="000452E7"/>
    <w:rsid w:val="000452FB"/>
    <w:rsid w:val="000454B8"/>
    <w:rsid w:val="00045614"/>
    <w:rsid w:val="00045625"/>
    <w:rsid w:val="00045632"/>
    <w:rsid w:val="0004563D"/>
    <w:rsid w:val="000456E5"/>
    <w:rsid w:val="000456E8"/>
    <w:rsid w:val="0004575E"/>
    <w:rsid w:val="0004576E"/>
    <w:rsid w:val="00045782"/>
    <w:rsid w:val="00045815"/>
    <w:rsid w:val="000458B2"/>
    <w:rsid w:val="000458C5"/>
    <w:rsid w:val="000458E0"/>
    <w:rsid w:val="000459DB"/>
    <w:rsid w:val="00045A8D"/>
    <w:rsid w:val="00045BB4"/>
    <w:rsid w:val="00045C17"/>
    <w:rsid w:val="00045C6E"/>
    <w:rsid w:val="00045C76"/>
    <w:rsid w:val="00045C82"/>
    <w:rsid w:val="00045D1A"/>
    <w:rsid w:val="00045D1B"/>
    <w:rsid w:val="00045DB5"/>
    <w:rsid w:val="00045EAE"/>
    <w:rsid w:val="00045F0F"/>
    <w:rsid w:val="00045FAE"/>
    <w:rsid w:val="00045FC4"/>
    <w:rsid w:val="00045FD7"/>
    <w:rsid w:val="00046076"/>
    <w:rsid w:val="000460DE"/>
    <w:rsid w:val="000460F3"/>
    <w:rsid w:val="0004616E"/>
    <w:rsid w:val="0004620D"/>
    <w:rsid w:val="00046217"/>
    <w:rsid w:val="00046221"/>
    <w:rsid w:val="0004623C"/>
    <w:rsid w:val="00046253"/>
    <w:rsid w:val="00046270"/>
    <w:rsid w:val="00046282"/>
    <w:rsid w:val="00046578"/>
    <w:rsid w:val="00046630"/>
    <w:rsid w:val="0004672D"/>
    <w:rsid w:val="0004675C"/>
    <w:rsid w:val="000467D6"/>
    <w:rsid w:val="000467E5"/>
    <w:rsid w:val="00046848"/>
    <w:rsid w:val="000468A1"/>
    <w:rsid w:val="00046909"/>
    <w:rsid w:val="00046947"/>
    <w:rsid w:val="0004696E"/>
    <w:rsid w:val="000469E6"/>
    <w:rsid w:val="00046A12"/>
    <w:rsid w:val="00046AE2"/>
    <w:rsid w:val="00046AFB"/>
    <w:rsid w:val="00046C46"/>
    <w:rsid w:val="00046C85"/>
    <w:rsid w:val="00046D26"/>
    <w:rsid w:val="00046D99"/>
    <w:rsid w:val="00046F13"/>
    <w:rsid w:val="00046F7F"/>
    <w:rsid w:val="0004704B"/>
    <w:rsid w:val="00047076"/>
    <w:rsid w:val="0004711D"/>
    <w:rsid w:val="00047184"/>
    <w:rsid w:val="000471F9"/>
    <w:rsid w:val="00047223"/>
    <w:rsid w:val="00047411"/>
    <w:rsid w:val="0004749A"/>
    <w:rsid w:val="00047535"/>
    <w:rsid w:val="00047776"/>
    <w:rsid w:val="0004779E"/>
    <w:rsid w:val="000477B9"/>
    <w:rsid w:val="000477C9"/>
    <w:rsid w:val="0004781F"/>
    <w:rsid w:val="0004784E"/>
    <w:rsid w:val="000478AA"/>
    <w:rsid w:val="000479BC"/>
    <w:rsid w:val="000479D1"/>
    <w:rsid w:val="000479EF"/>
    <w:rsid w:val="00047B64"/>
    <w:rsid w:val="00047B82"/>
    <w:rsid w:val="00047C58"/>
    <w:rsid w:val="00047CD2"/>
    <w:rsid w:val="00047D7F"/>
    <w:rsid w:val="00047D8F"/>
    <w:rsid w:val="00047D9E"/>
    <w:rsid w:val="00047DA5"/>
    <w:rsid w:val="00047DDB"/>
    <w:rsid w:val="00047E15"/>
    <w:rsid w:val="00047E93"/>
    <w:rsid w:val="00047EB8"/>
    <w:rsid w:val="00047F3A"/>
    <w:rsid w:val="0005001A"/>
    <w:rsid w:val="00050071"/>
    <w:rsid w:val="000500CD"/>
    <w:rsid w:val="00050180"/>
    <w:rsid w:val="000501B7"/>
    <w:rsid w:val="000501D7"/>
    <w:rsid w:val="000501DC"/>
    <w:rsid w:val="000501E8"/>
    <w:rsid w:val="000502E4"/>
    <w:rsid w:val="00050322"/>
    <w:rsid w:val="000503E4"/>
    <w:rsid w:val="0005049B"/>
    <w:rsid w:val="000504B0"/>
    <w:rsid w:val="000504C1"/>
    <w:rsid w:val="00050530"/>
    <w:rsid w:val="00050656"/>
    <w:rsid w:val="00050670"/>
    <w:rsid w:val="00050775"/>
    <w:rsid w:val="00050776"/>
    <w:rsid w:val="000507B7"/>
    <w:rsid w:val="00050889"/>
    <w:rsid w:val="00050895"/>
    <w:rsid w:val="000508E8"/>
    <w:rsid w:val="0005099E"/>
    <w:rsid w:val="00050A6D"/>
    <w:rsid w:val="00050B00"/>
    <w:rsid w:val="00050B46"/>
    <w:rsid w:val="00050B64"/>
    <w:rsid w:val="00050BF2"/>
    <w:rsid w:val="00050BFC"/>
    <w:rsid w:val="00050BFF"/>
    <w:rsid w:val="00050C48"/>
    <w:rsid w:val="00050C78"/>
    <w:rsid w:val="00050D20"/>
    <w:rsid w:val="00050DD7"/>
    <w:rsid w:val="00050E12"/>
    <w:rsid w:val="00050E70"/>
    <w:rsid w:val="00050F2F"/>
    <w:rsid w:val="00050FEB"/>
    <w:rsid w:val="00051313"/>
    <w:rsid w:val="00051324"/>
    <w:rsid w:val="000513F8"/>
    <w:rsid w:val="000514A0"/>
    <w:rsid w:val="0005150E"/>
    <w:rsid w:val="00051574"/>
    <w:rsid w:val="000515B1"/>
    <w:rsid w:val="000515DF"/>
    <w:rsid w:val="000516AD"/>
    <w:rsid w:val="000516F6"/>
    <w:rsid w:val="000517E0"/>
    <w:rsid w:val="00051823"/>
    <w:rsid w:val="000518A1"/>
    <w:rsid w:val="000518E2"/>
    <w:rsid w:val="0005193A"/>
    <w:rsid w:val="00051A12"/>
    <w:rsid w:val="00051A5D"/>
    <w:rsid w:val="00051AA3"/>
    <w:rsid w:val="00051CCB"/>
    <w:rsid w:val="00051DF1"/>
    <w:rsid w:val="00052063"/>
    <w:rsid w:val="000521DB"/>
    <w:rsid w:val="0005229A"/>
    <w:rsid w:val="000522D4"/>
    <w:rsid w:val="000522D7"/>
    <w:rsid w:val="00052336"/>
    <w:rsid w:val="00052461"/>
    <w:rsid w:val="000524AE"/>
    <w:rsid w:val="00052721"/>
    <w:rsid w:val="0005275C"/>
    <w:rsid w:val="00052809"/>
    <w:rsid w:val="0005282F"/>
    <w:rsid w:val="00052887"/>
    <w:rsid w:val="000528BB"/>
    <w:rsid w:val="000528C8"/>
    <w:rsid w:val="0005291F"/>
    <w:rsid w:val="0005292D"/>
    <w:rsid w:val="00052997"/>
    <w:rsid w:val="000529DF"/>
    <w:rsid w:val="000529E6"/>
    <w:rsid w:val="000529E8"/>
    <w:rsid w:val="00052A37"/>
    <w:rsid w:val="00052B59"/>
    <w:rsid w:val="00052B83"/>
    <w:rsid w:val="00052BE8"/>
    <w:rsid w:val="00052C26"/>
    <w:rsid w:val="00052CD7"/>
    <w:rsid w:val="00052D7F"/>
    <w:rsid w:val="00052E63"/>
    <w:rsid w:val="00052E9F"/>
    <w:rsid w:val="00052FDB"/>
    <w:rsid w:val="00052FE8"/>
    <w:rsid w:val="00052FEB"/>
    <w:rsid w:val="00052FEF"/>
    <w:rsid w:val="0005302F"/>
    <w:rsid w:val="0005304D"/>
    <w:rsid w:val="00053170"/>
    <w:rsid w:val="000531A7"/>
    <w:rsid w:val="00053298"/>
    <w:rsid w:val="000533C3"/>
    <w:rsid w:val="0005343C"/>
    <w:rsid w:val="000534B3"/>
    <w:rsid w:val="00053515"/>
    <w:rsid w:val="00053549"/>
    <w:rsid w:val="0005354B"/>
    <w:rsid w:val="000535E8"/>
    <w:rsid w:val="00053606"/>
    <w:rsid w:val="00053626"/>
    <w:rsid w:val="00053682"/>
    <w:rsid w:val="000536EA"/>
    <w:rsid w:val="00053705"/>
    <w:rsid w:val="0005373B"/>
    <w:rsid w:val="0005375C"/>
    <w:rsid w:val="000537A1"/>
    <w:rsid w:val="000538D3"/>
    <w:rsid w:val="000538DF"/>
    <w:rsid w:val="000538F7"/>
    <w:rsid w:val="000539BD"/>
    <w:rsid w:val="000539CC"/>
    <w:rsid w:val="00053A03"/>
    <w:rsid w:val="00053A3F"/>
    <w:rsid w:val="00053A93"/>
    <w:rsid w:val="00053AB3"/>
    <w:rsid w:val="00053B23"/>
    <w:rsid w:val="00053BDC"/>
    <w:rsid w:val="00053C3D"/>
    <w:rsid w:val="00053CCC"/>
    <w:rsid w:val="00053D3E"/>
    <w:rsid w:val="00053DAA"/>
    <w:rsid w:val="00053DE9"/>
    <w:rsid w:val="00053E02"/>
    <w:rsid w:val="00053E4D"/>
    <w:rsid w:val="00053EB3"/>
    <w:rsid w:val="00053EBA"/>
    <w:rsid w:val="00053EDF"/>
    <w:rsid w:val="00053F3F"/>
    <w:rsid w:val="00053F6F"/>
    <w:rsid w:val="00053FB0"/>
    <w:rsid w:val="000540B9"/>
    <w:rsid w:val="000540CD"/>
    <w:rsid w:val="000540E5"/>
    <w:rsid w:val="000541E7"/>
    <w:rsid w:val="00054261"/>
    <w:rsid w:val="000542A7"/>
    <w:rsid w:val="000542CF"/>
    <w:rsid w:val="00054301"/>
    <w:rsid w:val="00054340"/>
    <w:rsid w:val="000543A6"/>
    <w:rsid w:val="000544B0"/>
    <w:rsid w:val="000544C7"/>
    <w:rsid w:val="0005455A"/>
    <w:rsid w:val="0005455F"/>
    <w:rsid w:val="00054581"/>
    <w:rsid w:val="000545D3"/>
    <w:rsid w:val="000546E7"/>
    <w:rsid w:val="00054753"/>
    <w:rsid w:val="000547DD"/>
    <w:rsid w:val="0005480B"/>
    <w:rsid w:val="000548EC"/>
    <w:rsid w:val="000549D2"/>
    <w:rsid w:val="00054A14"/>
    <w:rsid w:val="00054A5D"/>
    <w:rsid w:val="00054A5E"/>
    <w:rsid w:val="00054B6C"/>
    <w:rsid w:val="00054BEB"/>
    <w:rsid w:val="00054C5B"/>
    <w:rsid w:val="00054C83"/>
    <w:rsid w:val="00054C93"/>
    <w:rsid w:val="00054C9C"/>
    <w:rsid w:val="00054D0E"/>
    <w:rsid w:val="00054E79"/>
    <w:rsid w:val="00054FD0"/>
    <w:rsid w:val="00055050"/>
    <w:rsid w:val="0005505F"/>
    <w:rsid w:val="00055139"/>
    <w:rsid w:val="000551F5"/>
    <w:rsid w:val="0005522C"/>
    <w:rsid w:val="0005528B"/>
    <w:rsid w:val="000552A1"/>
    <w:rsid w:val="00055369"/>
    <w:rsid w:val="000554C3"/>
    <w:rsid w:val="000554FA"/>
    <w:rsid w:val="00055586"/>
    <w:rsid w:val="00055644"/>
    <w:rsid w:val="000556A7"/>
    <w:rsid w:val="00055725"/>
    <w:rsid w:val="0005576D"/>
    <w:rsid w:val="00055924"/>
    <w:rsid w:val="0005592E"/>
    <w:rsid w:val="000559B1"/>
    <w:rsid w:val="000559C0"/>
    <w:rsid w:val="00055A29"/>
    <w:rsid w:val="00055A48"/>
    <w:rsid w:val="00055A88"/>
    <w:rsid w:val="00055AB7"/>
    <w:rsid w:val="00055BB3"/>
    <w:rsid w:val="00055BD0"/>
    <w:rsid w:val="00055C57"/>
    <w:rsid w:val="00055CB2"/>
    <w:rsid w:val="00055D9A"/>
    <w:rsid w:val="00055DA5"/>
    <w:rsid w:val="00055E7D"/>
    <w:rsid w:val="00055EF7"/>
    <w:rsid w:val="00056020"/>
    <w:rsid w:val="0005605C"/>
    <w:rsid w:val="00056070"/>
    <w:rsid w:val="0005609F"/>
    <w:rsid w:val="000560B3"/>
    <w:rsid w:val="000560F8"/>
    <w:rsid w:val="00056138"/>
    <w:rsid w:val="00056148"/>
    <w:rsid w:val="000561A9"/>
    <w:rsid w:val="00056204"/>
    <w:rsid w:val="000562E8"/>
    <w:rsid w:val="000562F2"/>
    <w:rsid w:val="00056395"/>
    <w:rsid w:val="000563A6"/>
    <w:rsid w:val="000563D8"/>
    <w:rsid w:val="0005643A"/>
    <w:rsid w:val="000564A6"/>
    <w:rsid w:val="000564EE"/>
    <w:rsid w:val="00056788"/>
    <w:rsid w:val="0005678A"/>
    <w:rsid w:val="000567D8"/>
    <w:rsid w:val="00056897"/>
    <w:rsid w:val="000568A4"/>
    <w:rsid w:val="000568EF"/>
    <w:rsid w:val="000569D7"/>
    <w:rsid w:val="000569E8"/>
    <w:rsid w:val="00056AEE"/>
    <w:rsid w:val="00056AF3"/>
    <w:rsid w:val="00056B4B"/>
    <w:rsid w:val="00056C44"/>
    <w:rsid w:val="00056CE1"/>
    <w:rsid w:val="00056D46"/>
    <w:rsid w:val="00056D8D"/>
    <w:rsid w:val="00056E0B"/>
    <w:rsid w:val="00056E2C"/>
    <w:rsid w:val="00056E45"/>
    <w:rsid w:val="00056E6E"/>
    <w:rsid w:val="00056F31"/>
    <w:rsid w:val="00056F67"/>
    <w:rsid w:val="000570E0"/>
    <w:rsid w:val="000570F8"/>
    <w:rsid w:val="00057254"/>
    <w:rsid w:val="000572CC"/>
    <w:rsid w:val="000572E7"/>
    <w:rsid w:val="000573AB"/>
    <w:rsid w:val="00057420"/>
    <w:rsid w:val="00057449"/>
    <w:rsid w:val="0005747C"/>
    <w:rsid w:val="0005748B"/>
    <w:rsid w:val="000574B0"/>
    <w:rsid w:val="000574FF"/>
    <w:rsid w:val="00057522"/>
    <w:rsid w:val="0005757A"/>
    <w:rsid w:val="000575B3"/>
    <w:rsid w:val="000575E5"/>
    <w:rsid w:val="00057608"/>
    <w:rsid w:val="00057679"/>
    <w:rsid w:val="00057682"/>
    <w:rsid w:val="000576F4"/>
    <w:rsid w:val="00057915"/>
    <w:rsid w:val="000579FE"/>
    <w:rsid w:val="00057A9C"/>
    <w:rsid w:val="00057AFE"/>
    <w:rsid w:val="00057C4A"/>
    <w:rsid w:val="00057CA3"/>
    <w:rsid w:val="00057D3B"/>
    <w:rsid w:val="00057D6E"/>
    <w:rsid w:val="00057D85"/>
    <w:rsid w:val="00057DB7"/>
    <w:rsid w:val="00057DD4"/>
    <w:rsid w:val="00057EC8"/>
    <w:rsid w:val="00057F56"/>
    <w:rsid w:val="00057FA4"/>
    <w:rsid w:val="00057FED"/>
    <w:rsid w:val="000601DA"/>
    <w:rsid w:val="0006022E"/>
    <w:rsid w:val="0006029C"/>
    <w:rsid w:val="000602DF"/>
    <w:rsid w:val="000602E6"/>
    <w:rsid w:val="000602F2"/>
    <w:rsid w:val="00060383"/>
    <w:rsid w:val="00060457"/>
    <w:rsid w:val="0006047D"/>
    <w:rsid w:val="000604C9"/>
    <w:rsid w:val="000604F5"/>
    <w:rsid w:val="000605F3"/>
    <w:rsid w:val="0006061B"/>
    <w:rsid w:val="000606C2"/>
    <w:rsid w:val="000606E5"/>
    <w:rsid w:val="0006084F"/>
    <w:rsid w:val="000609BC"/>
    <w:rsid w:val="00060A12"/>
    <w:rsid w:val="00060A78"/>
    <w:rsid w:val="00060A8B"/>
    <w:rsid w:val="00060A90"/>
    <w:rsid w:val="00060ADD"/>
    <w:rsid w:val="00060BF5"/>
    <w:rsid w:val="00060C13"/>
    <w:rsid w:val="00060C21"/>
    <w:rsid w:val="00060CC3"/>
    <w:rsid w:val="00060CDC"/>
    <w:rsid w:val="00060CE8"/>
    <w:rsid w:val="00060DCB"/>
    <w:rsid w:val="00060E3D"/>
    <w:rsid w:val="00060E8E"/>
    <w:rsid w:val="00060F7C"/>
    <w:rsid w:val="000610A1"/>
    <w:rsid w:val="000610DF"/>
    <w:rsid w:val="000610F1"/>
    <w:rsid w:val="00061119"/>
    <w:rsid w:val="0006113E"/>
    <w:rsid w:val="0006121E"/>
    <w:rsid w:val="0006129D"/>
    <w:rsid w:val="0006130A"/>
    <w:rsid w:val="0006131C"/>
    <w:rsid w:val="0006133B"/>
    <w:rsid w:val="00061362"/>
    <w:rsid w:val="000613B1"/>
    <w:rsid w:val="00061498"/>
    <w:rsid w:val="000615AB"/>
    <w:rsid w:val="000616F9"/>
    <w:rsid w:val="00061733"/>
    <w:rsid w:val="0006179F"/>
    <w:rsid w:val="000617A9"/>
    <w:rsid w:val="000617CA"/>
    <w:rsid w:val="00061863"/>
    <w:rsid w:val="000618A7"/>
    <w:rsid w:val="00061B50"/>
    <w:rsid w:val="00061C15"/>
    <w:rsid w:val="00061C5B"/>
    <w:rsid w:val="00061C8E"/>
    <w:rsid w:val="00061CEC"/>
    <w:rsid w:val="00061D21"/>
    <w:rsid w:val="00061E18"/>
    <w:rsid w:val="00061E38"/>
    <w:rsid w:val="00061E6C"/>
    <w:rsid w:val="00061E79"/>
    <w:rsid w:val="00061EB2"/>
    <w:rsid w:val="00061F1D"/>
    <w:rsid w:val="00061F3A"/>
    <w:rsid w:val="0006206F"/>
    <w:rsid w:val="000620C2"/>
    <w:rsid w:val="000620C5"/>
    <w:rsid w:val="000620FD"/>
    <w:rsid w:val="00062105"/>
    <w:rsid w:val="0006215A"/>
    <w:rsid w:val="0006216A"/>
    <w:rsid w:val="00062313"/>
    <w:rsid w:val="0006231E"/>
    <w:rsid w:val="00062370"/>
    <w:rsid w:val="000623B1"/>
    <w:rsid w:val="000623F6"/>
    <w:rsid w:val="000624FC"/>
    <w:rsid w:val="0006253C"/>
    <w:rsid w:val="000625B5"/>
    <w:rsid w:val="000625C7"/>
    <w:rsid w:val="000625F6"/>
    <w:rsid w:val="00062619"/>
    <w:rsid w:val="00062774"/>
    <w:rsid w:val="00062806"/>
    <w:rsid w:val="00062845"/>
    <w:rsid w:val="00062864"/>
    <w:rsid w:val="0006286A"/>
    <w:rsid w:val="000628D8"/>
    <w:rsid w:val="000628DC"/>
    <w:rsid w:val="000628EE"/>
    <w:rsid w:val="00062922"/>
    <w:rsid w:val="000629A1"/>
    <w:rsid w:val="000629C3"/>
    <w:rsid w:val="000629E9"/>
    <w:rsid w:val="00062AC9"/>
    <w:rsid w:val="00062ACB"/>
    <w:rsid w:val="00062B29"/>
    <w:rsid w:val="00062B77"/>
    <w:rsid w:val="00062C6B"/>
    <w:rsid w:val="00062CC0"/>
    <w:rsid w:val="00062D40"/>
    <w:rsid w:val="00062EF5"/>
    <w:rsid w:val="00062FCD"/>
    <w:rsid w:val="00062FD3"/>
    <w:rsid w:val="0006305A"/>
    <w:rsid w:val="0006306E"/>
    <w:rsid w:val="00063073"/>
    <w:rsid w:val="000630EA"/>
    <w:rsid w:val="0006321F"/>
    <w:rsid w:val="00063269"/>
    <w:rsid w:val="000632A0"/>
    <w:rsid w:val="000632AD"/>
    <w:rsid w:val="00063307"/>
    <w:rsid w:val="00063418"/>
    <w:rsid w:val="000634B6"/>
    <w:rsid w:val="00063564"/>
    <w:rsid w:val="0006356A"/>
    <w:rsid w:val="000635F3"/>
    <w:rsid w:val="000635F7"/>
    <w:rsid w:val="00063648"/>
    <w:rsid w:val="00063661"/>
    <w:rsid w:val="00063674"/>
    <w:rsid w:val="0006368D"/>
    <w:rsid w:val="0006373E"/>
    <w:rsid w:val="000637B0"/>
    <w:rsid w:val="0006382D"/>
    <w:rsid w:val="00063883"/>
    <w:rsid w:val="0006389F"/>
    <w:rsid w:val="000638E6"/>
    <w:rsid w:val="000638EB"/>
    <w:rsid w:val="00063A52"/>
    <w:rsid w:val="00063A6B"/>
    <w:rsid w:val="00063AA7"/>
    <w:rsid w:val="00063AB6"/>
    <w:rsid w:val="00063BA1"/>
    <w:rsid w:val="00063C7A"/>
    <w:rsid w:val="00063DCB"/>
    <w:rsid w:val="00063DE0"/>
    <w:rsid w:val="00063F71"/>
    <w:rsid w:val="00063FE7"/>
    <w:rsid w:val="0006400E"/>
    <w:rsid w:val="0006402C"/>
    <w:rsid w:val="00064037"/>
    <w:rsid w:val="000640CB"/>
    <w:rsid w:val="000640E9"/>
    <w:rsid w:val="000640EE"/>
    <w:rsid w:val="00064119"/>
    <w:rsid w:val="00064141"/>
    <w:rsid w:val="00064199"/>
    <w:rsid w:val="0006421C"/>
    <w:rsid w:val="0006421D"/>
    <w:rsid w:val="000642E1"/>
    <w:rsid w:val="0006440B"/>
    <w:rsid w:val="0006442B"/>
    <w:rsid w:val="00064460"/>
    <w:rsid w:val="00064481"/>
    <w:rsid w:val="000644A4"/>
    <w:rsid w:val="0006451D"/>
    <w:rsid w:val="00064546"/>
    <w:rsid w:val="000645A4"/>
    <w:rsid w:val="00064676"/>
    <w:rsid w:val="00064678"/>
    <w:rsid w:val="000646BA"/>
    <w:rsid w:val="00064738"/>
    <w:rsid w:val="0006473E"/>
    <w:rsid w:val="0006479C"/>
    <w:rsid w:val="00064809"/>
    <w:rsid w:val="00064832"/>
    <w:rsid w:val="00064912"/>
    <w:rsid w:val="000649C5"/>
    <w:rsid w:val="00064A79"/>
    <w:rsid w:val="00064B1A"/>
    <w:rsid w:val="00064BAA"/>
    <w:rsid w:val="00064BEB"/>
    <w:rsid w:val="00064CA7"/>
    <w:rsid w:val="00064D59"/>
    <w:rsid w:val="00064E32"/>
    <w:rsid w:val="00064F91"/>
    <w:rsid w:val="00064F9B"/>
    <w:rsid w:val="000650FA"/>
    <w:rsid w:val="00065100"/>
    <w:rsid w:val="0006517F"/>
    <w:rsid w:val="000652CD"/>
    <w:rsid w:val="00065424"/>
    <w:rsid w:val="00065555"/>
    <w:rsid w:val="000655FC"/>
    <w:rsid w:val="00065615"/>
    <w:rsid w:val="00065634"/>
    <w:rsid w:val="00065658"/>
    <w:rsid w:val="0006566A"/>
    <w:rsid w:val="000657A3"/>
    <w:rsid w:val="000657B7"/>
    <w:rsid w:val="00065836"/>
    <w:rsid w:val="00065938"/>
    <w:rsid w:val="000659AE"/>
    <w:rsid w:val="00065A79"/>
    <w:rsid w:val="00065AA5"/>
    <w:rsid w:val="00065B97"/>
    <w:rsid w:val="00065BED"/>
    <w:rsid w:val="00065C55"/>
    <w:rsid w:val="00065C57"/>
    <w:rsid w:val="00065C68"/>
    <w:rsid w:val="00065CBC"/>
    <w:rsid w:val="00065CCC"/>
    <w:rsid w:val="00065CF8"/>
    <w:rsid w:val="00065D37"/>
    <w:rsid w:val="00065DB8"/>
    <w:rsid w:val="00065DE5"/>
    <w:rsid w:val="00065EAE"/>
    <w:rsid w:val="00065F47"/>
    <w:rsid w:val="00065F85"/>
    <w:rsid w:val="00065FFB"/>
    <w:rsid w:val="00066025"/>
    <w:rsid w:val="00066065"/>
    <w:rsid w:val="0006610C"/>
    <w:rsid w:val="00066113"/>
    <w:rsid w:val="0006620F"/>
    <w:rsid w:val="0006627F"/>
    <w:rsid w:val="00066315"/>
    <w:rsid w:val="00066360"/>
    <w:rsid w:val="00066386"/>
    <w:rsid w:val="000663C8"/>
    <w:rsid w:val="000663D9"/>
    <w:rsid w:val="000663E7"/>
    <w:rsid w:val="00066407"/>
    <w:rsid w:val="00066420"/>
    <w:rsid w:val="0006645E"/>
    <w:rsid w:val="00066475"/>
    <w:rsid w:val="00066552"/>
    <w:rsid w:val="000665CE"/>
    <w:rsid w:val="000666E7"/>
    <w:rsid w:val="000666F7"/>
    <w:rsid w:val="0006682A"/>
    <w:rsid w:val="00066869"/>
    <w:rsid w:val="00066885"/>
    <w:rsid w:val="00066890"/>
    <w:rsid w:val="00066939"/>
    <w:rsid w:val="000669AF"/>
    <w:rsid w:val="000669C2"/>
    <w:rsid w:val="000669EC"/>
    <w:rsid w:val="00066B56"/>
    <w:rsid w:val="00066D6A"/>
    <w:rsid w:val="00066E56"/>
    <w:rsid w:val="00066E6A"/>
    <w:rsid w:val="00066E99"/>
    <w:rsid w:val="00066EB4"/>
    <w:rsid w:val="00066F84"/>
    <w:rsid w:val="00066F85"/>
    <w:rsid w:val="0006703E"/>
    <w:rsid w:val="000670BA"/>
    <w:rsid w:val="000670BD"/>
    <w:rsid w:val="000670C3"/>
    <w:rsid w:val="000670E8"/>
    <w:rsid w:val="0006720A"/>
    <w:rsid w:val="00067396"/>
    <w:rsid w:val="000673D4"/>
    <w:rsid w:val="00067420"/>
    <w:rsid w:val="0006753B"/>
    <w:rsid w:val="00067547"/>
    <w:rsid w:val="00067716"/>
    <w:rsid w:val="000677A5"/>
    <w:rsid w:val="00067890"/>
    <w:rsid w:val="00067904"/>
    <w:rsid w:val="00067949"/>
    <w:rsid w:val="000679CB"/>
    <w:rsid w:val="000679CE"/>
    <w:rsid w:val="000679F7"/>
    <w:rsid w:val="000679FE"/>
    <w:rsid w:val="00067A38"/>
    <w:rsid w:val="00067A48"/>
    <w:rsid w:val="00067BF6"/>
    <w:rsid w:val="00067C03"/>
    <w:rsid w:val="00067C47"/>
    <w:rsid w:val="00067CB3"/>
    <w:rsid w:val="00067D52"/>
    <w:rsid w:val="00067D76"/>
    <w:rsid w:val="00067D79"/>
    <w:rsid w:val="00067E4B"/>
    <w:rsid w:val="00067EAA"/>
    <w:rsid w:val="00067EB3"/>
    <w:rsid w:val="00067F71"/>
    <w:rsid w:val="00067F88"/>
    <w:rsid w:val="00067FF5"/>
    <w:rsid w:val="00070061"/>
    <w:rsid w:val="00070161"/>
    <w:rsid w:val="00070191"/>
    <w:rsid w:val="000701D7"/>
    <w:rsid w:val="000701EB"/>
    <w:rsid w:val="0007023A"/>
    <w:rsid w:val="000702A7"/>
    <w:rsid w:val="00070303"/>
    <w:rsid w:val="00070353"/>
    <w:rsid w:val="0007040E"/>
    <w:rsid w:val="000704B5"/>
    <w:rsid w:val="000704F5"/>
    <w:rsid w:val="0007055F"/>
    <w:rsid w:val="000705A9"/>
    <w:rsid w:val="0007064D"/>
    <w:rsid w:val="0007087F"/>
    <w:rsid w:val="000708A4"/>
    <w:rsid w:val="000709BD"/>
    <w:rsid w:val="00070B60"/>
    <w:rsid w:val="00070BC3"/>
    <w:rsid w:val="00070C47"/>
    <w:rsid w:val="00070C9C"/>
    <w:rsid w:val="00070CBF"/>
    <w:rsid w:val="00070D11"/>
    <w:rsid w:val="00070E9A"/>
    <w:rsid w:val="00070EA4"/>
    <w:rsid w:val="00070F15"/>
    <w:rsid w:val="00070FC5"/>
    <w:rsid w:val="00071012"/>
    <w:rsid w:val="000710D5"/>
    <w:rsid w:val="00071184"/>
    <w:rsid w:val="000711BD"/>
    <w:rsid w:val="00071260"/>
    <w:rsid w:val="000713C4"/>
    <w:rsid w:val="000713E7"/>
    <w:rsid w:val="00071412"/>
    <w:rsid w:val="00071440"/>
    <w:rsid w:val="0007149E"/>
    <w:rsid w:val="000714C9"/>
    <w:rsid w:val="0007152A"/>
    <w:rsid w:val="0007157C"/>
    <w:rsid w:val="000715DC"/>
    <w:rsid w:val="000716D4"/>
    <w:rsid w:val="00071732"/>
    <w:rsid w:val="000717C7"/>
    <w:rsid w:val="000717FF"/>
    <w:rsid w:val="000718BE"/>
    <w:rsid w:val="000718E0"/>
    <w:rsid w:val="0007195B"/>
    <w:rsid w:val="0007196F"/>
    <w:rsid w:val="00071A14"/>
    <w:rsid w:val="00071A50"/>
    <w:rsid w:val="00071AE7"/>
    <w:rsid w:val="00071B01"/>
    <w:rsid w:val="00071B4A"/>
    <w:rsid w:val="00071B7B"/>
    <w:rsid w:val="00071C10"/>
    <w:rsid w:val="00071C18"/>
    <w:rsid w:val="00071E04"/>
    <w:rsid w:val="00071E11"/>
    <w:rsid w:val="00071E58"/>
    <w:rsid w:val="00071F6A"/>
    <w:rsid w:val="00071F7B"/>
    <w:rsid w:val="00071FBD"/>
    <w:rsid w:val="000720AE"/>
    <w:rsid w:val="000720D8"/>
    <w:rsid w:val="000721B6"/>
    <w:rsid w:val="0007234E"/>
    <w:rsid w:val="00072411"/>
    <w:rsid w:val="000724E2"/>
    <w:rsid w:val="000724E5"/>
    <w:rsid w:val="00072551"/>
    <w:rsid w:val="0007255D"/>
    <w:rsid w:val="000725FC"/>
    <w:rsid w:val="0007266A"/>
    <w:rsid w:val="000726E7"/>
    <w:rsid w:val="00072731"/>
    <w:rsid w:val="00072762"/>
    <w:rsid w:val="0007279E"/>
    <w:rsid w:val="000727C1"/>
    <w:rsid w:val="000728B0"/>
    <w:rsid w:val="0007295C"/>
    <w:rsid w:val="00072A4D"/>
    <w:rsid w:val="00072AB4"/>
    <w:rsid w:val="00072AE3"/>
    <w:rsid w:val="00072BED"/>
    <w:rsid w:val="00072C7E"/>
    <w:rsid w:val="00072CD0"/>
    <w:rsid w:val="00072D19"/>
    <w:rsid w:val="00072E35"/>
    <w:rsid w:val="00072ED3"/>
    <w:rsid w:val="00072F0F"/>
    <w:rsid w:val="00072FB5"/>
    <w:rsid w:val="00072FC5"/>
    <w:rsid w:val="000731E7"/>
    <w:rsid w:val="00073247"/>
    <w:rsid w:val="00073275"/>
    <w:rsid w:val="000732ED"/>
    <w:rsid w:val="0007332E"/>
    <w:rsid w:val="0007353B"/>
    <w:rsid w:val="00073545"/>
    <w:rsid w:val="0007365F"/>
    <w:rsid w:val="00073837"/>
    <w:rsid w:val="0007385B"/>
    <w:rsid w:val="0007398F"/>
    <w:rsid w:val="00073A52"/>
    <w:rsid w:val="00073B23"/>
    <w:rsid w:val="00073D39"/>
    <w:rsid w:val="00073D60"/>
    <w:rsid w:val="00073DA7"/>
    <w:rsid w:val="00073DE2"/>
    <w:rsid w:val="00073DF0"/>
    <w:rsid w:val="00073E53"/>
    <w:rsid w:val="00073E78"/>
    <w:rsid w:val="00074044"/>
    <w:rsid w:val="0007410B"/>
    <w:rsid w:val="00074135"/>
    <w:rsid w:val="00074162"/>
    <w:rsid w:val="000741CF"/>
    <w:rsid w:val="000742B5"/>
    <w:rsid w:val="000744FC"/>
    <w:rsid w:val="000745BE"/>
    <w:rsid w:val="00074695"/>
    <w:rsid w:val="000746DC"/>
    <w:rsid w:val="00074812"/>
    <w:rsid w:val="00074832"/>
    <w:rsid w:val="0007484C"/>
    <w:rsid w:val="00074878"/>
    <w:rsid w:val="00074880"/>
    <w:rsid w:val="000748E8"/>
    <w:rsid w:val="000748FC"/>
    <w:rsid w:val="00074A75"/>
    <w:rsid w:val="00074AA6"/>
    <w:rsid w:val="00074AEC"/>
    <w:rsid w:val="00074B8F"/>
    <w:rsid w:val="00074BD7"/>
    <w:rsid w:val="00074C49"/>
    <w:rsid w:val="00074C86"/>
    <w:rsid w:val="00074CD5"/>
    <w:rsid w:val="00074D84"/>
    <w:rsid w:val="00074E15"/>
    <w:rsid w:val="00074E28"/>
    <w:rsid w:val="00074E52"/>
    <w:rsid w:val="00074E77"/>
    <w:rsid w:val="00074EA4"/>
    <w:rsid w:val="00074F60"/>
    <w:rsid w:val="000750D7"/>
    <w:rsid w:val="0007518A"/>
    <w:rsid w:val="0007518C"/>
    <w:rsid w:val="00075196"/>
    <w:rsid w:val="000751C1"/>
    <w:rsid w:val="000751ED"/>
    <w:rsid w:val="00075240"/>
    <w:rsid w:val="00075248"/>
    <w:rsid w:val="000752F7"/>
    <w:rsid w:val="00075410"/>
    <w:rsid w:val="0007548C"/>
    <w:rsid w:val="0007548D"/>
    <w:rsid w:val="00075560"/>
    <w:rsid w:val="000755D5"/>
    <w:rsid w:val="000755FF"/>
    <w:rsid w:val="00075881"/>
    <w:rsid w:val="0007588E"/>
    <w:rsid w:val="000758B9"/>
    <w:rsid w:val="0007590A"/>
    <w:rsid w:val="00075915"/>
    <w:rsid w:val="00075947"/>
    <w:rsid w:val="000759C5"/>
    <w:rsid w:val="000759E1"/>
    <w:rsid w:val="00075AE7"/>
    <w:rsid w:val="00075B91"/>
    <w:rsid w:val="00075BE3"/>
    <w:rsid w:val="00075D2D"/>
    <w:rsid w:val="00075D32"/>
    <w:rsid w:val="00075DA6"/>
    <w:rsid w:val="00075DA7"/>
    <w:rsid w:val="00075DAA"/>
    <w:rsid w:val="00075E43"/>
    <w:rsid w:val="00075E87"/>
    <w:rsid w:val="00075F78"/>
    <w:rsid w:val="0007607B"/>
    <w:rsid w:val="000760BC"/>
    <w:rsid w:val="000760E0"/>
    <w:rsid w:val="0007611B"/>
    <w:rsid w:val="00076120"/>
    <w:rsid w:val="000761B8"/>
    <w:rsid w:val="000761DB"/>
    <w:rsid w:val="0007623B"/>
    <w:rsid w:val="00076250"/>
    <w:rsid w:val="000762B2"/>
    <w:rsid w:val="000762E7"/>
    <w:rsid w:val="00076360"/>
    <w:rsid w:val="000764CC"/>
    <w:rsid w:val="000764F3"/>
    <w:rsid w:val="00076550"/>
    <w:rsid w:val="00076562"/>
    <w:rsid w:val="0007659A"/>
    <w:rsid w:val="000765C3"/>
    <w:rsid w:val="00076637"/>
    <w:rsid w:val="0007665C"/>
    <w:rsid w:val="000767EF"/>
    <w:rsid w:val="000768AE"/>
    <w:rsid w:val="000768B7"/>
    <w:rsid w:val="00076951"/>
    <w:rsid w:val="00076972"/>
    <w:rsid w:val="00076A3D"/>
    <w:rsid w:val="00076A60"/>
    <w:rsid w:val="00076A68"/>
    <w:rsid w:val="00076B16"/>
    <w:rsid w:val="00076B9B"/>
    <w:rsid w:val="00076BA7"/>
    <w:rsid w:val="00076C3E"/>
    <w:rsid w:val="00076C56"/>
    <w:rsid w:val="00076C9F"/>
    <w:rsid w:val="00076CE5"/>
    <w:rsid w:val="00076CFD"/>
    <w:rsid w:val="00076D1E"/>
    <w:rsid w:val="00076D59"/>
    <w:rsid w:val="00076DA5"/>
    <w:rsid w:val="00076DC8"/>
    <w:rsid w:val="00076E2F"/>
    <w:rsid w:val="00076E4F"/>
    <w:rsid w:val="00076F10"/>
    <w:rsid w:val="00076F15"/>
    <w:rsid w:val="00076F8C"/>
    <w:rsid w:val="00076F8E"/>
    <w:rsid w:val="0007701C"/>
    <w:rsid w:val="000770CB"/>
    <w:rsid w:val="000770E3"/>
    <w:rsid w:val="000771F5"/>
    <w:rsid w:val="0007723E"/>
    <w:rsid w:val="00077310"/>
    <w:rsid w:val="000773E2"/>
    <w:rsid w:val="0007751D"/>
    <w:rsid w:val="0007757C"/>
    <w:rsid w:val="000775BF"/>
    <w:rsid w:val="0007768B"/>
    <w:rsid w:val="0007769A"/>
    <w:rsid w:val="0007773D"/>
    <w:rsid w:val="00077825"/>
    <w:rsid w:val="00077865"/>
    <w:rsid w:val="000778E2"/>
    <w:rsid w:val="00077975"/>
    <w:rsid w:val="000779E3"/>
    <w:rsid w:val="000779FA"/>
    <w:rsid w:val="00077B70"/>
    <w:rsid w:val="00077C2C"/>
    <w:rsid w:val="00077CE8"/>
    <w:rsid w:val="00077DF2"/>
    <w:rsid w:val="00077E37"/>
    <w:rsid w:val="00077E8A"/>
    <w:rsid w:val="00077EAA"/>
    <w:rsid w:val="00077F57"/>
    <w:rsid w:val="00080272"/>
    <w:rsid w:val="000802D5"/>
    <w:rsid w:val="000802EB"/>
    <w:rsid w:val="00080318"/>
    <w:rsid w:val="000803BE"/>
    <w:rsid w:val="000803BF"/>
    <w:rsid w:val="000803F1"/>
    <w:rsid w:val="000804DF"/>
    <w:rsid w:val="00080530"/>
    <w:rsid w:val="00080655"/>
    <w:rsid w:val="0008065F"/>
    <w:rsid w:val="000807C5"/>
    <w:rsid w:val="000808DA"/>
    <w:rsid w:val="000809CB"/>
    <w:rsid w:val="000809D8"/>
    <w:rsid w:val="00080A5B"/>
    <w:rsid w:val="00080B92"/>
    <w:rsid w:val="00080C1A"/>
    <w:rsid w:val="00080CCD"/>
    <w:rsid w:val="00080CCE"/>
    <w:rsid w:val="00080D2D"/>
    <w:rsid w:val="00080D58"/>
    <w:rsid w:val="00080D8B"/>
    <w:rsid w:val="00080D9A"/>
    <w:rsid w:val="00080DD3"/>
    <w:rsid w:val="00080E40"/>
    <w:rsid w:val="00080E55"/>
    <w:rsid w:val="00080E9C"/>
    <w:rsid w:val="00080F2E"/>
    <w:rsid w:val="00080FF2"/>
    <w:rsid w:val="0008109C"/>
    <w:rsid w:val="000810E1"/>
    <w:rsid w:val="000810EA"/>
    <w:rsid w:val="000811CF"/>
    <w:rsid w:val="000811FD"/>
    <w:rsid w:val="000812C6"/>
    <w:rsid w:val="0008136C"/>
    <w:rsid w:val="000813F0"/>
    <w:rsid w:val="00081415"/>
    <w:rsid w:val="00081477"/>
    <w:rsid w:val="0008148D"/>
    <w:rsid w:val="00081498"/>
    <w:rsid w:val="000815F4"/>
    <w:rsid w:val="00081621"/>
    <w:rsid w:val="0008167C"/>
    <w:rsid w:val="00081789"/>
    <w:rsid w:val="0008180F"/>
    <w:rsid w:val="00081909"/>
    <w:rsid w:val="0008193A"/>
    <w:rsid w:val="00081A34"/>
    <w:rsid w:val="00081A4B"/>
    <w:rsid w:val="00081ACD"/>
    <w:rsid w:val="00081AD3"/>
    <w:rsid w:val="00081BA4"/>
    <w:rsid w:val="00081BC7"/>
    <w:rsid w:val="00081C2A"/>
    <w:rsid w:val="00081C3B"/>
    <w:rsid w:val="00081C50"/>
    <w:rsid w:val="00081C67"/>
    <w:rsid w:val="00081DB3"/>
    <w:rsid w:val="00081E17"/>
    <w:rsid w:val="00081EE2"/>
    <w:rsid w:val="00081F6A"/>
    <w:rsid w:val="0008201B"/>
    <w:rsid w:val="000820B0"/>
    <w:rsid w:val="000820B4"/>
    <w:rsid w:val="00082123"/>
    <w:rsid w:val="00082172"/>
    <w:rsid w:val="0008217A"/>
    <w:rsid w:val="000821DD"/>
    <w:rsid w:val="00082242"/>
    <w:rsid w:val="0008232C"/>
    <w:rsid w:val="00082367"/>
    <w:rsid w:val="000823B0"/>
    <w:rsid w:val="000823E0"/>
    <w:rsid w:val="000825E8"/>
    <w:rsid w:val="00082613"/>
    <w:rsid w:val="000826FF"/>
    <w:rsid w:val="00082700"/>
    <w:rsid w:val="00082709"/>
    <w:rsid w:val="0008270C"/>
    <w:rsid w:val="0008274B"/>
    <w:rsid w:val="000827AB"/>
    <w:rsid w:val="000827C4"/>
    <w:rsid w:val="000827E1"/>
    <w:rsid w:val="00082830"/>
    <w:rsid w:val="000828C0"/>
    <w:rsid w:val="000829E3"/>
    <w:rsid w:val="00082A8E"/>
    <w:rsid w:val="00082BB4"/>
    <w:rsid w:val="00082D07"/>
    <w:rsid w:val="00082D44"/>
    <w:rsid w:val="00082D89"/>
    <w:rsid w:val="00082DA3"/>
    <w:rsid w:val="00082DD8"/>
    <w:rsid w:val="00082E92"/>
    <w:rsid w:val="00082EC6"/>
    <w:rsid w:val="00082F06"/>
    <w:rsid w:val="00082F88"/>
    <w:rsid w:val="00082FEC"/>
    <w:rsid w:val="00083021"/>
    <w:rsid w:val="000831B9"/>
    <w:rsid w:val="000831DD"/>
    <w:rsid w:val="000831E0"/>
    <w:rsid w:val="000831E4"/>
    <w:rsid w:val="0008320B"/>
    <w:rsid w:val="000832A3"/>
    <w:rsid w:val="00083572"/>
    <w:rsid w:val="0008361C"/>
    <w:rsid w:val="0008364F"/>
    <w:rsid w:val="000836D7"/>
    <w:rsid w:val="00083824"/>
    <w:rsid w:val="00083909"/>
    <w:rsid w:val="00083943"/>
    <w:rsid w:val="00083AC7"/>
    <w:rsid w:val="00083AFD"/>
    <w:rsid w:val="00083B35"/>
    <w:rsid w:val="00083B69"/>
    <w:rsid w:val="00083C27"/>
    <w:rsid w:val="00083C6B"/>
    <w:rsid w:val="00083CF6"/>
    <w:rsid w:val="00083CFD"/>
    <w:rsid w:val="00083D0D"/>
    <w:rsid w:val="00083EEF"/>
    <w:rsid w:val="00083F35"/>
    <w:rsid w:val="00083F57"/>
    <w:rsid w:val="00083FD8"/>
    <w:rsid w:val="00084179"/>
    <w:rsid w:val="00084211"/>
    <w:rsid w:val="00084219"/>
    <w:rsid w:val="000843DB"/>
    <w:rsid w:val="0008447E"/>
    <w:rsid w:val="00084686"/>
    <w:rsid w:val="00084695"/>
    <w:rsid w:val="000846A1"/>
    <w:rsid w:val="000846F5"/>
    <w:rsid w:val="0008482A"/>
    <w:rsid w:val="0008483B"/>
    <w:rsid w:val="00084888"/>
    <w:rsid w:val="000848AB"/>
    <w:rsid w:val="000848C1"/>
    <w:rsid w:val="000849B0"/>
    <w:rsid w:val="00084A67"/>
    <w:rsid w:val="00084ABF"/>
    <w:rsid w:val="00084B4C"/>
    <w:rsid w:val="00084B87"/>
    <w:rsid w:val="00084B93"/>
    <w:rsid w:val="00084CDA"/>
    <w:rsid w:val="00084CE0"/>
    <w:rsid w:val="00084D3C"/>
    <w:rsid w:val="00084D6F"/>
    <w:rsid w:val="00084D94"/>
    <w:rsid w:val="00084DCD"/>
    <w:rsid w:val="00084DE4"/>
    <w:rsid w:val="00084E13"/>
    <w:rsid w:val="00084E61"/>
    <w:rsid w:val="00084EC2"/>
    <w:rsid w:val="00084F25"/>
    <w:rsid w:val="00084F96"/>
    <w:rsid w:val="00085002"/>
    <w:rsid w:val="00085015"/>
    <w:rsid w:val="0008503D"/>
    <w:rsid w:val="0008506A"/>
    <w:rsid w:val="000850A0"/>
    <w:rsid w:val="000850F9"/>
    <w:rsid w:val="00085186"/>
    <w:rsid w:val="000851E2"/>
    <w:rsid w:val="000852F1"/>
    <w:rsid w:val="0008536C"/>
    <w:rsid w:val="0008539C"/>
    <w:rsid w:val="00085407"/>
    <w:rsid w:val="0008540E"/>
    <w:rsid w:val="00085418"/>
    <w:rsid w:val="000854C8"/>
    <w:rsid w:val="00085559"/>
    <w:rsid w:val="0008557E"/>
    <w:rsid w:val="000855CB"/>
    <w:rsid w:val="00085604"/>
    <w:rsid w:val="0008562D"/>
    <w:rsid w:val="00085672"/>
    <w:rsid w:val="0008572A"/>
    <w:rsid w:val="00085744"/>
    <w:rsid w:val="0008581B"/>
    <w:rsid w:val="0008584C"/>
    <w:rsid w:val="00085905"/>
    <w:rsid w:val="0008598C"/>
    <w:rsid w:val="00085A12"/>
    <w:rsid w:val="00085A72"/>
    <w:rsid w:val="00085B1B"/>
    <w:rsid w:val="00085B25"/>
    <w:rsid w:val="00085B86"/>
    <w:rsid w:val="00085B88"/>
    <w:rsid w:val="00085CB2"/>
    <w:rsid w:val="00085D38"/>
    <w:rsid w:val="00085EB4"/>
    <w:rsid w:val="00085ED0"/>
    <w:rsid w:val="00085EE0"/>
    <w:rsid w:val="00085EF6"/>
    <w:rsid w:val="00085EF9"/>
    <w:rsid w:val="00085F11"/>
    <w:rsid w:val="00085FB1"/>
    <w:rsid w:val="00086020"/>
    <w:rsid w:val="000860AE"/>
    <w:rsid w:val="000860B1"/>
    <w:rsid w:val="000860D8"/>
    <w:rsid w:val="00086121"/>
    <w:rsid w:val="00086211"/>
    <w:rsid w:val="0008626B"/>
    <w:rsid w:val="00086286"/>
    <w:rsid w:val="00086520"/>
    <w:rsid w:val="000865AB"/>
    <w:rsid w:val="0008660F"/>
    <w:rsid w:val="000866A3"/>
    <w:rsid w:val="0008673D"/>
    <w:rsid w:val="0008674B"/>
    <w:rsid w:val="00086779"/>
    <w:rsid w:val="0008678E"/>
    <w:rsid w:val="0008684C"/>
    <w:rsid w:val="00086869"/>
    <w:rsid w:val="00086878"/>
    <w:rsid w:val="000868A9"/>
    <w:rsid w:val="0008690F"/>
    <w:rsid w:val="0008691E"/>
    <w:rsid w:val="00086995"/>
    <w:rsid w:val="00086ADB"/>
    <w:rsid w:val="00086B8A"/>
    <w:rsid w:val="00086C16"/>
    <w:rsid w:val="00086C41"/>
    <w:rsid w:val="00086D2C"/>
    <w:rsid w:val="00086DD0"/>
    <w:rsid w:val="00086E2A"/>
    <w:rsid w:val="00086F14"/>
    <w:rsid w:val="00086F40"/>
    <w:rsid w:val="00086F52"/>
    <w:rsid w:val="00086F82"/>
    <w:rsid w:val="00086F90"/>
    <w:rsid w:val="00086FCD"/>
    <w:rsid w:val="00086FD7"/>
    <w:rsid w:val="00086FEC"/>
    <w:rsid w:val="000870F8"/>
    <w:rsid w:val="0008717B"/>
    <w:rsid w:val="000871BB"/>
    <w:rsid w:val="00087240"/>
    <w:rsid w:val="00087269"/>
    <w:rsid w:val="00087282"/>
    <w:rsid w:val="000872BA"/>
    <w:rsid w:val="000872D3"/>
    <w:rsid w:val="000873C9"/>
    <w:rsid w:val="000873FF"/>
    <w:rsid w:val="0008748C"/>
    <w:rsid w:val="0008751C"/>
    <w:rsid w:val="00087540"/>
    <w:rsid w:val="0008756D"/>
    <w:rsid w:val="00087673"/>
    <w:rsid w:val="0008772B"/>
    <w:rsid w:val="0008776D"/>
    <w:rsid w:val="0008786C"/>
    <w:rsid w:val="00087896"/>
    <w:rsid w:val="000878B9"/>
    <w:rsid w:val="000878E5"/>
    <w:rsid w:val="0008791D"/>
    <w:rsid w:val="0008796B"/>
    <w:rsid w:val="000879B5"/>
    <w:rsid w:val="000879FB"/>
    <w:rsid w:val="00087A46"/>
    <w:rsid w:val="00087ADA"/>
    <w:rsid w:val="00087B2C"/>
    <w:rsid w:val="00087B96"/>
    <w:rsid w:val="00087BE1"/>
    <w:rsid w:val="00087CB0"/>
    <w:rsid w:val="00087E16"/>
    <w:rsid w:val="00087E97"/>
    <w:rsid w:val="00087EFC"/>
    <w:rsid w:val="00087F8B"/>
    <w:rsid w:val="00087F93"/>
    <w:rsid w:val="00087FD6"/>
    <w:rsid w:val="00090066"/>
    <w:rsid w:val="00090067"/>
    <w:rsid w:val="0009006A"/>
    <w:rsid w:val="00090098"/>
    <w:rsid w:val="00090125"/>
    <w:rsid w:val="00090146"/>
    <w:rsid w:val="00090226"/>
    <w:rsid w:val="000902B8"/>
    <w:rsid w:val="0009033A"/>
    <w:rsid w:val="000903A7"/>
    <w:rsid w:val="0009044F"/>
    <w:rsid w:val="000904EB"/>
    <w:rsid w:val="000905D3"/>
    <w:rsid w:val="00090614"/>
    <w:rsid w:val="0009061C"/>
    <w:rsid w:val="0009069A"/>
    <w:rsid w:val="0009085F"/>
    <w:rsid w:val="00090872"/>
    <w:rsid w:val="00090897"/>
    <w:rsid w:val="000908A9"/>
    <w:rsid w:val="000908E6"/>
    <w:rsid w:val="00090959"/>
    <w:rsid w:val="00090A30"/>
    <w:rsid w:val="00090ADE"/>
    <w:rsid w:val="00090B96"/>
    <w:rsid w:val="00090BB3"/>
    <w:rsid w:val="00090D8D"/>
    <w:rsid w:val="00090D8F"/>
    <w:rsid w:val="00090DFF"/>
    <w:rsid w:val="00090E03"/>
    <w:rsid w:val="00090E23"/>
    <w:rsid w:val="00090F2D"/>
    <w:rsid w:val="00090F30"/>
    <w:rsid w:val="00090F4E"/>
    <w:rsid w:val="00090F92"/>
    <w:rsid w:val="00090F9F"/>
    <w:rsid w:val="00090FC1"/>
    <w:rsid w:val="0009104E"/>
    <w:rsid w:val="00091141"/>
    <w:rsid w:val="00091154"/>
    <w:rsid w:val="000911B9"/>
    <w:rsid w:val="0009123A"/>
    <w:rsid w:val="0009123B"/>
    <w:rsid w:val="000912CA"/>
    <w:rsid w:val="000912DC"/>
    <w:rsid w:val="000912F1"/>
    <w:rsid w:val="0009132B"/>
    <w:rsid w:val="000913C6"/>
    <w:rsid w:val="000913DB"/>
    <w:rsid w:val="0009141D"/>
    <w:rsid w:val="00091459"/>
    <w:rsid w:val="0009149C"/>
    <w:rsid w:val="000914C3"/>
    <w:rsid w:val="00091514"/>
    <w:rsid w:val="000915F0"/>
    <w:rsid w:val="00091603"/>
    <w:rsid w:val="0009160E"/>
    <w:rsid w:val="0009162D"/>
    <w:rsid w:val="000916BB"/>
    <w:rsid w:val="000917C8"/>
    <w:rsid w:val="000917F2"/>
    <w:rsid w:val="00091835"/>
    <w:rsid w:val="000918D5"/>
    <w:rsid w:val="0009195F"/>
    <w:rsid w:val="000919DE"/>
    <w:rsid w:val="000919E3"/>
    <w:rsid w:val="00091A5F"/>
    <w:rsid w:val="00091AE1"/>
    <w:rsid w:val="00091B6E"/>
    <w:rsid w:val="00091BB9"/>
    <w:rsid w:val="00091C8A"/>
    <w:rsid w:val="00091CE2"/>
    <w:rsid w:val="00091D16"/>
    <w:rsid w:val="00091D22"/>
    <w:rsid w:val="00091D34"/>
    <w:rsid w:val="00091E43"/>
    <w:rsid w:val="00091E96"/>
    <w:rsid w:val="00091FF4"/>
    <w:rsid w:val="00092046"/>
    <w:rsid w:val="00092081"/>
    <w:rsid w:val="0009208E"/>
    <w:rsid w:val="00092098"/>
    <w:rsid w:val="000920CF"/>
    <w:rsid w:val="0009211F"/>
    <w:rsid w:val="00092125"/>
    <w:rsid w:val="0009212A"/>
    <w:rsid w:val="000921C6"/>
    <w:rsid w:val="00092217"/>
    <w:rsid w:val="00092239"/>
    <w:rsid w:val="0009223D"/>
    <w:rsid w:val="00092240"/>
    <w:rsid w:val="00092295"/>
    <w:rsid w:val="000922E1"/>
    <w:rsid w:val="0009232B"/>
    <w:rsid w:val="000923ED"/>
    <w:rsid w:val="000923FC"/>
    <w:rsid w:val="0009257F"/>
    <w:rsid w:val="000925B3"/>
    <w:rsid w:val="000925BD"/>
    <w:rsid w:val="00092646"/>
    <w:rsid w:val="0009268D"/>
    <w:rsid w:val="000926D4"/>
    <w:rsid w:val="000926EA"/>
    <w:rsid w:val="00092751"/>
    <w:rsid w:val="00092772"/>
    <w:rsid w:val="0009277B"/>
    <w:rsid w:val="00092841"/>
    <w:rsid w:val="0009287A"/>
    <w:rsid w:val="00092971"/>
    <w:rsid w:val="00092A7F"/>
    <w:rsid w:val="00092ACA"/>
    <w:rsid w:val="00092AFA"/>
    <w:rsid w:val="00092BD4"/>
    <w:rsid w:val="00092C2F"/>
    <w:rsid w:val="00092D39"/>
    <w:rsid w:val="00092DDF"/>
    <w:rsid w:val="00092E08"/>
    <w:rsid w:val="00092F5B"/>
    <w:rsid w:val="00092F96"/>
    <w:rsid w:val="00093003"/>
    <w:rsid w:val="000930B1"/>
    <w:rsid w:val="00093160"/>
    <w:rsid w:val="00093191"/>
    <w:rsid w:val="00093244"/>
    <w:rsid w:val="0009326E"/>
    <w:rsid w:val="00093549"/>
    <w:rsid w:val="000935FD"/>
    <w:rsid w:val="00093654"/>
    <w:rsid w:val="0009367C"/>
    <w:rsid w:val="000936A1"/>
    <w:rsid w:val="0009376A"/>
    <w:rsid w:val="00093819"/>
    <w:rsid w:val="00093838"/>
    <w:rsid w:val="000938C5"/>
    <w:rsid w:val="000938F4"/>
    <w:rsid w:val="00093996"/>
    <w:rsid w:val="000939B1"/>
    <w:rsid w:val="000939C9"/>
    <w:rsid w:val="00093A0B"/>
    <w:rsid w:val="00093A58"/>
    <w:rsid w:val="00093A5B"/>
    <w:rsid w:val="00093A8D"/>
    <w:rsid w:val="00093B19"/>
    <w:rsid w:val="00093B8E"/>
    <w:rsid w:val="00093B99"/>
    <w:rsid w:val="00093BB8"/>
    <w:rsid w:val="00093C42"/>
    <w:rsid w:val="00093C79"/>
    <w:rsid w:val="00093D74"/>
    <w:rsid w:val="00093DD7"/>
    <w:rsid w:val="00093E1A"/>
    <w:rsid w:val="00093F49"/>
    <w:rsid w:val="00093FF3"/>
    <w:rsid w:val="00093FF4"/>
    <w:rsid w:val="0009402A"/>
    <w:rsid w:val="00094032"/>
    <w:rsid w:val="0009406C"/>
    <w:rsid w:val="000940B2"/>
    <w:rsid w:val="00094109"/>
    <w:rsid w:val="00094184"/>
    <w:rsid w:val="00094213"/>
    <w:rsid w:val="00094233"/>
    <w:rsid w:val="00094250"/>
    <w:rsid w:val="0009425D"/>
    <w:rsid w:val="00094320"/>
    <w:rsid w:val="0009433C"/>
    <w:rsid w:val="00094343"/>
    <w:rsid w:val="000943F4"/>
    <w:rsid w:val="0009459F"/>
    <w:rsid w:val="000945BA"/>
    <w:rsid w:val="000945C5"/>
    <w:rsid w:val="00094601"/>
    <w:rsid w:val="00094688"/>
    <w:rsid w:val="00094689"/>
    <w:rsid w:val="000946AD"/>
    <w:rsid w:val="000946E8"/>
    <w:rsid w:val="0009472D"/>
    <w:rsid w:val="000948BF"/>
    <w:rsid w:val="00094911"/>
    <w:rsid w:val="00094A50"/>
    <w:rsid w:val="00094B00"/>
    <w:rsid w:val="00094B2C"/>
    <w:rsid w:val="00094B43"/>
    <w:rsid w:val="00094B44"/>
    <w:rsid w:val="00094C62"/>
    <w:rsid w:val="00094C8E"/>
    <w:rsid w:val="00094D1C"/>
    <w:rsid w:val="00094D8F"/>
    <w:rsid w:val="00094DBE"/>
    <w:rsid w:val="00094DFB"/>
    <w:rsid w:val="00094E95"/>
    <w:rsid w:val="00094F53"/>
    <w:rsid w:val="00094F85"/>
    <w:rsid w:val="00094FAD"/>
    <w:rsid w:val="000950AC"/>
    <w:rsid w:val="00095132"/>
    <w:rsid w:val="0009518B"/>
    <w:rsid w:val="00095352"/>
    <w:rsid w:val="000953AA"/>
    <w:rsid w:val="000953E0"/>
    <w:rsid w:val="00095454"/>
    <w:rsid w:val="0009547B"/>
    <w:rsid w:val="0009547F"/>
    <w:rsid w:val="00095555"/>
    <w:rsid w:val="00095576"/>
    <w:rsid w:val="000955A5"/>
    <w:rsid w:val="000955F3"/>
    <w:rsid w:val="000956F6"/>
    <w:rsid w:val="0009575C"/>
    <w:rsid w:val="000957CF"/>
    <w:rsid w:val="00095998"/>
    <w:rsid w:val="000959F7"/>
    <w:rsid w:val="00095A7F"/>
    <w:rsid w:val="00095A9A"/>
    <w:rsid w:val="00095AE1"/>
    <w:rsid w:val="00095B85"/>
    <w:rsid w:val="00095BD7"/>
    <w:rsid w:val="00095BEE"/>
    <w:rsid w:val="00095C11"/>
    <w:rsid w:val="00095D4E"/>
    <w:rsid w:val="00095E98"/>
    <w:rsid w:val="00095EA0"/>
    <w:rsid w:val="00095ECB"/>
    <w:rsid w:val="00095F8E"/>
    <w:rsid w:val="00096035"/>
    <w:rsid w:val="00096048"/>
    <w:rsid w:val="0009604B"/>
    <w:rsid w:val="00096098"/>
    <w:rsid w:val="000960AA"/>
    <w:rsid w:val="000961C6"/>
    <w:rsid w:val="0009633A"/>
    <w:rsid w:val="00096393"/>
    <w:rsid w:val="000964FA"/>
    <w:rsid w:val="0009656D"/>
    <w:rsid w:val="000966AE"/>
    <w:rsid w:val="000966F0"/>
    <w:rsid w:val="00096771"/>
    <w:rsid w:val="0009679E"/>
    <w:rsid w:val="00096813"/>
    <w:rsid w:val="00096824"/>
    <w:rsid w:val="00096851"/>
    <w:rsid w:val="00096869"/>
    <w:rsid w:val="00096873"/>
    <w:rsid w:val="00096875"/>
    <w:rsid w:val="000968BC"/>
    <w:rsid w:val="000968FA"/>
    <w:rsid w:val="00096943"/>
    <w:rsid w:val="00096987"/>
    <w:rsid w:val="000969A7"/>
    <w:rsid w:val="000969E7"/>
    <w:rsid w:val="00096B0A"/>
    <w:rsid w:val="00096E4B"/>
    <w:rsid w:val="00096E4C"/>
    <w:rsid w:val="00096F0B"/>
    <w:rsid w:val="00096F3C"/>
    <w:rsid w:val="00096F60"/>
    <w:rsid w:val="00097050"/>
    <w:rsid w:val="000970B9"/>
    <w:rsid w:val="00097151"/>
    <w:rsid w:val="000971B9"/>
    <w:rsid w:val="000971E5"/>
    <w:rsid w:val="0009720D"/>
    <w:rsid w:val="00097351"/>
    <w:rsid w:val="000973A6"/>
    <w:rsid w:val="000973E1"/>
    <w:rsid w:val="0009747D"/>
    <w:rsid w:val="00097486"/>
    <w:rsid w:val="0009755A"/>
    <w:rsid w:val="0009759A"/>
    <w:rsid w:val="000975F8"/>
    <w:rsid w:val="0009760C"/>
    <w:rsid w:val="00097670"/>
    <w:rsid w:val="000976AF"/>
    <w:rsid w:val="000976DB"/>
    <w:rsid w:val="000976E3"/>
    <w:rsid w:val="00097990"/>
    <w:rsid w:val="00097ADE"/>
    <w:rsid w:val="00097B41"/>
    <w:rsid w:val="00097BB8"/>
    <w:rsid w:val="00097BD6"/>
    <w:rsid w:val="00097C0F"/>
    <w:rsid w:val="00097C11"/>
    <w:rsid w:val="00097C8A"/>
    <w:rsid w:val="00097D06"/>
    <w:rsid w:val="00097D33"/>
    <w:rsid w:val="00097DF7"/>
    <w:rsid w:val="00097E61"/>
    <w:rsid w:val="00097E6B"/>
    <w:rsid w:val="00097EE1"/>
    <w:rsid w:val="00097F1C"/>
    <w:rsid w:val="00097F69"/>
    <w:rsid w:val="00097F78"/>
    <w:rsid w:val="00097F7F"/>
    <w:rsid w:val="000A0064"/>
    <w:rsid w:val="000A00DD"/>
    <w:rsid w:val="000A012E"/>
    <w:rsid w:val="000A01EB"/>
    <w:rsid w:val="000A0211"/>
    <w:rsid w:val="000A0238"/>
    <w:rsid w:val="000A032F"/>
    <w:rsid w:val="000A033E"/>
    <w:rsid w:val="000A0382"/>
    <w:rsid w:val="000A04A3"/>
    <w:rsid w:val="000A051D"/>
    <w:rsid w:val="000A052F"/>
    <w:rsid w:val="000A058D"/>
    <w:rsid w:val="000A05B5"/>
    <w:rsid w:val="000A05CA"/>
    <w:rsid w:val="000A05DA"/>
    <w:rsid w:val="000A0601"/>
    <w:rsid w:val="000A06AF"/>
    <w:rsid w:val="000A0759"/>
    <w:rsid w:val="000A076F"/>
    <w:rsid w:val="000A07B1"/>
    <w:rsid w:val="000A07D5"/>
    <w:rsid w:val="000A080E"/>
    <w:rsid w:val="000A082D"/>
    <w:rsid w:val="000A08A1"/>
    <w:rsid w:val="000A0904"/>
    <w:rsid w:val="000A092F"/>
    <w:rsid w:val="000A0AD7"/>
    <w:rsid w:val="000A0B8C"/>
    <w:rsid w:val="000A0C0C"/>
    <w:rsid w:val="000A0C2B"/>
    <w:rsid w:val="000A0C2E"/>
    <w:rsid w:val="000A0C9A"/>
    <w:rsid w:val="000A0CBF"/>
    <w:rsid w:val="000A0D26"/>
    <w:rsid w:val="000A0D34"/>
    <w:rsid w:val="000A0D3D"/>
    <w:rsid w:val="000A0D72"/>
    <w:rsid w:val="000A0E7D"/>
    <w:rsid w:val="000A0EAC"/>
    <w:rsid w:val="000A0F97"/>
    <w:rsid w:val="000A0F9C"/>
    <w:rsid w:val="000A0FE2"/>
    <w:rsid w:val="000A1041"/>
    <w:rsid w:val="000A1081"/>
    <w:rsid w:val="000A108E"/>
    <w:rsid w:val="000A110E"/>
    <w:rsid w:val="000A1128"/>
    <w:rsid w:val="000A1295"/>
    <w:rsid w:val="000A13DC"/>
    <w:rsid w:val="000A14D0"/>
    <w:rsid w:val="000A1557"/>
    <w:rsid w:val="000A15C5"/>
    <w:rsid w:val="000A15C7"/>
    <w:rsid w:val="000A161C"/>
    <w:rsid w:val="000A180E"/>
    <w:rsid w:val="000A189F"/>
    <w:rsid w:val="000A1919"/>
    <w:rsid w:val="000A191B"/>
    <w:rsid w:val="000A19E6"/>
    <w:rsid w:val="000A1A20"/>
    <w:rsid w:val="000A1A21"/>
    <w:rsid w:val="000A1AC1"/>
    <w:rsid w:val="000A1BBD"/>
    <w:rsid w:val="000A1C8B"/>
    <w:rsid w:val="000A1DB5"/>
    <w:rsid w:val="000A1DCE"/>
    <w:rsid w:val="000A1DD1"/>
    <w:rsid w:val="000A1E37"/>
    <w:rsid w:val="000A1E79"/>
    <w:rsid w:val="000A1EAB"/>
    <w:rsid w:val="000A1F4B"/>
    <w:rsid w:val="000A1FB0"/>
    <w:rsid w:val="000A1FF4"/>
    <w:rsid w:val="000A2010"/>
    <w:rsid w:val="000A2112"/>
    <w:rsid w:val="000A2151"/>
    <w:rsid w:val="000A21A2"/>
    <w:rsid w:val="000A2290"/>
    <w:rsid w:val="000A22A3"/>
    <w:rsid w:val="000A242A"/>
    <w:rsid w:val="000A24D7"/>
    <w:rsid w:val="000A259A"/>
    <w:rsid w:val="000A25C8"/>
    <w:rsid w:val="000A25FA"/>
    <w:rsid w:val="000A265F"/>
    <w:rsid w:val="000A2677"/>
    <w:rsid w:val="000A26A5"/>
    <w:rsid w:val="000A26F0"/>
    <w:rsid w:val="000A26F9"/>
    <w:rsid w:val="000A27D5"/>
    <w:rsid w:val="000A2815"/>
    <w:rsid w:val="000A2832"/>
    <w:rsid w:val="000A28C9"/>
    <w:rsid w:val="000A2965"/>
    <w:rsid w:val="000A297F"/>
    <w:rsid w:val="000A2A2E"/>
    <w:rsid w:val="000A2A83"/>
    <w:rsid w:val="000A2B4B"/>
    <w:rsid w:val="000A2B4E"/>
    <w:rsid w:val="000A2B7C"/>
    <w:rsid w:val="000A2D00"/>
    <w:rsid w:val="000A2D44"/>
    <w:rsid w:val="000A2D46"/>
    <w:rsid w:val="000A2E04"/>
    <w:rsid w:val="000A2F1D"/>
    <w:rsid w:val="000A2F5D"/>
    <w:rsid w:val="000A2F63"/>
    <w:rsid w:val="000A2F65"/>
    <w:rsid w:val="000A2F91"/>
    <w:rsid w:val="000A2FEC"/>
    <w:rsid w:val="000A3000"/>
    <w:rsid w:val="000A3071"/>
    <w:rsid w:val="000A3154"/>
    <w:rsid w:val="000A3178"/>
    <w:rsid w:val="000A3188"/>
    <w:rsid w:val="000A31B0"/>
    <w:rsid w:val="000A31EE"/>
    <w:rsid w:val="000A3248"/>
    <w:rsid w:val="000A3288"/>
    <w:rsid w:val="000A3477"/>
    <w:rsid w:val="000A3627"/>
    <w:rsid w:val="000A36D1"/>
    <w:rsid w:val="000A3700"/>
    <w:rsid w:val="000A372D"/>
    <w:rsid w:val="000A3770"/>
    <w:rsid w:val="000A3773"/>
    <w:rsid w:val="000A382D"/>
    <w:rsid w:val="000A38F6"/>
    <w:rsid w:val="000A3AF5"/>
    <w:rsid w:val="000A3B74"/>
    <w:rsid w:val="000A3B7C"/>
    <w:rsid w:val="000A3C4E"/>
    <w:rsid w:val="000A3D07"/>
    <w:rsid w:val="000A3D4C"/>
    <w:rsid w:val="000A3D55"/>
    <w:rsid w:val="000A3E93"/>
    <w:rsid w:val="000A3EA1"/>
    <w:rsid w:val="000A3FAE"/>
    <w:rsid w:val="000A4001"/>
    <w:rsid w:val="000A407F"/>
    <w:rsid w:val="000A4135"/>
    <w:rsid w:val="000A416F"/>
    <w:rsid w:val="000A41CE"/>
    <w:rsid w:val="000A426E"/>
    <w:rsid w:val="000A4278"/>
    <w:rsid w:val="000A42FF"/>
    <w:rsid w:val="000A4344"/>
    <w:rsid w:val="000A43D7"/>
    <w:rsid w:val="000A43E8"/>
    <w:rsid w:val="000A4447"/>
    <w:rsid w:val="000A44EC"/>
    <w:rsid w:val="000A45B3"/>
    <w:rsid w:val="000A46CB"/>
    <w:rsid w:val="000A4794"/>
    <w:rsid w:val="000A48E7"/>
    <w:rsid w:val="000A48EA"/>
    <w:rsid w:val="000A49D5"/>
    <w:rsid w:val="000A49EC"/>
    <w:rsid w:val="000A4A72"/>
    <w:rsid w:val="000A4A9E"/>
    <w:rsid w:val="000A4B2A"/>
    <w:rsid w:val="000A4B4D"/>
    <w:rsid w:val="000A4BAA"/>
    <w:rsid w:val="000A4CFA"/>
    <w:rsid w:val="000A4D5E"/>
    <w:rsid w:val="000A4D88"/>
    <w:rsid w:val="000A4D8C"/>
    <w:rsid w:val="000A4DBD"/>
    <w:rsid w:val="000A4E1F"/>
    <w:rsid w:val="000A5030"/>
    <w:rsid w:val="000A5048"/>
    <w:rsid w:val="000A5052"/>
    <w:rsid w:val="000A5191"/>
    <w:rsid w:val="000A51B2"/>
    <w:rsid w:val="000A51E5"/>
    <w:rsid w:val="000A521D"/>
    <w:rsid w:val="000A52BE"/>
    <w:rsid w:val="000A5328"/>
    <w:rsid w:val="000A53B1"/>
    <w:rsid w:val="000A551E"/>
    <w:rsid w:val="000A567A"/>
    <w:rsid w:val="000A5694"/>
    <w:rsid w:val="000A5701"/>
    <w:rsid w:val="000A576D"/>
    <w:rsid w:val="000A57B6"/>
    <w:rsid w:val="000A57D4"/>
    <w:rsid w:val="000A582A"/>
    <w:rsid w:val="000A5836"/>
    <w:rsid w:val="000A5915"/>
    <w:rsid w:val="000A5940"/>
    <w:rsid w:val="000A5965"/>
    <w:rsid w:val="000A5984"/>
    <w:rsid w:val="000A5A36"/>
    <w:rsid w:val="000A5A7B"/>
    <w:rsid w:val="000A5AD9"/>
    <w:rsid w:val="000A5B1A"/>
    <w:rsid w:val="000A5C1D"/>
    <w:rsid w:val="000A5C73"/>
    <w:rsid w:val="000A5CDA"/>
    <w:rsid w:val="000A5D73"/>
    <w:rsid w:val="000A5E7B"/>
    <w:rsid w:val="000A5EDF"/>
    <w:rsid w:val="000A5F72"/>
    <w:rsid w:val="000A6029"/>
    <w:rsid w:val="000A62B5"/>
    <w:rsid w:val="000A63F5"/>
    <w:rsid w:val="000A6425"/>
    <w:rsid w:val="000A6536"/>
    <w:rsid w:val="000A65DD"/>
    <w:rsid w:val="000A6715"/>
    <w:rsid w:val="000A693A"/>
    <w:rsid w:val="000A693E"/>
    <w:rsid w:val="000A6971"/>
    <w:rsid w:val="000A6A25"/>
    <w:rsid w:val="000A6AFB"/>
    <w:rsid w:val="000A6B9F"/>
    <w:rsid w:val="000A6C31"/>
    <w:rsid w:val="000A6C94"/>
    <w:rsid w:val="000A6CDC"/>
    <w:rsid w:val="000A6D22"/>
    <w:rsid w:val="000A6D52"/>
    <w:rsid w:val="000A6DB0"/>
    <w:rsid w:val="000A6DB8"/>
    <w:rsid w:val="000A6DBE"/>
    <w:rsid w:val="000A6E98"/>
    <w:rsid w:val="000A6F7E"/>
    <w:rsid w:val="000A6F97"/>
    <w:rsid w:val="000A7002"/>
    <w:rsid w:val="000A7094"/>
    <w:rsid w:val="000A70C4"/>
    <w:rsid w:val="000A7166"/>
    <w:rsid w:val="000A71BE"/>
    <w:rsid w:val="000A724B"/>
    <w:rsid w:val="000A728B"/>
    <w:rsid w:val="000A72A6"/>
    <w:rsid w:val="000A7332"/>
    <w:rsid w:val="000A7334"/>
    <w:rsid w:val="000A7373"/>
    <w:rsid w:val="000A7397"/>
    <w:rsid w:val="000A73AC"/>
    <w:rsid w:val="000A73BE"/>
    <w:rsid w:val="000A73E7"/>
    <w:rsid w:val="000A7423"/>
    <w:rsid w:val="000A7433"/>
    <w:rsid w:val="000A74ED"/>
    <w:rsid w:val="000A75A9"/>
    <w:rsid w:val="000A75C5"/>
    <w:rsid w:val="000A75F0"/>
    <w:rsid w:val="000A7744"/>
    <w:rsid w:val="000A78D7"/>
    <w:rsid w:val="000A7A9A"/>
    <w:rsid w:val="000A7B0D"/>
    <w:rsid w:val="000A7C7E"/>
    <w:rsid w:val="000A7CEF"/>
    <w:rsid w:val="000A7D4F"/>
    <w:rsid w:val="000A7E92"/>
    <w:rsid w:val="000A7EC0"/>
    <w:rsid w:val="000A7F65"/>
    <w:rsid w:val="000A7F96"/>
    <w:rsid w:val="000B0038"/>
    <w:rsid w:val="000B0074"/>
    <w:rsid w:val="000B015E"/>
    <w:rsid w:val="000B0198"/>
    <w:rsid w:val="000B0204"/>
    <w:rsid w:val="000B029F"/>
    <w:rsid w:val="000B02B0"/>
    <w:rsid w:val="000B032C"/>
    <w:rsid w:val="000B0347"/>
    <w:rsid w:val="000B03F5"/>
    <w:rsid w:val="000B051E"/>
    <w:rsid w:val="000B0536"/>
    <w:rsid w:val="000B0552"/>
    <w:rsid w:val="000B0643"/>
    <w:rsid w:val="000B0686"/>
    <w:rsid w:val="000B06F2"/>
    <w:rsid w:val="000B078B"/>
    <w:rsid w:val="000B07F2"/>
    <w:rsid w:val="000B084C"/>
    <w:rsid w:val="000B08C9"/>
    <w:rsid w:val="000B0979"/>
    <w:rsid w:val="000B09CB"/>
    <w:rsid w:val="000B0A13"/>
    <w:rsid w:val="000B0A35"/>
    <w:rsid w:val="000B0A43"/>
    <w:rsid w:val="000B0B3F"/>
    <w:rsid w:val="000B0B55"/>
    <w:rsid w:val="000B0BEB"/>
    <w:rsid w:val="000B0C00"/>
    <w:rsid w:val="000B0C20"/>
    <w:rsid w:val="000B0CBA"/>
    <w:rsid w:val="000B0CF5"/>
    <w:rsid w:val="000B0D89"/>
    <w:rsid w:val="000B0DCC"/>
    <w:rsid w:val="000B0E6B"/>
    <w:rsid w:val="000B0EBD"/>
    <w:rsid w:val="000B0EC6"/>
    <w:rsid w:val="000B0F58"/>
    <w:rsid w:val="000B10A5"/>
    <w:rsid w:val="000B10C6"/>
    <w:rsid w:val="000B10D1"/>
    <w:rsid w:val="000B1158"/>
    <w:rsid w:val="000B11FF"/>
    <w:rsid w:val="000B126E"/>
    <w:rsid w:val="000B1284"/>
    <w:rsid w:val="000B1337"/>
    <w:rsid w:val="000B134B"/>
    <w:rsid w:val="000B1484"/>
    <w:rsid w:val="000B149F"/>
    <w:rsid w:val="000B1522"/>
    <w:rsid w:val="000B155C"/>
    <w:rsid w:val="000B1577"/>
    <w:rsid w:val="000B1644"/>
    <w:rsid w:val="000B16DF"/>
    <w:rsid w:val="000B16ED"/>
    <w:rsid w:val="000B17A9"/>
    <w:rsid w:val="000B182B"/>
    <w:rsid w:val="000B18F4"/>
    <w:rsid w:val="000B198B"/>
    <w:rsid w:val="000B1A7F"/>
    <w:rsid w:val="000B1ABF"/>
    <w:rsid w:val="000B1B24"/>
    <w:rsid w:val="000B1BE1"/>
    <w:rsid w:val="000B1E80"/>
    <w:rsid w:val="000B2060"/>
    <w:rsid w:val="000B2147"/>
    <w:rsid w:val="000B2154"/>
    <w:rsid w:val="000B21C3"/>
    <w:rsid w:val="000B223E"/>
    <w:rsid w:val="000B228A"/>
    <w:rsid w:val="000B22A1"/>
    <w:rsid w:val="000B2315"/>
    <w:rsid w:val="000B23D2"/>
    <w:rsid w:val="000B2430"/>
    <w:rsid w:val="000B2514"/>
    <w:rsid w:val="000B27BB"/>
    <w:rsid w:val="000B27F1"/>
    <w:rsid w:val="000B2849"/>
    <w:rsid w:val="000B28B3"/>
    <w:rsid w:val="000B2910"/>
    <w:rsid w:val="000B2999"/>
    <w:rsid w:val="000B2A08"/>
    <w:rsid w:val="000B2A68"/>
    <w:rsid w:val="000B2A6C"/>
    <w:rsid w:val="000B2AD2"/>
    <w:rsid w:val="000B2C59"/>
    <w:rsid w:val="000B2CA8"/>
    <w:rsid w:val="000B2CAE"/>
    <w:rsid w:val="000B2DCB"/>
    <w:rsid w:val="000B2E77"/>
    <w:rsid w:val="000B2EC5"/>
    <w:rsid w:val="000B2EF5"/>
    <w:rsid w:val="000B2F21"/>
    <w:rsid w:val="000B2FA7"/>
    <w:rsid w:val="000B2FC1"/>
    <w:rsid w:val="000B2FCD"/>
    <w:rsid w:val="000B3153"/>
    <w:rsid w:val="000B31EF"/>
    <w:rsid w:val="000B321C"/>
    <w:rsid w:val="000B3259"/>
    <w:rsid w:val="000B3271"/>
    <w:rsid w:val="000B335A"/>
    <w:rsid w:val="000B335E"/>
    <w:rsid w:val="000B347C"/>
    <w:rsid w:val="000B34E6"/>
    <w:rsid w:val="000B3505"/>
    <w:rsid w:val="000B351D"/>
    <w:rsid w:val="000B3535"/>
    <w:rsid w:val="000B35B7"/>
    <w:rsid w:val="000B35CF"/>
    <w:rsid w:val="000B3616"/>
    <w:rsid w:val="000B361F"/>
    <w:rsid w:val="000B3623"/>
    <w:rsid w:val="000B3688"/>
    <w:rsid w:val="000B38AC"/>
    <w:rsid w:val="000B38BD"/>
    <w:rsid w:val="000B3A4D"/>
    <w:rsid w:val="000B3B57"/>
    <w:rsid w:val="000B3BCB"/>
    <w:rsid w:val="000B3C53"/>
    <w:rsid w:val="000B3C8B"/>
    <w:rsid w:val="000B3D28"/>
    <w:rsid w:val="000B3DCC"/>
    <w:rsid w:val="000B3DD6"/>
    <w:rsid w:val="000B3E5D"/>
    <w:rsid w:val="000B3E79"/>
    <w:rsid w:val="000B3E8C"/>
    <w:rsid w:val="000B3F70"/>
    <w:rsid w:val="000B3F72"/>
    <w:rsid w:val="000B3F80"/>
    <w:rsid w:val="000B3FA1"/>
    <w:rsid w:val="000B3FC6"/>
    <w:rsid w:val="000B4025"/>
    <w:rsid w:val="000B402E"/>
    <w:rsid w:val="000B4031"/>
    <w:rsid w:val="000B403D"/>
    <w:rsid w:val="000B40B8"/>
    <w:rsid w:val="000B40F5"/>
    <w:rsid w:val="000B4350"/>
    <w:rsid w:val="000B4486"/>
    <w:rsid w:val="000B44EA"/>
    <w:rsid w:val="000B4524"/>
    <w:rsid w:val="000B453A"/>
    <w:rsid w:val="000B466D"/>
    <w:rsid w:val="000B4680"/>
    <w:rsid w:val="000B46E9"/>
    <w:rsid w:val="000B471E"/>
    <w:rsid w:val="000B47D7"/>
    <w:rsid w:val="000B4821"/>
    <w:rsid w:val="000B48E0"/>
    <w:rsid w:val="000B4908"/>
    <w:rsid w:val="000B4924"/>
    <w:rsid w:val="000B4B36"/>
    <w:rsid w:val="000B4BEC"/>
    <w:rsid w:val="000B4C3A"/>
    <w:rsid w:val="000B4D4C"/>
    <w:rsid w:val="000B4D8A"/>
    <w:rsid w:val="000B4DC8"/>
    <w:rsid w:val="000B4E12"/>
    <w:rsid w:val="000B4E31"/>
    <w:rsid w:val="000B4F53"/>
    <w:rsid w:val="000B4FA0"/>
    <w:rsid w:val="000B50F3"/>
    <w:rsid w:val="000B5112"/>
    <w:rsid w:val="000B514F"/>
    <w:rsid w:val="000B51ED"/>
    <w:rsid w:val="000B5310"/>
    <w:rsid w:val="000B5374"/>
    <w:rsid w:val="000B5546"/>
    <w:rsid w:val="000B555B"/>
    <w:rsid w:val="000B5689"/>
    <w:rsid w:val="000B5702"/>
    <w:rsid w:val="000B5764"/>
    <w:rsid w:val="000B5791"/>
    <w:rsid w:val="000B57B4"/>
    <w:rsid w:val="000B5885"/>
    <w:rsid w:val="000B58BE"/>
    <w:rsid w:val="000B5950"/>
    <w:rsid w:val="000B596B"/>
    <w:rsid w:val="000B5BE6"/>
    <w:rsid w:val="000B5C03"/>
    <w:rsid w:val="000B5DCF"/>
    <w:rsid w:val="000B5E03"/>
    <w:rsid w:val="000B5E56"/>
    <w:rsid w:val="000B5E57"/>
    <w:rsid w:val="000B5F5C"/>
    <w:rsid w:val="000B5F60"/>
    <w:rsid w:val="000B60B7"/>
    <w:rsid w:val="000B60CE"/>
    <w:rsid w:val="000B62EC"/>
    <w:rsid w:val="000B6339"/>
    <w:rsid w:val="000B6357"/>
    <w:rsid w:val="000B6407"/>
    <w:rsid w:val="000B64EE"/>
    <w:rsid w:val="000B656C"/>
    <w:rsid w:val="000B6584"/>
    <w:rsid w:val="000B6653"/>
    <w:rsid w:val="000B66AB"/>
    <w:rsid w:val="000B66D4"/>
    <w:rsid w:val="000B66D5"/>
    <w:rsid w:val="000B6706"/>
    <w:rsid w:val="000B6783"/>
    <w:rsid w:val="000B685A"/>
    <w:rsid w:val="000B68BE"/>
    <w:rsid w:val="000B6953"/>
    <w:rsid w:val="000B6955"/>
    <w:rsid w:val="000B697E"/>
    <w:rsid w:val="000B6982"/>
    <w:rsid w:val="000B6A65"/>
    <w:rsid w:val="000B6AB3"/>
    <w:rsid w:val="000B6B35"/>
    <w:rsid w:val="000B6CEA"/>
    <w:rsid w:val="000B6E07"/>
    <w:rsid w:val="000B6E22"/>
    <w:rsid w:val="000B6EC6"/>
    <w:rsid w:val="000B6EED"/>
    <w:rsid w:val="000B6F23"/>
    <w:rsid w:val="000B6F4B"/>
    <w:rsid w:val="000B6F92"/>
    <w:rsid w:val="000B715E"/>
    <w:rsid w:val="000B7193"/>
    <w:rsid w:val="000B71A5"/>
    <w:rsid w:val="000B71AB"/>
    <w:rsid w:val="000B722E"/>
    <w:rsid w:val="000B738D"/>
    <w:rsid w:val="000B73D6"/>
    <w:rsid w:val="000B73F7"/>
    <w:rsid w:val="000B7524"/>
    <w:rsid w:val="000B759E"/>
    <w:rsid w:val="000B7648"/>
    <w:rsid w:val="000B76BE"/>
    <w:rsid w:val="000B7718"/>
    <w:rsid w:val="000B7750"/>
    <w:rsid w:val="000B780B"/>
    <w:rsid w:val="000B78A0"/>
    <w:rsid w:val="000B792A"/>
    <w:rsid w:val="000B7990"/>
    <w:rsid w:val="000B7A5E"/>
    <w:rsid w:val="000B7A78"/>
    <w:rsid w:val="000B7AE2"/>
    <w:rsid w:val="000B7C79"/>
    <w:rsid w:val="000B7C9B"/>
    <w:rsid w:val="000B7CB0"/>
    <w:rsid w:val="000B7CF5"/>
    <w:rsid w:val="000B7E70"/>
    <w:rsid w:val="000B7ECA"/>
    <w:rsid w:val="000B7EF8"/>
    <w:rsid w:val="000B7F6D"/>
    <w:rsid w:val="000B7FEA"/>
    <w:rsid w:val="000B7FF1"/>
    <w:rsid w:val="000C00BB"/>
    <w:rsid w:val="000C0119"/>
    <w:rsid w:val="000C0173"/>
    <w:rsid w:val="000C023C"/>
    <w:rsid w:val="000C0249"/>
    <w:rsid w:val="000C0282"/>
    <w:rsid w:val="000C0291"/>
    <w:rsid w:val="000C0334"/>
    <w:rsid w:val="000C035A"/>
    <w:rsid w:val="000C0411"/>
    <w:rsid w:val="000C0420"/>
    <w:rsid w:val="000C04D7"/>
    <w:rsid w:val="000C0566"/>
    <w:rsid w:val="000C0572"/>
    <w:rsid w:val="000C0578"/>
    <w:rsid w:val="000C06E6"/>
    <w:rsid w:val="000C079E"/>
    <w:rsid w:val="000C0866"/>
    <w:rsid w:val="000C08AB"/>
    <w:rsid w:val="000C0955"/>
    <w:rsid w:val="000C0983"/>
    <w:rsid w:val="000C0A2B"/>
    <w:rsid w:val="000C0B93"/>
    <w:rsid w:val="000C0BB0"/>
    <w:rsid w:val="000C0CF3"/>
    <w:rsid w:val="000C0CF5"/>
    <w:rsid w:val="000C0D50"/>
    <w:rsid w:val="000C0DFE"/>
    <w:rsid w:val="000C0E54"/>
    <w:rsid w:val="000C0F84"/>
    <w:rsid w:val="000C10CB"/>
    <w:rsid w:val="000C112C"/>
    <w:rsid w:val="000C1205"/>
    <w:rsid w:val="000C1241"/>
    <w:rsid w:val="000C1257"/>
    <w:rsid w:val="000C125A"/>
    <w:rsid w:val="000C13FC"/>
    <w:rsid w:val="000C1460"/>
    <w:rsid w:val="000C14BD"/>
    <w:rsid w:val="000C1593"/>
    <w:rsid w:val="000C15AF"/>
    <w:rsid w:val="000C1648"/>
    <w:rsid w:val="000C1692"/>
    <w:rsid w:val="000C1715"/>
    <w:rsid w:val="000C17AD"/>
    <w:rsid w:val="000C17FE"/>
    <w:rsid w:val="000C186E"/>
    <w:rsid w:val="000C1924"/>
    <w:rsid w:val="000C19BC"/>
    <w:rsid w:val="000C19EF"/>
    <w:rsid w:val="000C1A20"/>
    <w:rsid w:val="000C1B03"/>
    <w:rsid w:val="000C1B5B"/>
    <w:rsid w:val="000C1C7E"/>
    <w:rsid w:val="000C1CD9"/>
    <w:rsid w:val="000C1D11"/>
    <w:rsid w:val="000C1D23"/>
    <w:rsid w:val="000C1E50"/>
    <w:rsid w:val="000C1E8D"/>
    <w:rsid w:val="000C1ED1"/>
    <w:rsid w:val="000C1F63"/>
    <w:rsid w:val="000C1FE9"/>
    <w:rsid w:val="000C1FF9"/>
    <w:rsid w:val="000C2009"/>
    <w:rsid w:val="000C2036"/>
    <w:rsid w:val="000C215E"/>
    <w:rsid w:val="000C2283"/>
    <w:rsid w:val="000C237F"/>
    <w:rsid w:val="000C23C2"/>
    <w:rsid w:val="000C24D2"/>
    <w:rsid w:val="000C25EE"/>
    <w:rsid w:val="000C25F5"/>
    <w:rsid w:val="000C2741"/>
    <w:rsid w:val="000C2750"/>
    <w:rsid w:val="000C2756"/>
    <w:rsid w:val="000C27A0"/>
    <w:rsid w:val="000C284C"/>
    <w:rsid w:val="000C28B7"/>
    <w:rsid w:val="000C2A6D"/>
    <w:rsid w:val="000C2AE3"/>
    <w:rsid w:val="000C2B4D"/>
    <w:rsid w:val="000C2C0E"/>
    <w:rsid w:val="000C2D90"/>
    <w:rsid w:val="000C2DE9"/>
    <w:rsid w:val="000C2E3E"/>
    <w:rsid w:val="000C2E88"/>
    <w:rsid w:val="000C2EBC"/>
    <w:rsid w:val="000C2F98"/>
    <w:rsid w:val="000C2FD6"/>
    <w:rsid w:val="000C319C"/>
    <w:rsid w:val="000C31D2"/>
    <w:rsid w:val="000C31E4"/>
    <w:rsid w:val="000C32A6"/>
    <w:rsid w:val="000C3333"/>
    <w:rsid w:val="000C336C"/>
    <w:rsid w:val="000C3377"/>
    <w:rsid w:val="000C33AE"/>
    <w:rsid w:val="000C33D5"/>
    <w:rsid w:val="000C3490"/>
    <w:rsid w:val="000C34FC"/>
    <w:rsid w:val="000C35E2"/>
    <w:rsid w:val="000C360A"/>
    <w:rsid w:val="000C3655"/>
    <w:rsid w:val="000C3744"/>
    <w:rsid w:val="000C3813"/>
    <w:rsid w:val="000C38C7"/>
    <w:rsid w:val="000C3955"/>
    <w:rsid w:val="000C3956"/>
    <w:rsid w:val="000C3985"/>
    <w:rsid w:val="000C3986"/>
    <w:rsid w:val="000C3A03"/>
    <w:rsid w:val="000C3A55"/>
    <w:rsid w:val="000C3AF3"/>
    <w:rsid w:val="000C3B6B"/>
    <w:rsid w:val="000C3C4F"/>
    <w:rsid w:val="000C3C8D"/>
    <w:rsid w:val="000C3CBB"/>
    <w:rsid w:val="000C3CF6"/>
    <w:rsid w:val="000C3D5B"/>
    <w:rsid w:val="000C3D7D"/>
    <w:rsid w:val="000C3D9D"/>
    <w:rsid w:val="000C3E12"/>
    <w:rsid w:val="000C3E1B"/>
    <w:rsid w:val="000C3EF9"/>
    <w:rsid w:val="000C3FBA"/>
    <w:rsid w:val="000C4048"/>
    <w:rsid w:val="000C404C"/>
    <w:rsid w:val="000C40EA"/>
    <w:rsid w:val="000C4120"/>
    <w:rsid w:val="000C41A8"/>
    <w:rsid w:val="000C41B6"/>
    <w:rsid w:val="000C4276"/>
    <w:rsid w:val="000C42F9"/>
    <w:rsid w:val="000C4361"/>
    <w:rsid w:val="000C436E"/>
    <w:rsid w:val="000C4404"/>
    <w:rsid w:val="000C4476"/>
    <w:rsid w:val="000C450F"/>
    <w:rsid w:val="000C4534"/>
    <w:rsid w:val="000C4646"/>
    <w:rsid w:val="000C4688"/>
    <w:rsid w:val="000C46A7"/>
    <w:rsid w:val="000C471B"/>
    <w:rsid w:val="000C47E4"/>
    <w:rsid w:val="000C47F6"/>
    <w:rsid w:val="000C497D"/>
    <w:rsid w:val="000C4991"/>
    <w:rsid w:val="000C4A37"/>
    <w:rsid w:val="000C4A58"/>
    <w:rsid w:val="000C4B99"/>
    <w:rsid w:val="000C4B9E"/>
    <w:rsid w:val="000C4C39"/>
    <w:rsid w:val="000C4C7C"/>
    <w:rsid w:val="000C4CC6"/>
    <w:rsid w:val="000C4CF4"/>
    <w:rsid w:val="000C4D31"/>
    <w:rsid w:val="000C4D3F"/>
    <w:rsid w:val="000C4D4B"/>
    <w:rsid w:val="000C512D"/>
    <w:rsid w:val="000C5193"/>
    <w:rsid w:val="000C51B0"/>
    <w:rsid w:val="000C52A6"/>
    <w:rsid w:val="000C52E5"/>
    <w:rsid w:val="000C535B"/>
    <w:rsid w:val="000C53B3"/>
    <w:rsid w:val="000C5471"/>
    <w:rsid w:val="000C54AF"/>
    <w:rsid w:val="000C54CF"/>
    <w:rsid w:val="000C552E"/>
    <w:rsid w:val="000C5540"/>
    <w:rsid w:val="000C5578"/>
    <w:rsid w:val="000C55CB"/>
    <w:rsid w:val="000C5612"/>
    <w:rsid w:val="000C5677"/>
    <w:rsid w:val="000C568C"/>
    <w:rsid w:val="000C5727"/>
    <w:rsid w:val="000C5778"/>
    <w:rsid w:val="000C58DF"/>
    <w:rsid w:val="000C5973"/>
    <w:rsid w:val="000C59DD"/>
    <w:rsid w:val="000C5ABC"/>
    <w:rsid w:val="000C5CDC"/>
    <w:rsid w:val="000C5DA8"/>
    <w:rsid w:val="000C5E28"/>
    <w:rsid w:val="000C5EC0"/>
    <w:rsid w:val="000C5F15"/>
    <w:rsid w:val="000C5FBC"/>
    <w:rsid w:val="000C60EC"/>
    <w:rsid w:val="000C6107"/>
    <w:rsid w:val="000C6108"/>
    <w:rsid w:val="000C621F"/>
    <w:rsid w:val="000C6286"/>
    <w:rsid w:val="000C62C2"/>
    <w:rsid w:val="000C62D6"/>
    <w:rsid w:val="000C6310"/>
    <w:rsid w:val="000C6382"/>
    <w:rsid w:val="000C63AC"/>
    <w:rsid w:val="000C63EB"/>
    <w:rsid w:val="000C6475"/>
    <w:rsid w:val="000C6506"/>
    <w:rsid w:val="000C6508"/>
    <w:rsid w:val="000C6540"/>
    <w:rsid w:val="000C6553"/>
    <w:rsid w:val="000C6574"/>
    <w:rsid w:val="000C6875"/>
    <w:rsid w:val="000C68D6"/>
    <w:rsid w:val="000C6A84"/>
    <w:rsid w:val="000C6B86"/>
    <w:rsid w:val="000C6B94"/>
    <w:rsid w:val="000C6BAF"/>
    <w:rsid w:val="000C6C0B"/>
    <w:rsid w:val="000C6C38"/>
    <w:rsid w:val="000C6C3B"/>
    <w:rsid w:val="000C6D71"/>
    <w:rsid w:val="000C6E28"/>
    <w:rsid w:val="000C6E95"/>
    <w:rsid w:val="000C6EA9"/>
    <w:rsid w:val="000C6EBA"/>
    <w:rsid w:val="000C6FAB"/>
    <w:rsid w:val="000C6FB7"/>
    <w:rsid w:val="000C6FC6"/>
    <w:rsid w:val="000C700B"/>
    <w:rsid w:val="000C710C"/>
    <w:rsid w:val="000C7131"/>
    <w:rsid w:val="000C7451"/>
    <w:rsid w:val="000C747C"/>
    <w:rsid w:val="000C748F"/>
    <w:rsid w:val="000C74DB"/>
    <w:rsid w:val="000C7505"/>
    <w:rsid w:val="000C76BE"/>
    <w:rsid w:val="000C77C4"/>
    <w:rsid w:val="000C792A"/>
    <w:rsid w:val="000C7986"/>
    <w:rsid w:val="000C79A3"/>
    <w:rsid w:val="000C7B06"/>
    <w:rsid w:val="000C7B0D"/>
    <w:rsid w:val="000C7EA9"/>
    <w:rsid w:val="000C7F2B"/>
    <w:rsid w:val="000C7F9A"/>
    <w:rsid w:val="000C7FCA"/>
    <w:rsid w:val="000D00FF"/>
    <w:rsid w:val="000D011F"/>
    <w:rsid w:val="000D0121"/>
    <w:rsid w:val="000D01C7"/>
    <w:rsid w:val="000D02C9"/>
    <w:rsid w:val="000D02CE"/>
    <w:rsid w:val="000D02F9"/>
    <w:rsid w:val="000D030A"/>
    <w:rsid w:val="000D036D"/>
    <w:rsid w:val="000D03B6"/>
    <w:rsid w:val="000D0405"/>
    <w:rsid w:val="000D044C"/>
    <w:rsid w:val="000D0497"/>
    <w:rsid w:val="000D04CD"/>
    <w:rsid w:val="000D04EE"/>
    <w:rsid w:val="000D0506"/>
    <w:rsid w:val="000D0554"/>
    <w:rsid w:val="000D065C"/>
    <w:rsid w:val="000D0679"/>
    <w:rsid w:val="000D074F"/>
    <w:rsid w:val="000D0779"/>
    <w:rsid w:val="000D07C2"/>
    <w:rsid w:val="000D08F7"/>
    <w:rsid w:val="000D0A14"/>
    <w:rsid w:val="000D0A75"/>
    <w:rsid w:val="000D0A78"/>
    <w:rsid w:val="000D0B4A"/>
    <w:rsid w:val="000D0B65"/>
    <w:rsid w:val="000D0C59"/>
    <w:rsid w:val="000D0CCC"/>
    <w:rsid w:val="000D0D9B"/>
    <w:rsid w:val="000D0DC3"/>
    <w:rsid w:val="000D0DC6"/>
    <w:rsid w:val="000D0FB2"/>
    <w:rsid w:val="000D1084"/>
    <w:rsid w:val="000D10DA"/>
    <w:rsid w:val="000D10EE"/>
    <w:rsid w:val="000D1114"/>
    <w:rsid w:val="000D1130"/>
    <w:rsid w:val="000D1174"/>
    <w:rsid w:val="000D1190"/>
    <w:rsid w:val="000D12BC"/>
    <w:rsid w:val="000D1307"/>
    <w:rsid w:val="000D1317"/>
    <w:rsid w:val="000D132A"/>
    <w:rsid w:val="000D1469"/>
    <w:rsid w:val="000D14A5"/>
    <w:rsid w:val="000D14E6"/>
    <w:rsid w:val="000D15A0"/>
    <w:rsid w:val="000D16C0"/>
    <w:rsid w:val="000D1783"/>
    <w:rsid w:val="000D17E6"/>
    <w:rsid w:val="000D185C"/>
    <w:rsid w:val="000D185D"/>
    <w:rsid w:val="000D199C"/>
    <w:rsid w:val="000D19A0"/>
    <w:rsid w:val="000D1A08"/>
    <w:rsid w:val="000D1A57"/>
    <w:rsid w:val="000D1B77"/>
    <w:rsid w:val="000D1C0A"/>
    <w:rsid w:val="000D1E08"/>
    <w:rsid w:val="000D1EB7"/>
    <w:rsid w:val="000D1EF4"/>
    <w:rsid w:val="000D1F00"/>
    <w:rsid w:val="000D1F33"/>
    <w:rsid w:val="000D1F68"/>
    <w:rsid w:val="000D1FCC"/>
    <w:rsid w:val="000D2089"/>
    <w:rsid w:val="000D2096"/>
    <w:rsid w:val="000D2354"/>
    <w:rsid w:val="000D2401"/>
    <w:rsid w:val="000D2488"/>
    <w:rsid w:val="000D2560"/>
    <w:rsid w:val="000D2656"/>
    <w:rsid w:val="000D26FF"/>
    <w:rsid w:val="000D27A4"/>
    <w:rsid w:val="000D27AF"/>
    <w:rsid w:val="000D28EE"/>
    <w:rsid w:val="000D2919"/>
    <w:rsid w:val="000D2953"/>
    <w:rsid w:val="000D295E"/>
    <w:rsid w:val="000D2AA5"/>
    <w:rsid w:val="000D2B57"/>
    <w:rsid w:val="000D2C01"/>
    <w:rsid w:val="000D2EBE"/>
    <w:rsid w:val="000D2EBF"/>
    <w:rsid w:val="000D2EE9"/>
    <w:rsid w:val="000D2F32"/>
    <w:rsid w:val="000D2F93"/>
    <w:rsid w:val="000D2FE7"/>
    <w:rsid w:val="000D305A"/>
    <w:rsid w:val="000D308B"/>
    <w:rsid w:val="000D30FA"/>
    <w:rsid w:val="000D3248"/>
    <w:rsid w:val="000D330E"/>
    <w:rsid w:val="000D337A"/>
    <w:rsid w:val="000D339C"/>
    <w:rsid w:val="000D33AF"/>
    <w:rsid w:val="000D357D"/>
    <w:rsid w:val="000D3609"/>
    <w:rsid w:val="000D3637"/>
    <w:rsid w:val="000D366C"/>
    <w:rsid w:val="000D36D2"/>
    <w:rsid w:val="000D37D1"/>
    <w:rsid w:val="000D38DC"/>
    <w:rsid w:val="000D394F"/>
    <w:rsid w:val="000D396B"/>
    <w:rsid w:val="000D39B8"/>
    <w:rsid w:val="000D39D1"/>
    <w:rsid w:val="000D3A0F"/>
    <w:rsid w:val="000D3B28"/>
    <w:rsid w:val="000D3B6F"/>
    <w:rsid w:val="000D3C0C"/>
    <w:rsid w:val="000D3CDE"/>
    <w:rsid w:val="000D3CFA"/>
    <w:rsid w:val="000D3D14"/>
    <w:rsid w:val="000D3D2C"/>
    <w:rsid w:val="000D3DB0"/>
    <w:rsid w:val="000D3DCE"/>
    <w:rsid w:val="000D3EA2"/>
    <w:rsid w:val="000D3F2D"/>
    <w:rsid w:val="000D3F3A"/>
    <w:rsid w:val="000D3FD0"/>
    <w:rsid w:val="000D4046"/>
    <w:rsid w:val="000D40DF"/>
    <w:rsid w:val="000D40FD"/>
    <w:rsid w:val="000D418C"/>
    <w:rsid w:val="000D4295"/>
    <w:rsid w:val="000D4391"/>
    <w:rsid w:val="000D4393"/>
    <w:rsid w:val="000D4411"/>
    <w:rsid w:val="000D445A"/>
    <w:rsid w:val="000D45F5"/>
    <w:rsid w:val="000D468E"/>
    <w:rsid w:val="000D46A4"/>
    <w:rsid w:val="000D46DE"/>
    <w:rsid w:val="000D47DD"/>
    <w:rsid w:val="000D47FF"/>
    <w:rsid w:val="000D4874"/>
    <w:rsid w:val="000D48DA"/>
    <w:rsid w:val="000D49AF"/>
    <w:rsid w:val="000D49F9"/>
    <w:rsid w:val="000D4A08"/>
    <w:rsid w:val="000D4A2C"/>
    <w:rsid w:val="000D4A31"/>
    <w:rsid w:val="000D4A39"/>
    <w:rsid w:val="000D4A3A"/>
    <w:rsid w:val="000D4B26"/>
    <w:rsid w:val="000D4B6D"/>
    <w:rsid w:val="000D4BFC"/>
    <w:rsid w:val="000D4C32"/>
    <w:rsid w:val="000D4C70"/>
    <w:rsid w:val="000D4CC5"/>
    <w:rsid w:val="000D4CFB"/>
    <w:rsid w:val="000D4DA3"/>
    <w:rsid w:val="000D4E55"/>
    <w:rsid w:val="000D4E94"/>
    <w:rsid w:val="000D4F46"/>
    <w:rsid w:val="000D4F94"/>
    <w:rsid w:val="000D4FE8"/>
    <w:rsid w:val="000D4FEF"/>
    <w:rsid w:val="000D501E"/>
    <w:rsid w:val="000D524B"/>
    <w:rsid w:val="000D528C"/>
    <w:rsid w:val="000D5299"/>
    <w:rsid w:val="000D52DF"/>
    <w:rsid w:val="000D5326"/>
    <w:rsid w:val="000D543C"/>
    <w:rsid w:val="000D5535"/>
    <w:rsid w:val="000D556A"/>
    <w:rsid w:val="000D55CD"/>
    <w:rsid w:val="000D5620"/>
    <w:rsid w:val="000D5691"/>
    <w:rsid w:val="000D5759"/>
    <w:rsid w:val="000D57CB"/>
    <w:rsid w:val="000D57E3"/>
    <w:rsid w:val="000D584A"/>
    <w:rsid w:val="000D5853"/>
    <w:rsid w:val="000D5878"/>
    <w:rsid w:val="000D5889"/>
    <w:rsid w:val="000D58AF"/>
    <w:rsid w:val="000D58EF"/>
    <w:rsid w:val="000D5981"/>
    <w:rsid w:val="000D599F"/>
    <w:rsid w:val="000D5BB5"/>
    <w:rsid w:val="000D5CEB"/>
    <w:rsid w:val="000D5CEC"/>
    <w:rsid w:val="000D5CF9"/>
    <w:rsid w:val="000D5E21"/>
    <w:rsid w:val="000D5E33"/>
    <w:rsid w:val="000D5E38"/>
    <w:rsid w:val="000D5EC7"/>
    <w:rsid w:val="000D5EDC"/>
    <w:rsid w:val="000D5EDF"/>
    <w:rsid w:val="000D5FF0"/>
    <w:rsid w:val="000D6014"/>
    <w:rsid w:val="000D6059"/>
    <w:rsid w:val="000D60DB"/>
    <w:rsid w:val="000D6115"/>
    <w:rsid w:val="000D611C"/>
    <w:rsid w:val="000D6123"/>
    <w:rsid w:val="000D624D"/>
    <w:rsid w:val="000D62AA"/>
    <w:rsid w:val="000D62E0"/>
    <w:rsid w:val="000D630E"/>
    <w:rsid w:val="000D63F6"/>
    <w:rsid w:val="000D6426"/>
    <w:rsid w:val="000D64DD"/>
    <w:rsid w:val="000D661E"/>
    <w:rsid w:val="000D665C"/>
    <w:rsid w:val="000D674E"/>
    <w:rsid w:val="000D677A"/>
    <w:rsid w:val="000D678A"/>
    <w:rsid w:val="000D678D"/>
    <w:rsid w:val="000D67D8"/>
    <w:rsid w:val="000D682E"/>
    <w:rsid w:val="000D683E"/>
    <w:rsid w:val="000D68CE"/>
    <w:rsid w:val="000D6967"/>
    <w:rsid w:val="000D69A1"/>
    <w:rsid w:val="000D69B9"/>
    <w:rsid w:val="000D6AB0"/>
    <w:rsid w:val="000D6ACF"/>
    <w:rsid w:val="000D6AF9"/>
    <w:rsid w:val="000D6B02"/>
    <w:rsid w:val="000D6BD4"/>
    <w:rsid w:val="000D6BF0"/>
    <w:rsid w:val="000D6C2A"/>
    <w:rsid w:val="000D6C48"/>
    <w:rsid w:val="000D6C62"/>
    <w:rsid w:val="000D6D05"/>
    <w:rsid w:val="000D6D29"/>
    <w:rsid w:val="000D6D73"/>
    <w:rsid w:val="000D6DED"/>
    <w:rsid w:val="000D6DFA"/>
    <w:rsid w:val="000D6E13"/>
    <w:rsid w:val="000D6E2A"/>
    <w:rsid w:val="000D6E2F"/>
    <w:rsid w:val="000D6EC5"/>
    <w:rsid w:val="000D6ED4"/>
    <w:rsid w:val="000D700A"/>
    <w:rsid w:val="000D7093"/>
    <w:rsid w:val="000D7106"/>
    <w:rsid w:val="000D71D5"/>
    <w:rsid w:val="000D7219"/>
    <w:rsid w:val="000D727A"/>
    <w:rsid w:val="000D72AE"/>
    <w:rsid w:val="000D7366"/>
    <w:rsid w:val="000D7388"/>
    <w:rsid w:val="000D73DD"/>
    <w:rsid w:val="000D74B4"/>
    <w:rsid w:val="000D74BE"/>
    <w:rsid w:val="000D75AB"/>
    <w:rsid w:val="000D7607"/>
    <w:rsid w:val="000D765C"/>
    <w:rsid w:val="000D76BB"/>
    <w:rsid w:val="000D777B"/>
    <w:rsid w:val="000D77F0"/>
    <w:rsid w:val="000D7853"/>
    <w:rsid w:val="000D78D4"/>
    <w:rsid w:val="000D790E"/>
    <w:rsid w:val="000D795B"/>
    <w:rsid w:val="000D7982"/>
    <w:rsid w:val="000D7A2A"/>
    <w:rsid w:val="000D7B24"/>
    <w:rsid w:val="000D7B30"/>
    <w:rsid w:val="000D7B3A"/>
    <w:rsid w:val="000D7BA6"/>
    <w:rsid w:val="000D7BE2"/>
    <w:rsid w:val="000D7CAC"/>
    <w:rsid w:val="000D7CB7"/>
    <w:rsid w:val="000D7EC5"/>
    <w:rsid w:val="000D7F3B"/>
    <w:rsid w:val="000D7F8D"/>
    <w:rsid w:val="000D7FA9"/>
    <w:rsid w:val="000E018D"/>
    <w:rsid w:val="000E021E"/>
    <w:rsid w:val="000E0224"/>
    <w:rsid w:val="000E0297"/>
    <w:rsid w:val="000E02B7"/>
    <w:rsid w:val="000E0310"/>
    <w:rsid w:val="000E042C"/>
    <w:rsid w:val="000E0461"/>
    <w:rsid w:val="000E0508"/>
    <w:rsid w:val="000E05BD"/>
    <w:rsid w:val="000E05CD"/>
    <w:rsid w:val="000E0625"/>
    <w:rsid w:val="000E063F"/>
    <w:rsid w:val="000E06C0"/>
    <w:rsid w:val="000E06D5"/>
    <w:rsid w:val="000E073A"/>
    <w:rsid w:val="000E07D5"/>
    <w:rsid w:val="000E0888"/>
    <w:rsid w:val="000E0896"/>
    <w:rsid w:val="000E095F"/>
    <w:rsid w:val="000E0971"/>
    <w:rsid w:val="000E09DC"/>
    <w:rsid w:val="000E0A1D"/>
    <w:rsid w:val="000E0A25"/>
    <w:rsid w:val="000E0B4D"/>
    <w:rsid w:val="000E0B82"/>
    <w:rsid w:val="000E0C5E"/>
    <w:rsid w:val="000E0DE6"/>
    <w:rsid w:val="000E0E5E"/>
    <w:rsid w:val="000E0EC7"/>
    <w:rsid w:val="000E0EC9"/>
    <w:rsid w:val="000E1015"/>
    <w:rsid w:val="000E102C"/>
    <w:rsid w:val="000E105F"/>
    <w:rsid w:val="000E1088"/>
    <w:rsid w:val="000E10EE"/>
    <w:rsid w:val="000E118A"/>
    <w:rsid w:val="000E1296"/>
    <w:rsid w:val="000E1312"/>
    <w:rsid w:val="000E1358"/>
    <w:rsid w:val="000E1385"/>
    <w:rsid w:val="000E1479"/>
    <w:rsid w:val="000E1514"/>
    <w:rsid w:val="000E1562"/>
    <w:rsid w:val="000E1620"/>
    <w:rsid w:val="000E162A"/>
    <w:rsid w:val="000E1769"/>
    <w:rsid w:val="000E17A7"/>
    <w:rsid w:val="000E17EA"/>
    <w:rsid w:val="000E1829"/>
    <w:rsid w:val="000E1848"/>
    <w:rsid w:val="000E1858"/>
    <w:rsid w:val="000E18A0"/>
    <w:rsid w:val="000E18D9"/>
    <w:rsid w:val="000E1914"/>
    <w:rsid w:val="000E195A"/>
    <w:rsid w:val="000E19C0"/>
    <w:rsid w:val="000E19EB"/>
    <w:rsid w:val="000E1AB9"/>
    <w:rsid w:val="000E1B12"/>
    <w:rsid w:val="000E1B58"/>
    <w:rsid w:val="000E1B69"/>
    <w:rsid w:val="000E1C20"/>
    <w:rsid w:val="000E1C50"/>
    <w:rsid w:val="000E1C53"/>
    <w:rsid w:val="000E1C66"/>
    <w:rsid w:val="000E1C93"/>
    <w:rsid w:val="000E1D6F"/>
    <w:rsid w:val="000E1D92"/>
    <w:rsid w:val="000E1DC4"/>
    <w:rsid w:val="000E1EFC"/>
    <w:rsid w:val="000E1F0D"/>
    <w:rsid w:val="000E1F4D"/>
    <w:rsid w:val="000E1FC5"/>
    <w:rsid w:val="000E20A1"/>
    <w:rsid w:val="000E20A6"/>
    <w:rsid w:val="000E20CA"/>
    <w:rsid w:val="000E20D7"/>
    <w:rsid w:val="000E20DD"/>
    <w:rsid w:val="000E20E5"/>
    <w:rsid w:val="000E211F"/>
    <w:rsid w:val="000E2128"/>
    <w:rsid w:val="000E21D1"/>
    <w:rsid w:val="000E2217"/>
    <w:rsid w:val="000E2260"/>
    <w:rsid w:val="000E227E"/>
    <w:rsid w:val="000E230B"/>
    <w:rsid w:val="000E2350"/>
    <w:rsid w:val="000E24BE"/>
    <w:rsid w:val="000E251E"/>
    <w:rsid w:val="000E2545"/>
    <w:rsid w:val="000E2551"/>
    <w:rsid w:val="000E25C4"/>
    <w:rsid w:val="000E25FE"/>
    <w:rsid w:val="000E2617"/>
    <w:rsid w:val="000E2630"/>
    <w:rsid w:val="000E268D"/>
    <w:rsid w:val="000E269A"/>
    <w:rsid w:val="000E26E6"/>
    <w:rsid w:val="000E274A"/>
    <w:rsid w:val="000E27F0"/>
    <w:rsid w:val="000E2819"/>
    <w:rsid w:val="000E28FC"/>
    <w:rsid w:val="000E29C3"/>
    <w:rsid w:val="000E2A87"/>
    <w:rsid w:val="000E2AC6"/>
    <w:rsid w:val="000E2B02"/>
    <w:rsid w:val="000E2C09"/>
    <w:rsid w:val="000E2C2F"/>
    <w:rsid w:val="000E2C57"/>
    <w:rsid w:val="000E2C83"/>
    <w:rsid w:val="000E2C86"/>
    <w:rsid w:val="000E2D10"/>
    <w:rsid w:val="000E2D3D"/>
    <w:rsid w:val="000E2D53"/>
    <w:rsid w:val="000E2DC5"/>
    <w:rsid w:val="000E2E25"/>
    <w:rsid w:val="000E2EA6"/>
    <w:rsid w:val="000E2EE4"/>
    <w:rsid w:val="000E2F14"/>
    <w:rsid w:val="000E2F7B"/>
    <w:rsid w:val="000E2FB2"/>
    <w:rsid w:val="000E302E"/>
    <w:rsid w:val="000E311E"/>
    <w:rsid w:val="000E314E"/>
    <w:rsid w:val="000E319B"/>
    <w:rsid w:val="000E31B3"/>
    <w:rsid w:val="000E322C"/>
    <w:rsid w:val="000E32C7"/>
    <w:rsid w:val="000E32DB"/>
    <w:rsid w:val="000E3393"/>
    <w:rsid w:val="000E33F9"/>
    <w:rsid w:val="000E3478"/>
    <w:rsid w:val="000E34A2"/>
    <w:rsid w:val="000E3531"/>
    <w:rsid w:val="000E3580"/>
    <w:rsid w:val="000E35FE"/>
    <w:rsid w:val="000E3630"/>
    <w:rsid w:val="000E37C5"/>
    <w:rsid w:val="000E38D0"/>
    <w:rsid w:val="000E3925"/>
    <w:rsid w:val="000E3A65"/>
    <w:rsid w:val="000E3B00"/>
    <w:rsid w:val="000E3B8B"/>
    <w:rsid w:val="000E3B90"/>
    <w:rsid w:val="000E3CAB"/>
    <w:rsid w:val="000E3CFD"/>
    <w:rsid w:val="000E3D30"/>
    <w:rsid w:val="000E3D6D"/>
    <w:rsid w:val="000E3D75"/>
    <w:rsid w:val="000E3DC3"/>
    <w:rsid w:val="000E3EA6"/>
    <w:rsid w:val="000E3F5A"/>
    <w:rsid w:val="000E407B"/>
    <w:rsid w:val="000E4092"/>
    <w:rsid w:val="000E40C0"/>
    <w:rsid w:val="000E40EE"/>
    <w:rsid w:val="000E418E"/>
    <w:rsid w:val="000E41D2"/>
    <w:rsid w:val="000E4387"/>
    <w:rsid w:val="000E43DD"/>
    <w:rsid w:val="000E4421"/>
    <w:rsid w:val="000E44E7"/>
    <w:rsid w:val="000E451C"/>
    <w:rsid w:val="000E4571"/>
    <w:rsid w:val="000E45B9"/>
    <w:rsid w:val="000E469A"/>
    <w:rsid w:val="000E474E"/>
    <w:rsid w:val="000E4823"/>
    <w:rsid w:val="000E4846"/>
    <w:rsid w:val="000E484E"/>
    <w:rsid w:val="000E4877"/>
    <w:rsid w:val="000E4906"/>
    <w:rsid w:val="000E49BC"/>
    <w:rsid w:val="000E4AB5"/>
    <w:rsid w:val="000E4AC1"/>
    <w:rsid w:val="000E4B17"/>
    <w:rsid w:val="000E4B29"/>
    <w:rsid w:val="000E4B50"/>
    <w:rsid w:val="000E4CD0"/>
    <w:rsid w:val="000E4CDB"/>
    <w:rsid w:val="000E4D04"/>
    <w:rsid w:val="000E4DEE"/>
    <w:rsid w:val="000E4E53"/>
    <w:rsid w:val="000E4E78"/>
    <w:rsid w:val="000E4F11"/>
    <w:rsid w:val="000E4F5D"/>
    <w:rsid w:val="000E4F9A"/>
    <w:rsid w:val="000E507A"/>
    <w:rsid w:val="000E509E"/>
    <w:rsid w:val="000E50DD"/>
    <w:rsid w:val="000E51E5"/>
    <w:rsid w:val="000E52AD"/>
    <w:rsid w:val="000E52FB"/>
    <w:rsid w:val="000E5316"/>
    <w:rsid w:val="000E532C"/>
    <w:rsid w:val="000E5335"/>
    <w:rsid w:val="000E5351"/>
    <w:rsid w:val="000E5357"/>
    <w:rsid w:val="000E53E0"/>
    <w:rsid w:val="000E5474"/>
    <w:rsid w:val="000E54AF"/>
    <w:rsid w:val="000E54FA"/>
    <w:rsid w:val="000E55C0"/>
    <w:rsid w:val="000E55E9"/>
    <w:rsid w:val="000E563F"/>
    <w:rsid w:val="000E566F"/>
    <w:rsid w:val="000E56BE"/>
    <w:rsid w:val="000E5706"/>
    <w:rsid w:val="000E5707"/>
    <w:rsid w:val="000E581D"/>
    <w:rsid w:val="000E5845"/>
    <w:rsid w:val="000E5880"/>
    <w:rsid w:val="000E58BE"/>
    <w:rsid w:val="000E5947"/>
    <w:rsid w:val="000E5978"/>
    <w:rsid w:val="000E59A0"/>
    <w:rsid w:val="000E5A48"/>
    <w:rsid w:val="000E5A74"/>
    <w:rsid w:val="000E5A79"/>
    <w:rsid w:val="000E5A9C"/>
    <w:rsid w:val="000E5AF5"/>
    <w:rsid w:val="000E5BE8"/>
    <w:rsid w:val="000E5C5A"/>
    <w:rsid w:val="000E5CE8"/>
    <w:rsid w:val="000E5D40"/>
    <w:rsid w:val="000E5D52"/>
    <w:rsid w:val="000E5D5A"/>
    <w:rsid w:val="000E5E23"/>
    <w:rsid w:val="000E5FB6"/>
    <w:rsid w:val="000E5FBE"/>
    <w:rsid w:val="000E6001"/>
    <w:rsid w:val="000E6148"/>
    <w:rsid w:val="000E61BA"/>
    <w:rsid w:val="000E61D8"/>
    <w:rsid w:val="000E6208"/>
    <w:rsid w:val="000E6239"/>
    <w:rsid w:val="000E62D0"/>
    <w:rsid w:val="000E62E2"/>
    <w:rsid w:val="000E6319"/>
    <w:rsid w:val="000E647E"/>
    <w:rsid w:val="000E64E5"/>
    <w:rsid w:val="000E65F4"/>
    <w:rsid w:val="000E6642"/>
    <w:rsid w:val="000E6800"/>
    <w:rsid w:val="000E689E"/>
    <w:rsid w:val="000E68D0"/>
    <w:rsid w:val="000E6A4C"/>
    <w:rsid w:val="000E6B75"/>
    <w:rsid w:val="000E6BA7"/>
    <w:rsid w:val="000E6BD8"/>
    <w:rsid w:val="000E6C11"/>
    <w:rsid w:val="000E6C33"/>
    <w:rsid w:val="000E6C4A"/>
    <w:rsid w:val="000E6DB1"/>
    <w:rsid w:val="000E6E4F"/>
    <w:rsid w:val="000E6E53"/>
    <w:rsid w:val="000E6E9C"/>
    <w:rsid w:val="000E6F25"/>
    <w:rsid w:val="000E6FA5"/>
    <w:rsid w:val="000E6FAB"/>
    <w:rsid w:val="000E7292"/>
    <w:rsid w:val="000E72B2"/>
    <w:rsid w:val="000E72FF"/>
    <w:rsid w:val="000E7325"/>
    <w:rsid w:val="000E7371"/>
    <w:rsid w:val="000E7599"/>
    <w:rsid w:val="000E764D"/>
    <w:rsid w:val="000E76E0"/>
    <w:rsid w:val="000E7756"/>
    <w:rsid w:val="000E7791"/>
    <w:rsid w:val="000E77B5"/>
    <w:rsid w:val="000E77D7"/>
    <w:rsid w:val="000E77F0"/>
    <w:rsid w:val="000E782C"/>
    <w:rsid w:val="000E7899"/>
    <w:rsid w:val="000E7ADB"/>
    <w:rsid w:val="000E7B00"/>
    <w:rsid w:val="000E7B3A"/>
    <w:rsid w:val="000E7C37"/>
    <w:rsid w:val="000E7C4D"/>
    <w:rsid w:val="000E7CD2"/>
    <w:rsid w:val="000E7CD4"/>
    <w:rsid w:val="000E7D29"/>
    <w:rsid w:val="000E7DBD"/>
    <w:rsid w:val="000E7DDA"/>
    <w:rsid w:val="000E7DF2"/>
    <w:rsid w:val="000E7E56"/>
    <w:rsid w:val="000E7E71"/>
    <w:rsid w:val="000E7F4A"/>
    <w:rsid w:val="000F002A"/>
    <w:rsid w:val="000F006F"/>
    <w:rsid w:val="000F0349"/>
    <w:rsid w:val="000F0360"/>
    <w:rsid w:val="000F044D"/>
    <w:rsid w:val="000F04C1"/>
    <w:rsid w:val="000F05F6"/>
    <w:rsid w:val="000F0602"/>
    <w:rsid w:val="000F072E"/>
    <w:rsid w:val="000F0763"/>
    <w:rsid w:val="000F07A5"/>
    <w:rsid w:val="000F0831"/>
    <w:rsid w:val="000F0833"/>
    <w:rsid w:val="000F08DE"/>
    <w:rsid w:val="000F08E0"/>
    <w:rsid w:val="000F0941"/>
    <w:rsid w:val="000F0A08"/>
    <w:rsid w:val="000F0A40"/>
    <w:rsid w:val="000F0AA8"/>
    <w:rsid w:val="000F0ACA"/>
    <w:rsid w:val="000F0BD0"/>
    <w:rsid w:val="000F0D06"/>
    <w:rsid w:val="000F0E19"/>
    <w:rsid w:val="000F0E4D"/>
    <w:rsid w:val="000F0EAD"/>
    <w:rsid w:val="000F0ED1"/>
    <w:rsid w:val="000F0EDF"/>
    <w:rsid w:val="000F0F34"/>
    <w:rsid w:val="000F0F9A"/>
    <w:rsid w:val="000F10C8"/>
    <w:rsid w:val="000F1103"/>
    <w:rsid w:val="000F1106"/>
    <w:rsid w:val="000F117D"/>
    <w:rsid w:val="000F1191"/>
    <w:rsid w:val="000F1212"/>
    <w:rsid w:val="000F1242"/>
    <w:rsid w:val="000F12E9"/>
    <w:rsid w:val="000F134B"/>
    <w:rsid w:val="000F139E"/>
    <w:rsid w:val="000F13AA"/>
    <w:rsid w:val="000F13AF"/>
    <w:rsid w:val="000F1418"/>
    <w:rsid w:val="000F150B"/>
    <w:rsid w:val="000F1550"/>
    <w:rsid w:val="000F1556"/>
    <w:rsid w:val="000F1692"/>
    <w:rsid w:val="000F1794"/>
    <w:rsid w:val="000F193E"/>
    <w:rsid w:val="000F195B"/>
    <w:rsid w:val="000F1CB5"/>
    <w:rsid w:val="000F1CDE"/>
    <w:rsid w:val="000F1E3E"/>
    <w:rsid w:val="000F1E3F"/>
    <w:rsid w:val="000F1EFF"/>
    <w:rsid w:val="000F1FDF"/>
    <w:rsid w:val="000F20AD"/>
    <w:rsid w:val="000F216C"/>
    <w:rsid w:val="000F2193"/>
    <w:rsid w:val="000F220A"/>
    <w:rsid w:val="000F221D"/>
    <w:rsid w:val="000F22C6"/>
    <w:rsid w:val="000F2345"/>
    <w:rsid w:val="000F23AA"/>
    <w:rsid w:val="000F23D5"/>
    <w:rsid w:val="000F240A"/>
    <w:rsid w:val="000F25A4"/>
    <w:rsid w:val="000F2605"/>
    <w:rsid w:val="000F26B5"/>
    <w:rsid w:val="000F26DB"/>
    <w:rsid w:val="000F271C"/>
    <w:rsid w:val="000F28F8"/>
    <w:rsid w:val="000F296D"/>
    <w:rsid w:val="000F298D"/>
    <w:rsid w:val="000F2A57"/>
    <w:rsid w:val="000F2A7B"/>
    <w:rsid w:val="000F2AC9"/>
    <w:rsid w:val="000F2BF7"/>
    <w:rsid w:val="000F2C66"/>
    <w:rsid w:val="000F2CC4"/>
    <w:rsid w:val="000F2D73"/>
    <w:rsid w:val="000F2E69"/>
    <w:rsid w:val="000F2EF4"/>
    <w:rsid w:val="000F2EFA"/>
    <w:rsid w:val="000F2F57"/>
    <w:rsid w:val="000F2F70"/>
    <w:rsid w:val="000F2F7E"/>
    <w:rsid w:val="000F3140"/>
    <w:rsid w:val="000F3141"/>
    <w:rsid w:val="000F3162"/>
    <w:rsid w:val="000F3180"/>
    <w:rsid w:val="000F31AE"/>
    <w:rsid w:val="000F320C"/>
    <w:rsid w:val="000F3245"/>
    <w:rsid w:val="000F32EB"/>
    <w:rsid w:val="000F33B5"/>
    <w:rsid w:val="000F34CD"/>
    <w:rsid w:val="000F34FB"/>
    <w:rsid w:val="000F354E"/>
    <w:rsid w:val="000F368C"/>
    <w:rsid w:val="000F36B4"/>
    <w:rsid w:val="000F36D4"/>
    <w:rsid w:val="000F37AD"/>
    <w:rsid w:val="000F38ED"/>
    <w:rsid w:val="000F3945"/>
    <w:rsid w:val="000F398C"/>
    <w:rsid w:val="000F39D8"/>
    <w:rsid w:val="000F39EE"/>
    <w:rsid w:val="000F3A48"/>
    <w:rsid w:val="000F3A7F"/>
    <w:rsid w:val="000F3AC4"/>
    <w:rsid w:val="000F3B78"/>
    <w:rsid w:val="000F3BA8"/>
    <w:rsid w:val="000F3BF6"/>
    <w:rsid w:val="000F3C35"/>
    <w:rsid w:val="000F3C4E"/>
    <w:rsid w:val="000F3C77"/>
    <w:rsid w:val="000F3CA1"/>
    <w:rsid w:val="000F3DD2"/>
    <w:rsid w:val="000F3DDE"/>
    <w:rsid w:val="000F3DF6"/>
    <w:rsid w:val="000F3F3F"/>
    <w:rsid w:val="000F3F6F"/>
    <w:rsid w:val="000F3F9C"/>
    <w:rsid w:val="000F3FE9"/>
    <w:rsid w:val="000F40A9"/>
    <w:rsid w:val="000F4111"/>
    <w:rsid w:val="000F414D"/>
    <w:rsid w:val="000F41D1"/>
    <w:rsid w:val="000F4414"/>
    <w:rsid w:val="000F44B5"/>
    <w:rsid w:val="000F44D0"/>
    <w:rsid w:val="000F45A4"/>
    <w:rsid w:val="000F4695"/>
    <w:rsid w:val="000F46E9"/>
    <w:rsid w:val="000F49BB"/>
    <w:rsid w:val="000F49D3"/>
    <w:rsid w:val="000F49EE"/>
    <w:rsid w:val="000F4A3D"/>
    <w:rsid w:val="000F4A43"/>
    <w:rsid w:val="000F4BB8"/>
    <w:rsid w:val="000F4C1E"/>
    <w:rsid w:val="000F4C60"/>
    <w:rsid w:val="000F4C70"/>
    <w:rsid w:val="000F4D0D"/>
    <w:rsid w:val="000F4D18"/>
    <w:rsid w:val="000F4D37"/>
    <w:rsid w:val="000F4DD5"/>
    <w:rsid w:val="000F4E09"/>
    <w:rsid w:val="000F4E59"/>
    <w:rsid w:val="000F4E5A"/>
    <w:rsid w:val="000F4F3D"/>
    <w:rsid w:val="000F50E7"/>
    <w:rsid w:val="000F516E"/>
    <w:rsid w:val="000F51D3"/>
    <w:rsid w:val="000F51E1"/>
    <w:rsid w:val="000F5240"/>
    <w:rsid w:val="000F53C9"/>
    <w:rsid w:val="000F5472"/>
    <w:rsid w:val="000F54A7"/>
    <w:rsid w:val="000F5531"/>
    <w:rsid w:val="000F55E0"/>
    <w:rsid w:val="000F563D"/>
    <w:rsid w:val="000F5682"/>
    <w:rsid w:val="000F56CE"/>
    <w:rsid w:val="000F5722"/>
    <w:rsid w:val="000F5725"/>
    <w:rsid w:val="000F59BC"/>
    <w:rsid w:val="000F59F1"/>
    <w:rsid w:val="000F5A23"/>
    <w:rsid w:val="000F5A58"/>
    <w:rsid w:val="000F5B5B"/>
    <w:rsid w:val="000F5C05"/>
    <w:rsid w:val="000F5C3A"/>
    <w:rsid w:val="000F5D8E"/>
    <w:rsid w:val="000F5DA6"/>
    <w:rsid w:val="000F5E97"/>
    <w:rsid w:val="000F5E99"/>
    <w:rsid w:val="000F5EC2"/>
    <w:rsid w:val="000F5F26"/>
    <w:rsid w:val="000F5F54"/>
    <w:rsid w:val="000F5F61"/>
    <w:rsid w:val="000F6099"/>
    <w:rsid w:val="000F60A6"/>
    <w:rsid w:val="000F60E2"/>
    <w:rsid w:val="000F61A1"/>
    <w:rsid w:val="000F6292"/>
    <w:rsid w:val="000F62B3"/>
    <w:rsid w:val="000F62BC"/>
    <w:rsid w:val="000F62FE"/>
    <w:rsid w:val="000F6434"/>
    <w:rsid w:val="000F6468"/>
    <w:rsid w:val="000F6570"/>
    <w:rsid w:val="000F6597"/>
    <w:rsid w:val="000F66B5"/>
    <w:rsid w:val="000F66C7"/>
    <w:rsid w:val="000F66DB"/>
    <w:rsid w:val="000F673D"/>
    <w:rsid w:val="000F67B8"/>
    <w:rsid w:val="000F6821"/>
    <w:rsid w:val="000F6994"/>
    <w:rsid w:val="000F6A16"/>
    <w:rsid w:val="000F6A61"/>
    <w:rsid w:val="000F6AFB"/>
    <w:rsid w:val="000F6B35"/>
    <w:rsid w:val="000F6B87"/>
    <w:rsid w:val="000F6CC2"/>
    <w:rsid w:val="000F6CC4"/>
    <w:rsid w:val="000F6D41"/>
    <w:rsid w:val="000F6E0C"/>
    <w:rsid w:val="000F6EB8"/>
    <w:rsid w:val="000F6F24"/>
    <w:rsid w:val="000F6F5E"/>
    <w:rsid w:val="000F701A"/>
    <w:rsid w:val="000F713B"/>
    <w:rsid w:val="000F7181"/>
    <w:rsid w:val="000F734C"/>
    <w:rsid w:val="000F73A5"/>
    <w:rsid w:val="000F73C4"/>
    <w:rsid w:val="000F73C9"/>
    <w:rsid w:val="000F73D0"/>
    <w:rsid w:val="000F73F4"/>
    <w:rsid w:val="000F7475"/>
    <w:rsid w:val="000F7498"/>
    <w:rsid w:val="000F752C"/>
    <w:rsid w:val="000F75C9"/>
    <w:rsid w:val="000F760A"/>
    <w:rsid w:val="000F7708"/>
    <w:rsid w:val="000F770F"/>
    <w:rsid w:val="000F7738"/>
    <w:rsid w:val="000F7991"/>
    <w:rsid w:val="000F7A15"/>
    <w:rsid w:val="000F7B88"/>
    <w:rsid w:val="000F7B9B"/>
    <w:rsid w:val="000F7C91"/>
    <w:rsid w:val="000F7DF8"/>
    <w:rsid w:val="000F7E2D"/>
    <w:rsid w:val="000F7EB8"/>
    <w:rsid w:val="000F7EC7"/>
    <w:rsid w:val="000F7F88"/>
    <w:rsid w:val="00100055"/>
    <w:rsid w:val="0010005E"/>
    <w:rsid w:val="001000D5"/>
    <w:rsid w:val="001001B3"/>
    <w:rsid w:val="001002BA"/>
    <w:rsid w:val="001002D0"/>
    <w:rsid w:val="00100308"/>
    <w:rsid w:val="0010034D"/>
    <w:rsid w:val="00100352"/>
    <w:rsid w:val="0010035D"/>
    <w:rsid w:val="00100362"/>
    <w:rsid w:val="00100373"/>
    <w:rsid w:val="00100453"/>
    <w:rsid w:val="0010048F"/>
    <w:rsid w:val="001004E1"/>
    <w:rsid w:val="0010063B"/>
    <w:rsid w:val="0010068A"/>
    <w:rsid w:val="001006B9"/>
    <w:rsid w:val="001006CC"/>
    <w:rsid w:val="0010073A"/>
    <w:rsid w:val="001007B1"/>
    <w:rsid w:val="001007D3"/>
    <w:rsid w:val="0010082B"/>
    <w:rsid w:val="001008A6"/>
    <w:rsid w:val="001008CF"/>
    <w:rsid w:val="00100948"/>
    <w:rsid w:val="00100A08"/>
    <w:rsid w:val="00100A20"/>
    <w:rsid w:val="00100BC6"/>
    <w:rsid w:val="00100C66"/>
    <w:rsid w:val="00100CD2"/>
    <w:rsid w:val="00100CE5"/>
    <w:rsid w:val="00100E8F"/>
    <w:rsid w:val="00100EF9"/>
    <w:rsid w:val="00100FE3"/>
    <w:rsid w:val="001010E5"/>
    <w:rsid w:val="00101121"/>
    <w:rsid w:val="0010112D"/>
    <w:rsid w:val="00101168"/>
    <w:rsid w:val="00101188"/>
    <w:rsid w:val="001011E2"/>
    <w:rsid w:val="001011F4"/>
    <w:rsid w:val="0010125D"/>
    <w:rsid w:val="001012F2"/>
    <w:rsid w:val="001012F5"/>
    <w:rsid w:val="0010135E"/>
    <w:rsid w:val="00101360"/>
    <w:rsid w:val="001013CD"/>
    <w:rsid w:val="001014D5"/>
    <w:rsid w:val="001014F1"/>
    <w:rsid w:val="00101528"/>
    <w:rsid w:val="00101596"/>
    <w:rsid w:val="0010161B"/>
    <w:rsid w:val="0010162A"/>
    <w:rsid w:val="0010164D"/>
    <w:rsid w:val="001016D7"/>
    <w:rsid w:val="00101769"/>
    <w:rsid w:val="001017E5"/>
    <w:rsid w:val="00101807"/>
    <w:rsid w:val="00101859"/>
    <w:rsid w:val="00101899"/>
    <w:rsid w:val="0010197B"/>
    <w:rsid w:val="00101A4F"/>
    <w:rsid w:val="00101A5A"/>
    <w:rsid w:val="00101A72"/>
    <w:rsid w:val="00101AFC"/>
    <w:rsid w:val="00101B64"/>
    <w:rsid w:val="00101B85"/>
    <w:rsid w:val="00101C2D"/>
    <w:rsid w:val="00101CE1"/>
    <w:rsid w:val="00101CF0"/>
    <w:rsid w:val="00101CF7"/>
    <w:rsid w:val="00101D6E"/>
    <w:rsid w:val="00101E8F"/>
    <w:rsid w:val="00101E94"/>
    <w:rsid w:val="00101EAD"/>
    <w:rsid w:val="00101EC3"/>
    <w:rsid w:val="00101EE4"/>
    <w:rsid w:val="00101F30"/>
    <w:rsid w:val="00101F44"/>
    <w:rsid w:val="00101F55"/>
    <w:rsid w:val="00101FAB"/>
    <w:rsid w:val="00102047"/>
    <w:rsid w:val="00102183"/>
    <w:rsid w:val="00102196"/>
    <w:rsid w:val="0010220A"/>
    <w:rsid w:val="0010220B"/>
    <w:rsid w:val="001023B6"/>
    <w:rsid w:val="001024B3"/>
    <w:rsid w:val="00102546"/>
    <w:rsid w:val="001025A0"/>
    <w:rsid w:val="001025CD"/>
    <w:rsid w:val="0010267F"/>
    <w:rsid w:val="00102710"/>
    <w:rsid w:val="00102777"/>
    <w:rsid w:val="00102796"/>
    <w:rsid w:val="00102818"/>
    <w:rsid w:val="00102859"/>
    <w:rsid w:val="0010285B"/>
    <w:rsid w:val="00102AE3"/>
    <w:rsid w:val="00102BBF"/>
    <w:rsid w:val="00102C2D"/>
    <w:rsid w:val="00102DC1"/>
    <w:rsid w:val="00102DE0"/>
    <w:rsid w:val="00102E25"/>
    <w:rsid w:val="00102E8F"/>
    <w:rsid w:val="00102EFB"/>
    <w:rsid w:val="00102FDC"/>
    <w:rsid w:val="0010305C"/>
    <w:rsid w:val="00103078"/>
    <w:rsid w:val="0010309B"/>
    <w:rsid w:val="001030B8"/>
    <w:rsid w:val="0010310D"/>
    <w:rsid w:val="00103367"/>
    <w:rsid w:val="00103391"/>
    <w:rsid w:val="001033A6"/>
    <w:rsid w:val="001033D2"/>
    <w:rsid w:val="00103401"/>
    <w:rsid w:val="00103651"/>
    <w:rsid w:val="001036DE"/>
    <w:rsid w:val="0010370E"/>
    <w:rsid w:val="0010381B"/>
    <w:rsid w:val="0010389A"/>
    <w:rsid w:val="001039A5"/>
    <w:rsid w:val="001039C9"/>
    <w:rsid w:val="00103A51"/>
    <w:rsid w:val="00103B62"/>
    <w:rsid w:val="00103D57"/>
    <w:rsid w:val="00103D63"/>
    <w:rsid w:val="00103DEC"/>
    <w:rsid w:val="00103DFD"/>
    <w:rsid w:val="00103E88"/>
    <w:rsid w:val="00103F85"/>
    <w:rsid w:val="00103F86"/>
    <w:rsid w:val="00104002"/>
    <w:rsid w:val="0010404E"/>
    <w:rsid w:val="001040B0"/>
    <w:rsid w:val="001040DE"/>
    <w:rsid w:val="00104157"/>
    <w:rsid w:val="001041BA"/>
    <w:rsid w:val="001041EF"/>
    <w:rsid w:val="00104255"/>
    <w:rsid w:val="001042B4"/>
    <w:rsid w:val="0010434D"/>
    <w:rsid w:val="001043BD"/>
    <w:rsid w:val="001043FA"/>
    <w:rsid w:val="001044AD"/>
    <w:rsid w:val="0010458C"/>
    <w:rsid w:val="001045CB"/>
    <w:rsid w:val="001045F2"/>
    <w:rsid w:val="00104654"/>
    <w:rsid w:val="00104690"/>
    <w:rsid w:val="001046D0"/>
    <w:rsid w:val="00104722"/>
    <w:rsid w:val="0010472B"/>
    <w:rsid w:val="0010475A"/>
    <w:rsid w:val="00104791"/>
    <w:rsid w:val="00104824"/>
    <w:rsid w:val="00104833"/>
    <w:rsid w:val="0010485F"/>
    <w:rsid w:val="001048A1"/>
    <w:rsid w:val="0010494D"/>
    <w:rsid w:val="001049EC"/>
    <w:rsid w:val="001049ED"/>
    <w:rsid w:val="001049FA"/>
    <w:rsid w:val="00104BB9"/>
    <w:rsid w:val="00104BFD"/>
    <w:rsid w:val="00104C09"/>
    <w:rsid w:val="00104C4D"/>
    <w:rsid w:val="00104C68"/>
    <w:rsid w:val="00104D1C"/>
    <w:rsid w:val="00104D27"/>
    <w:rsid w:val="00104D75"/>
    <w:rsid w:val="00104D7B"/>
    <w:rsid w:val="00104D9D"/>
    <w:rsid w:val="00104DA3"/>
    <w:rsid w:val="00104E04"/>
    <w:rsid w:val="00104E0A"/>
    <w:rsid w:val="00104E0F"/>
    <w:rsid w:val="00104E1F"/>
    <w:rsid w:val="00104F02"/>
    <w:rsid w:val="00104F7B"/>
    <w:rsid w:val="00104FF2"/>
    <w:rsid w:val="00104FFC"/>
    <w:rsid w:val="00105043"/>
    <w:rsid w:val="00105079"/>
    <w:rsid w:val="0010509D"/>
    <w:rsid w:val="001050D0"/>
    <w:rsid w:val="001050D4"/>
    <w:rsid w:val="0010514C"/>
    <w:rsid w:val="001051EB"/>
    <w:rsid w:val="001051F1"/>
    <w:rsid w:val="00105254"/>
    <w:rsid w:val="00105372"/>
    <w:rsid w:val="001053E8"/>
    <w:rsid w:val="0010545D"/>
    <w:rsid w:val="00105489"/>
    <w:rsid w:val="001054B9"/>
    <w:rsid w:val="001054E8"/>
    <w:rsid w:val="00105613"/>
    <w:rsid w:val="00105626"/>
    <w:rsid w:val="00105670"/>
    <w:rsid w:val="0010569D"/>
    <w:rsid w:val="001056F4"/>
    <w:rsid w:val="0010581E"/>
    <w:rsid w:val="00105852"/>
    <w:rsid w:val="001058A2"/>
    <w:rsid w:val="001058BF"/>
    <w:rsid w:val="001058D5"/>
    <w:rsid w:val="00105916"/>
    <w:rsid w:val="001059FD"/>
    <w:rsid w:val="00105A5B"/>
    <w:rsid w:val="00105A98"/>
    <w:rsid w:val="00105C49"/>
    <w:rsid w:val="00105CD5"/>
    <w:rsid w:val="00105D22"/>
    <w:rsid w:val="00105D76"/>
    <w:rsid w:val="00105E43"/>
    <w:rsid w:val="00105F72"/>
    <w:rsid w:val="00105F8C"/>
    <w:rsid w:val="00105FD2"/>
    <w:rsid w:val="00106084"/>
    <w:rsid w:val="001060BC"/>
    <w:rsid w:val="001060D9"/>
    <w:rsid w:val="001060F8"/>
    <w:rsid w:val="0010619B"/>
    <w:rsid w:val="001061F0"/>
    <w:rsid w:val="00106220"/>
    <w:rsid w:val="001063E9"/>
    <w:rsid w:val="001063ED"/>
    <w:rsid w:val="00106410"/>
    <w:rsid w:val="0010646A"/>
    <w:rsid w:val="00106476"/>
    <w:rsid w:val="001064D2"/>
    <w:rsid w:val="001064F5"/>
    <w:rsid w:val="001066C0"/>
    <w:rsid w:val="00106740"/>
    <w:rsid w:val="00106763"/>
    <w:rsid w:val="001067AA"/>
    <w:rsid w:val="001067B9"/>
    <w:rsid w:val="0010680C"/>
    <w:rsid w:val="00106873"/>
    <w:rsid w:val="001068DA"/>
    <w:rsid w:val="00106A16"/>
    <w:rsid w:val="00106A82"/>
    <w:rsid w:val="00106BC1"/>
    <w:rsid w:val="00106DC9"/>
    <w:rsid w:val="00106E06"/>
    <w:rsid w:val="00106F70"/>
    <w:rsid w:val="00106F72"/>
    <w:rsid w:val="00106FA7"/>
    <w:rsid w:val="00107007"/>
    <w:rsid w:val="0010709B"/>
    <w:rsid w:val="001070F0"/>
    <w:rsid w:val="001070F7"/>
    <w:rsid w:val="0010718C"/>
    <w:rsid w:val="0010721A"/>
    <w:rsid w:val="00107259"/>
    <w:rsid w:val="001072FA"/>
    <w:rsid w:val="00107345"/>
    <w:rsid w:val="001073F2"/>
    <w:rsid w:val="00107448"/>
    <w:rsid w:val="001075B4"/>
    <w:rsid w:val="0010761B"/>
    <w:rsid w:val="0010774C"/>
    <w:rsid w:val="001078BD"/>
    <w:rsid w:val="001078E2"/>
    <w:rsid w:val="001078EB"/>
    <w:rsid w:val="0010799C"/>
    <w:rsid w:val="00107A41"/>
    <w:rsid w:val="00107B85"/>
    <w:rsid w:val="00107C75"/>
    <w:rsid w:val="00107C89"/>
    <w:rsid w:val="00107CA8"/>
    <w:rsid w:val="00107D10"/>
    <w:rsid w:val="00107D12"/>
    <w:rsid w:val="00107D97"/>
    <w:rsid w:val="00107D9A"/>
    <w:rsid w:val="00107E08"/>
    <w:rsid w:val="00107E30"/>
    <w:rsid w:val="00107E48"/>
    <w:rsid w:val="00107E4D"/>
    <w:rsid w:val="00107E6E"/>
    <w:rsid w:val="00107EFC"/>
    <w:rsid w:val="00107F56"/>
    <w:rsid w:val="0011002C"/>
    <w:rsid w:val="001100F9"/>
    <w:rsid w:val="00110100"/>
    <w:rsid w:val="00110113"/>
    <w:rsid w:val="0011039D"/>
    <w:rsid w:val="00110537"/>
    <w:rsid w:val="00110545"/>
    <w:rsid w:val="001105DD"/>
    <w:rsid w:val="00110692"/>
    <w:rsid w:val="00110701"/>
    <w:rsid w:val="0011072B"/>
    <w:rsid w:val="0011075A"/>
    <w:rsid w:val="00110835"/>
    <w:rsid w:val="00110870"/>
    <w:rsid w:val="0011088C"/>
    <w:rsid w:val="00110917"/>
    <w:rsid w:val="0011093C"/>
    <w:rsid w:val="0011099D"/>
    <w:rsid w:val="001109B9"/>
    <w:rsid w:val="001109E5"/>
    <w:rsid w:val="001109F3"/>
    <w:rsid w:val="00110A9D"/>
    <w:rsid w:val="00110B03"/>
    <w:rsid w:val="00110BDA"/>
    <w:rsid w:val="00110C7D"/>
    <w:rsid w:val="00110DC8"/>
    <w:rsid w:val="00110E4B"/>
    <w:rsid w:val="00110E7E"/>
    <w:rsid w:val="00110EEA"/>
    <w:rsid w:val="00110EF7"/>
    <w:rsid w:val="00110FAE"/>
    <w:rsid w:val="00111080"/>
    <w:rsid w:val="001110D4"/>
    <w:rsid w:val="001110EE"/>
    <w:rsid w:val="00111199"/>
    <w:rsid w:val="001112AE"/>
    <w:rsid w:val="001112DB"/>
    <w:rsid w:val="001113E6"/>
    <w:rsid w:val="001114D5"/>
    <w:rsid w:val="001114F9"/>
    <w:rsid w:val="00111510"/>
    <w:rsid w:val="001115B5"/>
    <w:rsid w:val="001115E1"/>
    <w:rsid w:val="00111606"/>
    <w:rsid w:val="001116AA"/>
    <w:rsid w:val="001116C3"/>
    <w:rsid w:val="001116D7"/>
    <w:rsid w:val="00111769"/>
    <w:rsid w:val="001117B5"/>
    <w:rsid w:val="001117D2"/>
    <w:rsid w:val="0011187D"/>
    <w:rsid w:val="001118A3"/>
    <w:rsid w:val="0011191D"/>
    <w:rsid w:val="00111954"/>
    <w:rsid w:val="001119A1"/>
    <w:rsid w:val="001119C8"/>
    <w:rsid w:val="00111A6C"/>
    <w:rsid w:val="00111A8A"/>
    <w:rsid w:val="00111B84"/>
    <w:rsid w:val="00111B91"/>
    <w:rsid w:val="00111D7A"/>
    <w:rsid w:val="00111DE1"/>
    <w:rsid w:val="00111E14"/>
    <w:rsid w:val="00111E34"/>
    <w:rsid w:val="00111F04"/>
    <w:rsid w:val="00111F7D"/>
    <w:rsid w:val="00112088"/>
    <w:rsid w:val="00112089"/>
    <w:rsid w:val="001120DB"/>
    <w:rsid w:val="00112138"/>
    <w:rsid w:val="00112151"/>
    <w:rsid w:val="00112237"/>
    <w:rsid w:val="00112370"/>
    <w:rsid w:val="001123E7"/>
    <w:rsid w:val="001123ED"/>
    <w:rsid w:val="00112487"/>
    <w:rsid w:val="00112493"/>
    <w:rsid w:val="001124C7"/>
    <w:rsid w:val="00112531"/>
    <w:rsid w:val="00112585"/>
    <w:rsid w:val="00112796"/>
    <w:rsid w:val="001127ED"/>
    <w:rsid w:val="0011287B"/>
    <w:rsid w:val="001128D4"/>
    <w:rsid w:val="0011299F"/>
    <w:rsid w:val="001129B0"/>
    <w:rsid w:val="001129D6"/>
    <w:rsid w:val="00112A51"/>
    <w:rsid w:val="00112ABE"/>
    <w:rsid w:val="00112B48"/>
    <w:rsid w:val="00112B54"/>
    <w:rsid w:val="00112C1B"/>
    <w:rsid w:val="00112C8C"/>
    <w:rsid w:val="00112C9D"/>
    <w:rsid w:val="00112CE7"/>
    <w:rsid w:val="00112DC6"/>
    <w:rsid w:val="00112E2A"/>
    <w:rsid w:val="00112EF1"/>
    <w:rsid w:val="00113020"/>
    <w:rsid w:val="0011305D"/>
    <w:rsid w:val="00113136"/>
    <w:rsid w:val="001131A8"/>
    <w:rsid w:val="001131D0"/>
    <w:rsid w:val="0011323D"/>
    <w:rsid w:val="00113325"/>
    <w:rsid w:val="00113372"/>
    <w:rsid w:val="001133EC"/>
    <w:rsid w:val="001133F3"/>
    <w:rsid w:val="0011340A"/>
    <w:rsid w:val="00113441"/>
    <w:rsid w:val="0011346A"/>
    <w:rsid w:val="0011346B"/>
    <w:rsid w:val="00113549"/>
    <w:rsid w:val="00113566"/>
    <w:rsid w:val="0011371B"/>
    <w:rsid w:val="001137AE"/>
    <w:rsid w:val="00113961"/>
    <w:rsid w:val="001139B2"/>
    <w:rsid w:val="00113A5C"/>
    <w:rsid w:val="00113A7A"/>
    <w:rsid w:val="00113AF2"/>
    <w:rsid w:val="00113B20"/>
    <w:rsid w:val="00113B65"/>
    <w:rsid w:val="00113B85"/>
    <w:rsid w:val="00113B97"/>
    <w:rsid w:val="00113BA4"/>
    <w:rsid w:val="00113BD4"/>
    <w:rsid w:val="00113BDB"/>
    <w:rsid w:val="00113C0C"/>
    <w:rsid w:val="00113C2A"/>
    <w:rsid w:val="00113CC7"/>
    <w:rsid w:val="00113E4D"/>
    <w:rsid w:val="00113E50"/>
    <w:rsid w:val="00113ECC"/>
    <w:rsid w:val="00113F31"/>
    <w:rsid w:val="00113F7D"/>
    <w:rsid w:val="00114129"/>
    <w:rsid w:val="0011418A"/>
    <w:rsid w:val="001141DB"/>
    <w:rsid w:val="0011429B"/>
    <w:rsid w:val="001142F5"/>
    <w:rsid w:val="0011434F"/>
    <w:rsid w:val="00114449"/>
    <w:rsid w:val="0011445C"/>
    <w:rsid w:val="00114471"/>
    <w:rsid w:val="001144B0"/>
    <w:rsid w:val="0011454F"/>
    <w:rsid w:val="0011457F"/>
    <w:rsid w:val="0011461E"/>
    <w:rsid w:val="00114643"/>
    <w:rsid w:val="001146C8"/>
    <w:rsid w:val="00114721"/>
    <w:rsid w:val="00114867"/>
    <w:rsid w:val="00114904"/>
    <w:rsid w:val="00114A05"/>
    <w:rsid w:val="00114B03"/>
    <w:rsid w:val="00114B04"/>
    <w:rsid w:val="00114B7C"/>
    <w:rsid w:val="00114CA6"/>
    <w:rsid w:val="00114D1C"/>
    <w:rsid w:val="00114D30"/>
    <w:rsid w:val="00114D7D"/>
    <w:rsid w:val="00114D8E"/>
    <w:rsid w:val="00114DBB"/>
    <w:rsid w:val="00114E9E"/>
    <w:rsid w:val="00114F69"/>
    <w:rsid w:val="00114FE6"/>
    <w:rsid w:val="00114FEB"/>
    <w:rsid w:val="00115003"/>
    <w:rsid w:val="0011503C"/>
    <w:rsid w:val="0011507A"/>
    <w:rsid w:val="001150C0"/>
    <w:rsid w:val="00115195"/>
    <w:rsid w:val="0011520E"/>
    <w:rsid w:val="00115239"/>
    <w:rsid w:val="00115245"/>
    <w:rsid w:val="00115307"/>
    <w:rsid w:val="001153B3"/>
    <w:rsid w:val="0011550A"/>
    <w:rsid w:val="0011554B"/>
    <w:rsid w:val="0011569C"/>
    <w:rsid w:val="001156EA"/>
    <w:rsid w:val="001156F1"/>
    <w:rsid w:val="0011571A"/>
    <w:rsid w:val="0011575A"/>
    <w:rsid w:val="001157B7"/>
    <w:rsid w:val="001157E7"/>
    <w:rsid w:val="0011585F"/>
    <w:rsid w:val="00115911"/>
    <w:rsid w:val="00115962"/>
    <w:rsid w:val="00115B12"/>
    <w:rsid w:val="00115B3D"/>
    <w:rsid w:val="00115BF5"/>
    <w:rsid w:val="00115C62"/>
    <w:rsid w:val="00115C73"/>
    <w:rsid w:val="00115C7D"/>
    <w:rsid w:val="00115CB3"/>
    <w:rsid w:val="00115D13"/>
    <w:rsid w:val="00115E1E"/>
    <w:rsid w:val="00115E2E"/>
    <w:rsid w:val="00115F5B"/>
    <w:rsid w:val="00115F5C"/>
    <w:rsid w:val="00116075"/>
    <w:rsid w:val="00116129"/>
    <w:rsid w:val="00116230"/>
    <w:rsid w:val="001162B2"/>
    <w:rsid w:val="001162DC"/>
    <w:rsid w:val="001163A0"/>
    <w:rsid w:val="0011642C"/>
    <w:rsid w:val="0011649C"/>
    <w:rsid w:val="001164F6"/>
    <w:rsid w:val="001165A2"/>
    <w:rsid w:val="001165F8"/>
    <w:rsid w:val="00116605"/>
    <w:rsid w:val="00116635"/>
    <w:rsid w:val="0011684F"/>
    <w:rsid w:val="00116915"/>
    <w:rsid w:val="00116939"/>
    <w:rsid w:val="00116979"/>
    <w:rsid w:val="001169A4"/>
    <w:rsid w:val="00116A68"/>
    <w:rsid w:val="00116A9D"/>
    <w:rsid w:val="00116B2B"/>
    <w:rsid w:val="00116B6A"/>
    <w:rsid w:val="00116B71"/>
    <w:rsid w:val="00116C22"/>
    <w:rsid w:val="00116CDA"/>
    <w:rsid w:val="00116DB6"/>
    <w:rsid w:val="00116EB7"/>
    <w:rsid w:val="00116FF1"/>
    <w:rsid w:val="0011701A"/>
    <w:rsid w:val="001170CB"/>
    <w:rsid w:val="001170F1"/>
    <w:rsid w:val="001170FD"/>
    <w:rsid w:val="00117103"/>
    <w:rsid w:val="00117113"/>
    <w:rsid w:val="00117142"/>
    <w:rsid w:val="00117306"/>
    <w:rsid w:val="00117319"/>
    <w:rsid w:val="00117338"/>
    <w:rsid w:val="00117395"/>
    <w:rsid w:val="001173A0"/>
    <w:rsid w:val="001173C0"/>
    <w:rsid w:val="00117490"/>
    <w:rsid w:val="0011749C"/>
    <w:rsid w:val="001174BB"/>
    <w:rsid w:val="0011750E"/>
    <w:rsid w:val="00117563"/>
    <w:rsid w:val="0011758C"/>
    <w:rsid w:val="001175DE"/>
    <w:rsid w:val="00117606"/>
    <w:rsid w:val="00117684"/>
    <w:rsid w:val="001176DB"/>
    <w:rsid w:val="00117750"/>
    <w:rsid w:val="0011781A"/>
    <w:rsid w:val="00117892"/>
    <w:rsid w:val="001178CD"/>
    <w:rsid w:val="001178DD"/>
    <w:rsid w:val="001178EE"/>
    <w:rsid w:val="00117969"/>
    <w:rsid w:val="001179CC"/>
    <w:rsid w:val="001179ED"/>
    <w:rsid w:val="00117AD8"/>
    <w:rsid w:val="00117AFA"/>
    <w:rsid w:val="00117C17"/>
    <w:rsid w:val="00117C1B"/>
    <w:rsid w:val="00117C3C"/>
    <w:rsid w:val="00117CC7"/>
    <w:rsid w:val="00117D11"/>
    <w:rsid w:val="00117DC2"/>
    <w:rsid w:val="00117DFD"/>
    <w:rsid w:val="00117E47"/>
    <w:rsid w:val="00117EB4"/>
    <w:rsid w:val="00117F5E"/>
    <w:rsid w:val="00117F77"/>
    <w:rsid w:val="00120075"/>
    <w:rsid w:val="00120145"/>
    <w:rsid w:val="0012019D"/>
    <w:rsid w:val="001201C8"/>
    <w:rsid w:val="00120247"/>
    <w:rsid w:val="001202A3"/>
    <w:rsid w:val="00120379"/>
    <w:rsid w:val="001203C5"/>
    <w:rsid w:val="0012043A"/>
    <w:rsid w:val="001205BC"/>
    <w:rsid w:val="00120633"/>
    <w:rsid w:val="00120659"/>
    <w:rsid w:val="0012074F"/>
    <w:rsid w:val="0012078A"/>
    <w:rsid w:val="001207AB"/>
    <w:rsid w:val="001207DE"/>
    <w:rsid w:val="00120853"/>
    <w:rsid w:val="001208EB"/>
    <w:rsid w:val="00120A2B"/>
    <w:rsid w:val="00120AD9"/>
    <w:rsid w:val="00120B58"/>
    <w:rsid w:val="00120C43"/>
    <w:rsid w:val="00120D7A"/>
    <w:rsid w:val="00120E4B"/>
    <w:rsid w:val="00120E8F"/>
    <w:rsid w:val="00120F14"/>
    <w:rsid w:val="00120F20"/>
    <w:rsid w:val="00120F58"/>
    <w:rsid w:val="00120FCC"/>
    <w:rsid w:val="0012101E"/>
    <w:rsid w:val="001210A1"/>
    <w:rsid w:val="001210AF"/>
    <w:rsid w:val="001210CD"/>
    <w:rsid w:val="00121122"/>
    <w:rsid w:val="00121156"/>
    <w:rsid w:val="001211D1"/>
    <w:rsid w:val="001212B3"/>
    <w:rsid w:val="001212C7"/>
    <w:rsid w:val="001212F4"/>
    <w:rsid w:val="001213E3"/>
    <w:rsid w:val="00121406"/>
    <w:rsid w:val="00121409"/>
    <w:rsid w:val="00121518"/>
    <w:rsid w:val="0012155A"/>
    <w:rsid w:val="001215B8"/>
    <w:rsid w:val="001216F3"/>
    <w:rsid w:val="0012173A"/>
    <w:rsid w:val="00121791"/>
    <w:rsid w:val="001217BD"/>
    <w:rsid w:val="001217E0"/>
    <w:rsid w:val="001218B5"/>
    <w:rsid w:val="00121979"/>
    <w:rsid w:val="001219A4"/>
    <w:rsid w:val="00121A05"/>
    <w:rsid w:val="00121B08"/>
    <w:rsid w:val="00121B10"/>
    <w:rsid w:val="00121B17"/>
    <w:rsid w:val="00121BCD"/>
    <w:rsid w:val="00121CCF"/>
    <w:rsid w:val="00121D02"/>
    <w:rsid w:val="00121F16"/>
    <w:rsid w:val="00122037"/>
    <w:rsid w:val="001220EF"/>
    <w:rsid w:val="0012214D"/>
    <w:rsid w:val="001221A5"/>
    <w:rsid w:val="001222CB"/>
    <w:rsid w:val="0012238F"/>
    <w:rsid w:val="001223B6"/>
    <w:rsid w:val="001223FC"/>
    <w:rsid w:val="00122402"/>
    <w:rsid w:val="00122427"/>
    <w:rsid w:val="00122485"/>
    <w:rsid w:val="001224A9"/>
    <w:rsid w:val="001224E1"/>
    <w:rsid w:val="00122508"/>
    <w:rsid w:val="00122528"/>
    <w:rsid w:val="00122598"/>
    <w:rsid w:val="001225DF"/>
    <w:rsid w:val="001225E3"/>
    <w:rsid w:val="0012264B"/>
    <w:rsid w:val="00122660"/>
    <w:rsid w:val="00122672"/>
    <w:rsid w:val="001226D6"/>
    <w:rsid w:val="001227F5"/>
    <w:rsid w:val="0012291E"/>
    <w:rsid w:val="001229C2"/>
    <w:rsid w:val="00122B1E"/>
    <w:rsid w:val="00122B3A"/>
    <w:rsid w:val="00122BF7"/>
    <w:rsid w:val="00122C15"/>
    <w:rsid w:val="00122D30"/>
    <w:rsid w:val="00122D95"/>
    <w:rsid w:val="00122DC9"/>
    <w:rsid w:val="00122E5C"/>
    <w:rsid w:val="00122E6A"/>
    <w:rsid w:val="00122E8F"/>
    <w:rsid w:val="00122EE8"/>
    <w:rsid w:val="00122F06"/>
    <w:rsid w:val="00122FD0"/>
    <w:rsid w:val="0012303B"/>
    <w:rsid w:val="0012306E"/>
    <w:rsid w:val="0012311A"/>
    <w:rsid w:val="00123144"/>
    <w:rsid w:val="00123253"/>
    <w:rsid w:val="001232C2"/>
    <w:rsid w:val="00123366"/>
    <w:rsid w:val="001233A2"/>
    <w:rsid w:val="0012340F"/>
    <w:rsid w:val="00123421"/>
    <w:rsid w:val="00123496"/>
    <w:rsid w:val="001234CE"/>
    <w:rsid w:val="001234D1"/>
    <w:rsid w:val="00123519"/>
    <w:rsid w:val="00123567"/>
    <w:rsid w:val="00123571"/>
    <w:rsid w:val="001236A2"/>
    <w:rsid w:val="00123716"/>
    <w:rsid w:val="0012371B"/>
    <w:rsid w:val="00123741"/>
    <w:rsid w:val="00123758"/>
    <w:rsid w:val="001237EB"/>
    <w:rsid w:val="00123824"/>
    <w:rsid w:val="00123835"/>
    <w:rsid w:val="0012391D"/>
    <w:rsid w:val="0012391F"/>
    <w:rsid w:val="00123977"/>
    <w:rsid w:val="00123A79"/>
    <w:rsid w:val="00123B0F"/>
    <w:rsid w:val="00123B13"/>
    <w:rsid w:val="00123B29"/>
    <w:rsid w:val="00123B2E"/>
    <w:rsid w:val="00123B58"/>
    <w:rsid w:val="00123B9A"/>
    <w:rsid w:val="00123D0C"/>
    <w:rsid w:val="00123D11"/>
    <w:rsid w:val="00123D38"/>
    <w:rsid w:val="00123D8A"/>
    <w:rsid w:val="00123F2B"/>
    <w:rsid w:val="00123F5C"/>
    <w:rsid w:val="00124043"/>
    <w:rsid w:val="00124077"/>
    <w:rsid w:val="00124152"/>
    <w:rsid w:val="00124194"/>
    <w:rsid w:val="00124209"/>
    <w:rsid w:val="00124295"/>
    <w:rsid w:val="00124407"/>
    <w:rsid w:val="0012440B"/>
    <w:rsid w:val="0012444F"/>
    <w:rsid w:val="00124482"/>
    <w:rsid w:val="00124497"/>
    <w:rsid w:val="00124623"/>
    <w:rsid w:val="00124679"/>
    <w:rsid w:val="001246DB"/>
    <w:rsid w:val="001246FF"/>
    <w:rsid w:val="0012475C"/>
    <w:rsid w:val="001247A7"/>
    <w:rsid w:val="001248F8"/>
    <w:rsid w:val="00124946"/>
    <w:rsid w:val="00124957"/>
    <w:rsid w:val="00124962"/>
    <w:rsid w:val="00124964"/>
    <w:rsid w:val="00124971"/>
    <w:rsid w:val="00124A59"/>
    <w:rsid w:val="00124A6B"/>
    <w:rsid w:val="00124AEE"/>
    <w:rsid w:val="00124C61"/>
    <w:rsid w:val="00124D08"/>
    <w:rsid w:val="00124D11"/>
    <w:rsid w:val="00124D95"/>
    <w:rsid w:val="00124E71"/>
    <w:rsid w:val="00125005"/>
    <w:rsid w:val="001250C4"/>
    <w:rsid w:val="001250EB"/>
    <w:rsid w:val="0012513F"/>
    <w:rsid w:val="00125212"/>
    <w:rsid w:val="0012537A"/>
    <w:rsid w:val="001253A8"/>
    <w:rsid w:val="001253B8"/>
    <w:rsid w:val="0012543D"/>
    <w:rsid w:val="0012544F"/>
    <w:rsid w:val="001254A4"/>
    <w:rsid w:val="001254AD"/>
    <w:rsid w:val="001254B5"/>
    <w:rsid w:val="0012563D"/>
    <w:rsid w:val="0012569A"/>
    <w:rsid w:val="00125701"/>
    <w:rsid w:val="00125796"/>
    <w:rsid w:val="0012587F"/>
    <w:rsid w:val="0012592D"/>
    <w:rsid w:val="00125941"/>
    <w:rsid w:val="00125A20"/>
    <w:rsid w:val="00125A7A"/>
    <w:rsid w:val="00125AB6"/>
    <w:rsid w:val="00125B24"/>
    <w:rsid w:val="00125B2A"/>
    <w:rsid w:val="00125CA6"/>
    <w:rsid w:val="00125D94"/>
    <w:rsid w:val="00125D96"/>
    <w:rsid w:val="00125D9B"/>
    <w:rsid w:val="00125DAF"/>
    <w:rsid w:val="00125E0E"/>
    <w:rsid w:val="00125E39"/>
    <w:rsid w:val="00125F0C"/>
    <w:rsid w:val="00125F62"/>
    <w:rsid w:val="00125FC1"/>
    <w:rsid w:val="00126094"/>
    <w:rsid w:val="0012617F"/>
    <w:rsid w:val="001261AE"/>
    <w:rsid w:val="001261E1"/>
    <w:rsid w:val="0012623F"/>
    <w:rsid w:val="0012630F"/>
    <w:rsid w:val="0012633D"/>
    <w:rsid w:val="00126351"/>
    <w:rsid w:val="0012636A"/>
    <w:rsid w:val="00126433"/>
    <w:rsid w:val="00126508"/>
    <w:rsid w:val="0012665B"/>
    <w:rsid w:val="00126697"/>
    <w:rsid w:val="00126711"/>
    <w:rsid w:val="0012672C"/>
    <w:rsid w:val="001267CB"/>
    <w:rsid w:val="001267E4"/>
    <w:rsid w:val="001268B2"/>
    <w:rsid w:val="001268D1"/>
    <w:rsid w:val="00126919"/>
    <w:rsid w:val="00126933"/>
    <w:rsid w:val="001269B8"/>
    <w:rsid w:val="001269C4"/>
    <w:rsid w:val="001269D9"/>
    <w:rsid w:val="00126C33"/>
    <w:rsid w:val="00126D11"/>
    <w:rsid w:val="00126D63"/>
    <w:rsid w:val="00126DE4"/>
    <w:rsid w:val="00126EC0"/>
    <w:rsid w:val="00126ED7"/>
    <w:rsid w:val="00126F88"/>
    <w:rsid w:val="00126FEE"/>
    <w:rsid w:val="00127000"/>
    <w:rsid w:val="00127101"/>
    <w:rsid w:val="00127118"/>
    <w:rsid w:val="00127154"/>
    <w:rsid w:val="00127194"/>
    <w:rsid w:val="001271C5"/>
    <w:rsid w:val="001271DC"/>
    <w:rsid w:val="001271F3"/>
    <w:rsid w:val="0012730F"/>
    <w:rsid w:val="00127316"/>
    <w:rsid w:val="0012736E"/>
    <w:rsid w:val="00127394"/>
    <w:rsid w:val="0012739F"/>
    <w:rsid w:val="0012746F"/>
    <w:rsid w:val="0012758E"/>
    <w:rsid w:val="0012770F"/>
    <w:rsid w:val="0012773E"/>
    <w:rsid w:val="001278B1"/>
    <w:rsid w:val="0012798A"/>
    <w:rsid w:val="00127A04"/>
    <w:rsid w:val="00127A4E"/>
    <w:rsid w:val="00127A54"/>
    <w:rsid w:val="00127ADC"/>
    <w:rsid w:val="00127B1D"/>
    <w:rsid w:val="00127B4D"/>
    <w:rsid w:val="00127C0B"/>
    <w:rsid w:val="00127CB1"/>
    <w:rsid w:val="00127E9E"/>
    <w:rsid w:val="00127EA7"/>
    <w:rsid w:val="00127F0A"/>
    <w:rsid w:val="00127F48"/>
    <w:rsid w:val="00127F4E"/>
    <w:rsid w:val="00127F5A"/>
    <w:rsid w:val="00127F88"/>
    <w:rsid w:val="00130007"/>
    <w:rsid w:val="0013004F"/>
    <w:rsid w:val="001300C1"/>
    <w:rsid w:val="00130142"/>
    <w:rsid w:val="00130169"/>
    <w:rsid w:val="00130174"/>
    <w:rsid w:val="001301CA"/>
    <w:rsid w:val="001302EB"/>
    <w:rsid w:val="001302ED"/>
    <w:rsid w:val="0013031C"/>
    <w:rsid w:val="00130459"/>
    <w:rsid w:val="0013047F"/>
    <w:rsid w:val="0013049C"/>
    <w:rsid w:val="001304C7"/>
    <w:rsid w:val="0013056E"/>
    <w:rsid w:val="00130618"/>
    <w:rsid w:val="0013066D"/>
    <w:rsid w:val="0013067A"/>
    <w:rsid w:val="00130743"/>
    <w:rsid w:val="001307B4"/>
    <w:rsid w:val="00130837"/>
    <w:rsid w:val="00130885"/>
    <w:rsid w:val="00130892"/>
    <w:rsid w:val="00130893"/>
    <w:rsid w:val="0013089C"/>
    <w:rsid w:val="00130927"/>
    <w:rsid w:val="00130988"/>
    <w:rsid w:val="001309B7"/>
    <w:rsid w:val="00130A2E"/>
    <w:rsid w:val="00130AD3"/>
    <w:rsid w:val="00130B14"/>
    <w:rsid w:val="00130B1A"/>
    <w:rsid w:val="00130C02"/>
    <w:rsid w:val="00130CB0"/>
    <w:rsid w:val="00130CD4"/>
    <w:rsid w:val="00130D28"/>
    <w:rsid w:val="00130DA8"/>
    <w:rsid w:val="00130DB3"/>
    <w:rsid w:val="00130DF3"/>
    <w:rsid w:val="00130E18"/>
    <w:rsid w:val="00130ED6"/>
    <w:rsid w:val="00130F1E"/>
    <w:rsid w:val="00130FD5"/>
    <w:rsid w:val="001310BD"/>
    <w:rsid w:val="00131133"/>
    <w:rsid w:val="00131182"/>
    <w:rsid w:val="001312C0"/>
    <w:rsid w:val="001312ED"/>
    <w:rsid w:val="00131359"/>
    <w:rsid w:val="00131449"/>
    <w:rsid w:val="0013147E"/>
    <w:rsid w:val="00131484"/>
    <w:rsid w:val="00131564"/>
    <w:rsid w:val="00131580"/>
    <w:rsid w:val="0013160E"/>
    <w:rsid w:val="00131620"/>
    <w:rsid w:val="0013164E"/>
    <w:rsid w:val="00131654"/>
    <w:rsid w:val="001316A1"/>
    <w:rsid w:val="00131734"/>
    <w:rsid w:val="00131897"/>
    <w:rsid w:val="00131928"/>
    <w:rsid w:val="00131997"/>
    <w:rsid w:val="00131A43"/>
    <w:rsid w:val="00131A87"/>
    <w:rsid w:val="00131AA2"/>
    <w:rsid w:val="00131AC6"/>
    <w:rsid w:val="00131C57"/>
    <w:rsid w:val="00131C73"/>
    <w:rsid w:val="00131C8B"/>
    <w:rsid w:val="00131D04"/>
    <w:rsid w:val="00131D39"/>
    <w:rsid w:val="00131E8F"/>
    <w:rsid w:val="00131EB0"/>
    <w:rsid w:val="00131F7F"/>
    <w:rsid w:val="00131FBF"/>
    <w:rsid w:val="00131FE2"/>
    <w:rsid w:val="0013201D"/>
    <w:rsid w:val="00132031"/>
    <w:rsid w:val="001320CA"/>
    <w:rsid w:val="0013217D"/>
    <w:rsid w:val="001322C3"/>
    <w:rsid w:val="001322F7"/>
    <w:rsid w:val="001323EA"/>
    <w:rsid w:val="001323F9"/>
    <w:rsid w:val="00132483"/>
    <w:rsid w:val="001324B4"/>
    <w:rsid w:val="001324CC"/>
    <w:rsid w:val="001324FF"/>
    <w:rsid w:val="00132518"/>
    <w:rsid w:val="0013252E"/>
    <w:rsid w:val="00132566"/>
    <w:rsid w:val="001325FE"/>
    <w:rsid w:val="00132646"/>
    <w:rsid w:val="00132653"/>
    <w:rsid w:val="00132717"/>
    <w:rsid w:val="001327EA"/>
    <w:rsid w:val="00132837"/>
    <w:rsid w:val="001329D2"/>
    <w:rsid w:val="00132A1F"/>
    <w:rsid w:val="00132ABD"/>
    <w:rsid w:val="00132AF9"/>
    <w:rsid w:val="00132B35"/>
    <w:rsid w:val="00132B44"/>
    <w:rsid w:val="00132B9E"/>
    <w:rsid w:val="00132BFF"/>
    <w:rsid w:val="00132C3A"/>
    <w:rsid w:val="00132CB2"/>
    <w:rsid w:val="00132CC1"/>
    <w:rsid w:val="00132D98"/>
    <w:rsid w:val="00132DB1"/>
    <w:rsid w:val="00132DB8"/>
    <w:rsid w:val="00132DC5"/>
    <w:rsid w:val="00132E79"/>
    <w:rsid w:val="00132F1E"/>
    <w:rsid w:val="00132F8C"/>
    <w:rsid w:val="00132FD0"/>
    <w:rsid w:val="00133011"/>
    <w:rsid w:val="00133046"/>
    <w:rsid w:val="00133082"/>
    <w:rsid w:val="00133096"/>
    <w:rsid w:val="001330AF"/>
    <w:rsid w:val="001330BF"/>
    <w:rsid w:val="001330CC"/>
    <w:rsid w:val="00133167"/>
    <w:rsid w:val="001331FA"/>
    <w:rsid w:val="0013322D"/>
    <w:rsid w:val="00133291"/>
    <w:rsid w:val="001332E4"/>
    <w:rsid w:val="0013337B"/>
    <w:rsid w:val="00133410"/>
    <w:rsid w:val="001334FB"/>
    <w:rsid w:val="00133609"/>
    <w:rsid w:val="00133647"/>
    <w:rsid w:val="00133680"/>
    <w:rsid w:val="001336BD"/>
    <w:rsid w:val="0013380A"/>
    <w:rsid w:val="0013381A"/>
    <w:rsid w:val="001338A9"/>
    <w:rsid w:val="00133925"/>
    <w:rsid w:val="00133933"/>
    <w:rsid w:val="00133999"/>
    <w:rsid w:val="001339C6"/>
    <w:rsid w:val="00133A05"/>
    <w:rsid w:val="00133A52"/>
    <w:rsid w:val="00133A97"/>
    <w:rsid w:val="00133BBA"/>
    <w:rsid w:val="00133BD1"/>
    <w:rsid w:val="00133C24"/>
    <w:rsid w:val="00133D6D"/>
    <w:rsid w:val="00133DC8"/>
    <w:rsid w:val="00133E0D"/>
    <w:rsid w:val="00133E76"/>
    <w:rsid w:val="00133E8A"/>
    <w:rsid w:val="00133F5F"/>
    <w:rsid w:val="00133FB8"/>
    <w:rsid w:val="00133FD4"/>
    <w:rsid w:val="001340D4"/>
    <w:rsid w:val="00134121"/>
    <w:rsid w:val="00134131"/>
    <w:rsid w:val="001341A7"/>
    <w:rsid w:val="00134295"/>
    <w:rsid w:val="0013433B"/>
    <w:rsid w:val="00134393"/>
    <w:rsid w:val="001343AD"/>
    <w:rsid w:val="00134543"/>
    <w:rsid w:val="00134585"/>
    <w:rsid w:val="00134655"/>
    <w:rsid w:val="001346A8"/>
    <w:rsid w:val="001346E5"/>
    <w:rsid w:val="00134704"/>
    <w:rsid w:val="00134740"/>
    <w:rsid w:val="001347CE"/>
    <w:rsid w:val="0013481B"/>
    <w:rsid w:val="0013489C"/>
    <w:rsid w:val="001348BB"/>
    <w:rsid w:val="001348E2"/>
    <w:rsid w:val="0013494A"/>
    <w:rsid w:val="00134AC1"/>
    <w:rsid w:val="00134B1C"/>
    <w:rsid w:val="00134B46"/>
    <w:rsid w:val="00134BEC"/>
    <w:rsid w:val="00134C89"/>
    <w:rsid w:val="00134CC6"/>
    <w:rsid w:val="00134E41"/>
    <w:rsid w:val="00134E96"/>
    <w:rsid w:val="00134F30"/>
    <w:rsid w:val="00134F5B"/>
    <w:rsid w:val="00135017"/>
    <w:rsid w:val="00135033"/>
    <w:rsid w:val="00135038"/>
    <w:rsid w:val="0013522F"/>
    <w:rsid w:val="001352F0"/>
    <w:rsid w:val="0013530C"/>
    <w:rsid w:val="0013531D"/>
    <w:rsid w:val="001353FD"/>
    <w:rsid w:val="001354D1"/>
    <w:rsid w:val="001355A0"/>
    <w:rsid w:val="00135671"/>
    <w:rsid w:val="0013572B"/>
    <w:rsid w:val="0013579B"/>
    <w:rsid w:val="001357C4"/>
    <w:rsid w:val="00135814"/>
    <w:rsid w:val="00135894"/>
    <w:rsid w:val="00135981"/>
    <w:rsid w:val="00135999"/>
    <w:rsid w:val="001359FE"/>
    <w:rsid w:val="00135A1A"/>
    <w:rsid w:val="00135A35"/>
    <w:rsid w:val="00135A65"/>
    <w:rsid w:val="00135C1C"/>
    <w:rsid w:val="00135C32"/>
    <w:rsid w:val="00135C3C"/>
    <w:rsid w:val="00135D2A"/>
    <w:rsid w:val="00135DA7"/>
    <w:rsid w:val="00135E1C"/>
    <w:rsid w:val="00135EEC"/>
    <w:rsid w:val="00135EF7"/>
    <w:rsid w:val="00135F20"/>
    <w:rsid w:val="00135FE0"/>
    <w:rsid w:val="001360D6"/>
    <w:rsid w:val="00136113"/>
    <w:rsid w:val="00136161"/>
    <w:rsid w:val="00136213"/>
    <w:rsid w:val="001362AF"/>
    <w:rsid w:val="00136417"/>
    <w:rsid w:val="0013647C"/>
    <w:rsid w:val="0013648E"/>
    <w:rsid w:val="001364B5"/>
    <w:rsid w:val="001364C7"/>
    <w:rsid w:val="0013654A"/>
    <w:rsid w:val="001365C4"/>
    <w:rsid w:val="0013666F"/>
    <w:rsid w:val="001366C7"/>
    <w:rsid w:val="001366F3"/>
    <w:rsid w:val="00136742"/>
    <w:rsid w:val="0013674B"/>
    <w:rsid w:val="0013679D"/>
    <w:rsid w:val="0013682B"/>
    <w:rsid w:val="00136969"/>
    <w:rsid w:val="00136A54"/>
    <w:rsid w:val="00136AC6"/>
    <w:rsid w:val="00136B37"/>
    <w:rsid w:val="00136B5C"/>
    <w:rsid w:val="00136B65"/>
    <w:rsid w:val="00136BA1"/>
    <w:rsid w:val="00136BDB"/>
    <w:rsid w:val="00136C3D"/>
    <w:rsid w:val="00136C42"/>
    <w:rsid w:val="00136CB7"/>
    <w:rsid w:val="00136CCC"/>
    <w:rsid w:val="00136CF6"/>
    <w:rsid w:val="00136E02"/>
    <w:rsid w:val="00136E92"/>
    <w:rsid w:val="00136EB5"/>
    <w:rsid w:val="00136EDA"/>
    <w:rsid w:val="00136FEF"/>
    <w:rsid w:val="00136FFC"/>
    <w:rsid w:val="0013704D"/>
    <w:rsid w:val="0013715E"/>
    <w:rsid w:val="001371E7"/>
    <w:rsid w:val="00137209"/>
    <w:rsid w:val="00137294"/>
    <w:rsid w:val="0013739D"/>
    <w:rsid w:val="001373BE"/>
    <w:rsid w:val="001373F8"/>
    <w:rsid w:val="0013742C"/>
    <w:rsid w:val="00137445"/>
    <w:rsid w:val="0013751A"/>
    <w:rsid w:val="00137544"/>
    <w:rsid w:val="0013756E"/>
    <w:rsid w:val="0013763F"/>
    <w:rsid w:val="0013769F"/>
    <w:rsid w:val="00137740"/>
    <w:rsid w:val="0013774E"/>
    <w:rsid w:val="0013780D"/>
    <w:rsid w:val="00137827"/>
    <w:rsid w:val="00137835"/>
    <w:rsid w:val="00137866"/>
    <w:rsid w:val="00137930"/>
    <w:rsid w:val="001379A3"/>
    <w:rsid w:val="001379D3"/>
    <w:rsid w:val="00137AE2"/>
    <w:rsid w:val="00137B9C"/>
    <w:rsid w:val="00137BB9"/>
    <w:rsid w:val="00137BDD"/>
    <w:rsid w:val="00137C5E"/>
    <w:rsid w:val="00137C6E"/>
    <w:rsid w:val="00137C94"/>
    <w:rsid w:val="00137DD8"/>
    <w:rsid w:val="00137E6D"/>
    <w:rsid w:val="00137E87"/>
    <w:rsid w:val="00137F52"/>
    <w:rsid w:val="00137F8F"/>
    <w:rsid w:val="00140043"/>
    <w:rsid w:val="00140091"/>
    <w:rsid w:val="001400E3"/>
    <w:rsid w:val="0014034D"/>
    <w:rsid w:val="001403A0"/>
    <w:rsid w:val="0014043B"/>
    <w:rsid w:val="00140448"/>
    <w:rsid w:val="00140487"/>
    <w:rsid w:val="00140521"/>
    <w:rsid w:val="00140654"/>
    <w:rsid w:val="0014078C"/>
    <w:rsid w:val="001407C2"/>
    <w:rsid w:val="00140824"/>
    <w:rsid w:val="001408BC"/>
    <w:rsid w:val="001408D0"/>
    <w:rsid w:val="001408F1"/>
    <w:rsid w:val="0014090F"/>
    <w:rsid w:val="001409DC"/>
    <w:rsid w:val="00140A30"/>
    <w:rsid w:val="00140AB8"/>
    <w:rsid w:val="00140ABD"/>
    <w:rsid w:val="00140AE0"/>
    <w:rsid w:val="00140AF8"/>
    <w:rsid w:val="00140BC3"/>
    <w:rsid w:val="00140C6F"/>
    <w:rsid w:val="00140C83"/>
    <w:rsid w:val="00140CA5"/>
    <w:rsid w:val="00140D61"/>
    <w:rsid w:val="00140D62"/>
    <w:rsid w:val="00140E85"/>
    <w:rsid w:val="00140EA6"/>
    <w:rsid w:val="00140EC4"/>
    <w:rsid w:val="00140F21"/>
    <w:rsid w:val="00140F4C"/>
    <w:rsid w:val="00141022"/>
    <w:rsid w:val="00141029"/>
    <w:rsid w:val="0014103D"/>
    <w:rsid w:val="00141059"/>
    <w:rsid w:val="001410A7"/>
    <w:rsid w:val="00141199"/>
    <w:rsid w:val="001411DD"/>
    <w:rsid w:val="00141202"/>
    <w:rsid w:val="00141257"/>
    <w:rsid w:val="00141311"/>
    <w:rsid w:val="001413B3"/>
    <w:rsid w:val="001413E7"/>
    <w:rsid w:val="00141415"/>
    <w:rsid w:val="001414E9"/>
    <w:rsid w:val="00141519"/>
    <w:rsid w:val="0014157B"/>
    <w:rsid w:val="0014158E"/>
    <w:rsid w:val="001415B2"/>
    <w:rsid w:val="0014163B"/>
    <w:rsid w:val="00141695"/>
    <w:rsid w:val="001416E8"/>
    <w:rsid w:val="001417CC"/>
    <w:rsid w:val="0014180B"/>
    <w:rsid w:val="0014181E"/>
    <w:rsid w:val="0014184B"/>
    <w:rsid w:val="0014189E"/>
    <w:rsid w:val="001418D3"/>
    <w:rsid w:val="00141906"/>
    <w:rsid w:val="00141978"/>
    <w:rsid w:val="001419B4"/>
    <w:rsid w:val="001419EB"/>
    <w:rsid w:val="00141A68"/>
    <w:rsid w:val="00141A73"/>
    <w:rsid w:val="00141AC1"/>
    <w:rsid w:val="00141AE7"/>
    <w:rsid w:val="00141AEE"/>
    <w:rsid w:val="00141B0B"/>
    <w:rsid w:val="00141C21"/>
    <w:rsid w:val="00141C30"/>
    <w:rsid w:val="00141C5B"/>
    <w:rsid w:val="00141C60"/>
    <w:rsid w:val="00141D22"/>
    <w:rsid w:val="00141FA7"/>
    <w:rsid w:val="00141FB7"/>
    <w:rsid w:val="00141FBF"/>
    <w:rsid w:val="00142028"/>
    <w:rsid w:val="00142103"/>
    <w:rsid w:val="0014210F"/>
    <w:rsid w:val="00142149"/>
    <w:rsid w:val="001421D6"/>
    <w:rsid w:val="00142264"/>
    <w:rsid w:val="00142312"/>
    <w:rsid w:val="001423CE"/>
    <w:rsid w:val="0014243B"/>
    <w:rsid w:val="00142449"/>
    <w:rsid w:val="001424BB"/>
    <w:rsid w:val="00142524"/>
    <w:rsid w:val="00142563"/>
    <w:rsid w:val="0014259B"/>
    <w:rsid w:val="001425B4"/>
    <w:rsid w:val="001425C1"/>
    <w:rsid w:val="00142670"/>
    <w:rsid w:val="001426A2"/>
    <w:rsid w:val="001426C8"/>
    <w:rsid w:val="001426CE"/>
    <w:rsid w:val="001426E4"/>
    <w:rsid w:val="0014270B"/>
    <w:rsid w:val="0014272A"/>
    <w:rsid w:val="00142739"/>
    <w:rsid w:val="00142804"/>
    <w:rsid w:val="00142814"/>
    <w:rsid w:val="00142955"/>
    <w:rsid w:val="00142982"/>
    <w:rsid w:val="0014299B"/>
    <w:rsid w:val="0014299C"/>
    <w:rsid w:val="001429AE"/>
    <w:rsid w:val="00142A14"/>
    <w:rsid w:val="00142A8E"/>
    <w:rsid w:val="00142ACF"/>
    <w:rsid w:val="00142BCE"/>
    <w:rsid w:val="00142C0C"/>
    <w:rsid w:val="00142C9B"/>
    <w:rsid w:val="00142CCF"/>
    <w:rsid w:val="00142E6B"/>
    <w:rsid w:val="00142E6E"/>
    <w:rsid w:val="00142EF5"/>
    <w:rsid w:val="00142F19"/>
    <w:rsid w:val="00142F6F"/>
    <w:rsid w:val="00142FA4"/>
    <w:rsid w:val="00143019"/>
    <w:rsid w:val="0014301D"/>
    <w:rsid w:val="001432E2"/>
    <w:rsid w:val="001432FB"/>
    <w:rsid w:val="00143326"/>
    <w:rsid w:val="0014334C"/>
    <w:rsid w:val="0014334D"/>
    <w:rsid w:val="001433B7"/>
    <w:rsid w:val="00143462"/>
    <w:rsid w:val="001434BD"/>
    <w:rsid w:val="00143568"/>
    <w:rsid w:val="001435DE"/>
    <w:rsid w:val="00143603"/>
    <w:rsid w:val="00143634"/>
    <w:rsid w:val="00143720"/>
    <w:rsid w:val="00143795"/>
    <w:rsid w:val="001437E8"/>
    <w:rsid w:val="001438A8"/>
    <w:rsid w:val="001438E8"/>
    <w:rsid w:val="00143923"/>
    <w:rsid w:val="00143979"/>
    <w:rsid w:val="001439CD"/>
    <w:rsid w:val="00143A39"/>
    <w:rsid w:val="00143A5D"/>
    <w:rsid w:val="00143B67"/>
    <w:rsid w:val="00143BAE"/>
    <w:rsid w:val="00143BEA"/>
    <w:rsid w:val="00143C52"/>
    <w:rsid w:val="00143C5E"/>
    <w:rsid w:val="00143D50"/>
    <w:rsid w:val="00143DDB"/>
    <w:rsid w:val="00143E62"/>
    <w:rsid w:val="00143EFB"/>
    <w:rsid w:val="00143F67"/>
    <w:rsid w:val="00143FDE"/>
    <w:rsid w:val="00143FFF"/>
    <w:rsid w:val="0014407D"/>
    <w:rsid w:val="001440A0"/>
    <w:rsid w:val="001441C0"/>
    <w:rsid w:val="0014422C"/>
    <w:rsid w:val="00144296"/>
    <w:rsid w:val="001442EF"/>
    <w:rsid w:val="0014430F"/>
    <w:rsid w:val="00144392"/>
    <w:rsid w:val="0014446F"/>
    <w:rsid w:val="00144486"/>
    <w:rsid w:val="001444A2"/>
    <w:rsid w:val="00144500"/>
    <w:rsid w:val="00144599"/>
    <w:rsid w:val="001445AB"/>
    <w:rsid w:val="001445C4"/>
    <w:rsid w:val="00144677"/>
    <w:rsid w:val="00144730"/>
    <w:rsid w:val="0014482E"/>
    <w:rsid w:val="0014485D"/>
    <w:rsid w:val="00144943"/>
    <w:rsid w:val="001449E5"/>
    <w:rsid w:val="00144C16"/>
    <w:rsid w:val="00144C65"/>
    <w:rsid w:val="00144CA4"/>
    <w:rsid w:val="00144D03"/>
    <w:rsid w:val="00144D2F"/>
    <w:rsid w:val="00144DBC"/>
    <w:rsid w:val="00144DF8"/>
    <w:rsid w:val="00144E3A"/>
    <w:rsid w:val="00144E4E"/>
    <w:rsid w:val="00144E75"/>
    <w:rsid w:val="00144E87"/>
    <w:rsid w:val="00144EA8"/>
    <w:rsid w:val="00144EE1"/>
    <w:rsid w:val="00144F4C"/>
    <w:rsid w:val="00144F6A"/>
    <w:rsid w:val="001450AA"/>
    <w:rsid w:val="001450CB"/>
    <w:rsid w:val="0014521B"/>
    <w:rsid w:val="001452A7"/>
    <w:rsid w:val="001452D3"/>
    <w:rsid w:val="001454B1"/>
    <w:rsid w:val="001454BA"/>
    <w:rsid w:val="0014559D"/>
    <w:rsid w:val="001455C6"/>
    <w:rsid w:val="001456BA"/>
    <w:rsid w:val="00145714"/>
    <w:rsid w:val="001457FB"/>
    <w:rsid w:val="00145854"/>
    <w:rsid w:val="00145926"/>
    <w:rsid w:val="001459F3"/>
    <w:rsid w:val="00145BD0"/>
    <w:rsid w:val="00145C4B"/>
    <w:rsid w:val="00145D47"/>
    <w:rsid w:val="00145D96"/>
    <w:rsid w:val="00145F8E"/>
    <w:rsid w:val="00145FD7"/>
    <w:rsid w:val="00146000"/>
    <w:rsid w:val="0014602B"/>
    <w:rsid w:val="001461B4"/>
    <w:rsid w:val="001461D7"/>
    <w:rsid w:val="00146217"/>
    <w:rsid w:val="0014625E"/>
    <w:rsid w:val="00146351"/>
    <w:rsid w:val="00146381"/>
    <w:rsid w:val="001463A0"/>
    <w:rsid w:val="0014641F"/>
    <w:rsid w:val="00146432"/>
    <w:rsid w:val="00146478"/>
    <w:rsid w:val="0014647F"/>
    <w:rsid w:val="0014658A"/>
    <w:rsid w:val="001465DD"/>
    <w:rsid w:val="0014672A"/>
    <w:rsid w:val="001468AF"/>
    <w:rsid w:val="00146920"/>
    <w:rsid w:val="0014697C"/>
    <w:rsid w:val="00146987"/>
    <w:rsid w:val="00146A0E"/>
    <w:rsid w:val="00146A10"/>
    <w:rsid w:val="00146A3B"/>
    <w:rsid w:val="00146A78"/>
    <w:rsid w:val="00146A93"/>
    <w:rsid w:val="00146A9A"/>
    <w:rsid w:val="00146B38"/>
    <w:rsid w:val="00146BBB"/>
    <w:rsid w:val="00146C0E"/>
    <w:rsid w:val="00146D05"/>
    <w:rsid w:val="00146D90"/>
    <w:rsid w:val="00146D9B"/>
    <w:rsid w:val="00146E48"/>
    <w:rsid w:val="00146E6D"/>
    <w:rsid w:val="00146E80"/>
    <w:rsid w:val="00146F4C"/>
    <w:rsid w:val="00146F93"/>
    <w:rsid w:val="00146FC1"/>
    <w:rsid w:val="00147018"/>
    <w:rsid w:val="00147028"/>
    <w:rsid w:val="0014702F"/>
    <w:rsid w:val="001470E4"/>
    <w:rsid w:val="0014717D"/>
    <w:rsid w:val="0014732D"/>
    <w:rsid w:val="001474B6"/>
    <w:rsid w:val="001474BD"/>
    <w:rsid w:val="001474D0"/>
    <w:rsid w:val="00147552"/>
    <w:rsid w:val="001475E7"/>
    <w:rsid w:val="0014763C"/>
    <w:rsid w:val="001476B5"/>
    <w:rsid w:val="001476E2"/>
    <w:rsid w:val="001477D5"/>
    <w:rsid w:val="0014780A"/>
    <w:rsid w:val="00147874"/>
    <w:rsid w:val="001478B1"/>
    <w:rsid w:val="001479E8"/>
    <w:rsid w:val="00147A18"/>
    <w:rsid w:val="00147AEC"/>
    <w:rsid w:val="00147B1C"/>
    <w:rsid w:val="00147B5A"/>
    <w:rsid w:val="00147CB3"/>
    <w:rsid w:val="00147D03"/>
    <w:rsid w:val="00147D17"/>
    <w:rsid w:val="00147D30"/>
    <w:rsid w:val="00147D58"/>
    <w:rsid w:val="00147DE8"/>
    <w:rsid w:val="00147E2C"/>
    <w:rsid w:val="00147F0E"/>
    <w:rsid w:val="00147F8C"/>
    <w:rsid w:val="00147FC7"/>
    <w:rsid w:val="00147FD4"/>
    <w:rsid w:val="00150073"/>
    <w:rsid w:val="00150085"/>
    <w:rsid w:val="001500B6"/>
    <w:rsid w:val="00150138"/>
    <w:rsid w:val="00150196"/>
    <w:rsid w:val="00150304"/>
    <w:rsid w:val="00150334"/>
    <w:rsid w:val="0015035D"/>
    <w:rsid w:val="00150446"/>
    <w:rsid w:val="00150453"/>
    <w:rsid w:val="001504C7"/>
    <w:rsid w:val="001504EE"/>
    <w:rsid w:val="001505EA"/>
    <w:rsid w:val="0015066B"/>
    <w:rsid w:val="0015073F"/>
    <w:rsid w:val="001507A4"/>
    <w:rsid w:val="0015080C"/>
    <w:rsid w:val="0015085C"/>
    <w:rsid w:val="001508E9"/>
    <w:rsid w:val="0015091D"/>
    <w:rsid w:val="00150953"/>
    <w:rsid w:val="00150A02"/>
    <w:rsid w:val="00150A43"/>
    <w:rsid w:val="00150B2E"/>
    <w:rsid w:val="00150BEA"/>
    <w:rsid w:val="00150D8A"/>
    <w:rsid w:val="00150DE1"/>
    <w:rsid w:val="00150F33"/>
    <w:rsid w:val="00150F3D"/>
    <w:rsid w:val="00150F70"/>
    <w:rsid w:val="0015104F"/>
    <w:rsid w:val="00151162"/>
    <w:rsid w:val="001511CA"/>
    <w:rsid w:val="00151295"/>
    <w:rsid w:val="001512BB"/>
    <w:rsid w:val="001512CD"/>
    <w:rsid w:val="0015134C"/>
    <w:rsid w:val="001513AA"/>
    <w:rsid w:val="001513D0"/>
    <w:rsid w:val="00151421"/>
    <w:rsid w:val="0015149C"/>
    <w:rsid w:val="001514A3"/>
    <w:rsid w:val="0015167B"/>
    <w:rsid w:val="001516B0"/>
    <w:rsid w:val="001516F1"/>
    <w:rsid w:val="00151777"/>
    <w:rsid w:val="0015179F"/>
    <w:rsid w:val="0015189D"/>
    <w:rsid w:val="001518CF"/>
    <w:rsid w:val="00151AAF"/>
    <w:rsid w:val="00151AD3"/>
    <w:rsid w:val="00151AD5"/>
    <w:rsid w:val="00151B2C"/>
    <w:rsid w:val="00151B45"/>
    <w:rsid w:val="00151D72"/>
    <w:rsid w:val="00151D82"/>
    <w:rsid w:val="00151DFE"/>
    <w:rsid w:val="00151E0B"/>
    <w:rsid w:val="00151E89"/>
    <w:rsid w:val="00151F23"/>
    <w:rsid w:val="00151F73"/>
    <w:rsid w:val="0015206B"/>
    <w:rsid w:val="001520F2"/>
    <w:rsid w:val="001520F7"/>
    <w:rsid w:val="00152123"/>
    <w:rsid w:val="0015215D"/>
    <w:rsid w:val="00152199"/>
    <w:rsid w:val="0015219E"/>
    <w:rsid w:val="001521C7"/>
    <w:rsid w:val="0015234E"/>
    <w:rsid w:val="0015236E"/>
    <w:rsid w:val="0015238B"/>
    <w:rsid w:val="001523C4"/>
    <w:rsid w:val="00152498"/>
    <w:rsid w:val="001524AA"/>
    <w:rsid w:val="00152565"/>
    <w:rsid w:val="0015258C"/>
    <w:rsid w:val="001525A5"/>
    <w:rsid w:val="00152623"/>
    <w:rsid w:val="001526AE"/>
    <w:rsid w:val="00152706"/>
    <w:rsid w:val="00152762"/>
    <w:rsid w:val="00152794"/>
    <w:rsid w:val="001527A7"/>
    <w:rsid w:val="001528D5"/>
    <w:rsid w:val="00152906"/>
    <w:rsid w:val="00152926"/>
    <w:rsid w:val="0015295E"/>
    <w:rsid w:val="0015299E"/>
    <w:rsid w:val="001529D8"/>
    <w:rsid w:val="00152A44"/>
    <w:rsid w:val="00152AA7"/>
    <w:rsid w:val="00152C02"/>
    <w:rsid w:val="00152C9F"/>
    <w:rsid w:val="00152D64"/>
    <w:rsid w:val="00152DF2"/>
    <w:rsid w:val="00152E43"/>
    <w:rsid w:val="00152E54"/>
    <w:rsid w:val="00152EB1"/>
    <w:rsid w:val="00152EB2"/>
    <w:rsid w:val="00152F0C"/>
    <w:rsid w:val="00152F17"/>
    <w:rsid w:val="0015308B"/>
    <w:rsid w:val="0015309E"/>
    <w:rsid w:val="00153121"/>
    <w:rsid w:val="00153248"/>
    <w:rsid w:val="001532CA"/>
    <w:rsid w:val="001532DA"/>
    <w:rsid w:val="00153308"/>
    <w:rsid w:val="001533D6"/>
    <w:rsid w:val="0015348E"/>
    <w:rsid w:val="00153538"/>
    <w:rsid w:val="0015357C"/>
    <w:rsid w:val="001535A0"/>
    <w:rsid w:val="00153626"/>
    <w:rsid w:val="00153657"/>
    <w:rsid w:val="0015366C"/>
    <w:rsid w:val="00153694"/>
    <w:rsid w:val="0015377D"/>
    <w:rsid w:val="001537BD"/>
    <w:rsid w:val="00153860"/>
    <w:rsid w:val="00153959"/>
    <w:rsid w:val="001539AA"/>
    <w:rsid w:val="00153B21"/>
    <w:rsid w:val="00153B3F"/>
    <w:rsid w:val="00153B7E"/>
    <w:rsid w:val="00153BC2"/>
    <w:rsid w:val="00153CDE"/>
    <w:rsid w:val="00153D73"/>
    <w:rsid w:val="00153DA6"/>
    <w:rsid w:val="00153DBF"/>
    <w:rsid w:val="00153DC0"/>
    <w:rsid w:val="00153F4E"/>
    <w:rsid w:val="00153FD3"/>
    <w:rsid w:val="0015404D"/>
    <w:rsid w:val="00154081"/>
    <w:rsid w:val="001540BD"/>
    <w:rsid w:val="001540C7"/>
    <w:rsid w:val="001540CB"/>
    <w:rsid w:val="00154121"/>
    <w:rsid w:val="00154167"/>
    <w:rsid w:val="00154272"/>
    <w:rsid w:val="00154275"/>
    <w:rsid w:val="00154405"/>
    <w:rsid w:val="00154444"/>
    <w:rsid w:val="0015445B"/>
    <w:rsid w:val="00154552"/>
    <w:rsid w:val="0015462D"/>
    <w:rsid w:val="001546A2"/>
    <w:rsid w:val="00154884"/>
    <w:rsid w:val="001548FE"/>
    <w:rsid w:val="00154960"/>
    <w:rsid w:val="001549E5"/>
    <w:rsid w:val="00154A11"/>
    <w:rsid w:val="00154A43"/>
    <w:rsid w:val="00154B1C"/>
    <w:rsid w:val="00154C0D"/>
    <w:rsid w:val="00154C92"/>
    <w:rsid w:val="00154C93"/>
    <w:rsid w:val="00154DAA"/>
    <w:rsid w:val="00154E11"/>
    <w:rsid w:val="00154E9A"/>
    <w:rsid w:val="00154EF2"/>
    <w:rsid w:val="00154F4C"/>
    <w:rsid w:val="0015500C"/>
    <w:rsid w:val="0015500D"/>
    <w:rsid w:val="00155055"/>
    <w:rsid w:val="0015509A"/>
    <w:rsid w:val="00155107"/>
    <w:rsid w:val="00155177"/>
    <w:rsid w:val="001551C4"/>
    <w:rsid w:val="0015526E"/>
    <w:rsid w:val="001552C1"/>
    <w:rsid w:val="001552FB"/>
    <w:rsid w:val="0015530E"/>
    <w:rsid w:val="001554D4"/>
    <w:rsid w:val="0015555F"/>
    <w:rsid w:val="00155578"/>
    <w:rsid w:val="00155636"/>
    <w:rsid w:val="00155723"/>
    <w:rsid w:val="0015577C"/>
    <w:rsid w:val="001557E3"/>
    <w:rsid w:val="00155A75"/>
    <w:rsid w:val="00155A83"/>
    <w:rsid w:val="00155E13"/>
    <w:rsid w:val="00155F61"/>
    <w:rsid w:val="00155F98"/>
    <w:rsid w:val="00155FD5"/>
    <w:rsid w:val="0015601B"/>
    <w:rsid w:val="001560E8"/>
    <w:rsid w:val="001560E9"/>
    <w:rsid w:val="0015617B"/>
    <w:rsid w:val="00156196"/>
    <w:rsid w:val="001561D6"/>
    <w:rsid w:val="001562B3"/>
    <w:rsid w:val="00156333"/>
    <w:rsid w:val="00156353"/>
    <w:rsid w:val="001563B8"/>
    <w:rsid w:val="001563E4"/>
    <w:rsid w:val="001563F7"/>
    <w:rsid w:val="0015655E"/>
    <w:rsid w:val="001565F5"/>
    <w:rsid w:val="001565F8"/>
    <w:rsid w:val="001567B1"/>
    <w:rsid w:val="001567CF"/>
    <w:rsid w:val="001567D6"/>
    <w:rsid w:val="00156807"/>
    <w:rsid w:val="0015684C"/>
    <w:rsid w:val="00156897"/>
    <w:rsid w:val="001568CB"/>
    <w:rsid w:val="00156927"/>
    <w:rsid w:val="0015693E"/>
    <w:rsid w:val="00156A2F"/>
    <w:rsid w:val="00156AC2"/>
    <w:rsid w:val="00156B55"/>
    <w:rsid w:val="00156BA8"/>
    <w:rsid w:val="00156BB8"/>
    <w:rsid w:val="00156CC0"/>
    <w:rsid w:val="00156D0B"/>
    <w:rsid w:val="00156D41"/>
    <w:rsid w:val="00156D94"/>
    <w:rsid w:val="00156DE3"/>
    <w:rsid w:val="00156E47"/>
    <w:rsid w:val="00156E78"/>
    <w:rsid w:val="00156F05"/>
    <w:rsid w:val="00156F08"/>
    <w:rsid w:val="00157069"/>
    <w:rsid w:val="00157123"/>
    <w:rsid w:val="001572C2"/>
    <w:rsid w:val="001572E3"/>
    <w:rsid w:val="00157392"/>
    <w:rsid w:val="001573B0"/>
    <w:rsid w:val="001573E1"/>
    <w:rsid w:val="001573FE"/>
    <w:rsid w:val="00157421"/>
    <w:rsid w:val="0015744B"/>
    <w:rsid w:val="0015745E"/>
    <w:rsid w:val="001574D5"/>
    <w:rsid w:val="001574ED"/>
    <w:rsid w:val="00157596"/>
    <w:rsid w:val="00157632"/>
    <w:rsid w:val="001576CF"/>
    <w:rsid w:val="0015776C"/>
    <w:rsid w:val="00157779"/>
    <w:rsid w:val="0015777F"/>
    <w:rsid w:val="001577BA"/>
    <w:rsid w:val="00157869"/>
    <w:rsid w:val="0015787E"/>
    <w:rsid w:val="001578B9"/>
    <w:rsid w:val="0015790D"/>
    <w:rsid w:val="00157948"/>
    <w:rsid w:val="001579F8"/>
    <w:rsid w:val="00157A3B"/>
    <w:rsid w:val="00157A7A"/>
    <w:rsid w:val="00157AE5"/>
    <w:rsid w:val="00157B0B"/>
    <w:rsid w:val="00157B56"/>
    <w:rsid w:val="00157B8B"/>
    <w:rsid w:val="00157BA2"/>
    <w:rsid w:val="00157BD6"/>
    <w:rsid w:val="00157CD5"/>
    <w:rsid w:val="00157CFC"/>
    <w:rsid w:val="00157D94"/>
    <w:rsid w:val="00157DE1"/>
    <w:rsid w:val="00157DF6"/>
    <w:rsid w:val="00157E38"/>
    <w:rsid w:val="00157E84"/>
    <w:rsid w:val="0016000C"/>
    <w:rsid w:val="00160014"/>
    <w:rsid w:val="00160018"/>
    <w:rsid w:val="001600D5"/>
    <w:rsid w:val="0016014F"/>
    <w:rsid w:val="00160163"/>
    <w:rsid w:val="001601A0"/>
    <w:rsid w:val="001601A5"/>
    <w:rsid w:val="001601DE"/>
    <w:rsid w:val="001602C5"/>
    <w:rsid w:val="001603A7"/>
    <w:rsid w:val="00160429"/>
    <w:rsid w:val="00160526"/>
    <w:rsid w:val="00160544"/>
    <w:rsid w:val="001605DB"/>
    <w:rsid w:val="001606AC"/>
    <w:rsid w:val="001606C9"/>
    <w:rsid w:val="001607BA"/>
    <w:rsid w:val="001607EB"/>
    <w:rsid w:val="00160814"/>
    <w:rsid w:val="0016085E"/>
    <w:rsid w:val="00160897"/>
    <w:rsid w:val="00160993"/>
    <w:rsid w:val="001609B0"/>
    <w:rsid w:val="00160A8B"/>
    <w:rsid w:val="00160AF6"/>
    <w:rsid w:val="00160BD5"/>
    <w:rsid w:val="00160CD1"/>
    <w:rsid w:val="00160CF9"/>
    <w:rsid w:val="00160D75"/>
    <w:rsid w:val="00160DA6"/>
    <w:rsid w:val="00160E5B"/>
    <w:rsid w:val="00160E67"/>
    <w:rsid w:val="00160E89"/>
    <w:rsid w:val="00160E92"/>
    <w:rsid w:val="00160ED2"/>
    <w:rsid w:val="00160FD3"/>
    <w:rsid w:val="00160FF9"/>
    <w:rsid w:val="00161081"/>
    <w:rsid w:val="001611B7"/>
    <w:rsid w:val="001611BC"/>
    <w:rsid w:val="001612D4"/>
    <w:rsid w:val="00161362"/>
    <w:rsid w:val="00161397"/>
    <w:rsid w:val="001613D3"/>
    <w:rsid w:val="0016146F"/>
    <w:rsid w:val="0016149A"/>
    <w:rsid w:val="001614FF"/>
    <w:rsid w:val="0016156B"/>
    <w:rsid w:val="00161599"/>
    <w:rsid w:val="001615BC"/>
    <w:rsid w:val="001615D7"/>
    <w:rsid w:val="00161622"/>
    <w:rsid w:val="001616E7"/>
    <w:rsid w:val="0016170A"/>
    <w:rsid w:val="001617EC"/>
    <w:rsid w:val="001617FF"/>
    <w:rsid w:val="00161801"/>
    <w:rsid w:val="00161815"/>
    <w:rsid w:val="00161863"/>
    <w:rsid w:val="00161866"/>
    <w:rsid w:val="001618C8"/>
    <w:rsid w:val="001618D7"/>
    <w:rsid w:val="0016192E"/>
    <w:rsid w:val="00161979"/>
    <w:rsid w:val="00161A53"/>
    <w:rsid w:val="00161A66"/>
    <w:rsid w:val="00161A94"/>
    <w:rsid w:val="00161B02"/>
    <w:rsid w:val="00161BD5"/>
    <w:rsid w:val="00161C52"/>
    <w:rsid w:val="00161CEB"/>
    <w:rsid w:val="00161D22"/>
    <w:rsid w:val="00161D37"/>
    <w:rsid w:val="00161D77"/>
    <w:rsid w:val="00161D85"/>
    <w:rsid w:val="00161E88"/>
    <w:rsid w:val="00161FCF"/>
    <w:rsid w:val="0016202A"/>
    <w:rsid w:val="0016207F"/>
    <w:rsid w:val="00162085"/>
    <w:rsid w:val="00162091"/>
    <w:rsid w:val="001620AC"/>
    <w:rsid w:val="001620CB"/>
    <w:rsid w:val="00162114"/>
    <w:rsid w:val="00162116"/>
    <w:rsid w:val="001621A3"/>
    <w:rsid w:val="001621CC"/>
    <w:rsid w:val="001622E3"/>
    <w:rsid w:val="0016236E"/>
    <w:rsid w:val="0016238A"/>
    <w:rsid w:val="00162472"/>
    <w:rsid w:val="001624B7"/>
    <w:rsid w:val="001624D5"/>
    <w:rsid w:val="001624F2"/>
    <w:rsid w:val="00162544"/>
    <w:rsid w:val="001625B7"/>
    <w:rsid w:val="00162772"/>
    <w:rsid w:val="0016279F"/>
    <w:rsid w:val="001627FB"/>
    <w:rsid w:val="001628D1"/>
    <w:rsid w:val="001628DF"/>
    <w:rsid w:val="00162B2D"/>
    <w:rsid w:val="00162B4C"/>
    <w:rsid w:val="00162BBD"/>
    <w:rsid w:val="00162C0A"/>
    <w:rsid w:val="00162C22"/>
    <w:rsid w:val="00162CB5"/>
    <w:rsid w:val="00162D79"/>
    <w:rsid w:val="00162EE4"/>
    <w:rsid w:val="00162F79"/>
    <w:rsid w:val="00162FE8"/>
    <w:rsid w:val="00162FEB"/>
    <w:rsid w:val="001631A6"/>
    <w:rsid w:val="001631CF"/>
    <w:rsid w:val="00163255"/>
    <w:rsid w:val="0016329F"/>
    <w:rsid w:val="001632E6"/>
    <w:rsid w:val="00163383"/>
    <w:rsid w:val="00163389"/>
    <w:rsid w:val="001633E1"/>
    <w:rsid w:val="00163480"/>
    <w:rsid w:val="0016355A"/>
    <w:rsid w:val="00163604"/>
    <w:rsid w:val="00163636"/>
    <w:rsid w:val="0016373A"/>
    <w:rsid w:val="001637AD"/>
    <w:rsid w:val="0016380E"/>
    <w:rsid w:val="0016385F"/>
    <w:rsid w:val="00163860"/>
    <w:rsid w:val="001638A6"/>
    <w:rsid w:val="001638BF"/>
    <w:rsid w:val="001638DA"/>
    <w:rsid w:val="00163945"/>
    <w:rsid w:val="001639CA"/>
    <w:rsid w:val="001639F0"/>
    <w:rsid w:val="00163B6C"/>
    <w:rsid w:val="00163BE8"/>
    <w:rsid w:val="00163C7B"/>
    <w:rsid w:val="00163CD5"/>
    <w:rsid w:val="00163DB1"/>
    <w:rsid w:val="00163E70"/>
    <w:rsid w:val="00163FEF"/>
    <w:rsid w:val="0016413E"/>
    <w:rsid w:val="001641BD"/>
    <w:rsid w:val="001641D8"/>
    <w:rsid w:val="001642CC"/>
    <w:rsid w:val="001642CF"/>
    <w:rsid w:val="001643C7"/>
    <w:rsid w:val="0016440A"/>
    <w:rsid w:val="001645FE"/>
    <w:rsid w:val="0016460B"/>
    <w:rsid w:val="00164739"/>
    <w:rsid w:val="0016477C"/>
    <w:rsid w:val="00164782"/>
    <w:rsid w:val="00164793"/>
    <w:rsid w:val="00164829"/>
    <w:rsid w:val="0016489E"/>
    <w:rsid w:val="0016497E"/>
    <w:rsid w:val="001649D5"/>
    <w:rsid w:val="00164A58"/>
    <w:rsid w:val="00164B53"/>
    <w:rsid w:val="00164BA2"/>
    <w:rsid w:val="00164C11"/>
    <w:rsid w:val="00164C13"/>
    <w:rsid w:val="00164C53"/>
    <w:rsid w:val="00164CA9"/>
    <w:rsid w:val="00164CE7"/>
    <w:rsid w:val="00164D07"/>
    <w:rsid w:val="00164D23"/>
    <w:rsid w:val="00164D5B"/>
    <w:rsid w:val="00164D74"/>
    <w:rsid w:val="00164DA5"/>
    <w:rsid w:val="00164DD0"/>
    <w:rsid w:val="00164F0B"/>
    <w:rsid w:val="00164F96"/>
    <w:rsid w:val="0016501A"/>
    <w:rsid w:val="0016507C"/>
    <w:rsid w:val="001650EF"/>
    <w:rsid w:val="00165131"/>
    <w:rsid w:val="00165192"/>
    <w:rsid w:val="001651F1"/>
    <w:rsid w:val="0016524E"/>
    <w:rsid w:val="00165259"/>
    <w:rsid w:val="001652B3"/>
    <w:rsid w:val="001654AA"/>
    <w:rsid w:val="001654BB"/>
    <w:rsid w:val="0016550E"/>
    <w:rsid w:val="00165590"/>
    <w:rsid w:val="001655CE"/>
    <w:rsid w:val="0016563E"/>
    <w:rsid w:val="001656D7"/>
    <w:rsid w:val="001656F2"/>
    <w:rsid w:val="00165720"/>
    <w:rsid w:val="00165721"/>
    <w:rsid w:val="0016578B"/>
    <w:rsid w:val="001657C3"/>
    <w:rsid w:val="0016591C"/>
    <w:rsid w:val="00165992"/>
    <w:rsid w:val="00165A1B"/>
    <w:rsid w:val="00165A82"/>
    <w:rsid w:val="00165AD4"/>
    <w:rsid w:val="00165AF9"/>
    <w:rsid w:val="00165C3C"/>
    <w:rsid w:val="00165C96"/>
    <w:rsid w:val="00165CAA"/>
    <w:rsid w:val="00165CDB"/>
    <w:rsid w:val="00165D7E"/>
    <w:rsid w:val="00165D89"/>
    <w:rsid w:val="00165E1B"/>
    <w:rsid w:val="00165E34"/>
    <w:rsid w:val="00165EAA"/>
    <w:rsid w:val="00165EBB"/>
    <w:rsid w:val="00165EC3"/>
    <w:rsid w:val="00165F28"/>
    <w:rsid w:val="00165F89"/>
    <w:rsid w:val="00165FD5"/>
    <w:rsid w:val="00166030"/>
    <w:rsid w:val="00166056"/>
    <w:rsid w:val="0016608E"/>
    <w:rsid w:val="001661DC"/>
    <w:rsid w:val="0016625A"/>
    <w:rsid w:val="00166318"/>
    <w:rsid w:val="00166359"/>
    <w:rsid w:val="00166365"/>
    <w:rsid w:val="0016640C"/>
    <w:rsid w:val="001665B4"/>
    <w:rsid w:val="00166709"/>
    <w:rsid w:val="00166715"/>
    <w:rsid w:val="00166772"/>
    <w:rsid w:val="001667B0"/>
    <w:rsid w:val="001667F1"/>
    <w:rsid w:val="001668AC"/>
    <w:rsid w:val="001668D1"/>
    <w:rsid w:val="001668EC"/>
    <w:rsid w:val="00166914"/>
    <w:rsid w:val="0016693B"/>
    <w:rsid w:val="0016693E"/>
    <w:rsid w:val="00166961"/>
    <w:rsid w:val="001669A7"/>
    <w:rsid w:val="00166A23"/>
    <w:rsid w:val="00166B26"/>
    <w:rsid w:val="00166BCD"/>
    <w:rsid w:val="00166D1A"/>
    <w:rsid w:val="00166DF5"/>
    <w:rsid w:val="00166EDE"/>
    <w:rsid w:val="00166F24"/>
    <w:rsid w:val="00167153"/>
    <w:rsid w:val="00167158"/>
    <w:rsid w:val="001671CE"/>
    <w:rsid w:val="00167242"/>
    <w:rsid w:val="001672C1"/>
    <w:rsid w:val="0016741F"/>
    <w:rsid w:val="00167437"/>
    <w:rsid w:val="0016743F"/>
    <w:rsid w:val="00167454"/>
    <w:rsid w:val="00167587"/>
    <w:rsid w:val="0016758F"/>
    <w:rsid w:val="0016768E"/>
    <w:rsid w:val="00167748"/>
    <w:rsid w:val="00167758"/>
    <w:rsid w:val="0016775F"/>
    <w:rsid w:val="0016778E"/>
    <w:rsid w:val="00167793"/>
    <w:rsid w:val="001677B4"/>
    <w:rsid w:val="00167972"/>
    <w:rsid w:val="001679A5"/>
    <w:rsid w:val="001679B0"/>
    <w:rsid w:val="00167A63"/>
    <w:rsid w:val="00167AAA"/>
    <w:rsid w:val="00167ACB"/>
    <w:rsid w:val="00167B18"/>
    <w:rsid w:val="00167B41"/>
    <w:rsid w:val="00167B62"/>
    <w:rsid w:val="00167BD2"/>
    <w:rsid w:val="00167C5E"/>
    <w:rsid w:val="00167D3E"/>
    <w:rsid w:val="00167D7B"/>
    <w:rsid w:val="00167E0D"/>
    <w:rsid w:val="00167E37"/>
    <w:rsid w:val="00167ECB"/>
    <w:rsid w:val="00167ED4"/>
    <w:rsid w:val="00167EE4"/>
    <w:rsid w:val="00167F14"/>
    <w:rsid w:val="00167F55"/>
    <w:rsid w:val="00167FBB"/>
    <w:rsid w:val="0017008C"/>
    <w:rsid w:val="001700EF"/>
    <w:rsid w:val="0017011C"/>
    <w:rsid w:val="0017014E"/>
    <w:rsid w:val="001701F6"/>
    <w:rsid w:val="0017020F"/>
    <w:rsid w:val="0017022B"/>
    <w:rsid w:val="00170356"/>
    <w:rsid w:val="001703C9"/>
    <w:rsid w:val="0017041D"/>
    <w:rsid w:val="00170470"/>
    <w:rsid w:val="00170591"/>
    <w:rsid w:val="001705C4"/>
    <w:rsid w:val="0017061E"/>
    <w:rsid w:val="00170653"/>
    <w:rsid w:val="001706D8"/>
    <w:rsid w:val="001706DE"/>
    <w:rsid w:val="0017077F"/>
    <w:rsid w:val="001707DC"/>
    <w:rsid w:val="0017082E"/>
    <w:rsid w:val="00170952"/>
    <w:rsid w:val="0017099F"/>
    <w:rsid w:val="00170A3B"/>
    <w:rsid w:val="00170AC8"/>
    <w:rsid w:val="00170B16"/>
    <w:rsid w:val="00170B2E"/>
    <w:rsid w:val="00170B88"/>
    <w:rsid w:val="00170B9B"/>
    <w:rsid w:val="00170C94"/>
    <w:rsid w:val="00170CDD"/>
    <w:rsid w:val="00170DAB"/>
    <w:rsid w:val="00170DB9"/>
    <w:rsid w:val="00170DEC"/>
    <w:rsid w:val="00170EA7"/>
    <w:rsid w:val="00170EFF"/>
    <w:rsid w:val="00170F97"/>
    <w:rsid w:val="00170FB2"/>
    <w:rsid w:val="00170FEC"/>
    <w:rsid w:val="0017106A"/>
    <w:rsid w:val="001710B4"/>
    <w:rsid w:val="001710D9"/>
    <w:rsid w:val="0017114B"/>
    <w:rsid w:val="0017122E"/>
    <w:rsid w:val="00171234"/>
    <w:rsid w:val="00171277"/>
    <w:rsid w:val="00171302"/>
    <w:rsid w:val="00171334"/>
    <w:rsid w:val="0017133A"/>
    <w:rsid w:val="00171340"/>
    <w:rsid w:val="001713A0"/>
    <w:rsid w:val="00171408"/>
    <w:rsid w:val="00171450"/>
    <w:rsid w:val="001714A3"/>
    <w:rsid w:val="0017153B"/>
    <w:rsid w:val="001715E8"/>
    <w:rsid w:val="0017170B"/>
    <w:rsid w:val="001717A3"/>
    <w:rsid w:val="001717F5"/>
    <w:rsid w:val="00171893"/>
    <w:rsid w:val="001719AF"/>
    <w:rsid w:val="001719F0"/>
    <w:rsid w:val="00171A3F"/>
    <w:rsid w:val="00171AC8"/>
    <w:rsid w:val="00171ACA"/>
    <w:rsid w:val="00171C09"/>
    <w:rsid w:val="00171C21"/>
    <w:rsid w:val="00171C3F"/>
    <w:rsid w:val="00171EAA"/>
    <w:rsid w:val="00171ECF"/>
    <w:rsid w:val="00171F2D"/>
    <w:rsid w:val="00172067"/>
    <w:rsid w:val="001720E2"/>
    <w:rsid w:val="0017210C"/>
    <w:rsid w:val="00172129"/>
    <w:rsid w:val="001721F1"/>
    <w:rsid w:val="0017220D"/>
    <w:rsid w:val="0017221B"/>
    <w:rsid w:val="001722EA"/>
    <w:rsid w:val="00172378"/>
    <w:rsid w:val="0017238B"/>
    <w:rsid w:val="00172394"/>
    <w:rsid w:val="001723DD"/>
    <w:rsid w:val="001723F6"/>
    <w:rsid w:val="00172485"/>
    <w:rsid w:val="00172498"/>
    <w:rsid w:val="001724D1"/>
    <w:rsid w:val="00172507"/>
    <w:rsid w:val="001725ED"/>
    <w:rsid w:val="0017263A"/>
    <w:rsid w:val="00172673"/>
    <w:rsid w:val="00172767"/>
    <w:rsid w:val="001727B2"/>
    <w:rsid w:val="001727FD"/>
    <w:rsid w:val="00172892"/>
    <w:rsid w:val="00172917"/>
    <w:rsid w:val="001729B0"/>
    <w:rsid w:val="00172A28"/>
    <w:rsid w:val="00172AB4"/>
    <w:rsid w:val="00172AE3"/>
    <w:rsid w:val="00172AF9"/>
    <w:rsid w:val="00172B09"/>
    <w:rsid w:val="00172BE1"/>
    <w:rsid w:val="00172BF9"/>
    <w:rsid w:val="00172C01"/>
    <w:rsid w:val="00172DC4"/>
    <w:rsid w:val="00172E31"/>
    <w:rsid w:val="00172EB3"/>
    <w:rsid w:val="00172F2B"/>
    <w:rsid w:val="00172F65"/>
    <w:rsid w:val="00172F96"/>
    <w:rsid w:val="00172FC4"/>
    <w:rsid w:val="00172FD6"/>
    <w:rsid w:val="00173088"/>
    <w:rsid w:val="00173201"/>
    <w:rsid w:val="00173234"/>
    <w:rsid w:val="001732A3"/>
    <w:rsid w:val="0017330E"/>
    <w:rsid w:val="00173331"/>
    <w:rsid w:val="00173379"/>
    <w:rsid w:val="00173399"/>
    <w:rsid w:val="00173459"/>
    <w:rsid w:val="001734D2"/>
    <w:rsid w:val="00173660"/>
    <w:rsid w:val="001736E6"/>
    <w:rsid w:val="00173A60"/>
    <w:rsid w:val="00173A6A"/>
    <w:rsid w:val="00173A88"/>
    <w:rsid w:val="00173B0D"/>
    <w:rsid w:val="00173B26"/>
    <w:rsid w:val="00173B41"/>
    <w:rsid w:val="00173B8E"/>
    <w:rsid w:val="00173BC6"/>
    <w:rsid w:val="00173C09"/>
    <w:rsid w:val="00173CB1"/>
    <w:rsid w:val="00173D6A"/>
    <w:rsid w:val="00173DB7"/>
    <w:rsid w:val="00173DCD"/>
    <w:rsid w:val="00173E7B"/>
    <w:rsid w:val="00173F76"/>
    <w:rsid w:val="00173FC8"/>
    <w:rsid w:val="00174042"/>
    <w:rsid w:val="00174072"/>
    <w:rsid w:val="0017407F"/>
    <w:rsid w:val="00174213"/>
    <w:rsid w:val="0017426A"/>
    <w:rsid w:val="00174271"/>
    <w:rsid w:val="0017445F"/>
    <w:rsid w:val="0017447A"/>
    <w:rsid w:val="00174521"/>
    <w:rsid w:val="00174561"/>
    <w:rsid w:val="00174572"/>
    <w:rsid w:val="00174681"/>
    <w:rsid w:val="001746A7"/>
    <w:rsid w:val="00174726"/>
    <w:rsid w:val="00174777"/>
    <w:rsid w:val="001747B3"/>
    <w:rsid w:val="0017483C"/>
    <w:rsid w:val="0017485A"/>
    <w:rsid w:val="0017485B"/>
    <w:rsid w:val="001748ED"/>
    <w:rsid w:val="00174906"/>
    <w:rsid w:val="00174912"/>
    <w:rsid w:val="00174A0A"/>
    <w:rsid w:val="00174A61"/>
    <w:rsid w:val="00174A8C"/>
    <w:rsid w:val="00174AB3"/>
    <w:rsid w:val="00174ADC"/>
    <w:rsid w:val="00174BBE"/>
    <w:rsid w:val="00174BC3"/>
    <w:rsid w:val="00174C04"/>
    <w:rsid w:val="00174CB0"/>
    <w:rsid w:val="00174CFA"/>
    <w:rsid w:val="00174D5C"/>
    <w:rsid w:val="00174E3A"/>
    <w:rsid w:val="0017505E"/>
    <w:rsid w:val="00175098"/>
    <w:rsid w:val="001750D9"/>
    <w:rsid w:val="00175184"/>
    <w:rsid w:val="001751B8"/>
    <w:rsid w:val="001752B3"/>
    <w:rsid w:val="001752D3"/>
    <w:rsid w:val="00175316"/>
    <w:rsid w:val="0017539A"/>
    <w:rsid w:val="001753B3"/>
    <w:rsid w:val="001753B5"/>
    <w:rsid w:val="00175566"/>
    <w:rsid w:val="0017557D"/>
    <w:rsid w:val="00175593"/>
    <w:rsid w:val="001756E5"/>
    <w:rsid w:val="00175768"/>
    <w:rsid w:val="00175773"/>
    <w:rsid w:val="001757B6"/>
    <w:rsid w:val="00175803"/>
    <w:rsid w:val="00175905"/>
    <w:rsid w:val="0017590B"/>
    <w:rsid w:val="00175920"/>
    <w:rsid w:val="00175962"/>
    <w:rsid w:val="00175968"/>
    <w:rsid w:val="001759A9"/>
    <w:rsid w:val="001759B8"/>
    <w:rsid w:val="00175A74"/>
    <w:rsid w:val="00175AAB"/>
    <w:rsid w:val="00175B1E"/>
    <w:rsid w:val="00175C28"/>
    <w:rsid w:val="00175CA5"/>
    <w:rsid w:val="00175D3E"/>
    <w:rsid w:val="00175DB9"/>
    <w:rsid w:val="00175E02"/>
    <w:rsid w:val="00175ECB"/>
    <w:rsid w:val="00175F8B"/>
    <w:rsid w:val="00175F99"/>
    <w:rsid w:val="00175FDC"/>
    <w:rsid w:val="00175FEA"/>
    <w:rsid w:val="00176000"/>
    <w:rsid w:val="00176008"/>
    <w:rsid w:val="00176029"/>
    <w:rsid w:val="0017627C"/>
    <w:rsid w:val="00176321"/>
    <w:rsid w:val="00176383"/>
    <w:rsid w:val="001763EE"/>
    <w:rsid w:val="00176463"/>
    <w:rsid w:val="00176482"/>
    <w:rsid w:val="0017649B"/>
    <w:rsid w:val="0017653C"/>
    <w:rsid w:val="001765CF"/>
    <w:rsid w:val="00176615"/>
    <w:rsid w:val="00176679"/>
    <w:rsid w:val="0017667D"/>
    <w:rsid w:val="001766C7"/>
    <w:rsid w:val="0017675B"/>
    <w:rsid w:val="00176911"/>
    <w:rsid w:val="00176A27"/>
    <w:rsid w:val="00176AAE"/>
    <w:rsid w:val="00176B17"/>
    <w:rsid w:val="00176B33"/>
    <w:rsid w:val="00176B62"/>
    <w:rsid w:val="00176B81"/>
    <w:rsid w:val="00176BAC"/>
    <w:rsid w:val="00176C09"/>
    <w:rsid w:val="00176C33"/>
    <w:rsid w:val="00176CA4"/>
    <w:rsid w:val="00176D01"/>
    <w:rsid w:val="00176DB1"/>
    <w:rsid w:val="00176F51"/>
    <w:rsid w:val="00176FA4"/>
    <w:rsid w:val="00176FC8"/>
    <w:rsid w:val="00176FDA"/>
    <w:rsid w:val="00176FF7"/>
    <w:rsid w:val="0017716A"/>
    <w:rsid w:val="0017724E"/>
    <w:rsid w:val="001772AE"/>
    <w:rsid w:val="001772BB"/>
    <w:rsid w:val="001772D1"/>
    <w:rsid w:val="00177431"/>
    <w:rsid w:val="0017755C"/>
    <w:rsid w:val="00177571"/>
    <w:rsid w:val="001775BF"/>
    <w:rsid w:val="001776C1"/>
    <w:rsid w:val="0017772A"/>
    <w:rsid w:val="00177890"/>
    <w:rsid w:val="0017798E"/>
    <w:rsid w:val="001779BF"/>
    <w:rsid w:val="001779C9"/>
    <w:rsid w:val="00177A13"/>
    <w:rsid w:val="00177A57"/>
    <w:rsid w:val="00177AA8"/>
    <w:rsid w:val="00177B23"/>
    <w:rsid w:val="00177B49"/>
    <w:rsid w:val="00177C44"/>
    <w:rsid w:val="00177CDE"/>
    <w:rsid w:val="00177D7F"/>
    <w:rsid w:val="00177E38"/>
    <w:rsid w:val="00177E49"/>
    <w:rsid w:val="00177ECB"/>
    <w:rsid w:val="00177F37"/>
    <w:rsid w:val="0018000B"/>
    <w:rsid w:val="00180046"/>
    <w:rsid w:val="001800D3"/>
    <w:rsid w:val="0018012F"/>
    <w:rsid w:val="0018013A"/>
    <w:rsid w:val="001801A5"/>
    <w:rsid w:val="001801BF"/>
    <w:rsid w:val="00180200"/>
    <w:rsid w:val="00180231"/>
    <w:rsid w:val="00180246"/>
    <w:rsid w:val="00180261"/>
    <w:rsid w:val="00180321"/>
    <w:rsid w:val="00180378"/>
    <w:rsid w:val="001803C7"/>
    <w:rsid w:val="0018049D"/>
    <w:rsid w:val="00180502"/>
    <w:rsid w:val="001805F0"/>
    <w:rsid w:val="001808F9"/>
    <w:rsid w:val="0018098C"/>
    <w:rsid w:val="00180A10"/>
    <w:rsid w:val="00180A13"/>
    <w:rsid w:val="00180A2D"/>
    <w:rsid w:val="00180AB7"/>
    <w:rsid w:val="00180ADD"/>
    <w:rsid w:val="00180AED"/>
    <w:rsid w:val="00180CC9"/>
    <w:rsid w:val="00180D5F"/>
    <w:rsid w:val="00180DEB"/>
    <w:rsid w:val="00180FBC"/>
    <w:rsid w:val="00181013"/>
    <w:rsid w:val="00181062"/>
    <w:rsid w:val="001810B9"/>
    <w:rsid w:val="00181180"/>
    <w:rsid w:val="001811E2"/>
    <w:rsid w:val="00181309"/>
    <w:rsid w:val="0018130C"/>
    <w:rsid w:val="00181368"/>
    <w:rsid w:val="001813E1"/>
    <w:rsid w:val="00181474"/>
    <w:rsid w:val="001814B3"/>
    <w:rsid w:val="00181552"/>
    <w:rsid w:val="00181565"/>
    <w:rsid w:val="001815C2"/>
    <w:rsid w:val="001815EF"/>
    <w:rsid w:val="00181655"/>
    <w:rsid w:val="001816AC"/>
    <w:rsid w:val="001816ED"/>
    <w:rsid w:val="001816FC"/>
    <w:rsid w:val="00181795"/>
    <w:rsid w:val="001817DB"/>
    <w:rsid w:val="00181862"/>
    <w:rsid w:val="001818E1"/>
    <w:rsid w:val="001818E6"/>
    <w:rsid w:val="00181930"/>
    <w:rsid w:val="00181A10"/>
    <w:rsid w:val="00181A2A"/>
    <w:rsid w:val="00181A50"/>
    <w:rsid w:val="00181A86"/>
    <w:rsid w:val="00181A9C"/>
    <w:rsid w:val="00181B80"/>
    <w:rsid w:val="00181B90"/>
    <w:rsid w:val="00181BB3"/>
    <w:rsid w:val="00181C15"/>
    <w:rsid w:val="00181C43"/>
    <w:rsid w:val="00181CB7"/>
    <w:rsid w:val="00181CE7"/>
    <w:rsid w:val="00181D5C"/>
    <w:rsid w:val="00181DA6"/>
    <w:rsid w:val="00181F16"/>
    <w:rsid w:val="00181FA0"/>
    <w:rsid w:val="00181FB3"/>
    <w:rsid w:val="00182027"/>
    <w:rsid w:val="001821C4"/>
    <w:rsid w:val="001821F0"/>
    <w:rsid w:val="00182204"/>
    <w:rsid w:val="001822BF"/>
    <w:rsid w:val="0018234E"/>
    <w:rsid w:val="0018238D"/>
    <w:rsid w:val="001824B1"/>
    <w:rsid w:val="00182509"/>
    <w:rsid w:val="0018251D"/>
    <w:rsid w:val="0018264C"/>
    <w:rsid w:val="001826A4"/>
    <w:rsid w:val="001826BF"/>
    <w:rsid w:val="0018276A"/>
    <w:rsid w:val="001827AB"/>
    <w:rsid w:val="00182803"/>
    <w:rsid w:val="00182892"/>
    <w:rsid w:val="0018290A"/>
    <w:rsid w:val="001829CB"/>
    <w:rsid w:val="00182AA2"/>
    <w:rsid w:val="00182BEB"/>
    <w:rsid w:val="00182C87"/>
    <w:rsid w:val="00182CFB"/>
    <w:rsid w:val="00182D40"/>
    <w:rsid w:val="00182E14"/>
    <w:rsid w:val="00182E53"/>
    <w:rsid w:val="00182F51"/>
    <w:rsid w:val="00182F85"/>
    <w:rsid w:val="001830A1"/>
    <w:rsid w:val="001830A9"/>
    <w:rsid w:val="001830C1"/>
    <w:rsid w:val="001830D9"/>
    <w:rsid w:val="00183131"/>
    <w:rsid w:val="001831CB"/>
    <w:rsid w:val="001831E1"/>
    <w:rsid w:val="001831FD"/>
    <w:rsid w:val="001832DB"/>
    <w:rsid w:val="001832DC"/>
    <w:rsid w:val="001832E0"/>
    <w:rsid w:val="001833B0"/>
    <w:rsid w:val="00183581"/>
    <w:rsid w:val="001835A9"/>
    <w:rsid w:val="00183612"/>
    <w:rsid w:val="00183633"/>
    <w:rsid w:val="001836E0"/>
    <w:rsid w:val="001837AF"/>
    <w:rsid w:val="001837D0"/>
    <w:rsid w:val="00183873"/>
    <w:rsid w:val="0018389C"/>
    <w:rsid w:val="00183966"/>
    <w:rsid w:val="001839A1"/>
    <w:rsid w:val="001839DE"/>
    <w:rsid w:val="00183A36"/>
    <w:rsid w:val="00183A75"/>
    <w:rsid w:val="00183AF6"/>
    <w:rsid w:val="00183BB2"/>
    <w:rsid w:val="00183C0F"/>
    <w:rsid w:val="00183CC1"/>
    <w:rsid w:val="00183DD2"/>
    <w:rsid w:val="00183EB3"/>
    <w:rsid w:val="00183EDF"/>
    <w:rsid w:val="00184067"/>
    <w:rsid w:val="001840B7"/>
    <w:rsid w:val="00184153"/>
    <w:rsid w:val="0018429D"/>
    <w:rsid w:val="00184301"/>
    <w:rsid w:val="00184331"/>
    <w:rsid w:val="001843FE"/>
    <w:rsid w:val="0018440B"/>
    <w:rsid w:val="0018446D"/>
    <w:rsid w:val="001844D4"/>
    <w:rsid w:val="001844D7"/>
    <w:rsid w:val="00184511"/>
    <w:rsid w:val="00184515"/>
    <w:rsid w:val="00184633"/>
    <w:rsid w:val="001846DA"/>
    <w:rsid w:val="001846FC"/>
    <w:rsid w:val="00184751"/>
    <w:rsid w:val="001847A6"/>
    <w:rsid w:val="001847D5"/>
    <w:rsid w:val="001847DC"/>
    <w:rsid w:val="00184838"/>
    <w:rsid w:val="0018491F"/>
    <w:rsid w:val="00184928"/>
    <w:rsid w:val="00184955"/>
    <w:rsid w:val="001849A9"/>
    <w:rsid w:val="00184ADC"/>
    <w:rsid w:val="00184B01"/>
    <w:rsid w:val="00184B03"/>
    <w:rsid w:val="00184B0A"/>
    <w:rsid w:val="00184B58"/>
    <w:rsid w:val="00184D10"/>
    <w:rsid w:val="00184D4D"/>
    <w:rsid w:val="00184D8C"/>
    <w:rsid w:val="00184E31"/>
    <w:rsid w:val="00184FFD"/>
    <w:rsid w:val="0018502B"/>
    <w:rsid w:val="00185096"/>
    <w:rsid w:val="001850CC"/>
    <w:rsid w:val="00185110"/>
    <w:rsid w:val="00185177"/>
    <w:rsid w:val="001852D6"/>
    <w:rsid w:val="00185319"/>
    <w:rsid w:val="0018533D"/>
    <w:rsid w:val="0018536F"/>
    <w:rsid w:val="001853A5"/>
    <w:rsid w:val="0018543F"/>
    <w:rsid w:val="0018545E"/>
    <w:rsid w:val="00185467"/>
    <w:rsid w:val="001854EA"/>
    <w:rsid w:val="001855E9"/>
    <w:rsid w:val="001856EF"/>
    <w:rsid w:val="0018570D"/>
    <w:rsid w:val="0018573E"/>
    <w:rsid w:val="001857DA"/>
    <w:rsid w:val="00185912"/>
    <w:rsid w:val="00185B03"/>
    <w:rsid w:val="00185B7C"/>
    <w:rsid w:val="00185BFB"/>
    <w:rsid w:val="00185C67"/>
    <w:rsid w:val="00185CCB"/>
    <w:rsid w:val="00185DC6"/>
    <w:rsid w:val="00185E15"/>
    <w:rsid w:val="00185E60"/>
    <w:rsid w:val="00185EA3"/>
    <w:rsid w:val="00185ED7"/>
    <w:rsid w:val="00185EDA"/>
    <w:rsid w:val="00185F67"/>
    <w:rsid w:val="00185F7B"/>
    <w:rsid w:val="00185FA8"/>
    <w:rsid w:val="00185FB7"/>
    <w:rsid w:val="00186024"/>
    <w:rsid w:val="00186089"/>
    <w:rsid w:val="00186187"/>
    <w:rsid w:val="00186193"/>
    <w:rsid w:val="001861A4"/>
    <w:rsid w:val="001862E4"/>
    <w:rsid w:val="00186347"/>
    <w:rsid w:val="0018634C"/>
    <w:rsid w:val="001863D2"/>
    <w:rsid w:val="001863D9"/>
    <w:rsid w:val="001863FF"/>
    <w:rsid w:val="00186410"/>
    <w:rsid w:val="001864BC"/>
    <w:rsid w:val="0018650D"/>
    <w:rsid w:val="0018651B"/>
    <w:rsid w:val="0018654D"/>
    <w:rsid w:val="001865B4"/>
    <w:rsid w:val="001866F4"/>
    <w:rsid w:val="0018677B"/>
    <w:rsid w:val="001867BA"/>
    <w:rsid w:val="001867E4"/>
    <w:rsid w:val="0018686D"/>
    <w:rsid w:val="001868F6"/>
    <w:rsid w:val="00186929"/>
    <w:rsid w:val="0018692A"/>
    <w:rsid w:val="00186956"/>
    <w:rsid w:val="00186965"/>
    <w:rsid w:val="00186978"/>
    <w:rsid w:val="00186A8E"/>
    <w:rsid w:val="00186AF1"/>
    <w:rsid w:val="00186B0A"/>
    <w:rsid w:val="00186B49"/>
    <w:rsid w:val="00186C0B"/>
    <w:rsid w:val="00186C59"/>
    <w:rsid w:val="00186C6E"/>
    <w:rsid w:val="00186D25"/>
    <w:rsid w:val="00186D2E"/>
    <w:rsid w:val="00186D6D"/>
    <w:rsid w:val="00186D9D"/>
    <w:rsid w:val="00186DB7"/>
    <w:rsid w:val="00186DC0"/>
    <w:rsid w:val="00186DF5"/>
    <w:rsid w:val="00186E4F"/>
    <w:rsid w:val="00186EDA"/>
    <w:rsid w:val="00186F23"/>
    <w:rsid w:val="00187058"/>
    <w:rsid w:val="00187086"/>
    <w:rsid w:val="001870C0"/>
    <w:rsid w:val="00187117"/>
    <w:rsid w:val="00187139"/>
    <w:rsid w:val="00187143"/>
    <w:rsid w:val="00187189"/>
    <w:rsid w:val="001871A2"/>
    <w:rsid w:val="00187306"/>
    <w:rsid w:val="0018735B"/>
    <w:rsid w:val="0018735C"/>
    <w:rsid w:val="001873A2"/>
    <w:rsid w:val="001873C8"/>
    <w:rsid w:val="0018740D"/>
    <w:rsid w:val="0018746B"/>
    <w:rsid w:val="001874A2"/>
    <w:rsid w:val="00187536"/>
    <w:rsid w:val="001875B0"/>
    <w:rsid w:val="001875C5"/>
    <w:rsid w:val="001875F9"/>
    <w:rsid w:val="001876A9"/>
    <w:rsid w:val="00187738"/>
    <w:rsid w:val="0018782F"/>
    <w:rsid w:val="001879F3"/>
    <w:rsid w:val="00187A9B"/>
    <w:rsid w:val="00187B73"/>
    <w:rsid w:val="00187BA2"/>
    <w:rsid w:val="00187BF2"/>
    <w:rsid w:val="00187C22"/>
    <w:rsid w:val="00187C6F"/>
    <w:rsid w:val="00187D4E"/>
    <w:rsid w:val="00187E8C"/>
    <w:rsid w:val="00187F30"/>
    <w:rsid w:val="00190013"/>
    <w:rsid w:val="0019008E"/>
    <w:rsid w:val="001900C0"/>
    <w:rsid w:val="001901BC"/>
    <w:rsid w:val="001903B2"/>
    <w:rsid w:val="0019042D"/>
    <w:rsid w:val="0019047C"/>
    <w:rsid w:val="00190589"/>
    <w:rsid w:val="00190601"/>
    <w:rsid w:val="00190634"/>
    <w:rsid w:val="00190637"/>
    <w:rsid w:val="0019070A"/>
    <w:rsid w:val="00190742"/>
    <w:rsid w:val="00190786"/>
    <w:rsid w:val="001907DE"/>
    <w:rsid w:val="0019081E"/>
    <w:rsid w:val="001908B1"/>
    <w:rsid w:val="001909C0"/>
    <w:rsid w:val="001909F9"/>
    <w:rsid w:val="00190A37"/>
    <w:rsid w:val="00190A64"/>
    <w:rsid w:val="00190AAE"/>
    <w:rsid w:val="00190AD0"/>
    <w:rsid w:val="00190B16"/>
    <w:rsid w:val="00190B41"/>
    <w:rsid w:val="00190B87"/>
    <w:rsid w:val="00190BA4"/>
    <w:rsid w:val="00190BED"/>
    <w:rsid w:val="00190CCD"/>
    <w:rsid w:val="00190DB7"/>
    <w:rsid w:val="00190E7A"/>
    <w:rsid w:val="00190E9C"/>
    <w:rsid w:val="00190EE6"/>
    <w:rsid w:val="00190F8D"/>
    <w:rsid w:val="00191144"/>
    <w:rsid w:val="00191187"/>
    <w:rsid w:val="001911F9"/>
    <w:rsid w:val="0019120F"/>
    <w:rsid w:val="0019136B"/>
    <w:rsid w:val="0019137E"/>
    <w:rsid w:val="001913C1"/>
    <w:rsid w:val="0019147C"/>
    <w:rsid w:val="0019169F"/>
    <w:rsid w:val="001917C5"/>
    <w:rsid w:val="00191875"/>
    <w:rsid w:val="0019188A"/>
    <w:rsid w:val="001918B0"/>
    <w:rsid w:val="001918DB"/>
    <w:rsid w:val="001919BA"/>
    <w:rsid w:val="00191A10"/>
    <w:rsid w:val="00191A80"/>
    <w:rsid w:val="00191AE9"/>
    <w:rsid w:val="00191AF7"/>
    <w:rsid w:val="00191B63"/>
    <w:rsid w:val="00191B74"/>
    <w:rsid w:val="00191B9C"/>
    <w:rsid w:val="00191BA8"/>
    <w:rsid w:val="00191BC0"/>
    <w:rsid w:val="00191C40"/>
    <w:rsid w:val="00191C47"/>
    <w:rsid w:val="00191D71"/>
    <w:rsid w:val="00191D95"/>
    <w:rsid w:val="00191EE9"/>
    <w:rsid w:val="00191F4C"/>
    <w:rsid w:val="00191F7F"/>
    <w:rsid w:val="00191FAC"/>
    <w:rsid w:val="0019217C"/>
    <w:rsid w:val="001921A4"/>
    <w:rsid w:val="001921E9"/>
    <w:rsid w:val="001921F1"/>
    <w:rsid w:val="00192368"/>
    <w:rsid w:val="00192391"/>
    <w:rsid w:val="001923B6"/>
    <w:rsid w:val="001923DA"/>
    <w:rsid w:val="00192410"/>
    <w:rsid w:val="001924D1"/>
    <w:rsid w:val="00192553"/>
    <w:rsid w:val="00192574"/>
    <w:rsid w:val="001925C2"/>
    <w:rsid w:val="00192635"/>
    <w:rsid w:val="001926AA"/>
    <w:rsid w:val="00192727"/>
    <w:rsid w:val="00192739"/>
    <w:rsid w:val="0019273B"/>
    <w:rsid w:val="001927FC"/>
    <w:rsid w:val="001928BD"/>
    <w:rsid w:val="00192991"/>
    <w:rsid w:val="00192A09"/>
    <w:rsid w:val="00192A65"/>
    <w:rsid w:val="00192B1C"/>
    <w:rsid w:val="00192B39"/>
    <w:rsid w:val="00192B66"/>
    <w:rsid w:val="00192C4D"/>
    <w:rsid w:val="00192CEF"/>
    <w:rsid w:val="00192CF2"/>
    <w:rsid w:val="00192D2A"/>
    <w:rsid w:val="00192E2C"/>
    <w:rsid w:val="00192E86"/>
    <w:rsid w:val="00192EA7"/>
    <w:rsid w:val="00192F33"/>
    <w:rsid w:val="00192F95"/>
    <w:rsid w:val="00193014"/>
    <w:rsid w:val="00193131"/>
    <w:rsid w:val="0019313A"/>
    <w:rsid w:val="001931B6"/>
    <w:rsid w:val="001931E5"/>
    <w:rsid w:val="0019322F"/>
    <w:rsid w:val="00193323"/>
    <w:rsid w:val="0019334D"/>
    <w:rsid w:val="001933F6"/>
    <w:rsid w:val="001934BE"/>
    <w:rsid w:val="001934EF"/>
    <w:rsid w:val="00193571"/>
    <w:rsid w:val="00193616"/>
    <w:rsid w:val="0019363A"/>
    <w:rsid w:val="00193660"/>
    <w:rsid w:val="00193662"/>
    <w:rsid w:val="00193684"/>
    <w:rsid w:val="00193687"/>
    <w:rsid w:val="001936D3"/>
    <w:rsid w:val="00193764"/>
    <w:rsid w:val="001937FA"/>
    <w:rsid w:val="00193819"/>
    <w:rsid w:val="00193935"/>
    <w:rsid w:val="0019393E"/>
    <w:rsid w:val="00193943"/>
    <w:rsid w:val="00193963"/>
    <w:rsid w:val="00193A1E"/>
    <w:rsid w:val="00193B64"/>
    <w:rsid w:val="00193B98"/>
    <w:rsid w:val="00193BDC"/>
    <w:rsid w:val="00193BE2"/>
    <w:rsid w:val="00193C1D"/>
    <w:rsid w:val="00193C75"/>
    <w:rsid w:val="00193CEE"/>
    <w:rsid w:val="00193D0E"/>
    <w:rsid w:val="00193D70"/>
    <w:rsid w:val="00193DCD"/>
    <w:rsid w:val="00193F8F"/>
    <w:rsid w:val="00193F9C"/>
    <w:rsid w:val="00193FDD"/>
    <w:rsid w:val="0019407D"/>
    <w:rsid w:val="001941B0"/>
    <w:rsid w:val="001941F1"/>
    <w:rsid w:val="001941F5"/>
    <w:rsid w:val="0019426A"/>
    <w:rsid w:val="001942CD"/>
    <w:rsid w:val="00194306"/>
    <w:rsid w:val="00194417"/>
    <w:rsid w:val="001944F2"/>
    <w:rsid w:val="0019451A"/>
    <w:rsid w:val="00194547"/>
    <w:rsid w:val="00194632"/>
    <w:rsid w:val="00194698"/>
    <w:rsid w:val="001946A9"/>
    <w:rsid w:val="0019473B"/>
    <w:rsid w:val="001947B7"/>
    <w:rsid w:val="001947F2"/>
    <w:rsid w:val="00194820"/>
    <w:rsid w:val="00194845"/>
    <w:rsid w:val="00194919"/>
    <w:rsid w:val="00194934"/>
    <w:rsid w:val="0019496D"/>
    <w:rsid w:val="00194A6E"/>
    <w:rsid w:val="00194AB8"/>
    <w:rsid w:val="00194B2F"/>
    <w:rsid w:val="00194B35"/>
    <w:rsid w:val="00194B52"/>
    <w:rsid w:val="00194B6E"/>
    <w:rsid w:val="00194B74"/>
    <w:rsid w:val="00194C00"/>
    <w:rsid w:val="00194C51"/>
    <w:rsid w:val="00194C7D"/>
    <w:rsid w:val="00194CF1"/>
    <w:rsid w:val="00194D22"/>
    <w:rsid w:val="00194E50"/>
    <w:rsid w:val="00194EFD"/>
    <w:rsid w:val="00194F6E"/>
    <w:rsid w:val="00195001"/>
    <w:rsid w:val="00195026"/>
    <w:rsid w:val="00195122"/>
    <w:rsid w:val="0019517F"/>
    <w:rsid w:val="001951D3"/>
    <w:rsid w:val="001951D6"/>
    <w:rsid w:val="0019520E"/>
    <w:rsid w:val="0019522C"/>
    <w:rsid w:val="001952FA"/>
    <w:rsid w:val="0019538F"/>
    <w:rsid w:val="00195415"/>
    <w:rsid w:val="001954DF"/>
    <w:rsid w:val="00195539"/>
    <w:rsid w:val="0019556E"/>
    <w:rsid w:val="00195638"/>
    <w:rsid w:val="00195729"/>
    <w:rsid w:val="00195766"/>
    <w:rsid w:val="0019576B"/>
    <w:rsid w:val="001957FE"/>
    <w:rsid w:val="0019584B"/>
    <w:rsid w:val="00195929"/>
    <w:rsid w:val="001959AC"/>
    <w:rsid w:val="001959BB"/>
    <w:rsid w:val="00195AC4"/>
    <w:rsid w:val="00195AE3"/>
    <w:rsid w:val="00195B0B"/>
    <w:rsid w:val="00195BB1"/>
    <w:rsid w:val="00195C6B"/>
    <w:rsid w:val="00195CB0"/>
    <w:rsid w:val="00195D27"/>
    <w:rsid w:val="00195DA2"/>
    <w:rsid w:val="00195DDB"/>
    <w:rsid w:val="00195EF8"/>
    <w:rsid w:val="00195F1A"/>
    <w:rsid w:val="00195F2A"/>
    <w:rsid w:val="00195F62"/>
    <w:rsid w:val="00196004"/>
    <w:rsid w:val="00196020"/>
    <w:rsid w:val="001960EF"/>
    <w:rsid w:val="00196147"/>
    <w:rsid w:val="00196159"/>
    <w:rsid w:val="0019625E"/>
    <w:rsid w:val="0019626C"/>
    <w:rsid w:val="0019628A"/>
    <w:rsid w:val="001962C0"/>
    <w:rsid w:val="001962C4"/>
    <w:rsid w:val="0019631A"/>
    <w:rsid w:val="0019634F"/>
    <w:rsid w:val="001963B9"/>
    <w:rsid w:val="001963C5"/>
    <w:rsid w:val="001963F3"/>
    <w:rsid w:val="00196492"/>
    <w:rsid w:val="00196543"/>
    <w:rsid w:val="001965D6"/>
    <w:rsid w:val="0019664E"/>
    <w:rsid w:val="0019665B"/>
    <w:rsid w:val="00196686"/>
    <w:rsid w:val="001966DC"/>
    <w:rsid w:val="001966EA"/>
    <w:rsid w:val="001966F4"/>
    <w:rsid w:val="00196703"/>
    <w:rsid w:val="00196777"/>
    <w:rsid w:val="001969F8"/>
    <w:rsid w:val="00196A14"/>
    <w:rsid w:val="00196A8F"/>
    <w:rsid w:val="00196B23"/>
    <w:rsid w:val="00196B42"/>
    <w:rsid w:val="00196B66"/>
    <w:rsid w:val="00196C68"/>
    <w:rsid w:val="00196D40"/>
    <w:rsid w:val="00196E04"/>
    <w:rsid w:val="00196E0D"/>
    <w:rsid w:val="00196E5D"/>
    <w:rsid w:val="00196E61"/>
    <w:rsid w:val="00196F46"/>
    <w:rsid w:val="0019709D"/>
    <w:rsid w:val="0019712B"/>
    <w:rsid w:val="0019717A"/>
    <w:rsid w:val="00197242"/>
    <w:rsid w:val="00197253"/>
    <w:rsid w:val="00197287"/>
    <w:rsid w:val="001973AB"/>
    <w:rsid w:val="0019741D"/>
    <w:rsid w:val="001974E2"/>
    <w:rsid w:val="00197562"/>
    <w:rsid w:val="00197563"/>
    <w:rsid w:val="00197575"/>
    <w:rsid w:val="001975B6"/>
    <w:rsid w:val="001975D0"/>
    <w:rsid w:val="001975FB"/>
    <w:rsid w:val="0019763D"/>
    <w:rsid w:val="00197642"/>
    <w:rsid w:val="00197717"/>
    <w:rsid w:val="00197798"/>
    <w:rsid w:val="00197840"/>
    <w:rsid w:val="001978A7"/>
    <w:rsid w:val="0019792A"/>
    <w:rsid w:val="00197955"/>
    <w:rsid w:val="001979E4"/>
    <w:rsid w:val="00197A3D"/>
    <w:rsid w:val="00197BE4"/>
    <w:rsid w:val="00197BE6"/>
    <w:rsid w:val="00197C05"/>
    <w:rsid w:val="00197C90"/>
    <w:rsid w:val="00197D1B"/>
    <w:rsid w:val="00197D34"/>
    <w:rsid w:val="00197DBC"/>
    <w:rsid w:val="00197E39"/>
    <w:rsid w:val="00197E46"/>
    <w:rsid w:val="00197E94"/>
    <w:rsid w:val="00197F24"/>
    <w:rsid w:val="00197FD8"/>
    <w:rsid w:val="00197FE3"/>
    <w:rsid w:val="0019B1A6"/>
    <w:rsid w:val="001A0083"/>
    <w:rsid w:val="001A00AE"/>
    <w:rsid w:val="001A00C0"/>
    <w:rsid w:val="001A0202"/>
    <w:rsid w:val="001A0311"/>
    <w:rsid w:val="001A0367"/>
    <w:rsid w:val="001A047F"/>
    <w:rsid w:val="001A0499"/>
    <w:rsid w:val="001A0513"/>
    <w:rsid w:val="001A05C0"/>
    <w:rsid w:val="001A05DF"/>
    <w:rsid w:val="001A0600"/>
    <w:rsid w:val="001A0715"/>
    <w:rsid w:val="001A0775"/>
    <w:rsid w:val="001A07A4"/>
    <w:rsid w:val="001A0811"/>
    <w:rsid w:val="001A084F"/>
    <w:rsid w:val="001A0850"/>
    <w:rsid w:val="001A08B8"/>
    <w:rsid w:val="001A091D"/>
    <w:rsid w:val="001A0944"/>
    <w:rsid w:val="001A0958"/>
    <w:rsid w:val="001A0979"/>
    <w:rsid w:val="001A09A5"/>
    <w:rsid w:val="001A09D8"/>
    <w:rsid w:val="001A0A8D"/>
    <w:rsid w:val="001A0AE1"/>
    <w:rsid w:val="001A0B08"/>
    <w:rsid w:val="001A0B32"/>
    <w:rsid w:val="001A0C12"/>
    <w:rsid w:val="001A0C51"/>
    <w:rsid w:val="001A0CE3"/>
    <w:rsid w:val="001A0D3D"/>
    <w:rsid w:val="001A0DEF"/>
    <w:rsid w:val="001A0EEF"/>
    <w:rsid w:val="001A0EFF"/>
    <w:rsid w:val="001A0F1F"/>
    <w:rsid w:val="001A0F3B"/>
    <w:rsid w:val="001A0F5D"/>
    <w:rsid w:val="001A0FB0"/>
    <w:rsid w:val="001A10A7"/>
    <w:rsid w:val="001A1284"/>
    <w:rsid w:val="001A1288"/>
    <w:rsid w:val="001A13BC"/>
    <w:rsid w:val="001A13EA"/>
    <w:rsid w:val="001A1450"/>
    <w:rsid w:val="001A145B"/>
    <w:rsid w:val="001A14B9"/>
    <w:rsid w:val="001A14D9"/>
    <w:rsid w:val="001A1577"/>
    <w:rsid w:val="001A1590"/>
    <w:rsid w:val="001A15E8"/>
    <w:rsid w:val="001A164B"/>
    <w:rsid w:val="001A16CF"/>
    <w:rsid w:val="001A16E0"/>
    <w:rsid w:val="001A16F4"/>
    <w:rsid w:val="001A16FE"/>
    <w:rsid w:val="001A1709"/>
    <w:rsid w:val="001A1727"/>
    <w:rsid w:val="001A1789"/>
    <w:rsid w:val="001A17B8"/>
    <w:rsid w:val="001A17EF"/>
    <w:rsid w:val="001A18BA"/>
    <w:rsid w:val="001A195A"/>
    <w:rsid w:val="001A1982"/>
    <w:rsid w:val="001A1991"/>
    <w:rsid w:val="001A19D7"/>
    <w:rsid w:val="001A1AF8"/>
    <w:rsid w:val="001A1B62"/>
    <w:rsid w:val="001A1BC6"/>
    <w:rsid w:val="001A1C18"/>
    <w:rsid w:val="001A1C28"/>
    <w:rsid w:val="001A1C34"/>
    <w:rsid w:val="001A1C58"/>
    <w:rsid w:val="001A1C86"/>
    <w:rsid w:val="001A1DB1"/>
    <w:rsid w:val="001A1DE0"/>
    <w:rsid w:val="001A1E54"/>
    <w:rsid w:val="001A1F50"/>
    <w:rsid w:val="001A2101"/>
    <w:rsid w:val="001A2170"/>
    <w:rsid w:val="001A21CB"/>
    <w:rsid w:val="001A2214"/>
    <w:rsid w:val="001A2299"/>
    <w:rsid w:val="001A22CC"/>
    <w:rsid w:val="001A230B"/>
    <w:rsid w:val="001A230D"/>
    <w:rsid w:val="001A2376"/>
    <w:rsid w:val="001A242A"/>
    <w:rsid w:val="001A24AF"/>
    <w:rsid w:val="001A2508"/>
    <w:rsid w:val="001A2518"/>
    <w:rsid w:val="001A2551"/>
    <w:rsid w:val="001A25FA"/>
    <w:rsid w:val="001A2620"/>
    <w:rsid w:val="001A264C"/>
    <w:rsid w:val="001A2704"/>
    <w:rsid w:val="001A2798"/>
    <w:rsid w:val="001A27DC"/>
    <w:rsid w:val="001A27F3"/>
    <w:rsid w:val="001A2870"/>
    <w:rsid w:val="001A287A"/>
    <w:rsid w:val="001A28C5"/>
    <w:rsid w:val="001A2969"/>
    <w:rsid w:val="001A2983"/>
    <w:rsid w:val="001A29BC"/>
    <w:rsid w:val="001A2AA3"/>
    <w:rsid w:val="001A2B25"/>
    <w:rsid w:val="001A2C21"/>
    <w:rsid w:val="001A2C93"/>
    <w:rsid w:val="001A2F48"/>
    <w:rsid w:val="001A2F62"/>
    <w:rsid w:val="001A2F85"/>
    <w:rsid w:val="001A2FD4"/>
    <w:rsid w:val="001A300F"/>
    <w:rsid w:val="001A30D3"/>
    <w:rsid w:val="001A31B1"/>
    <w:rsid w:val="001A31EB"/>
    <w:rsid w:val="001A3283"/>
    <w:rsid w:val="001A335A"/>
    <w:rsid w:val="001A337F"/>
    <w:rsid w:val="001A33A1"/>
    <w:rsid w:val="001A3433"/>
    <w:rsid w:val="001A3443"/>
    <w:rsid w:val="001A3500"/>
    <w:rsid w:val="001A35D8"/>
    <w:rsid w:val="001A3603"/>
    <w:rsid w:val="001A3606"/>
    <w:rsid w:val="001A3611"/>
    <w:rsid w:val="001A3636"/>
    <w:rsid w:val="001A3783"/>
    <w:rsid w:val="001A3796"/>
    <w:rsid w:val="001A379A"/>
    <w:rsid w:val="001A37AB"/>
    <w:rsid w:val="001A3830"/>
    <w:rsid w:val="001A3872"/>
    <w:rsid w:val="001A398B"/>
    <w:rsid w:val="001A3993"/>
    <w:rsid w:val="001A399F"/>
    <w:rsid w:val="001A3A1E"/>
    <w:rsid w:val="001A3AED"/>
    <w:rsid w:val="001A3B28"/>
    <w:rsid w:val="001A3C53"/>
    <w:rsid w:val="001A3C73"/>
    <w:rsid w:val="001A3CA1"/>
    <w:rsid w:val="001A3DF4"/>
    <w:rsid w:val="001A3DF8"/>
    <w:rsid w:val="001A4002"/>
    <w:rsid w:val="001A4012"/>
    <w:rsid w:val="001A40E0"/>
    <w:rsid w:val="001A41E2"/>
    <w:rsid w:val="001A42EC"/>
    <w:rsid w:val="001A430A"/>
    <w:rsid w:val="001A4370"/>
    <w:rsid w:val="001A43F4"/>
    <w:rsid w:val="001A44B6"/>
    <w:rsid w:val="001A4529"/>
    <w:rsid w:val="001A4613"/>
    <w:rsid w:val="001A46D6"/>
    <w:rsid w:val="001A472C"/>
    <w:rsid w:val="001A4763"/>
    <w:rsid w:val="001A47B1"/>
    <w:rsid w:val="001A48B9"/>
    <w:rsid w:val="001A4934"/>
    <w:rsid w:val="001A4949"/>
    <w:rsid w:val="001A4A55"/>
    <w:rsid w:val="001A4BBA"/>
    <w:rsid w:val="001A4BCC"/>
    <w:rsid w:val="001A4D4F"/>
    <w:rsid w:val="001A4D67"/>
    <w:rsid w:val="001A4E6D"/>
    <w:rsid w:val="001A4E7C"/>
    <w:rsid w:val="001A4E7E"/>
    <w:rsid w:val="001A4F34"/>
    <w:rsid w:val="001A4F4F"/>
    <w:rsid w:val="001A4FB8"/>
    <w:rsid w:val="001A4FD5"/>
    <w:rsid w:val="001A4FDD"/>
    <w:rsid w:val="001A5025"/>
    <w:rsid w:val="001A50A3"/>
    <w:rsid w:val="001A5124"/>
    <w:rsid w:val="001A514F"/>
    <w:rsid w:val="001A5196"/>
    <w:rsid w:val="001A51B1"/>
    <w:rsid w:val="001A530F"/>
    <w:rsid w:val="001A5400"/>
    <w:rsid w:val="001A545C"/>
    <w:rsid w:val="001A547F"/>
    <w:rsid w:val="001A54A3"/>
    <w:rsid w:val="001A54C7"/>
    <w:rsid w:val="001A553A"/>
    <w:rsid w:val="001A5784"/>
    <w:rsid w:val="001A57C9"/>
    <w:rsid w:val="001A5809"/>
    <w:rsid w:val="001A5949"/>
    <w:rsid w:val="001A5951"/>
    <w:rsid w:val="001A59EF"/>
    <w:rsid w:val="001A5A73"/>
    <w:rsid w:val="001A5AEB"/>
    <w:rsid w:val="001A5B56"/>
    <w:rsid w:val="001A5B59"/>
    <w:rsid w:val="001A5B5E"/>
    <w:rsid w:val="001A5B70"/>
    <w:rsid w:val="001A5BA1"/>
    <w:rsid w:val="001A5BC1"/>
    <w:rsid w:val="001A5CB6"/>
    <w:rsid w:val="001A5CC9"/>
    <w:rsid w:val="001A5CFB"/>
    <w:rsid w:val="001A5DA6"/>
    <w:rsid w:val="001A5DDB"/>
    <w:rsid w:val="001A5E41"/>
    <w:rsid w:val="001A5ECB"/>
    <w:rsid w:val="001A5F1C"/>
    <w:rsid w:val="001A5FD1"/>
    <w:rsid w:val="001A604D"/>
    <w:rsid w:val="001A60BA"/>
    <w:rsid w:val="001A60C5"/>
    <w:rsid w:val="001A6117"/>
    <w:rsid w:val="001A61EF"/>
    <w:rsid w:val="001A625C"/>
    <w:rsid w:val="001A62B0"/>
    <w:rsid w:val="001A62F8"/>
    <w:rsid w:val="001A6317"/>
    <w:rsid w:val="001A6385"/>
    <w:rsid w:val="001A6476"/>
    <w:rsid w:val="001A64FD"/>
    <w:rsid w:val="001A6594"/>
    <w:rsid w:val="001A65D2"/>
    <w:rsid w:val="001A668C"/>
    <w:rsid w:val="001A66D4"/>
    <w:rsid w:val="001A6729"/>
    <w:rsid w:val="001A67A8"/>
    <w:rsid w:val="001A67CC"/>
    <w:rsid w:val="001A6897"/>
    <w:rsid w:val="001A69CD"/>
    <w:rsid w:val="001A6AEF"/>
    <w:rsid w:val="001A6B54"/>
    <w:rsid w:val="001A6BC6"/>
    <w:rsid w:val="001A6CF7"/>
    <w:rsid w:val="001A6D3C"/>
    <w:rsid w:val="001A6D66"/>
    <w:rsid w:val="001A6D77"/>
    <w:rsid w:val="001A6D78"/>
    <w:rsid w:val="001A6DFC"/>
    <w:rsid w:val="001A6E07"/>
    <w:rsid w:val="001A6E0D"/>
    <w:rsid w:val="001A6E74"/>
    <w:rsid w:val="001A6EE7"/>
    <w:rsid w:val="001A6EEA"/>
    <w:rsid w:val="001A70DC"/>
    <w:rsid w:val="001A70EE"/>
    <w:rsid w:val="001A71D6"/>
    <w:rsid w:val="001A72D6"/>
    <w:rsid w:val="001A739F"/>
    <w:rsid w:val="001A73C4"/>
    <w:rsid w:val="001A73C7"/>
    <w:rsid w:val="001A73F6"/>
    <w:rsid w:val="001A741C"/>
    <w:rsid w:val="001A74B6"/>
    <w:rsid w:val="001A74D6"/>
    <w:rsid w:val="001A7536"/>
    <w:rsid w:val="001A7542"/>
    <w:rsid w:val="001A75AB"/>
    <w:rsid w:val="001A75BF"/>
    <w:rsid w:val="001A76E6"/>
    <w:rsid w:val="001A76F2"/>
    <w:rsid w:val="001A7778"/>
    <w:rsid w:val="001A7789"/>
    <w:rsid w:val="001A779B"/>
    <w:rsid w:val="001A77C8"/>
    <w:rsid w:val="001A77DA"/>
    <w:rsid w:val="001A7810"/>
    <w:rsid w:val="001A7849"/>
    <w:rsid w:val="001A78E6"/>
    <w:rsid w:val="001A78F8"/>
    <w:rsid w:val="001A7980"/>
    <w:rsid w:val="001A7982"/>
    <w:rsid w:val="001A7A5D"/>
    <w:rsid w:val="001A7A75"/>
    <w:rsid w:val="001A7ACA"/>
    <w:rsid w:val="001A7AD8"/>
    <w:rsid w:val="001A7B17"/>
    <w:rsid w:val="001A7BA8"/>
    <w:rsid w:val="001A7BAB"/>
    <w:rsid w:val="001A7BDD"/>
    <w:rsid w:val="001A7BEF"/>
    <w:rsid w:val="001A7C81"/>
    <w:rsid w:val="001A7C9B"/>
    <w:rsid w:val="001A7D68"/>
    <w:rsid w:val="001A7D8D"/>
    <w:rsid w:val="001A7DCB"/>
    <w:rsid w:val="001A7E27"/>
    <w:rsid w:val="001A7F29"/>
    <w:rsid w:val="001B000D"/>
    <w:rsid w:val="001B00FE"/>
    <w:rsid w:val="001B0168"/>
    <w:rsid w:val="001B01A3"/>
    <w:rsid w:val="001B01EB"/>
    <w:rsid w:val="001B02DE"/>
    <w:rsid w:val="001B0357"/>
    <w:rsid w:val="001B03A4"/>
    <w:rsid w:val="001B045A"/>
    <w:rsid w:val="001B04BE"/>
    <w:rsid w:val="001B05B9"/>
    <w:rsid w:val="001B05C6"/>
    <w:rsid w:val="001B05F5"/>
    <w:rsid w:val="001B0699"/>
    <w:rsid w:val="001B0792"/>
    <w:rsid w:val="001B08E2"/>
    <w:rsid w:val="001B092A"/>
    <w:rsid w:val="001B0956"/>
    <w:rsid w:val="001B09AC"/>
    <w:rsid w:val="001B09FF"/>
    <w:rsid w:val="001B0B08"/>
    <w:rsid w:val="001B0BC9"/>
    <w:rsid w:val="001B0D25"/>
    <w:rsid w:val="001B0DC9"/>
    <w:rsid w:val="001B0E32"/>
    <w:rsid w:val="001B0EC4"/>
    <w:rsid w:val="001B0FCB"/>
    <w:rsid w:val="001B1031"/>
    <w:rsid w:val="001B10CC"/>
    <w:rsid w:val="001B1187"/>
    <w:rsid w:val="001B11BD"/>
    <w:rsid w:val="001B1289"/>
    <w:rsid w:val="001B1298"/>
    <w:rsid w:val="001B1304"/>
    <w:rsid w:val="001B137B"/>
    <w:rsid w:val="001B138E"/>
    <w:rsid w:val="001B13A0"/>
    <w:rsid w:val="001B13A6"/>
    <w:rsid w:val="001B14B1"/>
    <w:rsid w:val="001B14CF"/>
    <w:rsid w:val="001B1552"/>
    <w:rsid w:val="001B1708"/>
    <w:rsid w:val="001B18FE"/>
    <w:rsid w:val="001B1903"/>
    <w:rsid w:val="001B1944"/>
    <w:rsid w:val="001B19BF"/>
    <w:rsid w:val="001B19D7"/>
    <w:rsid w:val="001B1AE2"/>
    <w:rsid w:val="001B1C74"/>
    <w:rsid w:val="001B1D08"/>
    <w:rsid w:val="001B1DDF"/>
    <w:rsid w:val="001B1E80"/>
    <w:rsid w:val="001B203F"/>
    <w:rsid w:val="001B20BA"/>
    <w:rsid w:val="001B215C"/>
    <w:rsid w:val="001B22AE"/>
    <w:rsid w:val="001B2394"/>
    <w:rsid w:val="001B2441"/>
    <w:rsid w:val="001B2457"/>
    <w:rsid w:val="001B24A1"/>
    <w:rsid w:val="001B24A8"/>
    <w:rsid w:val="001B2552"/>
    <w:rsid w:val="001B262D"/>
    <w:rsid w:val="001B2696"/>
    <w:rsid w:val="001B269D"/>
    <w:rsid w:val="001B270F"/>
    <w:rsid w:val="001B2725"/>
    <w:rsid w:val="001B275F"/>
    <w:rsid w:val="001B279F"/>
    <w:rsid w:val="001B27F2"/>
    <w:rsid w:val="001B2859"/>
    <w:rsid w:val="001B289A"/>
    <w:rsid w:val="001B28B2"/>
    <w:rsid w:val="001B28BD"/>
    <w:rsid w:val="001B28F5"/>
    <w:rsid w:val="001B2979"/>
    <w:rsid w:val="001B298E"/>
    <w:rsid w:val="001B29A4"/>
    <w:rsid w:val="001B2ABE"/>
    <w:rsid w:val="001B2B0C"/>
    <w:rsid w:val="001B2C25"/>
    <w:rsid w:val="001B2D57"/>
    <w:rsid w:val="001B2D83"/>
    <w:rsid w:val="001B2D98"/>
    <w:rsid w:val="001B2EC4"/>
    <w:rsid w:val="001B2F05"/>
    <w:rsid w:val="001B2F0F"/>
    <w:rsid w:val="001B2F9E"/>
    <w:rsid w:val="001B2FAB"/>
    <w:rsid w:val="001B2FB8"/>
    <w:rsid w:val="001B3021"/>
    <w:rsid w:val="001B3038"/>
    <w:rsid w:val="001B30D3"/>
    <w:rsid w:val="001B3140"/>
    <w:rsid w:val="001B318E"/>
    <w:rsid w:val="001B31D5"/>
    <w:rsid w:val="001B31FC"/>
    <w:rsid w:val="001B3274"/>
    <w:rsid w:val="001B3297"/>
    <w:rsid w:val="001B32C0"/>
    <w:rsid w:val="001B32CF"/>
    <w:rsid w:val="001B32F0"/>
    <w:rsid w:val="001B340C"/>
    <w:rsid w:val="001B3459"/>
    <w:rsid w:val="001B34D7"/>
    <w:rsid w:val="001B34D8"/>
    <w:rsid w:val="001B3533"/>
    <w:rsid w:val="001B363E"/>
    <w:rsid w:val="001B3652"/>
    <w:rsid w:val="001B37E9"/>
    <w:rsid w:val="001B3800"/>
    <w:rsid w:val="001B3835"/>
    <w:rsid w:val="001B3980"/>
    <w:rsid w:val="001B3987"/>
    <w:rsid w:val="001B39EB"/>
    <w:rsid w:val="001B3A94"/>
    <w:rsid w:val="001B3AE4"/>
    <w:rsid w:val="001B3B36"/>
    <w:rsid w:val="001B3B5F"/>
    <w:rsid w:val="001B3C24"/>
    <w:rsid w:val="001B3C32"/>
    <w:rsid w:val="001B3C4D"/>
    <w:rsid w:val="001B3CA0"/>
    <w:rsid w:val="001B3CB4"/>
    <w:rsid w:val="001B3CC7"/>
    <w:rsid w:val="001B3CC9"/>
    <w:rsid w:val="001B3CCE"/>
    <w:rsid w:val="001B3DB8"/>
    <w:rsid w:val="001B3DFF"/>
    <w:rsid w:val="001B3F44"/>
    <w:rsid w:val="001B3FFF"/>
    <w:rsid w:val="001B4036"/>
    <w:rsid w:val="001B4077"/>
    <w:rsid w:val="001B40D8"/>
    <w:rsid w:val="001B4157"/>
    <w:rsid w:val="001B4266"/>
    <w:rsid w:val="001B42D7"/>
    <w:rsid w:val="001B431F"/>
    <w:rsid w:val="001B4328"/>
    <w:rsid w:val="001B432E"/>
    <w:rsid w:val="001B433D"/>
    <w:rsid w:val="001B43E1"/>
    <w:rsid w:val="001B443E"/>
    <w:rsid w:val="001B444F"/>
    <w:rsid w:val="001B4567"/>
    <w:rsid w:val="001B45F2"/>
    <w:rsid w:val="001B4663"/>
    <w:rsid w:val="001B46ED"/>
    <w:rsid w:val="001B47C2"/>
    <w:rsid w:val="001B47C3"/>
    <w:rsid w:val="001B47CF"/>
    <w:rsid w:val="001B4A47"/>
    <w:rsid w:val="001B4ABA"/>
    <w:rsid w:val="001B4B3F"/>
    <w:rsid w:val="001B4BBB"/>
    <w:rsid w:val="001B4C4B"/>
    <w:rsid w:val="001B4CA7"/>
    <w:rsid w:val="001B4CAC"/>
    <w:rsid w:val="001B4D23"/>
    <w:rsid w:val="001B4D5B"/>
    <w:rsid w:val="001B4D7C"/>
    <w:rsid w:val="001B4D83"/>
    <w:rsid w:val="001B4E2E"/>
    <w:rsid w:val="001B4E38"/>
    <w:rsid w:val="001B4EAD"/>
    <w:rsid w:val="001B4F1F"/>
    <w:rsid w:val="001B4FDB"/>
    <w:rsid w:val="001B5132"/>
    <w:rsid w:val="001B515C"/>
    <w:rsid w:val="001B52E0"/>
    <w:rsid w:val="001B53CD"/>
    <w:rsid w:val="001B53E3"/>
    <w:rsid w:val="001B53FF"/>
    <w:rsid w:val="001B54A4"/>
    <w:rsid w:val="001B54B7"/>
    <w:rsid w:val="001B54CB"/>
    <w:rsid w:val="001B5515"/>
    <w:rsid w:val="001B55B4"/>
    <w:rsid w:val="001B55E5"/>
    <w:rsid w:val="001B564C"/>
    <w:rsid w:val="001B568B"/>
    <w:rsid w:val="001B56C0"/>
    <w:rsid w:val="001B56C7"/>
    <w:rsid w:val="001B56CE"/>
    <w:rsid w:val="001B56FA"/>
    <w:rsid w:val="001B5703"/>
    <w:rsid w:val="001B589B"/>
    <w:rsid w:val="001B592D"/>
    <w:rsid w:val="001B594B"/>
    <w:rsid w:val="001B5980"/>
    <w:rsid w:val="001B59A4"/>
    <w:rsid w:val="001B59F3"/>
    <w:rsid w:val="001B5A45"/>
    <w:rsid w:val="001B5A8E"/>
    <w:rsid w:val="001B5A95"/>
    <w:rsid w:val="001B5AC2"/>
    <w:rsid w:val="001B5CB9"/>
    <w:rsid w:val="001B5CF8"/>
    <w:rsid w:val="001B5D30"/>
    <w:rsid w:val="001B5D43"/>
    <w:rsid w:val="001B5DBB"/>
    <w:rsid w:val="001B5DF3"/>
    <w:rsid w:val="001B5EBF"/>
    <w:rsid w:val="001B6014"/>
    <w:rsid w:val="001B60DF"/>
    <w:rsid w:val="001B6120"/>
    <w:rsid w:val="001B6251"/>
    <w:rsid w:val="001B62DE"/>
    <w:rsid w:val="001B6326"/>
    <w:rsid w:val="001B6391"/>
    <w:rsid w:val="001B63CA"/>
    <w:rsid w:val="001B64AA"/>
    <w:rsid w:val="001B65C3"/>
    <w:rsid w:val="001B662F"/>
    <w:rsid w:val="001B66BE"/>
    <w:rsid w:val="001B6780"/>
    <w:rsid w:val="001B6864"/>
    <w:rsid w:val="001B690B"/>
    <w:rsid w:val="001B69E3"/>
    <w:rsid w:val="001B6AA1"/>
    <w:rsid w:val="001B6B29"/>
    <w:rsid w:val="001B6B96"/>
    <w:rsid w:val="001B6BA8"/>
    <w:rsid w:val="001B6BFC"/>
    <w:rsid w:val="001B6C29"/>
    <w:rsid w:val="001B6C36"/>
    <w:rsid w:val="001B6D4A"/>
    <w:rsid w:val="001B6E1F"/>
    <w:rsid w:val="001B6EDF"/>
    <w:rsid w:val="001B6F81"/>
    <w:rsid w:val="001B6FBD"/>
    <w:rsid w:val="001B6FEA"/>
    <w:rsid w:val="001B713D"/>
    <w:rsid w:val="001B7339"/>
    <w:rsid w:val="001B7350"/>
    <w:rsid w:val="001B74DC"/>
    <w:rsid w:val="001B7633"/>
    <w:rsid w:val="001B76A1"/>
    <w:rsid w:val="001B76CF"/>
    <w:rsid w:val="001B76D8"/>
    <w:rsid w:val="001B7761"/>
    <w:rsid w:val="001B77D5"/>
    <w:rsid w:val="001B77FB"/>
    <w:rsid w:val="001B7856"/>
    <w:rsid w:val="001B7868"/>
    <w:rsid w:val="001B7994"/>
    <w:rsid w:val="001B79BA"/>
    <w:rsid w:val="001B7A74"/>
    <w:rsid w:val="001B7BE5"/>
    <w:rsid w:val="001B7BED"/>
    <w:rsid w:val="001B7CA3"/>
    <w:rsid w:val="001B7CEF"/>
    <w:rsid w:val="001B7D2F"/>
    <w:rsid w:val="001B7D5A"/>
    <w:rsid w:val="001B7E65"/>
    <w:rsid w:val="001B7F4D"/>
    <w:rsid w:val="001B7F8D"/>
    <w:rsid w:val="001B7F9A"/>
    <w:rsid w:val="001B7F9E"/>
    <w:rsid w:val="001C0034"/>
    <w:rsid w:val="001C006A"/>
    <w:rsid w:val="001C00D7"/>
    <w:rsid w:val="001C01EE"/>
    <w:rsid w:val="001C026F"/>
    <w:rsid w:val="001C0352"/>
    <w:rsid w:val="001C0365"/>
    <w:rsid w:val="001C03AA"/>
    <w:rsid w:val="001C04D5"/>
    <w:rsid w:val="001C0530"/>
    <w:rsid w:val="001C05A2"/>
    <w:rsid w:val="001C076E"/>
    <w:rsid w:val="001C07CD"/>
    <w:rsid w:val="001C0851"/>
    <w:rsid w:val="001C0A21"/>
    <w:rsid w:val="001C0AAF"/>
    <w:rsid w:val="001C0BA8"/>
    <w:rsid w:val="001C0CA8"/>
    <w:rsid w:val="001C0CBD"/>
    <w:rsid w:val="001C0D4C"/>
    <w:rsid w:val="001C0D8E"/>
    <w:rsid w:val="001C0DAF"/>
    <w:rsid w:val="001C0DB2"/>
    <w:rsid w:val="001C0E2F"/>
    <w:rsid w:val="001C0E88"/>
    <w:rsid w:val="001C0EC9"/>
    <w:rsid w:val="001C0F2B"/>
    <w:rsid w:val="001C0F88"/>
    <w:rsid w:val="001C1087"/>
    <w:rsid w:val="001C1089"/>
    <w:rsid w:val="001C108D"/>
    <w:rsid w:val="001C10F6"/>
    <w:rsid w:val="001C1245"/>
    <w:rsid w:val="001C125F"/>
    <w:rsid w:val="001C1268"/>
    <w:rsid w:val="001C12F6"/>
    <w:rsid w:val="001C1400"/>
    <w:rsid w:val="001C1431"/>
    <w:rsid w:val="001C153B"/>
    <w:rsid w:val="001C154A"/>
    <w:rsid w:val="001C15E5"/>
    <w:rsid w:val="001C1633"/>
    <w:rsid w:val="001C16F4"/>
    <w:rsid w:val="001C1707"/>
    <w:rsid w:val="001C173D"/>
    <w:rsid w:val="001C17BE"/>
    <w:rsid w:val="001C17C0"/>
    <w:rsid w:val="001C17E8"/>
    <w:rsid w:val="001C182E"/>
    <w:rsid w:val="001C1862"/>
    <w:rsid w:val="001C1A67"/>
    <w:rsid w:val="001C1ABA"/>
    <w:rsid w:val="001C1BA1"/>
    <w:rsid w:val="001C1BE2"/>
    <w:rsid w:val="001C1C2F"/>
    <w:rsid w:val="001C1CA9"/>
    <w:rsid w:val="001C1D17"/>
    <w:rsid w:val="001C1D41"/>
    <w:rsid w:val="001C1DC0"/>
    <w:rsid w:val="001C1E1F"/>
    <w:rsid w:val="001C2054"/>
    <w:rsid w:val="001C2077"/>
    <w:rsid w:val="001C226E"/>
    <w:rsid w:val="001C2278"/>
    <w:rsid w:val="001C2323"/>
    <w:rsid w:val="001C2350"/>
    <w:rsid w:val="001C2541"/>
    <w:rsid w:val="001C263E"/>
    <w:rsid w:val="001C26F3"/>
    <w:rsid w:val="001C26F4"/>
    <w:rsid w:val="001C273A"/>
    <w:rsid w:val="001C277A"/>
    <w:rsid w:val="001C27AC"/>
    <w:rsid w:val="001C2808"/>
    <w:rsid w:val="001C2875"/>
    <w:rsid w:val="001C28CF"/>
    <w:rsid w:val="001C28FE"/>
    <w:rsid w:val="001C29BB"/>
    <w:rsid w:val="001C2B4C"/>
    <w:rsid w:val="001C2BB7"/>
    <w:rsid w:val="001C2C04"/>
    <w:rsid w:val="001C2C0A"/>
    <w:rsid w:val="001C2C45"/>
    <w:rsid w:val="001C2C77"/>
    <w:rsid w:val="001C2CCC"/>
    <w:rsid w:val="001C2CFC"/>
    <w:rsid w:val="001C2DC6"/>
    <w:rsid w:val="001C2DEE"/>
    <w:rsid w:val="001C2E5B"/>
    <w:rsid w:val="001C2E8F"/>
    <w:rsid w:val="001C2F35"/>
    <w:rsid w:val="001C2F88"/>
    <w:rsid w:val="001C2FAA"/>
    <w:rsid w:val="001C30A0"/>
    <w:rsid w:val="001C3104"/>
    <w:rsid w:val="001C313A"/>
    <w:rsid w:val="001C31FC"/>
    <w:rsid w:val="001C3223"/>
    <w:rsid w:val="001C322A"/>
    <w:rsid w:val="001C32AC"/>
    <w:rsid w:val="001C32E7"/>
    <w:rsid w:val="001C339D"/>
    <w:rsid w:val="001C34A9"/>
    <w:rsid w:val="001C34B9"/>
    <w:rsid w:val="001C34CA"/>
    <w:rsid w:val="001C34FA"/>
    <w:rsid w:val="001C352E"/>
    <w:rsid w:val="001C3532"/>
    <w:rsid w:val="001C35FC"/>
    <w:rsid w:val="001C363B"/>
    <w:rsid w:val="001C373A"/>
    <w:rsid w:val="001C373B"/>
    <w:rsid w:val="001C37FB"/>
    <w:rsid w:val="001C38CA"/>
    <w:rsid w:val="001C398C"/>
    <w:rsid w:val="001C39A5"/>
    <w:rsid w:val="001C3A8B"/>
    <w:rsid w:val="001C3C50"/>
    <w:rsid w:val="001C3CE5"/>
    <w:rsid w:val="001C3D47"/>
    <w:rsid w:val="001C3D7C"/>
    <w:rsid w:val="001C3E58"/>
    <w:rsid w:val="001C4022"/>
    <w:rsid w:val="001C4107"/>
    <w:rsid w:val="001C4185"/>
    <w:rsid w:val="001C42D8"/>
    <w:rsid w:val="001C430F"/>
    <w:rsid w:val="001C4366"/>
    <w:rsid w:val="001C4431"/>
    <w:rsid w:val="001C44C9"/>
    <w:rsid w:val="001C45C8"/>
    <w:rsid w:val="001C485B"/>
    <w:rsid w:val="001C4894"/>
    <w:rsid w:val="001C4A41"/>
    <w:rsid w:val="001C4AB3"/>
    <w:rsid w:val="001C4AEB"/>
    <w:rsid w:val="001C4B48"/>
    <w:rsid w:val="001C4B7C"/>
    <w:rsid w:val="001C4B7E"/>
    <w:rsid w:val="001C4C15"/>
    <w:rsid w:val="001C4C75"/>
    <w:rsid w:val="001C4C9F"/>
    <w:rsid w:val="001C4E2A"/>
    <w:rsid w:val="001C4E44"/>
    <w:rsid w:val="001C4EB9"/>
    <w:rsid w:val="001C4F40"/>
    <w:rsid w:val="001C4FC6"/>
    <w:rsid w:val="001C4FCD"/>
    <w:rsid w:val="001C500A"/>
    <w:rsid w:val="001C51BB"/>
    <w:rsid w:val="001C51ED"/>
    <w:rsid w:val="001C51F8"/>
    <w:rsid w:val="001C5224"/>
    <w:rsid w:val="001C52D1"/>
    <w:rsid w:val="001C52ED"/>
    <w:rsid w:val="001C5350"/>
    <w:rsid w:val="001C53F7"/>
    <w:rsid w:val="001C5544"/>
    <w:rsid w:val="001C5546"/>
    <w:rsid w:val="001C5612"/>
    <w:rsid w:val="001C5670"/>
    <w:rsid w:val="001C56EB"/>
    <w:rsid w:val="001C571A"/>
    <w:rsid w:val="001C575E"/>
    <w:rsid w:val="001C57EE"/>
    <w:rsid w:val="001C57FC"/>
    <w:rsid w:val="001C5841"/>
    <w:rsid w:val="001C5859"/>
    <w:rsid w:val="001C586F"/>
    <w:rsid w:val="001C5967"/>
    <w:rsid w:val="001C5982"/>
    <w:rsid w:val="001C599E"/>
    <w:rsid w:val="001C5A1B"/>
    <w:rsid w:val="001C5AA7"/>
    <w:rsid w:val="001C5B18"/>
    <w:rsid w:val="001C5C0D"/>
    <w:rsid w:val="001C5C53"/>
    <w:rsid w:val="001C5C5B"/>
    <w:rsid w:val="001C5CAD"/>
    <w:rsid w:val="001C5CB6"/>
    <w:rsid w:val="001C5CCB"/>
    <w:rsid w:val="001C5CE3"/>
    <w:rsid w:val="001C5CE9"/>
    <w:rsid w:val="001C5DBC"/>
    <w:rsid w:val="001C5F63"/>
    <w:rsid w:val="001C601A"/>
    <w:rsid w:val="001C605F"/>
    <w:rsid w:val="001C6091"/>
    <w:rsid w:val="001C6094"/>
    <w:rsid w:val="001C6158"/>
    <w:rsid w:val="001C6194"/>
    <w:rsid w:val="001C62AE"/>
    <w:rsid w:val="001C62E7"/>
    <w:rsid w:val="001C6313"/>
    <w:rsid w:val="001C6457"/>
    <w:rsid w:val="001C645F"/>
    <w:rsid w:val="001C64B4"/>
    <w:rsid w:val="001C64D4"/>
    <w:rsid w:val="001C64FD"/>
    <w:rsid w:val="001C650E"/>
    <w:rsid w:val="001C6717"/>
    <w:rsid w:val="001C6743"/>
    <w:rsid w:val="001C67A4"/>
    <w:rsid w:val="001C682A"/>
    <w:rsid w:val="001C6851"/>
    <w:rsid w:val="001C6947"/>
    <w:rsid w:val="001C6948"/>
    <w:rsid w:val="001C69FE"/>
    <w:rsid w:val="001C6A7B"/>
    <w:rsid w:val="001C6AAC"/>
    <w:rsid w:val="001C6AF8"/>
    <w:rsid w:val="001C6BCC"/>
    <w:rsid w:val="001C6BD5"/>
    <w:rsid w:val="001C6C04"/>
    <w:rsid w:val="001C6CDC"/>
    <w:rsid w:val="001C6DB0"/>
    <w:rsid w:val="001C6E4B"/>
    <w:rsid w:val="001C6E91"/>
    <w:rsid w:val="001C6EC0"/>
    <w:rsid w:val="001C6F25"/>
    <w:rsid w:val="001C6F32"/>
    <w:rsid w:val="001C6F6E"/>
    <w:rsid w:val="001C6FC3"/>
    <w:rsid w:val="001C6FD0"/>
    <w:rsid w:val="001C7029"/>
    <w:rsid w:val="001C7097"/>
    <w:rsid w:val="001C70AB"/>
    <w:rsid w:val="001C7104"/>
    <w:rsid w:val="001C7177"/>
    <w:rsid w:val="001C7304"/>
    <w:rsid w:val="001C7333"/>
    <w:rsid w:val="001C7361"/>
    <w:rsid w:val="001C739A"/>
    <w:rsid w:val="001C73C8"/>
    <w:rsid w:val="001C73CD"/>
    <w:rsid w:val="001C7444"/>
    <w:rsid w:val="001C748F"/>
    <w:rsid w:val="001C7554"/>
    <w:rsid w:val="001C7592"/>
    <w:rsid w:val="001C7671"/>
    <w:rsid w:val="001C76BF"/>
    <w:rsid w:val="001C76F0"/>
    <w:rsid w:val="001C776D"/>
    <w:rsid w:val="001C77CA"/>
    <w:rsid w:val="001C7802"/>
    <w:rsid w:val="001C79A7"/>
    <w:rsid w:val="001C79FB"/>
    <w:rsid w:val="001C7A14"/>
    <w:rsid w:val="001C7A41"/>
    <w:rsid w:val="001C7B2B"/>
    <w:rsid w:val="001C7B61"/>
    <w:rsid w:val="001C7BA9"/>
    <w:rsid w:val="001C7BCF"/>
    <w:rsid w:val="001C7BD3"/>
    <w:rsid w:val="001C7BE8"/>
    <w:rsid w:val="001C7C3E"/>
    <w:rsid w:val="001C7F36"/>
    <w:rsid w:val="001C7F79"/>
    <w:rsid w:val="001C7FD3"/>
    <w:rsid w:val="001D001B"/>
    <w:rsid w:val="001D0043"/>
    <w:rsid w:val="001D007E"/>
    <w:rsid w:val="001D00F0"/>
    <w:rsid w:val="001D01A7"/>
    <w:rsid w:val="001D01D8"/>
    <w:rsid w:val="001D021A"/>
    <w:rsid w:val="001D022D"/>
    <w:rsid w:val="001D032B"/>
    <w:rsid w:val="001D0332"/>
    <w:rsid w:val="001D033A"/>
    <w:rsid w:val="001D0387"/>
    <w:rsid w:val="001D044F"/>
    <w:rsid w:val="001D0549"/>
    <w:rsid w:val="001D05FF"/>
    <w:rsid w:val="001D0616"/>
    <w:rsid w:val="001D0662"/>
    <w:rsid w:val="001D06C3"/>
    <w:rsid w:val="001D070E"/>
    <w:rsid w:val="001D0777"/>
    <w:rsid w:val="001D07A1"/>
    <w:rsid w:val="001D084E"/>
    <w:rsid w:val="001D0955"/>
    <w:rsid w:val="001D0A29"/>
    <w:rsid w:val="001D0AB7"/>
    <w:rsid w:val="001D0AC3"/>
    <w:rsid w:val="001D0B02"/>
    <w:rsid w:val="001D0B75"/>
    <w:rsid w:val="001D0C5E"/>
    <w:rsid w:val="001D0C87"/>
    <w:rsid w:val="001D0CBB"/>
    <w:rsid w:val="001D0CC2"/>
    <w:rsid w:val="001D0CDC"/>
    <w:rsid w:val="001D0CF7"/>
    <w:rsid w:val="001D0D3D"/>
    <w:rsid w:val="001D0DB0"/>
    <w:rsid w:val="001D0DC7"/>
    <w:rsid w:val="001D0EC6"/>
    <w:rsid w:val="001D0EDC"/>
    <w:rsid w:val="001D0EE5"/>
    <w:rsid w:val="001D0F6A"/>
    <w:rsid w:val="001D0FB5"/>
    <w:rsid w:val="001D104B"/>
    <w:rsid w:val="001D1080"/>
    <w:rsid w:val="001D1158"/>
    <w:rsid w:val="001D1179"/>
    <w:rsid w:val="001D11B9"/>
    <w:rsid w:val="001D129C"/>
    <w:rsid w:val="001D12EB"/>
    <w:rsid w:val="001D131B"/>
    <w:rsid w:val="001D135B"/>
    <w:rsid w:val="001D14AE"/>
    <w:rsid w:val="001D14C2"/>
    <w:rsid w:val="001D14ED"/>
    <w:rsid w:val="001D155A"/>
    <w:rsid w:val="001D175E"/>
    <w:rsid w:val="001D17C4"/>
    <w:rsid w:val="001D17DF"/>
    <w:rsid w:val="001D181D"/>
    <w:rsid w:val="001D1826"/>
    <w:rsid w:val="001D182C"/>
    <w:rsid w:val="001D1844"/>
    <w:rsid w:val="001D194B"/>
    <w:rsid w:val="001D19DF"/>
    <w:rsid w:val="001D19FC"/>
    <w:rsid w:val="001D1AFD"/>
    <w:rsid w:val="001D1B16"/>
    <w:rsid w:val="001D1B87"/>
    <w:rsid w:val="001D1EB9"/>
    <w:rsid w:val="001D1F0F"/>
    <w:rsid w:val="001D1F12"/>
    <w:rsid w:val="001D1F14"/>
    <w:rsid w:val="001D1F3C"/>
    <w:rsid w:val="001D200E"/>
    <w:rsid w:val="001D2058"/>
    <w:rsid w:val="001D20EB"/>
    <w:rsid w:val="001D2121"/>
    <w:rsid w:val="001D2162"/>
    <w:rsid w:val="001D21F3"/>
    <w:rsid w:val="001D2469"/>
    <w:rsid w:val="001D24D2"/>
    <w:rsid w:val="001D255F"/>
    <w:rsid w:val="001D2656"/>
    <w:rsid w:val="001D27EB"/>
    <w:rsid w:val="001D2800"/>
    <w:rsid w:val="001D28AC"/>
    <w:rsid w:val="001D28E9"/>
    <w:rsid w:val="001D2967"/>
    <w:rsid w:val="001D2AB4"/>
    <w:rsid w:val="001D2AC9"/>
    <w:rsid w:val="001D2B1D"/>
    <w:rsid w:val="001D2C03"/>
    <w:rsid w:val="001D2C24"/>
    <w:rsid w:val="001D2C86"/>
    <w:rsid w:val="001D2DBA"/>
    <w:rsid w:val="001D2DCA"/>
    <w:rsid w:val="001D2EDC"/>
    <w:rsid w:val="001D2EFB"/>
    <w:rsid w:val="001D2F6F"/>
    <w:rsid w:val="001D2F72"/>
    <w:rsid w:val="001D2F77"/>
    <w:rsid w:val="001D2F98"/>
    <w:rsid w:val="001D2FD9"/>
    <w:rsid w:val="001D2FFA"/>
    <w:rsid w:val="001D3002"/>
    <w:rsid w:val="001D309B"/>
    <w:rsid w:val="001D30E2"/>
    <w:rsid w:val="001D30E5"/>
    <w:rsid w:val="001D3115"/>
    <w:rsid w:val="001D319A"/>
    <w:rsid w:val="001D32D3"/>
    <w:rsid w:val="001D3467"/>
    <w:rsid w:val="001D34BE"/>
    <w:rsid w:val="001D3551"/>
    <w:rsid w:val="001D355A"/>
    <w:rsid w:val="001D3608"/>
    <w:rsid w:val="001D363B"/>
    <w:rsid w:val="001D36CC"/>
    <w:rsid w:val="001D3700"/>
    <w:rsid w:val="001D370A"/>
    <w:rsid w:val="001D3771"/>
    <w:rsid w:val="001D37C4"/>
    <w:rsid w:val="001D37FC"/>
    <w:rsid w:val="001D386E"/>
    <w:rsid w:val="001D389F"/>
    <w:rsid w:val="001D39E2"/>
    <w:rsid w:val="001D3A2C"/>
    <w:rsid w:val="001D3ACF"/>
    <w:rsid w:val="001D3AE6"/>
    <w:rsid w:val="001D3B17"/>
    <w:rsid w:val="001D3B23"/>
    <w:rsid w:val="001D3B9F"/>
    <w:rsid w:val="001D3BFD"/>
    <w:rsid w:val="001D3CAF"/>
    <w:rsid w:val="001D3D1A"/>
    <w:rsid w:val="001D3D57"/>
    <w:rsid w:val="001D3D58"/>
    <w:rsid w:val="001D3DAE"/>
    <w:rsid w:val="001D3DD8"/>
    <w:rsid w:val="001D3DE9"/>
    <w:rsid w:val="001D3DEB"/>
    <w:rsid w:val="001D3E12"/>
    <w:rsid w:val="001D3E64"/>
    <w:rsid w:val="001D3E99"/>
    <w:rsid w:val="001D3EF9"/>
    <w:rsid w:val="001D4041"/>
    <w:rsid w:val="001D40A8"/>
    <w:rsid w:val="001D40B0"/>
    <w:rsid w:val="001D40C8"/>
    <w:rsid w:val="001D4160"/>
    <w:rsid w:val="001D41C9"/>
    <w:rsid w:val="001D428A"/>
    <w:rsid w:val="001D42FB"/>
    <w:rsid w:val="001D4372"/>
    <w:rsid w:val="001D43E0"/>
    <w:rsid w:val="001D43E5"/>
    <w:rsid w:val="001D44C3"/>
    <w:rsid w:val="001D44EB"/>
    <w:rsid w:val="001D44F5"/>
    <w:rsid w:val="001D450C"/>
    <w:rsid w:val="001D4515"/>
    <w:rsid w:val="001D4516"/>
    <w:rsid w:val="001D45E7"/>
    <w:rsid w:val="001D45EA"/>
    <w:rsid w:val="001D45EE"/>
    <w:rsid w:val="001D45F2"/>
    <w:rsid w:val="001D46CE"/>
    <w:rsid w:val="001D4703"/>
    <w:rsid w:val="001D471F"/>
    <w:rsid w:val="001D473E"/>
    <w:rsid w:val="001D4771"/>
    <w:rsid w:val="001D47B8"/>
    <w:rsid w:val="001D47E7"/>
    <w:rsid w:val="001D48A9"/>
    <w:rsid w:val="001D48C2"/>
    <w:rsid w:val="001D4991"/>
    <w:rsid w:val="001D49D0"/>
    <w:rsid w:val="001D4AAB"/>
    <w:rsid w:val="001D4B00"/>
    <w:rsid w:val="001D4B19"/>
    <w:rsid w:val="001D4B80"/>
    <w:rsid w:val="001D4C17"/>
    <w:rsid w:val="001D4CB6"/>
    <w:rsid w:val="001D4CD9"/>
    <w:rsid w:val="001D4CEF"/>
    <w:rsid w:val="001D4D66"/>
    <w:rsid w:val="001D4F25"/>
    <w:rsid w:val="001D4F29"/>
    <w:rsid w:val="001D4F8D"/>
    <w:rsid w:val="001D506D"/>
    <w:rsid w:val="001D5094"/>
    <w:rsid w:val="001D5185"/>
    <w:rsid w:val="001D51B0"/>
    <w:rsid w:val="001D5219"/>
    <w:rsid w:val="001D52B8"/>
    <w:rsid w:val="001D54FD"/>
    <w:rsid w:val="001D558E"/>
    <w:rsid w:val="001D563C"/>
    <w:rsid w:val="001D5715"/>
    <w:rsid w:val="001D5782"/>
    <w:rsid w:val="001D586A"/>
    <w:rsid w:val="001D58A9"/>
    <w:rsid w:val="001D592F"/>
    <w:rsid w:val="001D5931"/>
    <w:rsid w:val="001D5947"/>
    <w:rsid w:val="001D5985"/>
    <w:rsid w:val="001D59EE"/>
    <w:rsid w:val="001D59FB"/>
    <w:rsid w:val="001D5A33"/>
    <w:rsid w:val="001D5ACD"/>
    <w:rsid w:val="001D5AD3"/>
    <w:rsid w:val="001D5BAB"/>
    <w:rsid w:val="001D5BBE"/>
    <w:rsid w:val="001D5BC2"/>
    <w:rsid w:val="001D5C0A"/>
    <w:rsid w:val="001D5CB6"/>
    <w:rsid w:val="001D5D0A"/>
    <w:rsid w:val="001D5D76"/>
    <w:rsid w:val="001D5DA2"/>
    <w:rsid w:val="001D5E16"/>
    <w:rsid w:val="001D5F06"/>
    <w:rsid w:val="001D5F83"/>
    <w:rsid w:val="001D5FD9"/>
    <w:rsid w:val="001D6108"/>
    <w:rsid w:val="001D61C6"/>
    <w:rsid w:val="001D6226"/>
    <w:rsid w:val="001D6235"/>
    <w:rsid w:val="001D6249"/>
    <w:rsid w:val="001D62B0"/>
    <w:rsid w:val="001D636D"/>
    <w:rsid w:val="001D639A"/>
    <w:rsid w:val="001D63D4"/>
    <w:rsid w:val="001D643F"/>
    <w:rsid w:val="001D64E3"/>
    <w:rsid w:val="001D64EA"/>
    <w:rsid w:val="001D6595"/>
    <w:rsid w:val="001D664A"/>
    <w:rsid w:val="001D6839"/>
    <w:rsid w:val="001D686C"/>
    <w:rsid w:val="001D6895"/>
    <w:rsid w:val="001D69EC"/>
    <w:rsid w:val="001D6A69"/>
    <w:rsid w:val="001D6A6E"/>
    <w:rsid w:val="001D6B72"/>
    <w:rsid w:val="001D6B81"/>
    <w:rsid w:val="001D6C2B"/>
    <w:rsid w:val="001D6C42"/>
    <w:rsid w:val="001D6D01"/>
    <w:rsid w:val="001D6D05"/>
    <w:rsid w:val="001D6D62"/>
    <w:rsid w:val="001D6D86"/>
    <w:rsid w:val="001D6DA9"/>
    <w:rsid w:val="001D6DF1"/>
    <w:rsid w:val="001D6EE1"/>
    <w:rsid w:val="001D6F2B"/>
    <w:rsid w:val="001D6F36"/>
    <w:rsid w:val="001D6F41"/>
    <w:rsid w:val="001D702A"/>
    <w:rsid w:val="001D7049"/>
    <w:rsid w:val="001D7058"/>
    <w:rsid w:val="001D707A"/>
    <w:rsid w:val="001D708E"/>
    <w:rsid w:val="001D70A8"/>
    <w:rsid w:val="001D7205"/>
    <w:rsid w:val="001D72E3"/>
    <w:rsid w:val="001D72EB"/>
    <w:rsid w:val="001D7455"/>
    <w:rsid w:val="001D74CC"/>
    <w:rsid w:val="001D7532"/>
    <w:rsid w:val="001D754C"/>
    <w:rsid w:val="001D7578"/>
    <w:rsid w:val="001D7584"/>
    <w:rsid w:val="001D75CA"/>
    <w:rsid w:val="001D75F5"/>
    <w:rsid w:val="001D7635"/>
    <w:rsid w:val="001D7675"/>
    <w:rsid w:val="001D7725"/>
    <w:rsid w:val="001D7827"/>
    <w:rsid w:val="001D790B"/>
    <w:rsid w:val="001D7933"/>
    <w:rsid w:val="001D79DA"/>
    <w:rsid w:val="001D79E3"/>
    <w:rsid w:val="001D7A0B"/>
    <w:rsid w:val="001D7A7B"/>
    <w:rsid w:val="001D7B0F"/>
    <w:rsid w:val="001D7B1B"/>
    <w:rsid w:val="001D7B7A"/>
    <w:rsid w:val="001D7BAF"/>
    <w:rsid w:val="001D7C34"/>
    <w:rsid w:val="001D7DAC"/>
    <w:rsid w:val="001D7E09"/>
    <w:rsid w:val="001D7F46"/>
    <w:rsid w:val="001D7F4D"/>
    <w:rsid w:val="001D7F9D"/>
    <w:rsid w:val="001E0018"/>
    <w:rsid w:val="001E001B"/>
    <w:rsid w:val="001E00C2"/>
    <w:rsid w:val="001E00E9"/>
    <w:rsid w:val="001E0101"/>
    <w:rsid w:val="001E0107"/>
    <w:rsid w:val="001E012E"/>
    <w:rsid w:val="001E013F"/>
    <w:rsid w:val="001E01B3"/>
    <w:rsid w:val="001E0334"/>
    <w:rsid w:val="001E033E"/>
    <w:rsid w:val="001E0527"/>
    <w:rsid w:val="001E0544"/>
    <w:rsid w:val="001E0601"/>
    <w:rsid w:val="001E0619"/>
    <w:rsid w:val="001E067B"/>
    <w:rsid w:val="001E0688"/>
    <w:rsid w:val="001E0770"/>
    <w:rsid w:val="001E07B7"/>
    <w:rsid w:val="001E0873"/>
    <w:rsid w:val="001E0969"/>
    <w:rsid w:val="001E09BE"/>
    <w:rsid w:val="001E0AC1"/>
    <w:rsid w:val="001E0AC5"/>
    <w:rsid w:val="001E0C68"/>
    <w:rsid w:val="001E0D1B"/>
    <w:rsid w:val="001E0E4B"/>
    <w:rsid w:val="001E0EB4"/>
    <w:rsid w:val="001E0FAA"/>
    <w:rsid w:val="001E0FAB"/>
    <w:rsid w:val="001E0FC9"/>
    <w:rsid w:val="001E1039"/>
    <w:rsid w:val="001E1052"/>
    <w:rsid w:val="001E1096"/>
    <w:rsid w:val="001E10FA"/>
    <w:rsid w:val="001E1105"/>
    <w:rsid w:val="001E117E"/>
    <w:rsid w:val="001E11AC"/>
    <w:rsid w:val="001E11E9"/>
    <w:rsid w:val="001E1200"/>
    <w:rsid w:val="001E1212"/>
    <w:rsid w:val="001E122F"/>
    <w:rsid w:val="001E1231"/>
    <w:rsid w:val="001E12ED"/>
    <w:rsid w:val="001E13A5"/>
    <w:rsid w:val="001E141A"/>
    <w:rsid w:val="001E1468"/>
    <w:rsid w:val="001E1488"/>
    <w:rsid w:val="001E1489"/>
    <w:rsid w:val="001E149F"/>
    <w:rsid w:val="001E14FA"/>
    <w:rsid w:val="001E154B"/>
    <w:rsid w:val="001E16E1"/>
    <w:rsid w:val="001E16F2"/>
    <w:rsid w:val="001E1704"/>
    <w:rsid w:val="001E1833"/>
    <w:rsid w:val="001E183B"/>
    <w:rsid w:val="001E1860"/>
    <w:rsid w:val="001E1948"/>
    <w:rsid w:val="001E198B"/>
    <w:rsid w:val="001E198F"/>
    <w:rsid w:val="001E1A31"/>
    <w:rsid w:val="001E1A72"/>
    <w:rsid w:val="001E1AFD"/>
    <w:rsid w:val="001E1C13"/>
    <w:rsid w:val="001E1C3F"/>
    <w:rsid w:val="001E1CB2"/>
    <w:rsid w:val="001E1D29"/>
    <w:rsid w:val="001E1D72"/>
    <w:rsid w:val="001E1F55"/>
    <w:rsid w:val="001E1F8F"/>
    <w:rsid w:val="001E1FB2"/>
    <w:rsid w:val="001E1FCC"/>
    <w:rsid w:val="001E2012"/>
    <w:rsid w:val="001E2074"/>
    <w:rsid w:val="001E208D"/>
    <w:rsid w:val="001E20A6"/>
    <w:rsid w:val="001E20AE"/>
    <w:rsid w:val="001E21CB"/>
    <w:rsid w:val="001E22B5"/>
    <w:rsid w:val="001E249E"/>
    <w:rsid w:val="001E257E"/>
    <w:rsid w:val="001E25C8"/>
    <w:rsid w:val="001E25FB"/>
    <w:rsid w:val="001E2601"/>
    <w:rsid w:val="001E2665"/>
    <w:rsid w:val="001E278C"/>
    <w:rsid w:val="001E27B1"/>
    <w:rsid w:val="001E27C8"/>
    <w:rsid w:val="001E2807"/>
    <w:rsid w:val="001E283A"/>
    <w:rsid w:val="001E284C"/>
    <w:rsid w:val="001E2886"/>
    <w:rsid w:val="001E2982"/>
    <w:rsid w:val="001E2A9F"/>
    <w:rsid w:val="001E2B0A"/>
    <w:rsid w:val="001E2BE6"/>
    <w:rsid w:val="001E2BF8"/>
    <w:rsid w:val="001E2C15"/>
    <w:rsid w:val="001E2CE5"/>
    <w:rsid w:val="001E2D21"/>
    <w:rsid w:val="001E2D35"/>
    <w:rsid w:val="001E2D8E"/>
    <w:rsid w:val="001E2DB6"/>
    <w:rsid w:val="001E2DD7"/>
    <w:rsid w:val="001E2ED2"/>
    <w:rsid w:val="001E2ED5"/>
    <w:rsid w:val="001E2F45"/>
    <w:rsid w:val="001E2F79"/>
    <w:rsid w:val="001E2F90"/>
    <w:rsid w:val="001E3177"/>
    <w:rsid w:val="001E3202"/>
    <w:rsid w:val="001E327D"/>
    <w:rsid w:val="001E32B5"/>
    <w:rsid w:val="001E3325"/>
    <w:rsid w:val="001E342B"/>
    <w:rsid w:val="001E34F7"/>
    <w:rsid w:val="001E3550"/>
    <w:rsid w:val="001E3649"/>
    <w:rsid w:val="001E368E"/>
    <w:rsid w:val="001E36A7"/>
    <w:rsid w:val="001E36C3"/>
    <w:rsid w:val="001E37EC"/>
    <w:rsid w:val="001E37F4"/>
    <w:rsid w:val="001E383C"/>
    <w:rsid w:val="001E398B"/>
    <w:rsid w:val="001E3A3F"/>
    <w:rsid w:val="001E3A63"/>
    <w:rsid w:val="001E3A67"/>
    <w:rsid w:val="001E3BA2"/>
    <w:rsid w:val="001E3CDA"/>
    <w:rsid w:val="001E3D62"/>
    <w:rsid w:val="001E3DE1"/>
    <w:rsid w:val="001E3E44"/>
    <w:rsid w:val="001E3F79"/>
    <w:rsid w:val="001E3F93"/>
    <w:rsid w:val="001E4123"/>
    <w:rsid w:val="001E4227"/>
    <w:rsid w:val="001E4352"/>
    <w:rsid w:val="001E4366"/>
    <w:rsid w:val="001E439D"/>
    <w:rsid w:val="001E43DB"/>
    <w:rsid w:val="001E4448"/>
    <w:rsid w:val="001E4492"/>
    <w:rsid w:val="001E45CC"/>
    <w:rsid w:val="001E46E5"/>
    <w:rsid w:val="001E4703"/>
    <w:rsid w:val="001E47A5"/>
    <w:rsid w:val="001E47D7"/>
    <w:rsid w:val="001E48D6"/>
    <w:rsid w:val="001E49B2"/>
    <w:rsid w:val="001E49B6"/>
    <w:rsid w:val="001E4A2B"/>
    <w:rsid w:val="001E4A94"/>
    <w:rsid w:val="001E4AC3"/>
    <w:rsid w:val="001E4ACA"/>
    <w:rsid w:val="001E4BA2"/>
    <w:rsid w:val="001E4BE4"/>
    <w:rsid w:val="001E4C97"/>
    <w:rsid w:val="001E4CAE"/>
    <w:rsid w:val="001E4D56"/>
    <w:rsid w:val="001E4D83"/>
    <w:rsid w:val="001E4D86"/>
    <w:rsid w:val="001E4DBF"/>
    <w:rsid w:val="001E4DCD"/>
    <w:rsid w:val="001E4E0D"/>
    <w:rsid w:val="001E4F7E"/>
    <w:rsid w:val="001E4FA2"/>
    <w:rsid w:val="001E5094"/>
    <w:rsid w:val="001E5098"/>
    <w:rsid w:val="001E510E"/>
    <w:rsid w:val="001E51CA"/>
    <w:rsid w:val="001E51DA"/>
    <w:rsid w:val="001E531A"/>
    <w:rsid w:val="001E5398"/>
    <w:rsid w:val="001E53BC"/>
    <w:rsid w:val="001E53CC"/>
    <w:rsid w:val="001E546E"/>
    <w:rsid w:val="001E5521"/>
    <w:rsid w:val="001E553D"/>
    <w:rsid w:val="001E56E5"/>
    <w:rsid w:val="001E5916"/>
    <w:rsid w:val="001E5936"/>
    <w:rsid w:val="001E5944"/>
    <w:rsid w:val="001E5A5C"/>
    <w:rsid w:val="001E5AB9"/>
    <w:rsid w:val="001E5C8B"/>
    <w:rsid w:val="001E5C90"/>
    <w:rsid w:val="001E5CB3"/>
    <w:rsid w:val="001E5D3C"/>
    <w:rsid w:val="001E5DD3"/>
    <w:rsid w:val="001E5DF7"/>
    <w:rsid w:val="001E5E2A"/>
    <w:rsid w:val="001E5EA4"/>
    <w:rsid w:val="001E5F21"/>
    <w:rsid w:val="001E5F4C"/>
    <w:rsid w:val="001E5FCE"/>
    <w:rsid w:val="001E6034"/>
    <w:rsid w:val="001E60FA"/>
    <w:rsid w:val="001E6146"/>
    <w:rsid w:val="001E618F"/>
    <w:rsid w:val="001E621E"/>
    <w:rsid w:val="001E624D"/>
    <w:rsid w:val="001E62AC"/>
    <w:rsid w:val="001E631C"/>
    <w:rsid w:val="001E6349"/>
    <w:rsid w:val="001E646E"/>
    <w:rsid w:val="001E6544"/>
    <w:rsid w:val="001E65F5"/>
    <w:rsid w:val="001E66CB"/>
    <w:rsid w:val="001E66E5"/>
    <w:rsid w:val="001E674E"/>
    <w:rsid w:val="001E675B"/>
    <w:rsid w:val="001E679B"/>
    <w:rsid w:val="001E679E"/>
    <w:rsid w:val="001E67E7"/>
    <w:rsid w:val="001E695D"/>
    <w:rsid w:val="001E6985"/>
    <w:rsid w:val="001E699D"/>
    <w:rsid w:val="001E69CF"/>
    <w:rsid w:val="001E69F3"/>
    <w:rsid w:val="001E6A16"/>
    <w:rsid w:val="001E6B1F"/>
    <w:rsid w:val="001E6B4F"/>
    <w:rsid w:val="001E6B63"/>
    <w:rsid w:val="001E6CB7"/>
    <w:rsid w:val="001E6F29"/>
    <w:rsid w:val="001E6F34"/>
    <w:rsid w:val="001E6F3D"/>
    <w:rsid w:val="001E70A6"/>
    <w:rsid w:val="001E70B0"/>
    <w:rsid w:val="001E7128"/>
    <w:rsid w:val="001E713A"/>
    <w:rsid w:val="001E716B"/>
    <w:rsid w:val="001E71C6"/>
    <w:rsid w:val="001E72DD"/>
    <w:rsid w:val="001E73AE"/>
    <w:rsid w:val="001E7481"/>
    <w:rsid w:val="001E748D"/>
    <w:rsid w:val="001E748E"/>
    <w:rsid w:val="001E74DA"/>
    <w:rsid w:val="001E7538"/>
    <w:rsid w:val="001E7543"/>
    <w:rsid w:val="001E75F8"/>
    <w:rsid w:val="001E7707"/>
    <w:rsid w:val="001E770E"/>
    <w:rsid w:val="001E773C"/>
    <w:rsid w:val="001E774D"/>
    <w:rsid w:val="001E79CA"/>
    <w:rsid w:val="001E7AF1"/>
    <w:rsid w:val="001E7B3E"/>
    <w:rsid w:val="001E7B58"/>
    <w:rsid w:val="001E7DEF"/>
    <w:rsid w:val="001E7EBA"/>
    <w:rsid w:val="001E7ECB"/>
    <w:rsid w:val="001E7EF9"/>
    <w:rsid w:val="001E7F64"/>
    <w:rsid w:val="001F00ED"/>
    <w:rsid w:val="001F00F0"/>
    <w:rsid w:val="001F011E"/>
    <w:rsid w:val="001F018A"/>
    <w:rsid w:val="001F01BF"/>
    <w:rsid w:val="001F0353"/>
    <w:rsid w:val="001F0412"/>
    <w:rsid w:val="001F0415"/>
    <w:rsid w:val="001F041D"/>
    <w:rsid w:val="001F046A"/>
    <w:rsid w:val="001F05E3"/>
    <w:rsid w:val="001F0607"/>
    <w:rsid w:val="001F0667"/>
    <w:rsid w:val="001F071B"/>
    <w:rsid w:val="001F0723"/>
    <w:rsid w:val="001F0781"/>
    <w:rsid w:val="001F082F"/>
    <w:rsid w:val="001F0ADA"/>
    <w:rsid w:val="001F0B02"/>
    <w:rsid w:val="001F0B0A"/>
    <w:rsid w:val="001F0B14"/>
    <w:rsid w:val="001F0B1A"/>
    <w:rsid w:val="001F0B43"/>
    <w:rsid w:val="001F0B96"/>
    <w:rsid w:val="001F0BD6"/>
    <w:rsid w:val="001F0C06"/>
    <w:rsid w:val="001F0C5D"/>
    <w:rsid w:val="001F0D34"/>
    <w:rsid w:val="001F0D7C"/>
    <w:rsid w:val="001F0DE8"/>
    <w:rsid w:val="001F0F54"/>
    <w:rsid w:val="001F0F8A"/>
    <w:rsid w:val="001F10AA"/>
    <w:rsid w:val="001F11CB"/>
    <w:rsid w:val="001F121F"/>
    <w:rsid w:val="001F12DE"/>
    <w:rsid w:val="001F136E"/>
    <w:rsid w:val="001F1378"/>
    <w:rsid w:val="001F13D5"/>
    <w:rsid w:val="001F1545"/>
    <w:rsid w:val="001F15B0"/>
    <w:rsid w:val="001F1650"/>
    <w:rsid w:val="001F1685"/>
    <w:rsid w:val="001F1690"/>
    <w:rsid w:val="001F1758"/>
    <w:rsid w:val="001F1794"/>
    <w:rsid w:val="001F18CC"/>
    <w:rsid w:val="001F18FF"/>
    <w:rsid w:val="001F1921"/>
    <w:rsid w:val="001F1956"/>
    <w:rsid w:val="001F196D"/>
    <w:rsid w:val="001F19BC"/>
    <w:rsid w:val="001F19BE"/>
    <w:rsid w:val="001F1A17"/>
    <w:rsid w:val="001F1AC4"/>
    <w:rsid w:val="001F1AF7"/>
    <w:rsid w:val="001F1AFD"/>
    <w:rsid w:val="001F1B3E"/>
    <w:rsid w:val="001F1CDC"/>
    <w:rsid w:val="001F1D1A"/>
    <w:rsid w:val="001F1D69"/>
    <w:rsid w:val="001F1E4B"/>
    <w:rsid w:val="001F1F2C"/>
    <w:rsid w:val="001F1F8A"/>
    <w:rsid w:val="001F20DB"/>
    <w:rsid w:val="001F2127"/>
    <w:rsid w:val="001F2172"/>
    <w:rsid w:val="001F2184"/>
    <w:rsid w:val="001F21E4"/>
    <w:rsid w:val="001F2224"/>
    <w:rsid w:val="001F225C"/>
    <w:rsid w:val="001F226E"/>
    <w:rsid w:val="001F2305"/>
    <w:rsid w:val="001F239F"/>
    <w:rsid w:val="001F23A2"/>
    <w:rsid w:val="001F24E2"/>
    <w:rsid w:val="001F24E5"/>
    <w:rsid w:val="001F251C"/>
    <w:rsid w:val="001F25BB"/>
    <w:rsid w:val="001F2636"/>
    <w:rsid w:val="001F28C8"/>
    <w:rsid w:val="001F29A0"/>
    <w:rsid w:val="001F2A17"/>
    <w:rsid w:val="001F2A28"/>
    <w:rsid w:val="001F2A86"/>
    <w:rsid w:val="001F2B62"/>
    <w:rsid w:val="001F2B9A"/>
    <w:rsid w:val="001F2C06"/>
    <w:rsid w:val="001F2C92"/>
    <w:rsid w:val="001F2D81"/>
    <w:rsid w:val="001F2F4A"/>
    <w:rsid w:val="001F304F"/>
    <w:rsid w:val="001F306B"/>
    <w:rsid w:val="001F3081"/>
    <w:rsid w:val="001F30AE"/>
    <w:rsid w:val="001F31AC"/>
    <w:rsid w:val="001F31BE"/>
    <w:rsid w:val="001F321E"/>
    <w:rsid w:val="001F3281"/>
    <w:rsid w:val="001F345D"/>
    <w:rsid w:val="001F3548"/>
    <w:rsid w:val="001F3605"/>
    <w:rsid w:val="001F36A1"/>
    <w:rsid w:val="001F36D8"/>
    <w:rsid w:val="001F37B3"/>
    <w:rsid w:val="001F37C5"/>
    <w:rsid w:val="001F3824"/>
    <w:rsid w:val="001F387F"/>
    <w:rsid w:val="001F38A5"/>
    <w:rsid w:val="001F38B6"/>
    <w:rsid w:val="001F3987"/>
    <w:rsid w:val="001F3A6F"/>
    <w:rsid w:val="001F3AAB"/>
    <w:rsid w:val="001F3BC0"/>
    <w:rsid w:val="001F3BF6"/>
    <w:rsid w:val="001F3C50"/>
    <w:rsid w:val="001F3CBB"/>
    <w:rsid w:val="001F3D43"/>
    <w:rsid w:val="001F3DED"/>
    <w:rsid w:val="001F3E03"/>
    <w:rsid w:val="001F3EDA"/>
    <w:rsid w:val="001F3F21"/>
    <w:rsid w:val="001F3F5E"/>
    <w:rsid w:val="001F3F9B"/>
    <w:rsid w:val="001F3FC0"/>
    <w:rsid w:val="001F3FDA"/>
    <w:rsid w:val="001F40AA"/>
    <w:rsid w:val="001F4214"/>
    <w:rsid w:val="001F4225"/>
    <w:rsid w:val="001F4368"/>
    <w:rsid w:val="001F4389"/>
    <w:rsid w:val="001F4395"/>
    <w:rsid w:val="001F4450"/>
    <w:rsid w:val="001F44A7"/>
    <w:rsid w:val="001F44B8"/>
    <w:rsid w:val="001F45E6"/>
    <w:rsid w:val="001F460C"/>
    <w:rsid w:val="001F4678"/>
    <w:rsid w:val="001F4725"/>
    <w:rsid w:val="001F4792"/>
    <w:rsid w:val="001F47D2"/>
    <w:rsid w:val="001F481F"/>
    <w:rsid w:val="001F4881"/>
    <w:rsid w:val="001F490E"/>
    <w:rsid w:val="001F4AAB"/>
    <w:rsid w:val="001F4BA2"/>
    <w:rsid w:val="001F4BB8"/>
    <w:rsid w:val="001F4BD1"/>
    <w:rsid w:val="001F4C20"/>
    <w:rsid w:val="001F4C4A"/>
    <w:rsid w:val="001F4CE5"/>
    <w:rsid w:val="001F4D2F"/>
    <w:rsid w:val="001F4D30"/>
    <w:rsid w:val="001F4D44"/>
    <w:rsid w:val="001F4E87"/>
    <w:rsid w:val="001F4EDE"/>
    <w:rsid w:val="001F4EFA"/>
    <w:rsid w:val="001F4F67"/>
    <w:rsid w:val="001F4F85"/>
    <w:rsid w:val="001F4FD8"/>
    <w:rsid w:val="001F504B"/>
    <w:rsid w:val="001F50DC"/>
    <w:rsid w:val="001F5103"/>
    <w:rsid w:val="001F512C"/>
    <w:rsid w:val="001F516A"/>
    <w:rsid w:val="001F5188"/>
    <w:rsid w:val="001F51FF"/>
    <w:rsid w:val="001F52FD"/>
    <w:rsid w:val="001F5333"/>
    <w:rsid w:val="001F53C1"/>
    <w:rsid w:val="001F53F9"/>
    <w:rsid w:val="001F5408"/>
    <w:rsid w:val="001F5454"/>
    <w:rsid w:val="001F5498"/>
    <w:rsid w:val="001F552A"/>
    <w:rsid w:val="001F5568"/>
    <w:rsid w:val="001F57AE"/>
    <w:rsid w:val="001F5853"/>
    <w:rsid w:val="001F591F"/>
    <w:rsid w:val="001F5AE6"/>
    <w:rsid w:val="001F5B6C"/>
    <w:rsid w:val="001F5BF0"/>
    <w:rsid w:val="001F5E15"/>
    <w:rsid w:val="001F5E33"/>
    <w:rsid w:val="001F5E38"/>
    <w:rsid w:val="001F5EA0"/>
    <w:rsid w:val="001F5F39"/>
    <w:rsid w:val="001F5F42"/>
    <w:rsid w:val="001F60B5"/>
    <w:rsid w:val="001F60B7"/>
    <w:rsid w:val="001F60D5"/>
    <w:rsid w:val="001F615A"/>
    <w:rsid w:val="001F616F"/>
    <w:rsid w:val="001F620E"/>
    <w:rsid w:val="001F625D"/>
    <w:rsid w:val="001F6345"/>
    <w:rsid w:val="001F642C"/>
    <w:rsid w:val="001F6475"/>
    <w:rsid w:val="001F647E"/>
    <w:rsid w:val="001F6510"/>
    <w:rsid w:val="001F6705"/>
    <w:rsid w:val="001F6741"/>
    <w:rsid w:val="001F677C"/>
    <w:rsid w:val="001F677D"/>
    <w:rsid w:val="001F681B"/>
    <w:rsid w:val="001F6840"/>
    <w:rsid w:val="001F6849"/>
    <w:rsid w:val="001F684C"/>
    <w:rsid w:val="001F6856"/>
    <w:rsid w:val="001F68A9"/>
    <w:rsid w:val="001F68DB"/>
    <w:rsid w:val="001F68DE"/>
    <w:rsid w:val="001F69D3"/>
    <w:rsid w:val="001F6A1E"/>
    <w:rsid w:val="001F6A53"/>
    <w:rsid w:val="001F6A5A"/>
    <w:rsid w:val="001F6B64"/>
    <w:rsid w:val="001F6B76"/>
    <w:rsid w:val="001F6B92"/>
    <w:rsid w:val="001F6CBE"/>
    <w:rsid w:val="001F6D99"/>
    <w:rsid w:val="001F6E00"/>
    <w:rsid w:val="001F6E07"/>
    <w:rsid w:val="001F6E33"/>
    <w:rsid w:val="001F6EC4"/>
    <w:rsid w:val="001F6EE4"/>
    <w:rsid w:val="001F6F23"/>
    <w:rsid w:val="001F7046"/>
    <w:rsid w:val="001F70F0"/>
    <w:rsid w:val="001F7107"/>
    <w:rsid w:val="001F711B"/>
    <w:rsid w:val="001F7131"/>
    <w:rsid w:val="001F713F"/>
    <w:rsid w:val="001F7159"/>
    <w:rsid w:val="001F71E8"/>
    <w:rsid w:val="001F7212"/>
    <w:rsid w:val="001F722D"/>
    <w:rsid w:val="001F72FA"/>
    <w:rsid w:val="001F736A"/>
    <w:rsid w:val="001F73A1"/>
    <w:rsid w:val="001F73D0"/>
    <w:rsid w:val="001F744D"/>
    <w:rsid w:val="001F7469"/>
    <w:rsid w:val="001F7488"/>
    <w:rsid w:val="001F74B1"/>
    <w:rsid w:val="001F74D3"/>
    <w:rsid w:val="001F74FE"/>
    <w:rsid w:val="001F753F"/>
    <w:rsid w:val="001F7561"/>
    <w:rsid w:val="001F75E9"/>
    <w:rsid w:val="001F7630"/>
    <w:rsid w:val="001F765B"/>
    <w:rsid w:val="001F771F"/>
    <w:rsid w:val="001F7789"/>
    <w:rsid w:val="001F7941"/>
    <w:rsid w:val="001F7977"/>
    <w:rsid w:val="001F7A1D"/>
    <w:rsid w:val="001F7A37"/>
    <w:rsid w:val="001F7ADD"/>
    <w:rsid w:val="001F7B89"/>
    <w:rsid w:val="001F7C3C"/>
    <w:rsid w:val="001F7DA2"/>
    <w:rsid w:val="001F7DCE"/>
    <w:rsid w:val="001F7E3D"/>
    <w:rsid w:val="00200040"/>
    <w:rsid w:val="0020007F"/>
    <w:rsid w:val="002000E8"/>
    <w:rsid w:val="002001D9"/>
    <w:rsid w:val="0020021F"/>
    <w:rsid w:val="00200269"/>
    <w:rsid w:val="0020027B"/>
    <w:rsid w:val="002002D8"/>
    <w:rsid w:val="00200351"/>
    <w:rsid w:val="0020049B"/>
    <w:rsid w:val="002004FE"/>
    <w:rsid w:val="002005FB"/>
    <w:rsid w:val="002006C0"/>
    <w:rsid w:val="002006F2"/>
    <w:rsid w:val="0020071F"/>
    <w:rsid w:val="002007AD"/>
    <w:rsid w:val="002007CD"/>
    <w:rsid w:val="0020080D"/>
    <w:rsid w:val="0020083A"/>
    <w:rsid w:val="00200907"/>
    <w:rsid w:val="002009E9"/>
    <w:rsid w:val="002009F1"/>
    <w:rsid w:val="002009FC"/>
    <w:rsid w:val="00200A5D"/>
    <w:rsid w:val="00200A8E"/>
    <w:rsid w:val="00200A95"/>
    <w:rsid w:val="00200BE5"/>
    <w:rsid w:val="00200BEF"/>
    <w:rsid w:val="00200CFE"/>
    <w:rsid w:val="00200D44"/>
    <w:rsid w:val="00200F41"/>
    <w:rsid w:val="00200FD2"/>
    <w:rsid w:val="00200FF9"/>
    <w:rsid w:val="00201021"/>
    <w:rsid w:val="002010B4"/>
    <w:rsid w:val="002010BB"/>
    <w:rsid w:val="0020110A"/>
    <w:rsid w:val="00201139"/>
    <w:rsid w:val="00201162"/>
    <w:rsid w:val="00201177"/>
    <w:rsid w:val="00201194"/>
    <w:rsid w:val="002011F2"/>
    <w:rsid w:val="00201252"/>
    <w:rsid w:val="0020132C"/>
    <w:rsid w:val="0020134F"/>
    <w:rsid w:val="002013BA"/>
    <w:rsid w:val="002013E1"/>
    <w:rsid w:val="00201419"/>
    <w:rsid w:val="0020148B"/>
    <w:rsid w:val="0020148D"/>
    <w:rsid w:val="00201733"/>
    <w:rsid w:val="00201835"/>
    <w:rsid w:val="00201858"/>
    <w:rsid w:val="002018F3"/>
    <w:rsid w:val="0020196E"/>
    <w:rsid w:val="0020198C"/>
    <w:rsid w:val="002019AD"/>
    <w:rsid w:val="00201A08"/>
    <w:rsid w:val="00201AC4"/>
    <w:rsid w:val="00201B37"/>
    <w:rsid w:val="00201B76"/>
    <w:rsid w:val="00201B8A"/>
    <w:rsid w:val="00201BDD"/>
    <w:rsid w:val="00201C04"/>
    <w:rsid w:val="00201C05"/>
    <w:rsid w:val="00201C23"/>
    <w:rsid w:val="00201C7E"/>
    <w:rsid w:val="00201C86"/>
    <w:rsid w:val="00201D69"/>
    <w:rsid w:val="00201D9A"/>
    <w:rsid w:val="00201DCD"/>
    <w:rsid w:val="00201DEC"/>
    <w:rsid w:val="00201E5A"/>
    <w:rsid w:val="00201E9F"/>
    <w:rsid w:val="00201F73"/>
    <w:rsid w:val="00202050"/>
    <w:rsid w:val="0020213B"/>
    <w:rsid w:val="0020228F"/>
    <w:rsid w:val="00202296"/>
    <w:rsid w:val="002023F1"/>
    <w:rsid w:val="00202535"/>
    <w:rsid w:val="00202583"/>
    <w:rsid w:val="0020262A"/>
    <w:rsid w:val="0020263E"/>
    <w:rsid w:val="00202671"/>
    <w:rsid w:val="002026AE"/>
    <w:rsid w:val="00202711"/>
    <w:rsid w:val="00202719"/>
    <w:rsid w:val="002027F2"/>
    <w:rsid w:val="002027FD"/>
    <w:rsid w:val="0020290E"/>
    <w:rsid w:val="0020296C"/>
    <w:rsid w:val="00202ACA"/>
    <w:rsid w:val="00202B8F"/>
    <w:rsid w:val="00202C39"/>
    <w:rsid w:val="00202C5F"/>
    <w:rsid w:val="00202C7E"/>
    <w:rsid w:val="00202C84"/>
    <w:rsid w:val="00202DB8"/>
    <w:rsid w:val="00202E1F"/>
    <w:rsid w:val="00202F12"/>
    <w:rsid w:val="00202F72"/>
    <w:rsid w:val="00203038"/>
    <w:rsid w:val="002030DA"/>
    <w:rsid w:val="002031CA"/>
    <w:rsid w:val="002031D7"/>
    <w:rsid w:val="002031DC"/>
    <w:rsid w:val="0020320F"/>
    <w:rsid w:val="002032C9"/>
    <w:rsid w:val="002032D1"/>
    <w:rsid w:val="00203344"/>
    <w:rsid w:val="002033A6"/>
    <w:rsid w:val="002033A8"/>
    <w:rsid w:val="0020341F"/>
    <w:rsid w:val="0020344B"/>
    <w:rsid w:val="002034D2"/>
    <w:rsid w:val="00203558"/>
    <w:rsid w:val="002035F1"/>
    <w:rsid w:val="00203614"/>
    <w:rsid w:val="00203620"/>
    <w:rsid w:val="00203676"/>
    <w:rsid w:val="002036BB"/>
    <w:rsid w:val="002036DD"/>
    <w:rsid w:val="002036F7"/>
    <w:rsid w:val="0020372F"/>
    <w:rsid w:val="002037BF"/>
    <w:rsid w:val="002037D0"/>
    <w:rsid w:val="00203959"/>
    <w:rsid w:val="002039EE"/>
    <w:rsid w:val="00203A58"/>
    <w:rsid w:val="00203A5F"/>
    <w:rsid w:val="00203A6F"/>
    <w:rsid w:val="00203BEE"/>
    <w:rsid w:val="00203C3C"/>
    <w:rsid w:val="00203C7E"/>
    <w:rsid w:val="00203D2C"/>
    <w:rsid w:val="00203DC4"/>
    <w:rsid w:val="00203DE5"/>
    <w:rsid w:val="00203EC4"/>
    <w:rsid w:val="00203EF9"/>
    <w:rsid w:val="00203F53"/>
    <w:rsid w:val="00204075"/>
    <w:rsid w:val="00204102"/>
    <w:rsid w:val="0020411D"/>
    <w:rsid w:val="00204121"/>
    <w:rsid w:val="0020415C"/>
    <w:rsid w:val="0020417E"/>
    <w:rsid w:val="00204186"/>
    <w:rsid w:val="0020423C"/>
    <w:rsid w:val="002042B5"/>
    <w:rsid w:val="002042D5"/>
    <w:rsid w:val="002042DB"/>
    <w:rsid w:val="00204332"/>
    <w:rsid w:val="00204394"/>
    <w:rsid w:val="00204400"/>
    <w:rsid w:val="00204488"/>
    <w:rsid w:val="0020455A"/>
    <w:rsid w:val="002045A3"/>
    <w:rsid w:val="0020461B"/>
    <w:rsid w:val="0020461F"/>
    <w:rsid w:val="0020471A"/>
    <w:rsid w:val="00204792"/>
    <w:rsid w:val="00204805"/>
    <w:rsid w:val="00204810"/>
    <w:rsid w:val="002048B2"/>
    <w:rsid w:val="00204914"/>
    <w:rsid w:val="00204A0C"/>
    <w:rsid w:val="00204AC8"/>
    <w:rsid w:val="00204BDA"/>
    <w:rsid w:val="00204BFF"/>
    <w:rsid w:val="00204C72"/>
    <w:rsid w:val="00204C75"/>
    <w:rsid w:val="00204CAA"/>
    <w:rsid w:val="00204CB7"/>
    <w:rsid w:val="00204D1C"/>
    <w:rsid w:val="00204D3B"/>
    <w:rsid w:val="00204D56"/>
    <w:rsid w:val="00204DB9"/>
    <w:rsid w:val="00204E36"/>
    <w:rsid w:val="00204EE0"/>
    <w:rsid w:val="00204EFE"/>
    <w:rsid w:val="00204F17"/>
    <w:rsid w:val="00204F2E"/>
    <w:rsid w:val="00204FE0"/>
    <w:rsid w:val="00204FE1"/>
    <w:rsid w:val="002050B7"/>
    <w:rsid w:val="002050D6"/>
    <w:rsid w:val="00205182"/>
    <w:rsid w:val="002051CA"/>
    <w:rsid w:val="00205287"/>
    <w:rsid w:val="002052D0"/>
    <w:rsid w:val="00205308"/>
    <w:rsid w:val="002053D4"/>
    <w:rsid w:val="002053F2"/>
    <w:rsid w:val="00205444"/>
    <w:rsid w:val="00205461"/>
    <w:rsid w:val="0020552E"/>
    <w:rsid w:val="00205716"/>
    <w:rsid w:val="002057AD"/>
    <w:rsid w:val="002057E7"/>
    <w:rsid w:val="00205868"/>
    <w:rsid w:val="002058C2"/>
    <w:rsid w:val="0020599E"/>
    <w:rsid w:val="00205A1A"/>
    <w:rsid w:val="00205A49"/>
    <w:rsid w:val="00205A4A"/>
    <w:rsid w:val="00205CE0"/>
    <w:rsid w:val="00205D4B"/>
    <w:rsid w:val="00205D8E"/>
    <w:rsid w:val="00205DE9"/>
    <w:rsid w:val="00205E42"/>
    <w:rsid w:val="00205E8A"/>
    <w:rsid w:val="00205F1E"/>
    <w:rsid w:val="00205F36"/>
    <w:rsid w:val="00205F4D"/>
    <w:rsid w:val="00206007"/>
    <w:rsid w:val="00206074"/>
    <w:rsid w:val="0020607B"/>
    <w:rsid w:val="00206166"/>
    <w:rsid w:val="00206269"/>
    <w:rsid w:val="0020627D"/>
    <w:rsid w:val="00206416"/>
    <w:rsid w:val="00206468"/>
    <w:rsid w:val="002064A3"/>
    <w:rsid w:val="0020650B"/>
    <w:rsid w:val="0020650C"/>
    <w:rsid w:val="0020659E"/>
    <w:rsid w:val="0020662E"/>
    <w:rsid w:val="0020668F"/>
    <w:rsid w:val="002066C1"/>
    <w:rsid w:val="002066D6"/>
    <w:rsid w:val="00206710"/>
    <w:rsid w:val="00206736"/>
    <w:rsid w:val="002067C7"/>
    <w:rsid w:val="002067CC"/>
    <w:rsid w:val="0020680B"/>
    <w:rsid w:val="002069C3"/>
    <w:rsid w:val="002069EA"/>
    <w:rsid w:val="00206A37"/>
    <w:rsid w:val="00206A48"/>
    <w:rsid w:val="00206ABB"/>
    <w:rsid w:val="00206AD1"/>
    <w:rsid w:val="00206AFB"/>
    <w:rsid w:val="00206B33"/>
    <w:rsid w:val="00206B91"/>
    <w:rsid w:val="00206C92"/>
    <w:rsid w:val="00206D1E"/>
    <w:rsid w:val="00206D23"/>
    <w:rsid w:val="00206D41"/>
    <w:rsid w:val="00206D47"/>
    <w:rsid w:val="00206DFD"/>
    <w:rsid w:val="00206E03"/>
    <w:rsid w:val="00206F17"/>
    <w:rsid w:val="00207015"/>
    <w:rsid w:val="0020706B"/>
    <w:rsid w:val="00207072"/>
    <w:rsid w:val="00207119"/>
    <w:rsid w:val="0020717E"/>
    <w:rsid w:val="002071E6"/>
    <w:rsid w:val="002071F0"/>
    <w:rsid w:val="00207210"/>
    <w:rsid w:val="0020721B"/>
    <w:rsid w:val="0020722E"/>
    <w:rsid w:val="0020728E"/>
    <w:rsid w:val="00207345"/>
    <w:rsid w:val="00207360"/>
    <w:rsid w:val="00207365"/>
    <w:rsid w:val="0020736F"/>
    <w:rsid w:val="00207599"/>
    <w:rsid w:val="00207632"/>
    <w:rsid w:val="0020768E"/>
    <w:rsid w:val="0020769D"/>
    <w:rsid w:val="002076E6"/>
    <w:rsid w:val="002076F2"/>
    <w:rsid w:val="00207701"/>
    <w:rsid w:val="002077BA"/>
    <w:rsid w:val="00207816"/>
    <w:rsid w:val="00207821"/>
    <w:rsid w:val="002078CD"/>
    <w:rsid w:val="0020795F"/>
    <w:rsid w:val="002079D4"/>
    <w:rsid w:val="00207A60"/>
    <w:rsid w:val="00207A9F"/>
    <w:rsid w:val="00207B00"/>
    <w:rsid w:val="00207B70"/>
    <w:rsid w:val="00207BA8"/>
    <w:rsid w:val="00207CDB"/>
    <w:rsid w:val="00207D99"/>
    <w:rsid w:val="00207DB5"/>
    <w:rsid w:val="00207E3B"/>
    <w:rsid w:val="00207EC2"/>
    <w:rsid w:val="00207EDC"/>
    <w:rsid w:val="00207F74"/>
    <w:rsid w:val="00207FC9"/>
    <w:rsid w:val="00210019"/>
    <w:rsid w:val="002100E9"/>
    <w:rsid w:val="0021019C"/>
    <w:rsid w:val="00210210"/>
    <w:rsid w:val="002102A8"/>
    <w:rsid w:val="002102AE"/>
    <w:rsid w:val="00210313"/>
    <w:rsid w:val="002103E7"/>
    <w:rsid w:val="0021043B"/>
    <w:rsid w:val="002104AF"/>
    <w:rsid w:val="002104D6"/>
    <w:rsid w:val="002105A5"/>
    <w:rsid w:val="002105C9"/>
    <w:rsid w:val="00210601"/>
    <w:rsid w:val="0021062F"/>
    <w:rsid w:val="00210635"/>
    <w:rsid w:val="00210697"/>
    <w:rsid w:val="002106FA"/>
    <w:rsid w:val="00210759"/>
    <w:rsid w:val="002107B8"/>
    <w:rsid w:val="002107DC"/>
    <w:rsid w:val="002107DD"/>
    <w:rsid w:val="0021083E"/>
    <w:rsid w:val="002108FB"/>
    <w:rsid w:val="00210A05"/>
    <w:rsid w:val="00210A2E"/>
    <w:rsid w:val="00210A68"/>
    <w:rsid w:val="00210B3D"/>
    <w:rsid w:val="00210BA5"/>
    <w:rsid w:val="00210BAD"/>
    <w:rsid w:val="00210CCB"/>
    <w:rsid w:val="00210D17"/>
    <w:rsid w:val="00210D75"/>
    <w:rsid w:val="00210EEC"/>
    <w:rsid w:val="00210F6B"/>
    <w:rsid w:val="00210FAB"/>
    <w:rsid w:val="00211079"/>
    <w:rsid w:val="00211154"/>
    <w:rsid w:val="002111A4"/>
    <w:rsid w:val="002111E7"/>
    <w:rsid w:val="00211225"/>
    <w:rsid w:val="002112C9"/>
    <w:rsid w:val="0021132F"/>
    <w:rsid w:val="0021136A"/>
    <w:rsid w:val="002114F7"/>
    <w:rsid w:val="00211502"/>
    <w:rsid w:val="00211546"/>
    <w:rsid w:val="0021158B"/>
    <w:rsid w:val="002115BB"/>
    <w:rsid w:val="0021168C"/>
    <w:rsid w:val="002116B0"/>
    <w:rsid w:val="00211716"/>
    <w:rsid w:val="0021171A"/>
    <w:rsid w:val="00211727"/>
    <w:rsid w:val="00211751"/>
    <w:rsid w:val="002117CE"/>
    <w:rsid w:val="0021186A"/>
    <w:rsid w:val="002118D4"/>
    <w:rsid w:val="002118DC"/>
    <w:rsid w:val="0021193B"/>
    <w:rsid w:val="00211955"/>
    <w:rsid w:val="00211964"/>
    <w:rsid w:val="002119BE"/>
    <w:rsid w:val="00211A79"/>
    <w:rsid w:val="00211A9C"/>
    <w:rsid w:val="00211B79"/>
    <w:rsid w:val="00211D03"/>
    <w:rsid w:val="00211D69"/>
    <w:rsid w:val="00211D94"/>
    <w:rsid w:val="00211E82"/>
    <w:rsid w:val="00211EB3"/>
    <w:rsid w:val="00211F36"/>
    <w:rsid w:val="00212151"/>
    <w:rsid w:val="00212179"/>
    <w:rsid w:val="00212287"/>
    <w:rsid w:val="00212289"/>
    <w:rsid w:val="00212416"/>
    <w:rsid w:val="0021245E"/>
    <w:rsid w:val="00212469"/>
    <w:rsid w:val="0021246E"/>
    <w:rsid w:val="0021247C"/>
    <w:rsid w:val="002124C8"/>
    <w:rsid w:val="00212542"/>
    <w:rsid w:val="00212597"/>
    <w:rsid w:val="002125A8"/>
    <w:rsid w:val="00212616"/>
    <w:rsid w:val="002126CB"/>
    <w:rsid w:val="002126F8"/>
    <w:rsid w:val="00212725"/>
    <w:rsid w:val="0021275E"/>
    <w:rsid w:val="00212861"/>
    <w:rsid w:val="00212872"/>
    <w:rsid w:val="00212875"/>
    <w:rsid w:val="002128E3"/>
    <w:rsid w:val="0021295C"/>
    <w:rsid w:val="002129C6"/>
    <w:rsid w:val="00212A40"/>
    <w:rsid w:val="00212A51"/>
    <w:rsid w:val="00212A7E"/>
    <w:rsid w:val="00212ADF"/>
    <w:rsid w:val="00212B0A"/>
    <w:rsid w:val="00212BA4"/>
    <w:rsid w:val="00212D44"/>
    <w:rsid w:val="00212DD4"/>
    <w:rsid w:val="00212E38"/>
    <w:rsid w:val="00212EAC"/>
    <w:rsid w:val="00212EEF"/>
    <w:rsid w:val="00212F9A"/>
    <w:rsid w:val="00213066"/>
    <w:rsid w:val="002130C8"/>
    <w:rsid w:val="002131E1"/>
    <w:rsid w:val="00213242"/>
    <w:rsid w:val="00213260"/>
    <w:rsid w:val="002132E3"/>
    <w:rsid w:val="00213312"/>
    <w:rsid w:val="0021338F"/>
    <w:rsid w:val="002133EF"/>
    <w:rsid w:val="00213403"/>
    <w:rsid w:val="00213549"/>
    <w:rsid w:val="00213619"/>
    <w:rsid w:val="002136CB"/>
    <w:rsid w:val="002136DB"/>
    <w:rsid w:val="002137B3"/>
    <w:rsid w:val="00213822"/>
    <w:rsid w:val="0021389A"/>
    <w:rsid w:val="002138F0"/>
    <w:rsid w:val="0021397E"/>
    <w:rsid w:val="002139B1"/>
    <w:rsid w:val="00213BB2"/>
    <w:rsid w:val="00213CF5"/>
    <w:rsid w:val="00213D2C"/>
    <w:rsid w:val="00213D63"/>
    <w:rsid w:val="00213DA0"/>
    <w:rsid w:val="00213DD1"/>
    <w:rsid w:val="00213E95"/>
    <w:rsid w:val="00213F16"/>
    <w:rsid w:val="00214042"/>
    <w:rsid w:val="00214085"/>
    <w:rsid w:val="002140A6"/>
    <w:rsid w:val="002140BF"/>
    <w:rsid w:val="002141B0"/>
    <w:rsid w:val="002141EF"/>
    <w:rsid w:val="00214214"/>
    <w:rsid w:val="00214273"/>
    <w:rsid w:val="00214274"/>
    <w:rsid w:val="0021432D"/>
    <w:rsid w:val="002143A8"/>
    <w:rsid w:val="00214419"/>
    <w:rsid w:val="002144BD"/>
    <w:rsid w:val="00214549"/>
    <w:rsid w:val="002145B7"/>
    <w:rsid w:val="0021462E"/>
    <w:rsid w:val="00214664"/>
    <w:rsid w:val="00214683"/>
    <w:rsid w:val="0021471F"/>
    <w:rsid w:val="00214778"/>
    <w:rsid w:val="002147F1"/>
    <w:rsid w:val="00214971"/>
    <w:rsid w:val="00214A09"/>
    <w:rsid w:val="00214A72"/>
    <w:rsid w:val="00214A80"/>
    <w:rsid w:val="00214AA4"/>
    <w:rsid w:val="00214B15"/>
    <w:rsid w:val="00214B16"/>
    <w:rsid w:val="00214BEF"/>
    <w:rsid w:val="00214E14"/>
    <w:rsid w:val="00214E1C"/>
    <w:rsid w:val="00214E23"/>
    <w:rsid w:val="00214E9A"/>
    <w:rsid w:val="00214EBF"/>
    <w:rsid w:val="00214EFB"/>
    <w:rsid w:val="00214FD0"/>
    <w:rsid w:val="00215116"/>
    <w:rsid w:val="00215118"/>
    <w:rsid w:val="0021532A"/>
    <w:rsid w:val="0021536A"/>
    <w:rsid w:val="002154CE"/>
    <w:rsid w:val="002154EC"/>
    <w:rsid w:val="00215554"/>
    <w:rsid w:val="002155DE"/>
    <w:rsid w:val="002156DE"/>
    <w:rsid w:val="002157B0"/>
    <w:rsid w:val="0021581E"/>
    <w:rsid w:val="00215A0D"/>
    <w:rsid w:val="00215AA4"/>
    <w:rsid w:val="00215B03"/>
    <w:rsid w:val="00215B9F"/>
    <w:rsid w:val="00215C61"/>
    <w:rsid w:val="00215D1A"/>
    <w:rsid w:val="00215DA3"/>
    <w:rsid w:val="00215E06"/>
    <w:rsid w:val="00215E40"/>
    <w:rsid w:val="00215E69"/>
    <w:rsid w:val="00215EB0"/>
    <w:rsid w:val="00215F83"/>
    <w:rsid w:val="00215FAF"/>
    <w:rsid w:val="00215FF2"/>
    <w:rsid w:val="0021603A"/>
    <w:rsid w:val="002160A3"/>
    <w:rsid w:val="00216262"/>
    <w:rsid w:val="002163D6"/>
    <w:rsid w:val="002164A5"/>
    <w:rsid w:val="00216505"/>
    <w:rsid w:val="0021653A"/>
    <w:rsid w:val="00216552"/>
    <w:rsid w:val="00216583"/>
    <w:rsid w:val="002165A4"/>
    <w:rsid w:val="00216652"/>
    <w:rsid w:val="00216719"/>
    <w:rsid w:val="00216721"/>
    <w:rsid w:val="0021672E"/>
    <w:rsid w:val="00216886"/>
    <w:rsid w:val="002168B8"/>
    <w:rsid w:val="0021694C"/>
    <w:rsid w:val="00216A74"/>
    <w:rsid w:val="00216AE4"/>
    <w:rsid w:val="00216B15"/>
    <w:rsid w:val="00216BF6"/>
    <w:rsid w:val="00216C54"/>
    <w:rsid w:val="00216C77"/>
    <w:rsid w:val="00216DD3"/>
    <w:rsid w:val="00216E6B"/>
    <w:rsid w:val="00216E8C"/>
    <w:rsid w:val="00216F3B"/>
    <w:rsid w:val="00216FF0"/>
    <w:rsid w:val="002170F1"/>
    <w:rsid w:val="002171C1"/>
    <w:rsid w:val="002171DF"/>
    <w:rsid w:val="002171F7"/>
    <w:rsid w:val="00217231"/>
    <w:rsid w:val="00217245"/>
    <w:rsid w:val="0021725F"/>
    <w:rsid w:val="002173FF"/>
    <w:rsid w:val="0021740D"/>
    <w:rsid w:val="00217447"/>
    <w:rsid w:val="00217580"/>
    <w:rsid w:val="00217607"/>
    <w:rsid w:val="00217704"/>
    <w:rsid w:val="00217742"/>
    <w:rsid w:val="0021774C"/>
    <w:rsid w:val="00217848"/>
    <w:rsid w:val="002178FC"/>
    <w:rsid w:val="0021798E"/>
    <w:rsid w:val="002179C7"/>
    <w:rsid w:val="002179C9"/>
    <w:rsid w:val="002179CB"/>
    <w:rsid w:val="00217A40"/>
    <w:rsid w:val="00217B97"/>
    <w:rsid w:val="00217BEA"/>
    <w:rsid w:val="00217C00"/>
    <w:rsid w:val="00217CEC"/>
    <w:rsid w:val="00217D40"/>
    <w:rsid w:val="00217DC7"/>
    <w:rsid w:val="00217DCC"/>
    <w:rsid w:val="00217E61"/>
    <w:rsid w:val="00217E68"/>
    <w:rsid w:val="00217EA5"/>
    <w:rsid w:val="00217ECB"/>
    <w:rsid w:val="00217F44"/>
    <w:rsid w:val="00217F5F"/>
    <w:rsid w:val="0022003D"/>
    <w:rsid w:val="0022008C"/>
    <w:rsid w:val="0022008E"/>
    <w:rsid w:val="002200B2"/>
    <w:rsid w:val="0022012D"/>
    <w:rsid w:val="00220163"/>
    <w:rsid w:val="00220271"/>
    <w:rsid w:val="002202B3"/>
    <w:rsid w:val="002202E6"/>
    <w:rsid w:val="00220306"/>
    <w:rsid w:val="00220334"/>
    <w:rsid w:val="0022036A"/>
    <w:rsid w:val="00220555"/>
    <w:rsid w:val="002205B2"/>
    <w:rsid w:val="0022062F"/>
    <w:rsid w:val="002206EF"/>
    <w:rsid w:val="00220838"/>
    <w:rsid w:val="00220863"/>
    <w:rsid w:val="00220A48"/>
    <w:rsid w:val="00220B40"/>
    <w:rsid w:val="00220C87"/>
    <w:rsid w:val="00220CD1"/>
    <w:rsid w:val="00220D24"/>
    <w:rsid w:val="00220D49"/>
    <w:rsid w:val="00220D8B"/>
    <w:rsid w:val="00220ECE"/>
    <w:rsid w:val="00220F02"/>
    <w:rsid w:val="00220F6E"/>
    <w:rsid w:val="002210C6"/>
    <w:rsid w:val="0022121B"/>
    <w:rsid w:val="0022125D"/>
    <w:rsid w:val="00221294"/>
    <w:rsid w:val="00221321"/>
    <w:rsid w:val="0022135E"/>
    <w:rsid w:val="0022135F"/>
    <w:rsid w:val="002213E2"/>
    <w:rsid w:val="002214C0"/>
    <w:rsid w:val="002214DF"/>
    <w:rsid w:val="00221555"/>
    <w:rsid w:val="002216AF"/>
    <w:rsid w:val="00221712"/>
    <w:rsid w:val="00221896"/>
    <w:rsid w:val="00221956"/>
    <w:rsid w:val="002219B6"/>
    <w:rsid w:val="00221A70"/>
    <w:rsid w:val="00221B0D"/>
    <w:rsid w:val="00221B25"/>
    <w:rsid w:val="00221B79"/>
    <w:rsid w:val="00221CCA"/>
    <w:rsid w:val="00221CCF"/>
    <w:rsid w:val="00221CF5"/>
    <w:rsid w:val="00221D35"/>
    <w:rsid w:val="00221D4F"/>
    <w:rsid w:val="00221D5E"/>
    <w:rsid w:val="00221E16"/>
    <w:rsid w:val="00221E93"/>
    <w:rsid w:val="00221ED1"/>
    <w:rsid w:val="00221F72"/>
    <w:rsid w:val="00222031"/>
    <w:rsid w:val="00222074"/>
    <w:rsid w:val="002220C5"/>
    <w:rsid w:val="0022213A"/>
    <w:rsid w:val="0022215B"/>
    <w:rsid w:val="0022224B"/>
    <w:rsid w:val="002222A8"/>
    <w:rsid w:val="002223F9"/>
    <w:rsid w:val="00222412"/>
    <w:rsid w:val="0022245A"/>
    <w:rsid w:val="00222460"/>
    <w:rsid w:val="0022248D"/>
    <w:rsid w:val="00222498"/>
    <w:rsid w:val="002224D1"/>
    <w:rsid w:val="00222590"/>
    <w:rsid w:val="0022259C"/>
    <w:rsid w:val="002225DC"/>
    <w:rsid w:val="002225FA"/>
    <w:rsid w:val="00222697"/>
    <w:rsid w:val="00222758"/>
    <w:rsid w:val="0022277D"/>
    <w:rsid w:val="00222860"/>
    <w:rsid w:val="002228C6"/>
    <w:rsid w:val="002229C2"/>
    <w:rsid w:val="00222B04"/>
    <w:rsid w:val="00222B80"/>
    <w:rsid w:val="00222BC6"/>
    <w:rsid w:val="00222BD7"/>
    <w:rsid w:val="00222BD8"/>
    <w:rsid w:val="00222C10"/>
    <w:rsid w:val="00222CD1"/>
    <w:rsid w:val="00222DA0"/>
    <w:rsid w:val="00222DB0"/>
    <w:rsid w:val="00222DC1"/>
    <w:rsid w:val="00222DEB"/>
    <w:rsid w:val="00222E93"/>
    <w:rsid w:val="00222ECD"/>
    <w:rsid w:val="00222EDB"/>
    <w:rsid w:val="00222EEC"/>
    <w:rsid w:val="00222EF3"/>
    <w:rsid w:val="00222F2B"/>
    <w:rsid w:val="00222F3D"/>
    <w:rsid w:val="0022302F"/>
    <w:rsid w:val="002231F3"/>
    <w:rsid w:val="00223250"/>
    <w:rsid w:val="002232A0"/>
    <w:rsid w:val="00223308"/>
    <w:rsid w:val="00223317"/>
    <w:rsid w:val="0022332B"/>
    <w:rsid w:val="002233B5"/>
    <w:rsid w:val="00223479"/>
    <w:rsid w:val="002234D7"/>
    <w:rsid w:val="00223575"/>
    <w:rsid w:val="00223588"/>
    <w:rsid w:val="0022358A"/>
    <w:rsid w:val="002235CA"/>
    <w:rsid w:val="00223620"/>
    <w:rsid w:val="00223646"/>
    <w:rsid w:val="0022365D"/>
    <w:rsid w:val="002236AC"/>
    <w:rsid w:val="002236C5"/>
    <w:rsid w:val="00223974"/>
    <w:rsid w:val="002239E9"/>
    <w:rsid w:val="00223A34"/>
    <w:rsid w:val="00223B65"/>
    <w:rsid w:val="00223C3C"/>
    <w:rsid w:val="00223C90"/>
    <w:rsid w:val="00223CED"/>
    <w:rsid w:val="00223D24"/>
    <w:rsid w:val="00223E51"/>
    <w:rsid w:val="00223E68"/>
    <w:rsid w:val="00223FD1"/>
    <w:rsid w:val="002240FC"/>
    <w:rsid w:val="0022414F"/>
    <w:rsid w:val="00224168"/>
    <w:rsid w:val="002241ED"/>
    <w:rsid w:val="0022424F"/>
    <w:rsid w:val="00224284"/>
    <w:rsid w:val="002242C7"/>
    <w:rsid w:val="0022430D"/>
    <w:rsid w:val="0022431C"/>
    <w:rsid w:val="00224337"/>
    <w:rsid w:val="00224397"/>
    <w:rsid w:val="002243DC"/>
    <w:rsid w:val="002245CB"/>
    <w:rsid w:val="00224678"/>
    <w:rsid w:val="00224699"/>
    <w:rsid w:val="00224718"/>
    <w:rsid w:val="002247AA"/>
    <w:rsid w:val="002247DA"/>
    <w:rsid w:val="00224855"/>
    <w:rsid w:val="002248D5"/>
    <w:rsid w:val="0022495E"/>
    <w:rsid w:val="00224A6E"/>
    <w:rsid w:val="00224A94"/>
    <w:rsid w:val="00224CC1"/>
    <w:rsid w:val="00224CCC"/>
    <w:rsid w:val="00224D9B"/>
    <w:rsid w:val="00224DDF"/>
    <w:rsid w:val="00224E6F"/>
    <w:rsid w:val="00224ED2"/>
    <w:rsid w:val="00224F60"/>
    <w:rsid w:val="00224F87"/>
    <w:rsid w:val="00224F95"/>
    <w:rsid w:val="0022502A"/>
    <w:rsid w:val="00225105"/>
    <w:rsid w:val="00225140"/>
    <w:rsid w:val="00225145"/>
    <w:rsid w:val="002251ED"/>
    <w:rsid w:val="00225219"/>
    <w:rsid w:val="002252B6"/>
    <w:rsid w:val="0022537A"/>
    <w:rsid w:val="002253DF"/>
    <w:rsid w:val="00225407"/>
    <w:rsid w:val="00225464"/>
    <w:rsid w:val="002254D1"/>
    <w:rsid w:val="0022558D"/>
    <w:rsid w:val="002255BD"/>
    <w:rsid w:val="002255CF"/>
    <w:rsid w:val="0022562B"/>
    <w:rsid w:val="0022563D"/>
    <w:rsid w:val="00225875"/>
    <w:rsid w:val="0022597E"/>
    <w:rsid w:val="00225A6B"/>
    <w:rsid w:val="00225AC5"/>
    <w:rsid w:val="00225B2F"/>
    <w:rsid w:val="00225B63"/>
    <w:rsid w:val="00225B8E"/>
    <w:rsid w:val="00225BA0"/>
    <w:rsid w:val="00225CDE"/>
    <w:rsid w:val="00225D07"/>
    <w:rsid w:val="00225E32"/>
    <w:rsid w:val="00225E64"/>
    <w:rsid w:val="00225E95"/>
    <w:rsid w:val="00225F18"/>
    <w:rsid w:val="00225F44"/>
    <w:rsid w:val="00225F52"/>
    <w:rsid w:val="0022600E"/>
    <w:rsid w:val="00226037"/>
    <w:rsid w:val="002260DA"/>
    <w:rsid w:val="00226133"/>
    <w:rsid w:val="0022614C"/>
    <w:rsid w:val="00226314"/>
    <w:rsid w:val="00226335"/>
    <w:rsid w:val="0022638F"/>
    <w:rsid w:val="002263F8"/>
    <w:rsid w:val="0022641E"/>
    <w:rsid w:val="0022644F"/>
    <w:rsid w:val="00226459"/>
    <w:rsid w:val="0022649D"/>
    <w:rsid w:val="002264A3"/>
    <w:rsid w:val="0022653C"/>
    <w:rsid w:val="002265C8"/>
    <w:rsid w:val="00226714"/>
    <w:rsid w:val="002267A0"/>
    <w:rsid w:val="002267FE"/>
    <w:rsid w:val="00226841"/>
    <w:rsid w:val="00226912"/>
    <w:rsid w:val="0022694D"/>
    <w:rsid w:val="00226961"/>
    <w:rsid w:val="002269DB"/>
    <w:rsid w:val="00226B17"/>
    <w:rsid w:val="00226BBB"/>
    <w:rsid w:val="00226C1A"/>
    <w:rsid w:val="00226C7E"/>
    <w:rsid w:val="00226C84"/>
    <w:rsid w:val="00226CBB"/>
    <w:rsid w:val="00226E2D"/>
    <w:rsid w:val="00226F14"/>
    <w:rsid w:val="00226F80"/>
    <w:rsid w:val="00226FB0"/>
    <w:rsid w:val="00226FE5"/>
    <w:rsid w:val="00226FEA"/>
    <w:rsid w:val="0022707A"/>
    <w:rsid w:val="0022707B"/>
    <w:rsid w:val="002270CF"/>
    <w:rsid w:val="0022723E"/>
    <w:rsid w:val="00227307"/>
    <w:rsid w:val="00227377"/>
    <w:rsid w:val="0022741E"/>
    <w:rsid w:val="00227526"/>
    <w:rsid w:val="00227527"/>
    <w:rsid w:val="0022756F"/>
    <w:rsid w:val="00227683"/>
    <w:rsid w:val="0022768F"/>
    <w:rsid w:val="002276B1"/>
    <w:rsid w:val="002276B2"/>
    <w:rsid w:val="0022784C"/>
    <w:rsid w:val="0022788C"/>
    <w:rsid w:val="0022793C"/>
    <w:rsid w:val="0022796E"/>
    <w:rsid w:val="002279F9"/>
    <w:rsid w:val="00227AE3"/>
    <w:rsid w:val="00227B04"/>
    <w:rsid w:val="00227C62"/>
    <w:rsid w:val="00227D11"/>
    <w:rsid w:val="00227D6F"/>
    <w:rsid w:val="00227D7D"/>
    <w:rsid w:val="00227DEE"/>
    <w:rsid w:val="00227EC0"/>
    <w:rsid w:val="00227F25"/>
    <w:rsid w:val="00227F3C"/>
    <w:rsid w:val="00227F40"/>
    <w:rsid w:val="00227FDE"/>
    <w:rsid w:val="00230077"/>
    <w:rsid w:val="00230092"/>
    <w:rsid w:val="002300AB"/>
    <w:rsid w:val="00230182"/>
    <w:rsid w:val="002301BA"/>
    <w:rsid w:val="00230200"/>
    <w:rsid w:val="0023022B"/>
    <w:rsid w:val="0023028F"/>
    <w:rsid w:val="00230335"/>
    <w:rsid w:val="0023033B"/>
    <w:rsid w:val="002303BF"/>
    <w:rsid w:val="002303DA"/>
    <w:rsid w:val="00230417"/>
    <w:rsid w:val="002304D8"/>
    <w:rsid w:val="002305D4"/>
    <w:rsid w:val="002305EB"/>
    <w:rsid w:val="002305EF"/>
    <w:rsid w:val="00230631"/>
    <w:rsid w:val="0023063B"/>
    <w:rsid w:val="0023069D"/>
    <w:rsid w:val="002306A0"/>
    <w:rsid w:val="002306B5"/>
    <w:rsid w:val="002306CB"/>
    <w:rsid w:val="002306E0"/>
    <w:rsid w:val="002307E0"/>
    <w:rsid w:val="0023092F"/>
    <w:rsid w:val="002309ED"/>
    <w:rsid w:val="00230A7D"/>
    <w:rsid w:val="00230A8D"/>
    <w:rsid w:val="00230AFB"/>
    <w:rsid w:val="00230BEC"/>
    <w:rsid w:val="00230C56"/>
    <w:rsid w:val="00230CD9"/>
    <w:rsid w:val="00230DFE"/>
    <w:rsid w:val="00230E02"/>
    <w:rsid w:val="00230E3B"/>
    <w:rsid w:val="00230F8E"/>
    <w:rsid w:val="00230FC9"/>
    <w:rsid w:val="00230FE5"/>
    <w:rsid w:val="00231127"/>
    <w:rsid w:val="0023115A"/>
    <w:rsid w:val="002311C0"/>
    <w:rsid w:val="002311FE"/>
    <w:rsid w:val="002312F6"/>
    <w:rsid w:val="0023132B"/>
    <w:rsid w:val="00231366"/>
    <w:rsid w:val="00231533"/>
    <w:rsid w:val="0023159F"/>
    <w:rsid w:val="002316F9"/>
    <w:rsid w:val="00231778"/>
    <w:rsid w:val="002317AD"/>
    <w:rsid w:val="00231835"/>
    <w:rsid w:val="00231837"/>
    <w:rsid w:val="00231861"/>
    <w:rsid w:val="002318B0"/>
    <w:rsid w:val="0023197D"/>
    <w:rsid w:val="002319FE"/>
    <w:rsid w:val="00231B3A"/>
    <w:rsid w:val="00231B41"/>
    <w:rsid w:val="00231B5E"/>
    <w:rsid w:val="00231BC0"/>
    <w:rsid w:val="00231E7A"/>
    <w:rsid w:val="00231ED8"/>
    <w:rsid w:val="00231EF8"/>
    <w:rsid w:val="00231F72"/>
    <w:rsid w:val="0023208F"/>
    <w:rsid w:val="002320ED"/>
    <w:rsid w:val="00232193"/>
    <w:rsid w:val="002321C7"/>
    <w:rsid w:val="00232231"/>
    <w:rsid w:val="00232267"/>
    <w:rsid w:val="00232274"/>
    <w:rsid w:val="002322D4"/>
    <w:rsid w:val="00232349"/>
    <w:rsid w:val="00232423"/>
    <w:rsid w:val="00232434"/>
    <w:rsid w:val="00232447"/>
    <w:rsid w:val="00232514"/>
    <w:rsid w:val="00232542"/>
    <w:rsid w:val="00232548"/>
    <w:rsid w:val="00232557"/>
    <w:rsid w:val="00232606"/>
    <w:rsid w:val="00232608"/>
    <w:rsid w:val="00232653"/>
    <w:rsid w:val="002326D8"/>
    <w:rsid w:val="00232737"/>
    <w:rsid w:val="002327B1"/>
    <w:rsid w:val="002327B8"/>
    <w:rsid w:val="002327D4"/>
    <w:rsid w:val="00232847"/>
    <w:rsid w:val="0023284E"/>
    <w:rsid w:val="00232894"/>
    <w:rsid w:val="002328F0"/>
    <w:rsid w:val="00232980"/>
    <w:rsid w:val="002329F6"/>
    <w:rsid w:val="00232A05"/>
    <w:rsid w:val="00232A19"/>
    <w:rsid w:val="00232A1B"/>
    <w:rsid w:val="00232A3E"/>
    <w:rsid w:val="00232A4C"/>
    <w:rsid w:val="00232B5F"/>
    <w:rsid w:val="00232BD9"/>
    <w:rsid w:val="00232C50"/>
    <w:rsid w:val="00232D3A"/>
    <w:rsid w:val="00232D85"/>
    <w:rsid w:val="00232E5C"/>
    <w:rsid w:val="00232F3B"/>
    <w:rsid w:val="00232FB6"/>
    <w:rsid w:val="002330B3"/>
    <w:rsid w:val="002330D1"/>
    <w:rsid w:val="002330D5"/>
    <w:rsid w:val="00233109"/>
    <w:rsid w:val="00233179"/>
    <w:rsid w:val="002331E6"/>
    <w:rsid w:val="0023320F"/>
    <w:rsid w:val="00233268"/>
    <w:rsid w:val="002332D3"/>
    <w:rsid w:val="002332DC"/>
    <w:rsid w:val="00233332"/>
    <w:rsid w:val="00233396"/>
    <w:rsid w:val="00233399"/>
    <w:rsid w:val="002333AD"/>
    <w:rsid w:val="002333D5"/>
    <w:rsid w:val="00233404"/>
    <w:rsid w:val="00233446"/>
    <w:rsid w:val="0023352D"/>
    <w:rsid w:val="002335EA"/>
    <w:rsid w:val="00233603"/>
    <w:rsid w:val="0023366C"/>
    <w:rsid w:val="00233695"/>
    <w:rsid w:val="0023372B"/>
    <w:rsid w:val="002338CC"/>
    <w:rsid w:val="002339D2"/>
    <w:rsid w:val="002339F5"/>
    <w:rsid w:val="00233A33"/>
    <w:rsid w:val="00233A54"/>
    <w:rsid w:val="00233A57"/>
    <w:rsid w:val="00233BC9"/>
    <w:rsid w:val="00233BE3"/>
    <w:rsid w:val="00233C35"/>
    <w:rsid w:val="00233C4A"/>
    <w:rsid w:val="00233C5B"/>
    <w:rsid w:val="00233CAB"/>
    <w:rsid w:val="00233CB8"/>
    <w:rsid w:val="00233CF3"/>
    <w:rsid w:val="00233D2D"/>
    <w:rsid w:val="00233E7C"/>
    <w:rsid w:val="00233EA8"/>
    <w:rsid w:val="00233EF4"/>
    <w:rsid w:val="00233F35"/>
    <w:rsid w:val="00233F76"/>
    <w:rsid w:val="00233FE3"/>
    <w:rsid w:val="002340A0"/>
    <w:rsid w:val="00234100"/>
    <w:rsid w:val="0023420B"/>
    <w:rsid w:val="0023424D"/>
    <w:rsid w:val="00234342"/>
    <w:rsid w:val="0023439A"/>
    <w:rsid w:val="002343E5"/>
    <w:rsid w:val="002344E0"/>
    <w:rsid w:val="002345C9"/>
    <w:rsid w:val="002345ED"/>
    <w:rsid w:val="002346F1"/>
    <w:rsid w:val="0023476C"/>
    <w:rsid w:val="002347B3"/>
    <w:rsid w:val="002348DE"/>
    <w:rsid w:val="002348FC"/>
    <w:rsid w:val="00234970"/>
    <w:rsid w:val="00234A5A"/>
    <w:rsid w:val="00234A99"/>
    <w:rsid w:val="00234ABD"/>
    <w:rsid w:val="00234AFF"/>
    <w:rsid w:val="00234BDE"/>
    <w:rsid w:val="00234C28"/>
    <w:rsid w:val="00234C2B"/>
    <w:rsid w:val="00234CAE"/>
    <w:rsid w:val="00234DAE"/>
    <w:rsid w:val="00234ECE"/>
    <w:rsid w:val="00234EDC"/>
    <w:rsid w:val="00234EE4"/>
    <w:rsid w:val="00234F64"/>
    <w:rsid w:val="00234FBA"/>
    <w:rsid w:val="00234FDD"/>
    <w:rsid w:val="00235069"/>
    <w:rsid w:val="0023510C"/>
    <w:rsid w:val="00235146"/>
    <w:rsid w:val="00235184"/>
    <w:rsid w:val="00235319"/>
    <w:rsid w:val="002354A5"/>
    <w:rsid w:val="0023551E"/>
    <w:rsid w:val="00235581"/>
    <w:rsid w:val="00235729"/>
    <w:rsid w:val="002358BF"/>
    <w:rsid w:val="00235952"/>
    <w:rsid w:val="002359F8"/>
    <w:rsid w:val="00235A2B"/>
    <w:rsid w:val="00235A3D"/>
    <w:rsid w:val="00235AA7"/>
    <w:rsid w:val="00235AF8"/>
    <w:rsid w:val="00235B0D"/>
    <w:rsid w:val="00235BF2"/>
    <w:rsid w:val="00235D81"/>
    <w:rsid w:val="00235E75"/>
    <w:rsid w:val="00235EFB"/>
    <w:rsid w:val="00235F64"/>
    <w:rsid w:val="00236040"/>
    <w:rsid w:val="002360B8"/>
    <w:rsid w:val="002360FE"/>
    <w:rsid w:val="0023617D"/>
    <w:rsid w:val="00236228"/>
    <w:rsid w:val="00236297"/>
    <w:rsid w:val="002362F3"/>
    <w:rsid w:val="00236390"/>
    <w:rsid w:val="0023645E"/>
    <w:rsid w:val="00236485"/>
    <w:rsid w:val="00236496"/>
    <w:rsid w:val="002365E7"/>
    <w:rsid w:val="00236606"/>
    <w:rsid w:val="002366F0"/>
    <w:rsid w:val="00236826"/>
    <w:rsid w:val="002368EC"/>
    <w:rsid w:val="00236964"/>
    <w:rsid w:val="002369C7"/>
    <w:rsid w:val="00236ABD"/>
    <w:rsid w:val="00236AE5"/>
    <w:rsid w:val="00236AF0"/>
    <w:rsid w:val="00236C09"/>
    <w:rsid w:val="00236C3B"/>
    <w:rsid w:val="00236D7A"/>
    <w:rsid w:val="00236E0B"/>
    <w:rsid w:val="00236ECF"/>
    <w:rsid w:val="00236EF3"/>
    <w:rsid w:val="00236F75"/>
    <w:rsid w:val="00236FCE"/>
    <w:rsid w:val="002370D4"/>
    <w:rsid w:val="00237146"/>
    <w:rsid w:val="0023717F"/>
    <w:rsid w:val="002371C9"/>
    <w:rsid w:val="00237228"/>
    <w:rsid w:val="002372BE"/>
    <w:rsid w:val="002372C8"/>
    <w:rsid w:val="00237318"/>
    <w:rsid w:val="00237504"/>
    <w:rsid w:val="002375BE"/>
    <w:rsid w:val="0023779B"/>
    <w:rsid w:val="00237868"/>
    <w:rsid w:val="00237894"/>
    <w:rsid w:val="00237937"/>
    <w:rsid w:val="00237986"/>
    <w:rsid w:val="00237B6F"/>
    <w:rsid w:val="00237C36"/>
    <w:rsid w:val="00237CB6"/>
    <w:rsid w:val="00237CC8"/>
    <w:rsid w:val="00237D36"/>
    <w:rsid w:val="00237DB2"/>
    <w:rsid w:val="00237E25"/>
    <w:rsid w:val="00237E3C"/>
    <w:rsid w:val="00237FDF"/>
    <w:rsid w:val="00240096"/>
    <w:rsid w:val="002400B7"/>
    <w:rsid w:val="0024015C"/>
    <w:rsid w:val="00240174"/>
    <w:rsid w:val="0024039D"/>
    <w:rsid w:val="00240434"/>
    <w:rsid w:val="002405BB"/>
    <w:rsid w:val="00240710"/>
    <w:rsid w:val="00240773"/>
    <w:rsid w:val="002407CF"/>
    <w:rsid w:val="00240830"/>
    <w:rsid w:val="00240880"/>
    <w:rsid w:val="002408D5"/>
    <w:rsid w:val="00240930"/>
    <w:rsid w:val="00240972"/>
    <w:rsid w:val="00240973"/>
    <w:rsid w:val="00240A57"/>
    <w:rsid w:val="00240A64"/>
    <w:rsid w:val="00240B39"/>
    <w:rsid w:val="00240C1F"/>
    <w:rsid w:val="00240DDD"/>
    <w:rsid w:val="00240E1B"/>
    <w:rsid w:val="00240E1C"/>
    <w:rsid w:val="00240E9C"/>
    <w:rsid w:val="00240F20"/>
    <w:rsid w:val="00240F45"/>
    <w:rsid w:val="00240F75"/>
    <w:rsid w:val="00240FF9"/>
    <w:rsid w:val="0024105E"/>
    <w:rsid w:val="0024109D"/>
    <w:rsid w:val="002410A3"/>
    <w:rsid w:val="002410FF"/>
    <w:rsid w:val="0024113C"/>
    <w:rsid w:val="00241294"/>
    <w:rsid w:val="002413AE"/>
    <w:rsid w:val="00241456"/>
    <w:rsid w:val="002414AD"/>
    <w:rsid w:val="002414BE"/>
    <w:rsid w:val="002415E7"/>
    <w:rsid w:val="0024160A"/>
    <w:rsid w:val="00241651"/>
    <w:rsid w:val="002416C3"/>
    <w:rsid w:val="002416CD"/>
    <w:rsid w:val="002416DF"/>
    <w:rsid w:val="0024172C"/>
    <w:rsid w:val="00241766"/>
    <w:rsid w:val="00241879"/>
    <w:rsid w:val="00241895"/>
    <w:rsid w:val="0024189E"/>
    <w:rsid w:val="002418A7"/>
    <w:rsid w:val="0024191B"/>
    <w:rsid w:val="00241921"/>
    <w:rsid w:val="00241950"/>
    <w:rsid w:val="0024197A"/>
    <w:rsid w:val="00241992"/>
    <w:rsid w:val="002419CD"/>
    <w:rsid w:val="00241A26"/>
    <w:rsid w:val="00241A41"/>
    <w:rsid w:val="00241A85"/>
    <w:rsid w:val="00241ABD"/>
    <w:rsid w:val="00241B64"/>
    <w:rsid w:val="00241BD6"/>
    <w:rsid w:val="00241BF2"/>
    <w:rsid w:val="00241BF8"/>
    <w:rsid w:val="00241C13"/>
    <w:rsid w:val="00241CC6"/>
    <w:rsid w:val="00241CCD"/>
    <w:rsid w:val="00241CEE"/>
    <w:rsid w:val="00241D0E"/>
    <w:rsid w:val="00241D5A"/>
    <w:rsid w:val="00241E73"/>
    <w:rsid w:val="00241E7F"/>
    <w:rsid w:val="00241ED3"/>
    <w:rsid w:val="00242149"/>
    <w:rsid w:val="0024216F"/>
    <w:rsid w:val="002421B5"/>
    <w:rsid w:val="002421E4"/>
    <w:rsid w:val="0024228A"/>
    <w:rsid w:val="0024229A"/>
    <w:rsid w:val="002422C3"/>
    <w:rsid w:val="002422C6"/>
    <w:rsid w:val="0024239F"/>
    <w:rsid w:val="002423EE"/>
    <w:rsid w:val="00242437"/>
    <w:rsid w:val="00242461"/>
    <w:rsid w:val="002424DF"/>
    <w:rsid w:val="002425B6"/>
    <w:rsid w:val="002425DF"/>
    <w:rsid w:val="00242618"/>
    <w:rsid w:val="0024274D"/>
    <w:rsid w:val="00242765"/>
    <w:rsid w:val="002427C0"/>
    <w:rsid w:val="0024290B"/>
    <w:rsid w:val="002429D3"/>
    <w:rsid w:val="00242AFF"/>
    <w:rsid w:val="00242B5E"/>
    <w:rsid w:val="00242B78"/>
    <w:rsid w:val="00242B9F"/>
    <w:rsid w:val="00242D3B"/>
    <w:rsid w:val="00242E88"/>
    <w:rsid w:val="00242EC9"/>
    <w:rsid w:val="00242EF2"/>
    <w:rsid w:val="00242F63"/>
    <w:rsid w:val="00242F83"/>
    <w:rsid w:val="00242FD6"/>
    <w:rsid w:val="00242FF3"/>
    <w:rsid w:val="002430E4"/>
    <w:rsid w:val="00243174"/>
    <w:rsid w:val="00243292"/>
    <w:rsid w:val="0024329C"/>
    <w:rsid w:val="0024335E"/>
    <w:rsid w:val="002433CD"/>
    <w:rsid w:val="002433E8"/>
    <w:rsid w:val="00243508"/>
    <w:rsid w:val="0024357D"/>
    <w:rsid w:val="00243591"/>
    <w:rsid w:val="002435A3"/>
    <w:rsid w:val="002435AF"/>
    <w:rsid w:val="00243682"/>
    <w:rsid w:val="00243725"/>
    <w:rsid w:val="002437A5"/>
    <w:rsid w:val="00243857"/>
    <w:rsid w:val="00243879"/>
    <w:rsid w:val="002438D2"/>
    <w:rsid w:val="00243920"/>
    <w:rsid w:val="002439BF"/>
    <w:rsid w:val="00243A1D"/>
    <w:rsid w:val="00243A41"/>
    <w:rsid w:val="00243B06"/>
    <w:rsid w:val="00243C62"/>
    <w:rsid w:val="00243CB2"/>
    <w:rsid w:val="00243D5D"/>
    <w:rsid w:val="00243D9A"/>
    <w:rsid w:val="00243E2A"/>
    <w:rsid w:val="00243EA6"/>
    <w:rsid w:val="00243ECD"/>
    <w:rsid w:val="00243F30"/>
    <w:rsid w:val="00244066"/>
    <w:rsid w:val="0024406A"/>
    <w:rsid w:val="00244096"/>
    <w:rsid w:val="002440F6"/>
    <w:rsid w:val="0024410C"/>
    <w:rsid w:val="00244183"/>
    <w:rsid w:val="002441C3"/>
    <w:rsid w:val="0024423F"/>
    <w:rsid w:val="0024425B"/>
    <w:rsid w:val="0024444D"/>
    <w:rsid w:val="00244466"/>
    <w:rsid w:val="002444B7"/>
    <w:rsid w:val="0024456B"/>
    <w:rsid w:val="002445FA"/>
    <w:rsid w:val="00244619"/>
    <w:rsid w:val="00244638"/>
    <w:rsid w:val="002446A2"/>
    <w:rsid w:val="0024479A"/>
    <w:rsid w:val="002447F3"/>
    <w:rsid w:val="00244805"/>
    <w:rsid w:val="00244813"/>
    <w:rsid w:val="00244826"/>
    <w:rsid w:val="00244831"/>
    <w:rsid w:val="0024487D"/>
    <w:rsid w:val="002448FB"/>
    <w:rsid w:val="00244A21"/>
    <w:rsid w:val="00244B1E"/>
    <w:rsid w:val="00244BCE"/>
    <w:rsid w:val="00244C13"/>
    <w:rsid w:val="00244E23"/>
    <w:rsid w:val="00244E8B"/>
    <w:rsid w:val="00244EE5"/>
    <w:rsid w:val="00244EFD"/>
    <w:rsid w:val="00244F54"/>
    <w:rsid w:val="00245067"/>
    <w:rsid w:val="002450BB"/>
    <w:rsid w:val="002450F0"/>
    <w:rsid w:val="00245127"/>
    <w:rsid w:val="00245154"/>
    <w:rsid w:val="00245172"/>
    <w:rsid w:val="002454AB"/>
    <w:rsid w:val="002454EB"/>
    <w:rsid w:val="0024556B"/>
    <w:rsid w:val="0024558E"/>
    <w:rsid w:val="002456CA"/>
    <w:rsid w:val="0024570F"/>
    <w:rsid w:val="00245755"/>
    <w:rsid w:val="00245795"/>
    <w:rsid w:val="002459ED"/>
    <w:rsid w:val="00245A8F"/>
    <w:rsid w:val="00245AEF"/>
    <w:rsid w:val="00245CD2"/>
    <w:rsid w:val="00245CF7"/>
    <w:rsid w:val="00245D11"/>
    <w:rsid w:val="00245DCE"/>
    <w:rsid w:val="00245DFD"/>
    <w:rsid w:val="00245F0C"/>
    <w:rsid w:val="00245F6D"/>
    <w:rsid w:val="0024604C"/>
    <w:rsid w:val="00246071"/>
    <w:rsid w:val="00246155"/>
    <w:rsid w:val="002461B2"/>
    <w:rsid w:val="0024629A"/>
    <w:rsid w:val="002462AE"/>
    <w:rsid w:val="00246329"/>
    <w:rsid w:val="0024635E"/>
    <w:rsid w:val="002463D9"/>
    <w:rsid w:val="002463E6"/>
    <w:rsid w:val="002465D8"/>
    <w:rsid w:val="00246610"/>
    <w:rsid w:val="00246782"/>
    <w:rsid w:val="002467A6"/>
    <w:rsid w:val="00246845"/>
    <w:rsid w:val="00246909"/>
    <w:rsid w:val="00246915"/>
    <w:rsid w:val="002469D9"/>
    <w:rsid w:val="002469DB"/>
    <w:rsid w:val="00246A0A"/>
    <w:rsid w:val="00246A37"/>
    <w:rsid w:val="00246A38"/>
    <w:rsid w:val="00246A55"/>
    <w:rsid w:val="00246AC0"/>
    <w:rsid w:val="00246AC6"/>
    <w:rsid w:val="00246B1C"/>
    <w:rsid w:val="00246D20"/>
    <w:rsid w:val="00246D2D"/>
    <w:rsid w:val="00246D9E"/>
    <w:rsid w:val="00246E0E"/>
    <w:rsid w:val="00246E32"/>
    <w:rsid w:val="00246E90"/>
    <w:rsid w:val="00246EA1"/>
    <w:rsid w:val="00246ECB"/>
    <w:rsid w:val="00246EE6"/>
    <w:rsid w:val="00246FD0"/>
    <w:rsid w:val="0024702F"/>
    <w:rsid w:val="00247069"/>
    <w:rsid w:val="00247118"/>
    <w:rsid w:val="002471E2"/>
    <w:rsid w:val="00247315"/>
    <w:rsid w:val="002473B8"/>
    <w:rsid w:val="0024740E"/>
    <w:rsid w:val="0024743F"/>
    <w:rsid w:val="00247526"/>
    <w:rsid w:val="0024752A"/>
    <w:rsid w:val="002475A2"/>
    <w:rsid w:val="00247692"/>
    <w:rsid w:val="002476A7"/>
    <w:rsid w:val="0024775B"/>
    <w:rsid w:val="00247894"/>
    <w:rsid w:val="00247957"/>
    <w:rsid w:val="00247988"/>
    <w:rsid w:val="002479C6"/>
    <w:rsid w:val="002479F3"/>
    <w:rsid w:val="00247AA8"/>
    <w:rsid w:val="00247B49"/>
    <w:rsid w:val="00247B8F"/>
    <w:rsid w:val="00247D14"/>
    <w:rsid w:val="00247D16"/>
    <w:rsid w:val="00247D7C"/>
    <w:rsid w:val="00247DD7"/>
    <w:rsid w:val="00247E65"/>
    <w:rsid w:val="00247F01"/>
    <w:rsid w:val="00247F8A"/>
    <w:rsid w:val="00250028"/>
    <w:rsid w:val="0025014A"/>
    <w:rsid w:val="0025014E"/>
    <w:rsid w:val="00250189"/>
    <w:rsid w:val="0025026A"/>
    <w:rsid w:val="0025037B"/>
    <w:rsid w:val="00250399"/>
    <w:rsid w:val="002503DD"/>
    <w:rsid w:val="00250411"/>
    <w:rsid w:val="0025047A"/>
    <w:rsid w:val="002504B5"/>
    <w:rsid w:val="002504C4"/>
    <w:rsid w:val="00250597"/>
    <w:rsid w:val="0025069A"/>
    <w:rsid w:val="002506D8"/>
    <w:rsid w:val="0025071C"/>
    <w:rsid w:val="00250730"/>
    <w:rsid w:val="00250763"/>
    <w:rsid w:val="0025091F"/>
    <w:rsid w:val="002509A8"/>
    <w:rsid w:val="00250A1A"/>
    <w:rsid w:val="00250B15"/>
    <w:rsid w:val="00250B70"/>
    <w:rsid w:val="00250BC1"/>
    <w:rsid w:val="00250C05"/>
    <w:rsid w:val="00250C9C"/>
    <w:rsid w:val="00250D58"/>
    <w:rsid w:val="00250EA3"/>
    <w:rsid w:val="00250F07"/>
    <w:rsid w:val="00250F46"/>
    <w:rsid w:val="00250F5B"/>
    <w:rsid w:val="00250F66"/>
    <w:rsid w:val="00250F89"/>
    <w:rsid w:val="00250F9B"/>
    <w:rsid w:val="00250FFB"/>
    <w:rsid w:val="00251047"/>
    <w:rsid w:val="0025104B"/>
    <w:rsid w:val="00251202"/>
    <w:rsid w:val="00251394"/>
    <w:rsid w:val="002513DD"/>
    <w:rsid w:val="00251428"/>
    <w:rsid w:val="002514B1"/>
    <w:rsid w:val="002515FF"/>
    <w:rsid w:val="0025162A"/>
    <w:rsid w:val="00251648"/>
    <w:rsid w:val="0025177E"/>
    <w:rsid w:val="002517C1"/>
    <w:rsid w:val="00251881"/>
    <w:rsid w:val="002518A3"/>
    <w:rsid w:val="002518D1"/>
    <w:rsid w:val="00251919"/>
    <w:rsid w:val="0025199F"/>
    <w:rsid w:val="002519AE"/>
    <w:rsid w:val="002519F8"/>
    <w:rsid w:val="00251A72"/>
    <w:rsid w:val="00251A81"/>
    <w:rsid w:val="00251AF2"/>
    <w:rsid w:val="00251B34"/>
    <w:rsid w:val="00251BAE"/>
    <w:rsid w:val="00251BF6"/>
    <w:rsid w:val="00251C00"/>
    <w:rsid w:val="00251C54"/>
    <w:rsid w:val="00251C6D"/>
    <w:rsid w:val="00251CF7"/>
    <w:rsid w:val="00251D52"/>
    <w:rsid w:val="00251D74"/>
    <w:rsid w:val="00251E3B"/>
    <w:rsid w:val="00251F18"/>
    <w:rsid w:val="00251F23"/>
    <w:rsid w:val="00251F2C"/>
    <w:rsid w:val="00251F47"/>
    <w:rsid w:val="00251FA1"/>
    <w:rsid w:val="00251FAF"/>
    <w:rsid w:val="00251FB4"/>
    <w:rsid w:val="00251FDB"/>
    <w:rsid w:val="00252192"/>
    <w:rsid w:val="002521B5"/>
    <w:rsid w:val="00252316"/>
    <w:rsid w:val="00252367"/>
    <w:rsid w:val="00252395"/>
    <w:rsid w:val="002523C6"/>
    <w:rsid w:val="002523F4"/>
    <w:rsid w:val="00252462"/>
    <w:rsid w:val="0025247F"/>
    <w:rsid w:val="002524B1"/>
    <w:rsid w:val="00252586"/>
    <w:rsid w:val="002525E6"/>
    <w:rsid w:val="00252615"/>
    <w:rsid w:val="00252648"/>
    <w:rsid w:val="00252678"/>
    <w:rsid w:val="0025278C"/>
    <w:rsid w:val="00252862"/>
    <w:rsid w:val="00252867"/>
    <w:rsid w:val="0025286C"/>
    <w:rsid w:val="00252882"/>
    <w:rsid w:val="00252884"/>
    <w:rsid w:val="00252934"/>
    <w:rsid w:val="00252998"/>
    <w:rsid w:val="002529B0"/>
    <w:rsid w:val="00252AAA"/>
    <w:rsid w:val="00252B45"/>
    <w:rsid w:val="00252B6B"/>
    <w:rsid w:val="00252B90"/>
    <w:rsid w:val="00252BBF"/>
    <w:rsid w:val="00252BEE"/>
    <w:rsid w:val="00252D1E"/>
    <w:rsid w:val="00252DBB"/>
    <w:rsid w:val="00252E06"/>
    <w:rsid w:val="00252E1C"/>
    <w:rsid w:val="00252EAC"/>
    <w:rsid w:val="00252F1A"/>
    <w:rsid w:val="00252FBE"/>
    <w:rsid w:val="0025317C"/>
    <w:rsid w:val="002531C3"/>
    <w:rsid w:val="0025323C"/>
    <w:rsid w:val="00253243"/>
    <w:rsid w:val="00253258"/>
    <w:rsid w:val="002532A8"/>
    <w:rsid w:val="0025334C"/>
    <w:rsid w:val="002533E7"/>
    <w:rsid w:val="00253429"/>
    <w:rsid w:val="00253469"/>
    <w:rsid w:val="00253523"/>
    <w:rsid w:val="00253714"/>
    <w:rsid w:val="0025376C"/>
    <w:rsid w:val="0025377D"/>
    <w:rsid w:val="002537CF"/>
    <w:rsid w:val="00253916"/>
    <w:rsid w:val="0025396B"/>
    <w:rsid w:val="002539BE"/>
    <w:rsid w:val="002539D7"/>
    <w:rsid w:val="00253A2C"/>
    <w:rsid w:val="00253A8F"/>
    <w:rsid w:val="00253AF2"/>
    <w:rsid w:val="00253B2B"/>
    <w:rsid w:val="00253C1A"/>
    <w:rsid w:val="00253C6E"/>
    <w:rsid w:val="00253C7F"/>
    <w:rsid w:val="00253CA2"/>
    <w:rsid w:val="00253CF3"/>
    <w:rsid w:val="00253D6F"/>
    <w:rsid w:val="00253E00"/>
    <w:rsid w:val="00253EA9"/>
    <w:rsid w:val="00253EDB"/>
    <w:rsid w:val="00253EE6"/>
    <w:rsid w:val="00253F37"/>
    <w:rsid w:val="002540C6"/>
    <w:rsid w:val="002540F6"/>
    <w:rsid w:val="002541AC"/>
    <w:rsid w:val="002541FC"/>
    <w:rsid w:val="002542BC"/>
    <w:rsid w:val="0025433F"/>
    <w:rsid w:val="002543C8"/>
    <w:rsid w:val="002543DE"/>
    <w:rsid w:val="0025445B"/>
    <w:rsid w:val="00254493"/>
    <w:rsid w:val="002544F6"/>
    <w:rsid w:val="0025467D"/>
    <w:rsid w:val="0025475C"/>
    <w:rsid w:val="00254787"/>
    <w:rsid w:val="00254792"/>
    <w:rsid w:val="0025487C"/>
    <w:rsid w:val="00254884"/>
    <w:rsid w:val="0025491B"/>
    <w:rsid w:val="00254921"/>
    <w:rsid w:val="00254987"/>
    <w:rsid w:val="002549A7"/>
    <w:rsid w:val="00254A20"/>
    <w:rsid w:val="00254A60"/>
    <w:rsid w:val="00254ABD"/>
    <w:rsid w:val="00254AC9"/>
    <w:rsid w:val="00254ADD"/>
    <w:rsid w:val="00254C0C"/>
    <w:rsid w:val="00254C33"/>
    <w:rsid w:val="00254C82"/>
    <w:rsid w:val="00254CD6"/>
    <w:rsid w:val="00254CF4"/>
    <w:rsid w:val="00254D7D"/>
    <w:rsid w:val="00254EAD"/>
    <w:rsid w:val="00254EBD"/>
    <w:rsid w:val="00254FC7"/>
    <w:rsid w:val="00255022"/>
    <w:rsid w:val="0025502D"/>
    <w:rsid w:val="00255064"/>
    <w:rsid w:val="00255079"/>
    <w:rsid w:val="002550DD"/>
    <w:rsid w:val="0025511A"/>
    <w:rsid w:val="002552EB"/>
    <w:rsid w:val="00255318"/>
    <w:rsid w:val="00255329"/>
    <w:rsid w:val="00255477"/>
    <w:rsid w:val="002554A2"/>
    <w:rsid w:val="002554DE"/>
    <w:rsid w:val="00255658"/>
    <w:rsid w:val="002556F1"/>
    <w:rsid w:val="00255745"/>
    <w:rsid w:val="00255748"/>
    <w:rsid w:val="0025575B"/>
    <w:rsid w:val="0025589F"/>
    <w:rsid w:val="0025591A"/>
    <w:rsid w:val="002559D8"/>
    <w:rsid w:val="00255A5E"/>
    <w:rsid w:val="00255AE8"/>
    <w:rsid w:val="00255B25"/>
    <w:rsid w:val="00255BA3"/>
    <w:rsid w:val="00255BE9"/>
    <w:rsid w:val="00255CFF"/>
    <w:rsid w:val="00255D17"/>
    <w:rsid w:val="00255D94"/>
    <w:rsid w:val="00255E00"/>
    <w:rsid w:val="00255E31"/>
    <w:rsid w:val="00255E5C"/>
    <w:rsid w:val="00255E88"/>
    <w:rsid w:val="00255EC2"/>
    <w:rsid w:val="00255EE2"/>
    <w:rsid w:val="00256020"/>
    <w:rsid w:val="002560F2"/>
    <w:rsid w:val="00256110"/>
    <w:rsid w:val="00256126"/>
    <w:rsid w:val="002561A4"/>
    <w:rsid w:val="00256289"/>
    <w:rsid w:val="002562A9"/>
    <w:rsid w:val="002562FF"/>
    <w:rsid w:val="00256448"/>
    <w:rsid w:val="0025646C"/>
    <w:rsid w:val="002564B5"/>
    <w:rsid w:val="002564C3"/>
    <w:rsid w:val="002564EE"/>
    <w:rsid w:val="002565F7"/>
    <w:rsid w:val="0025663C"/>
    <w:rsid w:val="00256648"/>
    <w:rsid w:val="00256664"/>
    <w:rsid w:val="00256673"/>
    <w:rsid w:val="002566A6"/>
    <w:rsid w:val="00256716"/>
    <w:rsid w:val="00256727"/>
    <w:rsid w:val="002567E6"/>
    <w:rsid w:val="00256884"/>
    <w:rsid w:val="00256969"/>
    <w:rsid w:val="00256973"/>
    <w:rsid w:val="002569F8"/>
    <w:rsid w:val="00256A75"/>
    <w:rsid w:val="00256A7C"/>
    <w:rsid w:val="00256AF7"/>
    <w:rsid w:val="00256B02"/>
    <w:rsid w:val="00256BE1"/>
    <w:rsid w:val="00256BFB"/>
    <w:rsid w:val="00256C0D"/>
    <w:rsid w:val="00256CAA"/>
    <w:rsid w:val="00256EC1"/>
    <w:rsid w:val="00256EDD"/>
    <w:rsid w:val="00256F02"/>
    <w:rsid w:val="00256F28"/>
    <w:rsid w:val="00256FA3"/>
    <w:rsid w:val="00257041"/>
    <w:rsid w:val="00257123"/>
    <w:rsid w:val="0025725A"/>
    <w:rsid w:val="002572CB"/>
    <w:rsid w:val="00257381"/>
    <w:rsid w:val="002574E7"/>
    <w:rsid w:val="00257510"/>
    <w:rsid w:val="00257534"/>
    <w:rsid w:val="002575C9"/>
    <w:rsid w:val="002575F7"/>
    <w:rsid w:val="0025767C"/>
    <w:rsid w:val="0025768B"/>
    <w:rsid w:val="0025786E"/>
    <w:rsid w:val="002578AE"/>
    <w:rsid w:val="002578B8"/>
    <w:rsid w:val="00257952"/>
    <w:rsid w:val="00257957"/>
    <w:rsid w:val="00257965"/>
    <w:rsid w:val="00257A33"/>
    <w:rsid w:val="00257A41"/>
    <w:rsid w:val="00257A6B"/>
    <w:rsid w:val="00257A9D"/>
    <w:rsid w:val="00257BBB"/>
    <w:rsid w:val="00257C2B"/>
    <w:rsid w:val="00257C8B"/>
    <w:rsid w:val="00257C91"/>
    <w:rsid w:val="00257CBE"/>
    <w:rsid w:val="00257D2C"/>
    <w:rsid w:val="00257D6E"/>
    <w:rsid w:val="00257DC5"/>
    <w:rsid w:val="00257DEE"/>
    <w:rsid w:val="00257ECE"/>
    <w:rsid w:val="00257F04"/>
    <w:rsid w:val="00257F23"/>
    <w:rsid w:val="00257FB4"/>
    <w:rsid w:val="00257FE9"/>
    <w:rsid w:val="00260012"/>
    <w:rsid w:val="00260028"/>
    <w:rsid w:val="00260037"/>
    <w:rsid w:val="002600EE"/>
    <w:rsid w:val="00260136"/>
    <w:rsid w:val="002601CC"/>
    <w:rsid w:val="00260338"/>
    <w:rsid w:val="002603A2"/>
    <w:rsid w:val="00260418"/>
    <w:rsid w:val="0026044F"/>
    <w:rsid w:val="00260484"/>
    <w:rsid w:val="00260489"/>
    <w:rsid w:val="002604C2"/>
    <w:rsid w:val="002604FA"/>
    <w:rsid w:val="00260507"/>
    <w:rsid w:val="00260544"/>
    <w:rsid w:val="00260548"/>
    <w:rsid w:val="002605A7"/>
    <w:rsid w:val="002605B1"/>
    <w:rsid w:val="00260679"/>
    <w:rsid w:val="0026069E"/>
    <w:rsid w:val="002606E6"/>
    <w:rsid w:val="002606F9"/>
    <w:rsid w:val="00260777"/>
    <w:rsid w:val="00260890"/>
    <w:rsid w:val="0026089F"/>
    <w:rsid w:val="002608A3"/>
    <w:rsid w:val="002608E2"/>
    <w:rsid w:val="00260977"/>
    <w:rsid w:val="00260995"/>
    <w:rsid w:val="00260A88"/>
    <w:rsid w:val="00260AE3"/>
    <w:rsid w:val="00260B54"/>
    <w:rsid w:val="00260BBD"/>
    <w:rsid w:val="00260BD7"/>
    <w:rsid w:val="00260C57"/>
    <w:rsid w:val="00260C7F"/>
    <w:rsid w:val="00260D9F"/>
    <w:rsid w:val="00260DBE"/>
    <w:rsid w:val="00260E7E"/>
    <w:rsid w:val="00260F48"/>
    <w:rsid w:val="00260F97"/>
    <w:rsid w:val="00260FE2"/>
    <w:rsid w:val="00261001"/>
    <w:rsid w:val="00261002"/>
    <w:rsid w:val="00261017"/>
    <w:rsid w:val="00261089"/>
    <w:rsid w:val="002610D5"/>
    <w:rsid w:val="00261322"/>
    <w:rsid w:val="00261476"/>
    <w:rsid w:val="00261487"/>
    <w:rsid w:val="00261504"/>
    <w:rsid w:val="00261523"/>
    <w:rsid w:val="00261566"/>
    <w:rsid w:val="002615BC"/>
    <w:rsid w:val="002615D0"/>
    <w:rsid w:val="00261626"/>
    <w:rsid w:val="002616E2"/>
    <w:rsid w:val="002616E3"/>
    <w:rsid w:val="00261760"/>
    <w:rsid w:val="002617C7"/>
    <w:rsid w:val="0026185B"/>
    <w:rsid w:val="00261918"/>
    <w:rsid w:val="00261942"/>
    <w:rsid w:val="00261959"/>
    <w:rsid w:val="002619CE"/>
    <w:rsid w:val="00261A62"/>
    <w:rsid w:val="00261B65"/>
    <w:rsid w:val="00261CB2"/>
    <w:rsid w:val="00261CBE"/>
    <w:rsid w:val="00261CCC"/>
    <w:rsid w:val="00261D79"/>
    <w:rsid w:val="00261E01"/>
    <w:rsid w:val="00261E91"/>
    <w:rsid w:val="00261E94"/>
    <w:rsid w:val="00261F3E"/>
    <w:rsid w:val="00261F74"/>
    <w:rsid w:val="0026207D"/>
    <w:rsid w:val="00262089"/>
    <w:rsid w:val="002620E5"/>
    <w:rsid w:val="0026213D"/>
    <w:rsid w:val="0026218F"/>
    <w:rsid w:val="002621B2"/>
    <w:rsid w:val="0026242B"/>
    <w:rsid w:val="00262685"/>
    <w:rsid w:val="002627DE"/>
    <w:rsid w:val="002628B8"/>
    <w:rsid w:val="0026290E"/>
    <w:rsid w:val="0026294F"/>
    <w:rsid w:val="00262974"/>
    <w:rsid w:val="00262980"/>
    <w:rsid w:val="00262992"/>
    <w:rsid w:val="00262CB6"/>
    <w:rsid w:val="00262D94"/>
    <w:rsid w:val="00262E83"/>
    <w:rsid w:val="00262FD1"/>
    <w:rsid w:val="00263079"/>
    <w:rsid w:val="002630AD"/>
    <w:rsid w:val="0026313D"/>
    <w:rsid w:val="00263162"/>
    <w:rsid w:val="002631D1"/>
    <w:rsid w:val="00263341"/>
    <w:rsid w:val="0026340C"/>
    <w:rsid w:val="002634BF"/>
    <w:rsid w:val="002634F2"/>
    <w:rsid w:val="00263517"/>
    <w:rsid w:val="0026352A"/>
    <w:rsid w:val="002635EE"/>
    <w:rsid w:val="00263603"/>
    <w:rsid w:val="002636FE"/>
    <w:rsid w:val="0026382A"/>
    <w:rsid w:val="0026382C"/>
    <w:rsid w:val="0026383E"/>
    <w:rsid w:val="00263856"/>
    <w:rsid w:val="002638F3"/>
    <w:rsid w:val="002638FB"/>
    <w:rsid w:val="00263934"/>
    <w:rsid w:val="002639B1"/>
    <w:rsid w:val="002639CE"/>
    <w:rsid w:val="00263A12"/>
    <w:rsid w:val="00263A82"/>
    <w:rsid w:val="00263A8C"/>
    <w:rsid w:val="00263AB7"/>
    <w:rsid w:val="00263B71"/>
    <w:rsid w:val="00263B79"/>
    <w:rsid w:val="00263C40"/>
    <w:rsid w:val="00263CDC"/>
    <w:rsid w:val="00263D06"/>
    <w:rsid w:val="00263D66"/>
    <w:rsid w:val="00263D70"/>
    <w:rsid w:val="00263D88"/>
    <w:rsid w:val="00263DA2"/>
    <w:rsid w:val="00263DF3"/>
    <w:rsid w:val="00263DF5"/>
    <w:rsid w:val="0026405F"/>
    <w:rsid w:val="00264085"/>
    <w:rsid w:val="002640E9"/>
    <w:rsid w:val="002640F6"/>
    <w:rsid w:val="0026422A"/>
    <w:rsid w:val="0026425D"/>
    <w:rsid w:val="00264284"/>
    <w:rsid w:val="0026429D"/>
    <w:rsid w:val="002642BA"/>
    <w:rsid w:val="00264303"/>
    <w:rsid w:val="00264381"/>
    <w:rsid w:val="002643C3"/>
    <w:rsid w:val="0026440D"/>
    <w:rsid w:val="00264421"/>
    <w:rsid w:val="00264436"/>
    <w:rsid w:val="00264522"/>
    <w:rsid w:val="0026452D"/>
    <w:rsid w:val="00264535"/>
    <w:rsid w:val="002645CB"/>
    <w:rsid w:val="00264634"/>
    <w:rsid w:val="00264688"/>
    <w:rsid w:val="002646EB"/>
    <w:rsid w:val="0026470B"/>
    <w:rsid w:val="00264823"/>
    <w:rsid w:val="002648A0"/>
    <w:rsid w:val="002648AA"/>
    <w:rsid w:val="002648E1"/>
    <w:rsid w:val="002649B2"/>
    <w:rsid w:val="00264A63"/>
    <w:rsid w:val="00264A9C"/>
    <w:rsid w:val="00264AA9"/>
    <w:rsid w:val="00264BA0"/>
    <w:rsid w:val="00264C63"/>
    <w:rsid w:val="00264C66"/>
    <w:rsid w:val="00264C6D"/>
    <w:rsid w:val="00264C80"/>
    <w:rsid w:val="00264E1B"/>
    <w:rsid w:val="00264F3F"/>
    <w:rsid w:val="00264F90"/>
    <w:rsid w:val="00265067"/>
    <w:rsid w:val="002650F6"/>
    <w:rsid w:val="00265110"/>
    <w:rsid w:val="0026520A"/>
    <w:rsid w:val="002652F1"/>
    <w:rsid w:val="002653C9"/>
    <w:rsid w:val="002653D6"/>
    <w:rsid w:val="002653DC"/>
    <w:rsid w:val="002653EE"/>
    <w:rsid w:val="002653FA"/>
    <w:rsid w:val="002655E7"/>
    <w:rsid w:val="00265782"/>
    <w:rsid w:val="002657A3"/>
    <w:rsid w:val="002657AA"/>
    <w:rsid w:val="002658CE"/>
    <w:rsid w:val="002658D5"/>
    <w:rsid w:val="002658D7"/>
    <w:rsid w:val="00265912"/>
    <w:rsid w:val="0026591C"/>
    <w:rsid w:val="0026593A"/>
    <w:rsid w:val="00265978"/>
    <w:rsid w:val="002659C7"/>
    <w:rsid w:val="002659F8"/>
    <w:rsid w:val="00265A4B"/>
    <w:rsid w:val="00265BD7"/>
    <w:rsid w:val="00265C0B"/>
    <w:rsid w:val="00265C50"/>
    <w:rsid w:val="00265C55"/>
    <w:rsid w:val="00265C7C"/>
    <w:rsid w:val="00265D90"/>
    <w:rsid w:val="00265E5D"/>
    <w:rsid w:val="00265F15"/>
    <w:rsid w:val="00265F6F"/>
    <w:rsid w:val="00265FDC"/>
    <w:rsid w:val="00266035"/>
    <w:rsid w:val="0026603B"/>
    <w:rsid w:val="002660CC"/>
    <w:rsid w:val="00266162"/>
    <w:rsid w:val="002661AA"/>
    <w:rsid w:val="00266245"/>
    <w:rsid w:val="00266326"/>
    <w:rsid w:val="00266366"/>
    <w:rsid w:val="002664BD"/>
    <w:rsid w:val="00266623"/>
    <w:rsid w:val="00266674"/>
    <w:rsid w:val="0026669C"/>
    <w:rsid w:val="002666EE"/>
    <w:rsid w:val="00266705"/>
    <w:rsid w:val="0026671D"/>
    <w:rsid w:val="00266755"/>
    <w:rsid w:val="00266953"/>
    <w:rsid w:val="00266999"/>
    <w:rsid w:val="002669BB"/>
    <w:rsid w:val="00266AED"/>
    <w:rsid w:val="00266CBE"/>
    <w:rsid w:val="00266E53"/>
    <w:rsid w:val="00266F91"/>
    <w:rsid w:val="00266FC6"/>
    <w:rsid w:val="00266FD2"/>
    <w:rsid w:val="0026703B"/>
    <w:rsid w:val="002670E6"/>
    <w:rsid w:val="00267126"/>
    <w:rsid w:val="002671C1"/>
    <w:rsid w:val="002671C3"/>
    <w:rsid w:val="002672E2"/>
    <w:rsid w:val="002673EB"/>
    <w:rsid w:val="00267681"/>
    <w:rsid w:val="00267699"/>
    <w:rsid w:val="0026769C"/>
    <w:rsid w:val="002676C2"/>
    <w:rsid w:val="002678BF"/>
    <w:rsid w:val="002678D3"/>
    <w:rsid w:val="00267907"/>
    <w:rsid w:val="0026791C"/>
    <w:rsid w:val="0026795B"/>
    <w:rsid w:val="00267A00"/>
    <w:rsid w:val="00267A2F"/>
    <w:rsid w:val="00267B7D"/>
    <w:rsid w:val="00267BDA"/>
    <w:rsid w:val="00267D59"/>
    <w:rsid w:val="00267D6A"/>
    <w:rsid w:val="00267DA6"/>
    <w:rsid w:val="00267DC8"/>
    <w:rsid w:val="00267E39"/>
    <w:rsid w:val="00267E49"/>
    <w:rsid w:val="00270025"/>
    <w:rsid w:val="00270085"/>
    <w:rsid w:val="0027008C"/>
    <w:rsid w:val="00270152"/>
    <w:rsid w:val="0027015C"/>
    <w:rsid w:val="002701B7"/>
    <w:rsid w:val="00270276"/>
    <w:rsid w:val="00270280"/>
    <w:rsid w:val="002703A7"/>
    <w:rsid w:val="002703C9"/>
    <w:rsid w:val="00270445"/>
    <w:rsid w:val="0027046D"/>
    <w:rsid w:val="00270529"/>
    <w:rsid w:val="002706E0"/>
    <w:rsid w:val="002706F1"/>
    <w:rsid w:val="00270803"/>
    <w:rsid w:val="0027084C"/>
    <w:rsid w:val="00270854"/>
    <w:rsid w:val="00270975"/>
    <w:rsid w:val="002709B5"/>
    <w:rsid w:val="002709CC"/>
    <w:rsid w:val="00270A0D"/>
    <w:rsid w:val="00270A2E"/>
    <w:rsid w:val="00270A4A"/>
    <w:rsid w:val="00270AD7"/>
    <w:rsid w:val="00270B0F"/>
    <w:rsid w:val="00270B55"/>
    <w:rsid w:val="00270B70"/>
    <w:rsid w:val="00270BC9"/>
    <w:rsid w:val="00270C58"/>
    <w:rsid w:val="00270C94"/>
    <w:rsid w:val="00270CEE"/>
    <w:rsid w:val="00270D25"/>
    <w:rsid w:val="00270DEA"/>
    <w:rsid w:val="00270E46"/>
    <w:rsid w:val="00270E98"/>
    <w:rsid w:val="00270EA8"/>
    <w:rsid w:val="00270EAD"/>
    <w:rsid w:val="00270F4D"/>
    <w:rsid w:val="00270FBD"/>
    <w:rsid w:val="00270FED"/>
    <w:rsid w:val="00271070"/>
    <w:rsid w:val="002710FF"/>
    <w:rsid w:val="00271110"/>
    <w:rsid w:val="00271178"/>
    <w:rsid w:val="0027121F"/>
    <w:rsid w:val="002712EC"/>
    <w:rsid w:val="00271301"/>
    <w:rsid w:val="0027130F"/>
    <w:rsid w:val="00271310"/>
    <w:rsid w:val="00271349"/>
    <w:rsid w:val="00271352"/>
    <w:rsid w:val="002713F0"/>
    <w:rsid w:val="002714A7"/>
    <w:rsid w:val="002714EF"/>
    <w:rsid w:val="00271586"/>
    <w:rsid w:val="002715CA"/>
    <w:rsid w:val="00271623"/>
    <w:rsid w:val="00271687"/>
    <w:rsid w:val="00271699"/>
    <w:rsid w:val="00271702"/>
    <w:rsid w:val="00271711"/>
    <w:rsid w:val="0027177B"/>
    <w:rsid w:val="002717CE"/>
    <w:rsid w:val="0027183E"/>
    <w:rsid w:val="002718A4"/>
    <w:rsid w:val="002718E2"/>
    <w:rsid w:val="00271987"/>
    <w:rsid w:val="00271A02"/>
    <w:rsid w:val="00271A55"/>
    <w:rsid w:val="00271AA6"/>
    <w:rsid w:val="00271B6E"/>
    <w:rsid w:val="00271BCF"/>
    <w:rsid w:val="00271C52"/>
    <w:rsid w:val="00271C77"/>
    <w:rsid w:val="00271D2F"/>
    <w:rsid w:val="00271D36"/>
    <w:rsid w:val="00271D9E"/>
    <w:rsid w:val="00271DB6"/>
    <w:rsid w:val="00271E03"/>
    <w:rsid w:val="00271E40"/>
    <w:rsid w:val="00271F4B"/>
    <w:rsid w:val="00271FB9"/>
    <w:rsid w:val="00271FDF"/>
    <w:rsid w:val="00271FF7"/>
    <w:rsid w:val="00272141"/>
    <w:rsid w:val="0027218B"/>
    <w:rsid w:val="0027221A"/>
    <w:rsid w:val="0027221E"/>
    <w:rsid w:val="0027223C"/>
    <w:rsid w:val="00272365"/>
    <w:rsid w:val="00272397"/>
    <w:rsid w:val="002723AD"/>
    <w:rsid w:val="002723D3"/>
    <w:rsid w:val="002724A4"/>
    <w:rsid w:val="00272522"/>
    <w:rsid w:val="002725D1"/>
    <w:rsid w:val="0027262C"/>
    <w:rsid w:val="00272648"/>
    <w:rsid w:val="002727D9"/>
    <w:rsid w:val="00272859"/>
    <w:rsid w:val="002729D7"/>
    <w:rsid w:val="00272AD5"/>
    <w:rsid w:val="00272B93"/>
    <w:rsid w:val="00272D3A"/>
    <w:rsid w:val="00272D9F"/>
    <w:rsid w:val="00272E4F"/>
    <w:rsid w:val="00272EDE"/>
    <w:rsid w:val="00272F49"/>
    <w:rsid w:val="00272FB0"/>
    <w:rsid w:val="00272FD7"/>
    <w:rsid w:val="00272FEA"/>
    <w:rsid w:val="00273001"/>
    <w:rsid w:val="002730A0"/>
    <w:rsid w:val="002730E8"/>
    <w:rsid w:val="002731C2"/>
    <w:rsid w:val="00273201"/>
    <w:rsid w:val="0027343C"/>
    <w:rsid w:val="0027344E"/>
    <w:rsid w:val="00273478"/>
    <w:rsid w:val="0027351B"/>
    <w:rsid w:val="0027352D"/>
    <w:rsid w:val="002735F3"/>
    <w:rsid w:val="002735F8"/>
    <w:rsid w:val="0027363F"/>
    <w:rsid w:val="002736EC"/>
    <w:rsid w:val="002737A3"/>
    <w:rsid w:val="00273853"/>
    <w:rsid w:val="00273868"/>
    <w:rsid w:val="002738B0"/>
    <w:rsid w:val="0027397F"/>
    <w:rsid w:val="00273A24"/>
    <w:rsid w:val="00273A62"/>
    <w:rsid w:val="00273B5B"/>
    <w:rsid w:val="00273B9D"/>
    <w:rsid w:val="00273C0E"/>
    <w:rsid w:val="00273C14"/>
    <w:rsid w:val="00273C2E"/>
    <w:rsid w:val="00273C3E"/>
    <w:rsid w:val="00273C48"/>
    <w:rsid w:val="00273CB4"/>
    <w:rsid w:val="00273D1F"/>
    <w:rsid w:val="00273D7C"/>
    <w:rsid w:val="00273D8A"/>
    <w:rsid w:val="00273DC2"/>
    <w:rsid w:val="00273E4F"/>
    <w:rsid w:val="00273F40"/>
    <w:rsid w:val="00273F6E"/>
    <w:rsid w:val="002740B0"/>
    <w:rsid w:val="002740CF"/>
    <w:rsid w:val="0027410A"/>
    <w:rsid w:val="00274112"/>
    <w:rsid w:val="0027413B"/>
    <w:rsid w:val="00274152"/>
    <w:rsid w:val="00274194"/>
    <w:rsid w:val="00274278"/>
    <w:rsid w:val="002742F5"/>
    <w:rsid w:val="00274330"/>
    <w:rsid w:val="0027434F"/>
    <w:rsid w:val="002743D3"/>
    <w:rsid w:val="00274428"/>
    <w:rsid w:val="0027452E"/>
    <w:rsid w:val="00274553"/>
    <w:rsid w:val="00274585"/>
    <w:rsid w:val="002745FB"/>
    <w:rsid w:val="00274612"/>
    <w:rsid w:val="00274657"/>
    <w:rsid w:val="002746C6"/>
    <w:rsid w:val="002746D5"/>
    <w:rsid w:val="00274774"/>
    <w:rsid w:val="002747E6"/>
    <w:rsid w:val="002748EE"/>
    <w:rsid w:val="00274977"/>
    <w:rsid w:val="002749F1"/>
    <w:rsid w:val="00274A69"/>
    <w:rsid w:val="00274A6C"/>
    <w:rsid w:val="00274A8B"/>
    <w:rsid w:val="00274AC3"/>
    <w:rsid w:val="00274AEA"/>
    <w:rsid w:val="00274B00"/>
    <w:rsid w:val="00274B7C"/>
    <w:rsid w:val="00274B83"/>
    <w:rsid w:val="00274B85"/>
    <w:rsid w:val="00274BBC"/>
    <w:rsid w:val="00274C2C"/>
    <w:rsid w:val="00274C89"/>
    <w:rsid w:val="00274CBF"/>
    <w:rsid w:val="00274D39"/>
    <w:rsid w:val="00274D92"/>
    <w:rsid w:val="00274DEB"/>
    <w:rsid w:val="00274EB7"/>
    <w:rsid w:val="00274F88"/>
    <w:rsid w:val="00275099"/>
    <w:rsid w:val="0027509E"/>
    <w:rsid w:val="00275118"/>
    <w:rsid w:val="0027514D"/>
    <w:rsid w:val="00275162"/>
    <w:rsid w:val="0027518F"/>
    <w:rsid w:val="002751CD"/>
    <w:rsid w:val="002751F3"/>
    <w:rsid w:val="002751FF"/>
    <w:rsid w:val="00275223"/>
    <w:rsid w:val="002752CF"/>
    <w:rsid w:val="002752E7"/>
    <w:rsid w:val="0027537A"/>
    <w:rsid w:val="0027537D"/>
    <w:rsid w:val="00275384"/>
    <w:rsid w:val="00275479"/>
    <w:rsid w:val="00275483"/>
    <w:rsid w:val="0027548B"/>
    <w:rsid w:val="002754B9"/>
    <w:rsid w:val="002754D2"/>
    <w:rsid w:val="0027558A"/>
    <w:rsid w:val="00275630"/>
    <w:rsid w:val="0027573F"/>
    <w:rsid w:val="002757B1"/>
    <w:rsid w:val="002757D8"/>
    <w:rsid w:val="002757DF"/>
    <w:rsid w:val="002758CA"/>
    <w:rsid w:val="0027595B"/>
    <w:rsid w:val="002759CD"/>
    <w:rsid w:val="00275A6F"/>
    <w:rsid w:val="00275AF8"/>
    <w:rsid w:val="00275C03"/>
    <w:rsid w:val="00275C0C"/>
    <w:rsid w:val="00275CD1"/>
    <w:rsid w:val="00275D35"/>
    <w:rsid w:val="00275D82"/>
    <w:rsid w:val="00275E37"/>
    <w:rsid w:val="00275E88"/>
    <w:rsid w:val="00275E8B"/>
    <w:rsid w:val="00275F50"/>
    <w:rsid w:val="00275FC6"/>
    <w:rsid w:val="00275FE4"/>
    <w:rsid w:val="002760B7"/>
    <w:rsid w:val="002761EE"/>
    <w:rsid w:val="0027631A"/>
    <w:rsid w:val="002763E9"/>
    <w:rsid w:val="0027644B"/>
    <w:rsid w:val="0027646C"/>
    <w:rsid w:val="002764C8"/>
    <w:rsid w:val="002765F7"/>
    <w:rsid w:val="00276715"/>
    <w:rsid w:val="00276799"/>
    <w:rsid w:val="0027679A"/>
    <w:rsid w:val="002768C9"/>
    <w:rsid w:val="002768FE"/>
    <w:rsid w:val="0027694D"/>
    <w:rsid w:val="00276A4B"/>
    <w:rsid w:val="00276A61"/>
    <w:rsid w:val="00276BAB"/>
    <w:rsid w:val="00276BCF"/>
    <w:rsid w:val="00276E40"/>
    <w:rsid w:val="00276E4F"/>
    <w:rsid w:val="00276E96"/>
    <w:rsid w:val="00276EA2"/>
    <w:rsid w:val="00276EC4"/>
    <w:rsid w:val="00276ED8"/>
    <w:rsid w:val="0027704C"/>
    <w:rsid w:val="00277068"/>
    <w:rsid w:val="002770DA"/>
    <w:rsid w:val="00277195"/>
    <w:rsid w:val="00277234"/>
    <w:rsid w:val="002772A9"/>
    <w:rsid w:val="00277346"/>
    <w:rsid w:val="0027738D"/>
    <w:rsid w:val="002773A1"/>
    <w:rsid w:val="0027746B"/>
    <w:rsid w:val="00277644"/>
    <w:rsid w:val="002776A5"/>
    <w:rsid w:val="002776C6"/>
    <w:rsid w:val="00277740"/>
    <w:rsid w:val="002778C9"/>
    <w:rsid w:val="002778EF"/>
    <w:rsid w:val="0027795A"/>
    <w:rsid w:val="0027796F"/>
    <w:rsid w:val="002779D0"/>
    <w:rsid w:val="00277A44"/>
    <w:rsid w:val="00277A89"/>
    <w:rsid w:val="00277A9D"/>
    <w:rsid w:val="00277B17"/>
    <w:rsid w:val="00277D2D"/>
    <w:rsid w:val="00277D6D"/>
    <w:rsid w:val="00277DDE"/>
    <w:rsid w:val="00277DFA"/>
    <w:rsid w:val="00277E9A"/>
    <w:rsid w:val="00277EE8"/>
    <w:rsid w:val="00277F5C"/>
    <w:rsid w:val="0028004A"/>
    <w:rsid w:val="002800DF"/>
    <w:rsid w:val="002800FE"/>
    <w:rsid w:val="00280223"/>
    <w:rsid w:val="00280278"/>
    <w:rsid w:val="002802DE"/>
    <w:rsid w:val="0028038E"/>
    <w:rsid w:val="00280426"/>
    <w:rsid w:val="0028046D"/>
    <w:rsid w:val="00280557"/>
    <w:rsid w:val="00280558"/>
    <w:rsid w:val="00280632"/>
    <w:rsid w:val="0028069B"/>
    <w:rsid w:val="0028073B"/>
    <w:rsid w:val="002807D8"/>
    <w:rsid w:val="002808E9"/>
    <w:rsid w:val="00280901"/>
    <w:rsid w:val="00280972"/>
    <w:rsid w:val="00280988"/>
    <w:rsid w:val="00280ABD"/>
    <w:rsid w:val="00280ADC"/>
    <w:rsid w:val="00280B31"/>
    <w:rsid w:val="00280B7E"/>
    <w:rsid w:val="00280BBF"/>
    <w:rsid w:val="00280CA0"/>
    <w:rsid w:val="00280D7F"/>
    <w:rsid w:val="00280D90"/>
    <w:rsid w:val="00280E2E"/>
    <w:rsid w:val="00280E38"/>
    <w:rsid w:val="00280F55"/>
    <w:rsid w:val="00280FD1"/>
    <w:rsid w:val="00281001"/>
    <w:rsid w:val="00281154"/>
    <w:rsid w:val="002811B1"/>
    <w:rsid w:val="002811C8"/>
    <w:rsid w:val="00281220"/>
    <w:rsid w:val="00281242"/>
    <w:rsid w:val="00281293"/>
    <w:rsid w:val="002813AB"/>
    <w:rsid w:val="002814AD"/>
    <w:rsid w:val="002814DB"/>
    <w:rsid w:val="00281546"/>
    <w:rsid w:val="00281552"/>
    <w:rsid w:val="0028157D"/>
    <w:rsid w:val="002815E2"/>
    <w:rsid w:val="002815EF"/>
    <w:rsid w:val="002815FF"/>
    <w:rsid w:val="00281628"/>
    <w:rsid w:val="00281681"/>
    <w:rsid w:val="00281808"/>
    <w:rsid w:val="0028181A"/>
    <w:rsid w:val="002818DB"/>
    <w:rsid w:val="00281917"/>
    <w:rsid w:val="00281970"/>
    <w:rsid w:val="00281976"/>
    <w:rsid w:val="00281AD4"/>
    <w:rsid w:val="00281BFF"/>
    <w:rsid w:val="00281C0A"/>
    <w:rsid w:val="00281CB4"/>
    <w:rsid w:val="00281CF9"/>
    <w:rsid w:val="00281D1B"/>
    <w:rsid w:val="00281D42"/>
    <w:rsid w:val="00281D92"/>
    <w:rsid w:val="00281DC6"/>
    <w:rsid w:val="00281E00"/>
    <w:rsid w:val="00281E85"/>
    <w:rsid w:val="00281E8A"/>
    <w:rsid w:val="00281E97"/>
    <w:rsid w:val="00281EF8"/>
    <w:rsid w:val="00281F0A"/>
    <w:rsid w:val="00281F1A"/>
    <w:rsid w:val="00281FAE"/>
    <w:rsid w:val="00281FFF"/>
    <w:rsid w:val="00282078"/>
    <w:rsid w:val="0028218C"/>
    <w:rsid w:val="002821E0"/>
    <w:rsid w:val="00282239"/>
    <w:rsid w:val="00282372"/>
    <w:rsid w:val="002823BA"/>
    <w:rsid w:val="002823FE"/>
    <w:rsid w:val="00282480"/>
    <w:rsid w:val="002824AA"/>
    <w:rsid w:val="002824CC"/>
    <w:rsid w:val="0028251C"/>
    <w:rsid w:val="0028259E"/>
    <w:rsid w:val="002825EC"/>
    <w:rsid w:val="00282603"/>
    <w:rsid w:val="002826F9"/>
    <w:rsid w:val="00282700"/>
    <w:rsid w:val="002827F0"/>
    <w:rsid w:val="00282855"/>
    <w:rsid w:val="002828DE"/>
    <w:rsid w:val="0028291F"/>
    <w:rsid w:val="0028296D"/>
    <w:rsid w:val="00282A41"/>
    <w:rsid w:val="00282A81"/>
    <w:rsid w:val="00282AC0"/>
    <w:rsid w:val="00282AF5"/>
    <w:rsid w:val="00282B53"/>
    <w:rsid w:val="00282BC1"/>
    <w:rsid w:val="00282C60"/>
    <w:rsid w:val="00282DD9"/>
    <w:rsid w:val="00282DDA"/>
    <w:rsid w:val="00282E04"/>
    <w:rsid w:val="00282E6F"/>
    <w:rsid w:val="00282EC1"/>
    <w:rsid w:val="00282ECB"/>
    <w:rsid w:val="00282ED7"/>
    <w:rsid w:val="00282FF9"/>
    <w:rsid w:val="00283084"/>
    <w:rsid w:val="00283087"/>
    <w:rsid w:val="00283170"/>
    <w:rsid w:val="00283399"/>
    <w:rsid w:val="00283418"/>
    <w:rsid w:val="00283435"/>
    <w:rsid w:val="0028347A"/>
    <w:rsid w:val="002834D6"/>
    <w:rsid w:val="0028355C"/>
    <w:rsid w:val="0028358C"/>
    <w:rsid w:val="00283593"/>
    <w:rsid w:val="0028364F"/>
    <w:rsid w:val="00283658"/>
    <w:rsid w:val="00283683"/>
    <w:rsid w:val="002836EC"/>
    <w:rsid w:val="0028371C"/>
    <w:rsid w:val="00283747"/>
    <w:rsid w:val="0028375F"/>
    <w:rsid w:val="00283766"/>
    <w:rsid w:val="002838A0"/>
    <w:rsid w:val="00283A6B"/>
    <w:rsid w:val="00283AB0"/>
    <w:rsid w:val="00283AB7"/>
    <w:rsid w:val="00283CDC"/>
    <w:rsid w:val="00283D86"/>
    <w:rsid w:val="00283E1C"/>
    <w:rsid w:val="00283E2A"/>
    <w:rsid w:val="00283E5C"/>
    <w:rsid w:val="00283ECF"/>
    <w:rsid w:val="0028406E"/>
    <w:rsid w:val="002840A7"/>
    <w:rsid w:val="002840F8"/>
    <w:rsid w:val="00284138"/>
    <w:rsid w:val="00284269"/>
    <w:rsid w:val="0028427E"/>
    <w:rsid w:val="002842C4"/>
    <w:rsid w:val="0028435A"/>
    <w:rsid w:val="002844A1"/>
    <w:rsid w:val="002844BC"/>
    <w:rsid w:val="0028454B"/>
    <w:rsid w:val="0028458C"/>
    <w:rsid w:val="002845C4"/>
    <w:rsid w:val="00284604"/>
    <w:rsid w:val="00284605"/>
    <w:rsid w:val="00284623"/>
    <w:rsid w:val="002846BC"/>
    <w:rsid w:val="00284722"/>
    <w:rsid w:val="002847AE"/>
    <w:rsid w:val="002847F5"/>
    <w:rsid w:val="002848BF"/>
    <w:rsid w:val="00284943"/>
    <w:rsid w:val="002849D0"/>
    <w:rsid w:val="00284A25"/>
    <w:rsid w:val="00284BBA"/>
    <w:rsid w:val="00284C0D"/>
    <w:rsid w:val="00284CC5"/>
    <w:rsid w:val="00284D4C"/>
    <w:rsid w:val="00284DB8"/>
    <w:rsid w:val="00284E20"/>
    <w:rsid w:val="00284E64"/>
    <w:rsid w:val="00284E88"/>
    <w:rsid w:val="00284EA9"/>
    <w:rsid w:val="00284F0E"/>
    <w:rsid w:val="00284F2A"/>
    <w:rsid w:val="00284FD8"/>
    <w:rsid w:val="00285067"/>
    <w:rsid w:val="00285071"/>
    <w:rsid w:val="002851EB"/>
    <w:rsid w:val="00285331"/>
    <w:rsid w:val="002853D2"/>
    <w:rsid w:val="00285435"/>
    <w:rsid w:val="00285522"/>
    <w:rsid w:val="0028559C"/>
    <w:rsid w:val="002855E9"/>
    <w:rsid w:val="00285618"/>
    <w:rsid w:val="00285642"/>
    <w:rsid w:val="0028576B"/>
    <w:rsid w:val="0028581A"/>
    <w:rsid w:val="00285894"/>
    <w:rsid w:val="00285917"/>
    <w:rsid w:val="00285A2A"/>
    <w:rsid w:val="00285A68"/>
    <w:rsid w:val="00285A77"/>
    <w:rsid w:val="00285A89"/>
    <w:rsid w:val="00285B1F"/>
    <w:rsid w:val="00285B53"/>
    <w:rsid w:val="00285BDF"/>
    <w:rsid w:val="00285C62"/>
    <w:rsid w:val="00285CB3"/>
    <w:rsid w:val="00285E12"/>
    <w:rsid w:val="00285E61"/>
    <w:rsid w:val="00285E70"/>
    <w:rsid w:val="00285EB2"/>
    <w:rsid w:val="00286007"/>
    <w:rsid w:val="0028609A"/>
    <w:rsid w:val="002861BD"/>
    <w:rsid w:val="002861E6"/>
    <w:rsid w:val="0028621D"/>
    <w:rsid w:val="00286267"/>
    <w:rsid w:val="002864AD"/>
    <w:rsid w:val="002865FE"/>
    <w:rsid w:val="0028663E"/>
    <w:rsid w:val="0028675C"/>
    <w:rsid w:val="002867E5"/>
    <w:rsid w:val="002867F9"/>
    <w:rsid w:val="00286843"/>
    <w:rsid w:val="0028694E"/>
    <w:rsid w:val="002869C0"/>
    <w:rsid w:val="00286A1F"/>
    <w:rsid w:val="00286A2D"/>
    <w:rsid w:val="00286A71"/>
    <w:rsid w:val="00286B3B"/>
    <w:rsid w:val="00286BBA"/>
    <w:rsid w:val="00286BEE"/>
    <w:rsid w:val="00286C76"/>
    <w:rsid w:val="00286C77"/>
    <w:rsid w:val="00286CCF"/>
    <w:rsid w:val="00286D00"/>
    <w:rsid w:val="00286D7C"/>
    <w:rsid w:val="00286D95"/>
    <w:rsid w:val="00286DF4"/>
    <w:rsid w:val="00286F0B"/>
    <w:rsid w:val="00286F37"/>
    <w:rsid w:val="00286F66"/>
    <w:rsid w:val="00286F6A"/>
    <w:rsid w:val="00286F87"/>
    <w:rsid w:val="00286FDE"/>
    <w:rsid w:val="002872E2"/>
    <w:rsid w:val="002873CA"/>
    <w:rsid w:val="002873CF"/>
    <w:rsid w:val="00287486"/>
    <w:rsid w:val="0028751F"/>
    <w:rsid w:val="00287523"/>
    <w:rsid w:val="002876C8"/>
    <w:rsid w:val="0028772B"/>
    <w:rsid w:val="00287730"/>
    <w:rsid w:val="00287793"/>
    <w:rsid w:val="002877D4"/>
    <w:rsid w:val="00287822"/>
    <w:rsid w:val="002878BF"/>
    <w:rsid w:val="002879BB"/>
    <w:rsid w:val="002879DC"/>
    <w:rsid w:val="002879E6"/>
    <w:rsid w:val="00287A75"/>
    <w:rsid w:val="00287AB1"/>
    <w:rsid w:val="00287AE2"/>
    <w:rsid w:val="00287B05"/>
    <w:rsid w:val="00287B93"/>
    <w:rsid w:val="00287C98"/>
    <w:rsid w:val="00287D58"/>
    <w:rsid w:val="00287FD3"/>
    <w:rsid w:val="00290017"/>
    <w:rsid w:val="0029005F"/>
    <w:rsid w:val="00290096"/>
    <w:rsid w:val="002901A2"/>
    <w:rsid w:val="00290225"/>
    <w:rsid w:val="0029027C"/>
    <w:rsid w:val="0029029E"/>
    <w:rsid w:val="002902C7"/>
    <w:rsid w:val="002902EB"/>
    <w:rsid w:val="002903DB"/>
    <w:rsid w:val="002903E0"/>
    <w:rsid w:val="00290400"/>
    <w:rsid w:val="0029049A"/>
    <w:rsid w:val="002904EE"/>
    <w:rsid w:val="00290536"/>
    <w:rsid w:val="002905C3"/>
    <w:rsid w:val="002905CD"/>
    <w:rsid w:val="00290650"/>
    <w:rsid w:val="0029065A"/>
    <w:rsid w:val="00290740"/>
    <w:rsid w:val="0029079B"/>
    <w:rsid w:val="0029080F"/>
    <w:rsid w:val="00290885"/>
    <w:rsid w:val="0029095E"/>
    <w:rsid w:val="00290963"/>
    <w:rsid w:val="00290AEE"/>
    <w:rsid w:val="00290B7A"/>
    <w:rsid w:val="00290D86"/>
    <w:rsid w:val="00290D95"/>
    <w:rsid w:val="00290DD5"/>
    <w:rsid w:val="00290DE2"/>
    <w:rsid w:val="00290E13"/>
    <w:rsid w:val="00290E48"/>
    <w:rsid w:val="00290F74"/>
    <w:rsid w:val="00290FCD"/>
    <w:rsid w:val="00291036"/>
    <w:rsid w:val="00291067"/>
    <w:rsid w:val="00291075"/>
    <w:rsid w:val="0029109B"/>
    <w:rsid w:val="002910D5"/>
    <w:rsid w:val="00291118"/>
    <w:rsid w:val="0029116E"/>
    <w:rsid w:val="002911AA"/>
    <w:rsid w:val="002911C6"/>
    <w:rsid w:val="002911CB"/>
    <w:rsid w:val="002912DD"/>
    <w:rsid w:val="0029144B"/>
    <w:rsid w:val="0029146A"/>
    <w:rsid w:val="0029147B"/>
    <w:rsid w:val="00291485"/>
    <w:rsid w:val="002914B7"/>
    <w:rsid w:val="0029152C"/>
    <w:rsid w:val="0029160C"/>
    <w:rsid w:val="002916C9"/>
    <w:rsid w:val="0029172A"/>
    <w:rsid w:val="0029188E"/>
    <w:rsid w:val="002918F7"/>
    <w:rsid w:val="00291946"/>
    <w:rsid w:val="0029197A"/>
    <w:rsid w:val="002919BB"/>
    <w:rsid w:val="00291A94"/>
    <w:rsid w:val="00291B0C"/>
    <w:rsid w:val="00291C73"/>
    <w:rsid w:val="00291CC7"/>
    <w:rsid w:val="00291D32"/>
    <w:rsid w:val="00291DFB"/>
    <w:rsid w:val="00291FCC"/>
    <w:rsid w:val="00291FFC"/>
    <w:rsid w:val="00292009"/>
    <w:rsid w:val="00292096"/>
    <w:rsid w:val="00292159"/>
    <w:rsid w:val="002923D9"/>
    <w:rsid w:val="00292464"/>
    <w:rsid w:val="002924A7"/>
    <w:rsid w:val="002924C8"/>
    <w:rsid w:val="002924CE"/>
    <w:rsid w:val="002925DA"/>
    <w:rsid w:val="002925ED"/>
    <w:rsid w:val="00292681"/>
    <w:rsid w:val="00292770"/>
    <w:rsid w:val="00292835"/>
    <w:rsid w:val="00292872"/>
    <w:rsid w:val="0029292B"/>
    <w:rsid w:val="00292A9C"/>
    <w:rsid w:val="00292BD2"/>
    <w:rsid w:val="00292C05"/>
    <w:rsid w:val="00292C0A"/>
    <w:rsid w:val="00292C2A"/>
    <w:rsid w:val="00292C6B"/>
    <w:rsid w:val="00292C99"/>
    <w:rsid w:val="00292D15"/>
    <w:rsid w:val="00292D61"/>
    <w:rsid w:val="00292D71"/>
    <w:rsid w:val="00292EFC"/>
    <w:rsid w:val="00292F4A"/>
    <w:rsid w:val="00292F52"/>
    <w:rsid w:val="00292FC7"/>
    <w:rsid w:val="00293000"/>
    <w:rsid w:val="00293011"/>
    <w:rsid w:val="00293055"/>
    <w:rsid w:val="002931C0"/>
    <w:rsid w:val="002932B1"/>
    <w:rsid w:val="002932B9"/>
    <w:rsid w:val="002932C0"/>
    <w:rsid w:val="002933EC"/>
    <w:rsid w:val="002934A0"/>
    <w:rsid w:val="002934FB"/>
    <w:rsid w:val="00293577"/>
    <w:rsid w:val="002935AC"/>
    <w:rsid w:val="00293628"/>
    <w:rsid w:val="002936B9"/>
    <w:rsid w:val="00293709"/>
    <w:rsid w:val="0029377F"/>
    <w:rsid w:val="002937B7"/>
    <w:rsid w:val="002937C7"/>
    <w:rsid w:val="00293854"/>
    <w:rsid w:val="00293868"/>
    <w:rsid w:val="00293964"/>
    <w:rsid w:val="002939C7"/>
    <w:rsid w:val="002939FA"/>
    <w:rsid w:val="00293A0E"/>
    <w:rsid w:val="00293A5B"/>
    <w:rsid w:val="00293A96"/>
    <w:rsid w:val="00293A9F"/>
    <w:rsid w:val="00293AB9"/>
    <w:rsid w:val="00293B3F"/>
    <w:rsid w:val="00293BA6"/>
    <w:rsid w:val="00293D22"/>
    <w:rsid w:val="00293D4C"/>
    <w:rsid w:val="00293D9D"/>
    <w:rsid w:val="00293EAD"/>
    <w:rsid w:val="00293F88"/>
    <w:rsid w:val="0029406B"/>
    <w:rsid w:val="002940F1"/>
    <w:rsid w:val="0029414E"/>
    <w:rsid w:val="002941C0"/>
    <w:rsid w:val="00294281"/>
    <w:rsid w:val="00294382"/>
    <w:rsid w:val="002943F9"/>
    <w:rsid w:val="00294459"/>
    <w:rsid w:val="00294514"/>
    <w:rsid w:val="0029458E"/>
    <w:rsid w:val="002945E5"/>
    <w:rsid w:val="00294611"/>
    <w:rsid w:val="00294740"/>
    <w:rsid w:val="0029476F"/>
    <w:rsid w:val="0029481A"/>
    <w:rsid w:val="00294832"/>
    <w:rsid w:val="0029485B"/>
    <w:rsid w:val="002948A6"/>
    <w:rsid w:val="002948FD"/>
    <w:rsid w:val="002949B3"/>
    <w:rsid w:val="002949B9"/>
    <w:rsid w:val="002949BA"/>
    <w:rsid w:val="00294A43"/>
    <w:rsid w:val="00294AB4"/>
    <w:rsid w:val="00294AC7"/>
    <w:rsid w:val="00294CCC"/>
    <w:rsid w:val="00294CD0"/>
    <w:rsid w:val="00294D10"/>
    <w:rsid w:val="00294D54"/>
    <w:rsid w:val="00294D8E"/>
    <w:rsid w:val="00294D8F"/>
    <w:rsid w:val="00294D9A"/>
    <w:rsid w:val="00294DD5"/>
    <w:rsid w:val="00294DEB"/>
    <w:rsid w:val="00294E2F"/>
    <w:rsid w:val="00294E3C"/>
    <w:rsid w:val="00294EC6"/>
    <w:rsid w:val="00294EDD"/>
    <w:rsid w:val="00294F78"/>
    <w:rsid w:val="00294F87"/>
    <w:rsid w:val="00294F9C"/>
    <w:rsid w:val="00295088"/>
    <w:rsid w:val="002950AA"/>
    <w:rsid w:val="002950D3"/>
    <w:rsid w:val="002950EC"/>
    <w:rsid w:val="0029512A"/>
    <w:rsid w:val="0029517E"/>
    <w:rsid w:val="00295202"/>
    <w:rsid w:val="002952B9"/>
    <w:rsid w:val="00295302"/>
    <w:rsid w:val="00295384"/>
    <w:rsid w:val="0029550D"/>
    <w:rsid w:val="0029550F"/>
    <w:rsid w:val="00295550"/>
    <w:rsid w:val="00295722"/>
    <w:rsid w:val="00295747"/>
    <w:rsid w:val="0029574D"/>
    <w:rsid w:val="002957DB"/>
    <w:rsid w:val="0029588D"/>
    <w:rsid w:val="002958D9"/>
    <w:rsid w:val="002959AC"/>
    <w:rsid w:val="002959B6"/>
    <w:rsid w:val="002959C8"/>
    <w:rsid w:val="00295B29"/>
    <w:rsid w:val="00295C51"/>
    <w:rsid w:val="00295CAB"/>
    <w:rsid w:val="00295E69"/>
    <w:rsid w:val="00295F0E"/>
    <w:rsid w:val="00295F20"/>
    <w:rsid w:val="00295F7F"/>
    <w:rsid w:val="00295FD6"/>
    <w:rsid w:val="00295FD7"/>
    <w:rsid w:val="00295FFB"/>
    <w:rsid w:val="00296052"/>
    <w:rsid w:val="0029609A"/>
    <w:rsid w:val="002960BD"/>
    <w:rsid w:val="00296321"/>
    <w:rsid w:val="0029646F"/>
    <w:rsid w:val="00296473"/>
    <w:rsid w:val="00296517"/>
    <w:rsid w:val="0029651C"/>
    <w:rsid w:val="0029657B"/>
    <w:rsid w:val="00296674"/>
    <w:rsid w:val="00296685"/>
    <w:rsid w:val="0029668A"/>
    <w:rsid w:val="0029674F"/>
    <w:rsid w:val="00296768"/>
    <w:rsid w:val="002967D9"/>
    <w:rsid w:val="00296854"/>
    <w:rsid w:val="002968DB"/>
    <w:rsid w:val="00296901"/>
    <w:rsid w:val="00296AD4"/>
    <w:rsid w:val="00296B37"/>
    <w:rsid w:val="00296BB4"/>
    <w:rsid w:val="00296C3F"/>
    <w:rsid w:val="00296C8B"/>
    <w:rsid w:val="00296E05"/>
    <w:rsid w:val="00296E0D"/>
    <w:rsid w:val="00296F34"/>
    <w:rsid w:val="00296F51"/>
    <w:rsid w:val="00296F75"/>
    <w:rsid w:val="0029710D"/>
    <w:rsid w:val="002971FC"/>
    <w:rsid w:val="00297257"/>
    <w:rsid w:val="002972A8"/>
    <w:rsid w:val="002972F7"/>
    <w:rsid w:val="00297311"/>
    <w:rsid w:val="00297343"/>
    <w:rsid w:val="002973BA"/>
    <w:rsid w:val="0029740F"/>
    <w:rsid w:val="002974FB"/>
    <w:rsid w:val="0029752C"/>
    <w:rsid w:val="00297617"/>
    <w:rsid w:val="00297769"/>
    <w:rsid w:val="00297835"/>
    <w:rsid w:val="002978A2"/>
    <w:rsid w:val="002978D5"/>
    <w:rsid w:val="00297900"/>
    <w:rsid w:val="00297925"/>
    <w:rsid w:val="00297AB0"/>
    <w:rsid w:val="00297ADE"/>
    <w:rsid w:val="00297BE1"/>
    <w:rsid w:val="00297C00"/>
    <w:rsid w:val="00297C43"/>
    <w:rsid w:val="00297C6D"/>
    <w:rsid w:val="00297D4F"/>
    <w:rsid w:val="00297DCD"/>
    <w:rsid w:val="00297E55"/>
    <w:rsid w:val="00297E57"/>
    <w:rsid w:val="00297EF1"/>
    <w:rsid w:val="00297F70"/>
    <w:rsid w:val="002A0042"/>
    <w:rsid w:val="002A00A1"/>
    <w:rsid w:val="002A0112"/>
    <w:rsid w:val="002A0214"/>
    <w:rsid w:val="002A0230"/>
    <w:rsid w:val="002A02B5"/>
    <w:rsid w:val="002A0352"/>
    <w:rsid w:val="002A0356"/>
    <w:rsid w:val="002A039E"/>
    <w:rsid w:val="002A0449"/>
    <w:rsid w:val="002A04D1"/>
    <w:rsid w:val="002A0534"/>
    <w:rsid w:val="002A0557"/>
    <w:rsid w:val="002A0609"/>
    <w:rsid w:val="002A0640"/>
    <w:rsid w:val="002A06EF"/>
    <w:rsid w:val="002A06FA"/>
    <w:rsid w:val="002A076B"/>
    <w:rsid w:val="002A078B"/>
    <w:rsid w:val="002A08C8"/>
    <w:rsid w:val="002A09A0"/>
    <w:rsid w:val="002A09A1"/>
    <w:rsid w:val="002A09F4"/>
    <w:rsid w:val="002A0A43"/>
    <w:rsid w:val="002A0AAF"/>
    <w:rsid w:val="002A0B0C"/>
    <w:rsid w:val="002A0B21"/>
    <w:rsid w:val="002A0B32"/>
    <w:rsid w:val="002A0BA9"/>
    <w:rsid w:val="002A0C40"/>
    <w:rsid w:val="002A0D06"/>
    <w:rsid w:val="002A0D16"/>
    <w:rsid w:val="002A0D5C"/>
    <w:rsid w:val="002A0F09"/>
    <w:rsid w:val="002A0F31"/>
    <w:rsid w:val="002A0F80"/>
    <w:rsid w:val="002A0F84"/>
    <w:rsid w:val="002A105D"/>
    <w:rsid w:val="002A108F"/>
    <w:rsid w:val="002A1122"/>
    <w:rsid w:val="002A1123"/>
    <w:rsid w:val="002A1274"/>
    <w:rsid w:val="002A1293"/>
    <w:rsid w:val="002A129D"/>
    <w:rsid w:val="002A1327"/>
    <w:rsid w:val="002A133F"/>
    <w:rsid w:val="002A13BF"/>
    <w:rsid w:val="002A13D6"/>
    <w:rsid w:val="002A1461"/>
    <w:rsid w:val="002A147E"/>
    <w:rsid w:val="002A14A5"/>
    <w:rsid w:val="002A157B"/>
    <w:rsid w:val="002A15CB"/>
    <w:rsid w:val="002A168C"/>
    <w:rsid w:val="002A17AC"/>
    <w:rsid w:val="002A1854"/>
    <w:rsid w:val="002A1858"/>
    <w:rsid w:val="002A18ED"/>
    <w:rsid w:val="002A1987"/>
    <w:rsid w:val="002A19F6"/>
    <w:rsid w:val="002A1A11"/>
    <w:rsid w:val="002A1AA5"/>
    <w:rsid w:val="002A1AC9"/>
    <w:rsid w:val="002A1B0B"/>
    <w:rsid w:val="002A1BD5"/>
    <w:rsid w:val="002A1C83"/>
    <w:rsid w:val="002A1CF0"/>
    <w:rsid w:val="002A1CFC"/>
    <w:rsid w:val="002A1D1E"/>
    <w:rsid w:val="002A1D27"/>
    <w:rsid w:val="002A1D34"/>
    <w:rsid w:val="002A1DB3"/>
    <w:rsid w:val="002A1E1F"/>
    <w:rsid w:val="002A1E51"/>
    <w:rsid w:val="002A1E9B"/>
    <w:rsid w:val="002A1EB0"/>
    <w:rsid w:val="002A1F04"/>
    <w:rsid w:val="002A1FAC"/>
    <w:rsid w:val="002A1FFB"/>
    <w:rsid w:val="002A1FFE"/>
    <w:rsid w:val="002A203D"/>
    <w:rsid w:val="002A2081"/>
    <w:rsid w:val="002A208E"/>
    <w:rsid w:val="002A20BF"/>
    <w:rsid w:val="002A20F5"/>
    <w:rsid w:val="002A20F7"/>
    <w:rsid w:val="002A2115"/>
    <w:rsid w:val="002A21BE"/>
    <w:rsid w:val="002A21EF"/>
    <w:rsid w:val="002A2202"/>
    <w:rsid w:val="002A2208"/>
    <w:rsid w:val="002A220B"/>
    <w:rsid w:val="002A2232"/>
    <w:rsid w:val="002A227D"/>
    <w:rsid w:val="002A228C"/>
    <w:rsid w:val="002A22ED"/>
    <w:rsid w:val="002A22F9"/>
    <w:rsid w:val="002A2308"/>
    <w:rsid w:val="002A231C"/>
    <w:rsid w:val="002A25E9"/>
    <w:rsid w:val="002A2616"/>
    <w:rsid w:val="002A267E"/>
    <w:rsid w:val="002A2894"/>
    <w:rsid w:val="002A2949"/>
    <w:rsid w:val="002A299C"/>
    <w:rsid w:val="002A29ED"/>
    <w:rsid w:val="002A2A1F"/>
    <w:rsid w:val="002A2A6C"/>
    <w:rsid w:val="002A2ACE"/>
    <w:rsid w:val="002A2AF9"/>
    <w:rsid w:val="002A2B23"/>
    <w:rsid w:val="002A2B5A"/>
    <w:rsid w:val="002A2BB1"/>
    <w:rsid w:val="002A2C2E"/>
    <w:rsid w:val="002A2CE2"/>
    <w:rsid w:val="002A2D4D"/>
    <w:rsid w:val="002A2DF6"/>
    <w:rsid w:val="002A2E1D"/>
    <w:rsid w:val="002A2FDF"/>
    <w:rsid w:val="002A2FE0"/>
    <w:rsid w:val="002A3032"/>
    <w:rsid w:val="002A3055"/>
    <w:rsid w:val="002A3289"/>
    <w:rsid w:val="002A32B3"/>
    <w:rsid w:val="002A3326"/>
    <w:rsid w:val="002A33FA"/>
    <w:rsid w:val="002A349C"/>
    <w:rsid w:val="002A3504"/>
    <w:rsid w:val="002A3558"/>
    <w:rsid w:val="002A35CB"/>
    <w:rsid w:val="002A35E2"/>
    <w:rsid w:val="002A36BB"/>
    <w:rsid w:val="002A377D"/>
    <w:rsid w:val="002A37C7"/>
    <w:rsid w:val="002A37ED"/>
    <w:rsid w:val="002A3851"/>
    <w:rsid w:val="002A3939"/>
    <w:rsid w:val="002A39DD"/>
    <w:rsid w:val="002A3A45"/>
    <w:rsid w:val="002A3AC8"/>
    <w:rsid w:val="002A3B65"/>
    <w:rsid w:val="002A3B9C"/>
    <w:rsid w:val="002A3C7A"/>
    <w:rsid w:val="002A3C9B"/>
    <w:rsid w:val="002A3D1A"/>
    <w:rsid w:val="002A3D54"/>
    <w:rsid w:val="002A3DCB"/>
    <w:rsid w:val="002A3ED8"/>
    <w:rsid w:val="002A3EF7"/>
    <w:rsid w:val="002A3F13"/>
    <w:rsid w:val="002A3F6B"/>
    <w:rsid w:val="002A3FB5"/>
    <w:rsid w:val="002A405C"/>
    <w:rsid w:val="002A4060"/>
    <w:rsid w:val="002A40E1"/>
    <w:rsid w:val="002A40E3"/>
    <w:rsid w:val="002A40EF"/>
    <w:rsid w:val="002A4194"/>
    <w:rsid w:val="002A41DD"/>
    <w:rsid w:val="002A41E9"/>
    <w:rsid w:val="002A4206"/>
    <w:rsid w:val="002A423E"/>
    <w:rsid w:val="002A4240"/>
    <w:rsid w:val="002A4282"/>
    <w:rsid w:val="002A42DE"/>
    <w:rsid w:val="002A4321"/>
    <w:rsid w:val="002A436F"/>
    <w:rsid w:val="002A4380"/>
    <w:rsid w:val="002A4411"/>
    <w:rsid w:val="002A442A"/>
    <w:rsid w:val="002A4517"/>
    <w:rsid w:val="002A4529"/>
    <w:rsid w:val="002A45AA"/>
    <w:rsid w:val="002A45E2"/>
    <w:rsid w:val="002A45EC"/>
    <w:rsid w:val="002A4774"/>
    <w:rsid w:val="002A478F"/>
    <w:rsid w:val="002A47C6"/>
    <w:rsid w:val="002A480A"/>
    <w:rsid w:val="002A48A3"/>
    <w:rsid w:val="002A4A01"/>
    <w:rsid w:val="002A4B47"/>
    <w:rsid w:val="002A4C17"/>
    <w:rsid w:val="002A4C5F"/>
    <w:rsid w:val="002A4CBC"/>
    <w:rsid w:val="002A4CF3"/>
    <w:rsid w:val="002A4D7C"/>
    <w:rsid w:val="002A4DEB"/>
    <w:rsid w:val="002A4EE7"/>
    <w:rsid w:val="002A4F3E"/>
    <w:rsid w:val="002A5047"/>
    <w:rsid w:val="002A5077"/>
    <w:rsid w:val="002A50A8"/>
    <w:rsid w:val="002A50DD"/>
    <w:rsid w:val="002A5184"/>
    <w:rsid w:val="002A5188"/>
    <w:rsid w:val="002A5232"/>
    <w:rsid w:val="002A528F"/>
    <w:rsid w:val="002A535E"/>
    <w:rsid w:val="002A54A1"/>
    <w:rsid w:val="002A54EE"/>
    <w:rsid w:val="002A5580"/>
    <w:rsid w:val="002A55E0"/>
    <w:rsid w:val="002A564C"/>
    <w:rsid w:val="002A5662"/>
    <w:rsid w:val="002A56FD"/>
    <w:rsid w:val="002A571D"/>
    <w:rsid w:val="002A578B"/>
    <w:rsid w:val="002A57A0"/>
    <w:rsid w:val="002A57B9"/>
    <w:rsid w:val="002A5882"/>
    <w:rsid w:val="002A58B0"/>
    <w:rsid w:val="002A58CF"/>
    <w:rsid w:val="002A59A1"/>
    <w:rsid w:val="002A5AD8"/>
    <w:rsid w:val="002A5B85"/>
    <w:rsid w:val="002A5C01"/>
    <w:rsid w:val="002A5C21"/>
    <w:rsid w:val="002A5C97"/>
    <w:rsid w:val="002A5CF1"/>
    <w:rsid w:val="002A5DCD"/>
    <w:rsid w:val="002A5EB6"/>
    <w:rsid w:val="002A5F01"/>
    <w:rsid w:val="002A5F4F"/>
    <w:rsid w:val="002A5F82"/>
    <w:rsid w:val="002A6073"/>
    <w:rsid w:val="002A60A8"/>
    <w:rsid w:val="002A6198"/>
    <w:rsid w:val="002A6205"/>
    <w:rsid w:val="002A62EF"/>
    <w:rsid w:val="002A62FE"/>
    <w:rsid w:val="002A630F"/>
    <w:rsid w:val="002A6334"/>
    <w:rsid w:val="002A6383"/>
    <w:rsid w:val="002A63F3"/>
    <w:rsid w:val="002A63F6"/>
    <w:rsid w:val="002A6451"/>
    <w:rsid w:val="002A64A7"/>
    <w:rsid w:val="002A64EC"/>
    <w:rsid w:val="002A650C"/>
    <w:rsid w:val="002A656F"/>
    <w:rsid w:val="002A65A4"/>
    <w:rsid w:val="002A65D3"/>
    <w:rsid w:val="002A6635"/>
    <w:rsid w:val="002A68F6"/>
    <w:rsid w:val="002A6972"/>
    <w:rsid w:val="002A697D"/>
    <w:rsid w:val="002A6AC9"/>
    <w:rsid w:val="002A6B2D"/>
    <w:rsid w:val="002A6BE6"/>
    <w:rsid w:val="002A6CA2"/>
    <w:rsid w:val="002A6DE4"/>
    <w:rsid w:val="002A6E75"/>
    <w:rsid w:val="002A6E78"/>
    <w:rsid w:val="002A6EDE"/>
    <w:rsid w:val="002A6F18"/>
    <w:rsid w:val="002A6FA7"/>
    <w:rsid w:val="002A6FBC"/>
    <w:rsid w:val="002A7015"/>
    <w:rsid w:val="002A7027"/>
    <w:rsid w:val="002A7054"/>
    <w:rsid w:val="002A71CC"/>
    <w:rsid w:val="002A71F3"/>
    <w:rsid w:val="002A725C"/>
    <w:rsid w:val="002A727F"/>
    <w:rsid w:val="002A72C7"/>
    <w:rsid w:val="002A72DF"/>
    <w:rsid w:val="002A72E4"/>
    <w:rsid w:val="002A7321"/>
    <w:rsid w:val="002A7324"/>
    <w:rsid w:val="002A7437"/>
    <w:rsid w:val="002A7540"/>
    <w:rsid w:val="002A755D"/>
    <w:rsid w:val="002A756F"/>
    <w:rsid w:val="002A75A9"/>
    <w:rsid w:val="002A75FD"/>
    <w:rsid w:val="002A7639"/>
    <w:rsid w:val="002A769F"/>
    <w:rsid w:val="002A76D3"/>
    <w:rsid w:val="002A771E"/>
    <w:rsid w:val="002A77AC"/>
    <w:rsid w:val="002A77B2"/>
    <w:rsid w:val="002A785D"/>
    <w:rsid w:val="002A787F"/>
    <w:rsid w:val="002A789D"/>
    <w:rsid w:val="002A7932"/>
    <w:rsid w:val="002A797F"/>
    <w:rsid w:val="002A7ADF"/>
    <w:rsid w:val="002A7B07"/>
    <w:rsid w:val="002A7C32"/>
    <w:rsid w:val="002A7C8D"/>
    <w:rsid w:val="002A7C8E"/>
    <w:rsid w:val="002A7C9E"/>
    <w:rsid w:val="002A7CD6"/>
    <w:rsid w:val="002A7EFF"/>
    <w:rsid w:val="002A7F94"/>
    <w:rsid w:val="002A7FA2"/>
    <w:rsid w:val="002A7FBF"/>
    <w:rsid w:val="002A7FC9"/>
    <w:rsid w:val="002B0081"/>
    <w:rsid w:val="002B0083"/>
    <w:rsid w:val="002B00A3"/>
    <w:rsid w:val="002B00F0"/>
    <w:rsid w:val="002B0165"/>
    <w:rsid w:val="002B018D"/>
    <w:rsid w:val="002B01DB"/>
    <w:rsid w:val="002B026D"/>
    <w:rsid w:val="002B02BF"/>
    <w:rsid w:val="002B02DA"/>
    <w:rsid w:val="002B033C"/>
    <w:rsid w:val="002B0344"/>
    <w:rsid w:val="002B040E"/>
    <w:rsid w:val="002B0422"/>
    <w:rsid w:val="002B043A"/>
    <w:rsid w:val="002B049C"/>
    <w:rsid w:val="002B04B2"/>
    <w:rsid w:val="002B04CC"/>
    <w:rsid w:val="002B0555"/>
    <w:rsid w:val="002B06CD"/>
    <w:rsid w:val="002B06EA"/>
    <w:rsid w:val="002B0730"/>
    <w:rsid w:val="002B075C"/>
    <w:rsid w:val="002B076B"/>
    <w:rsid w:val="002B0786"/>
    <w:rsid w:val="002B07C9"/>
    <w:rsid w:val="002B07E2"/>
    <w:rsid w:val="002B07FF"/>
    <w:rsid w:val="002B0914"/>
    <w:rsid w:val="002B0945"/>
    <w:rsid w:val="002B099E"/>
    <w:rsid w:val="002B0A2D"/>
    <w:rsid w:val="002B0A7D"/>
    <w:rsid w:val="002B0B24"/>
    <w:rsid w:val="002B0B33"/>
    <w:rsid w:val="002B0B81"/>
    <w:rsid w:val="002B0BCB"/>
    <w:rsid w:val="002B0BE6"/>
    <w:rsid w:val="002B0BF2"/>
    <w:rsid w:val="002B0C49"/>
    <w:rsid w:val="002B0C79"/>
    <w:rsid w:val="002B0C7E"/>
    <w:rsid w:val="002B0D3A"/>
    <w:rsid w:val="002B0D6B"/>
    <w:rsid w:val="002B0D97"/>
    <w:rsid w:val="002B0D9C"/>
    <w:rsid w:val="002B0DCE"/>
    <w:rsid w:val="002B0EC9"/>
    <w:rsid w:val="002B0F03"/>
    <w:rsid w:val="002B0F23"/>
    <w:rsid w:val="002B1037"/>
    <w:rsid w:val="002B103B"/>
    <w:rsid w:val="002B1079"/>
    <w:rsid w:val="002B122D"/>
    <w:rsid w:val="002B124A"/>
    <w:rsid w:val="002B1251"/>
    <w:rsid w:val="002B1318"/>
    <w:rsid w:val="002B14AA"/>
    <w:rsid w:val="002B14B9"/>
    <w:rsid w:val="002B1592"/>
    <w:rsid w:val="002B1634"/>
    <w:rsid w:val="002B1641"/>
    <w:rsid w:val="002B170D"/>
    <w:rsid w:val="002B1809"/>
    <w:rsid w:val="002B187F"/>
    <w:rsid w:val="002B18C4"/>
    <w:rsid w:val="002B1932"/>
    <w:rsid w:val="002B1A59"/>
    <w:rsid w:val="002B1B05"/>
    <w:rsid w:val="002B1BC0"/>
    <w:rsid w:val="002B1CC6"/>
    <w:rsid w:val="002B1D06"/>
    <w:rsid w:val="002B1D23"/>
    <w:rsid w:val="002B1D99"/>
    <w:rsid w:val="002B1DFE"/>
    <w:rsid w:val="002B1F81"/>
    <w:rsid w:val="002B1FA9"/>
    <w:rsid w:val="002B1FCE"/>
    <w:rsid w:val="002B20AA"/>
    <w:rsid w:val="002B20AB"/>
    <w:rsid w:val="002B20B7"/>
    <w:rsid w:val="002B21BE"/>
    <w:rsid w:val="002B233D"/>
    <w:rsid w:val="002B235E"/>
    <w:rsid w:val="002B241B"/>
    <w:rsid w:val="002B2489"/>
    <w:rsid w:val="002B24BD"/>
    <w:rsid w:val="002B24D3"/>
    <w:rsid w:val="002B25B2"/>
    <w:rsid w:val="002B26D4"/>
    <w:rsid w:val="002B2710"/>
    <w:rsid w:val="002B2773"/>
    <w:rsid w:val="002B27DC"/>
    <w:rsid w:val="002B284B"/>
    <w:rsid w:val="002B2910"/>
    <w:rsid w:val="002B2942"/>
    <w:rsid w:val="002B29A2"/>
    <w:rsid w:val="002B2AE7"/>
    <w:rsid w:val="002B2B5A"/>
    <w:rsid w:val="002B2B95"/>
    <w:rsid w:val="002B2C1B"/>
    <w:rsid w:val="002B2D18"/>
    <w:rsid w:val="002B2D94"/>
    <w:rsid w:val="002B2DE5"/>
    <w:rsid w:val="002B2E11"/>
    <w:rsid w:val="002B2E45"/>
    <w:rsid w:val="002B2EEE"/>
    <w:rsid w:val="002B310E"/>
    <w:rsid w:val="002B3210"/>
    <w:rsid w:val="002B3270"/>
    <w:rsid w:val="002B3318"/>
    <w:rsid w:val="002B3320"/>
    <w:rsid w:val="002B33AA"/>
    <w:rsid w:val="002B33F9"/>
    <w:rsid w:val="002B35A8"/>
    <w:rsid w:val="002B35DB"/>
    <w:rsid w:val="002B35DE"/>
    <w:rsid w:val="002B3669"/>
    <w:rsid w:val="002B36C5"/>
    <w:rsid w:val="002B3764"/>
    <w:rsid w:val="002B37E7"/>
    <w:rsid w:val="002B383B"/>
    <w:rsid w:val="002B3910"/>
    <w:rsid w:val="002B3940"/>
    <w:rsid w:val="002B39D5"/>
    <w:rsid w:val="002B3A88"/>
    <w:rsid w:val="002B3B68"/>
    <w:rsid w:val="002B3C2A"/>
    <w:rsid w:val="002B3C33"/>
    <w:rsid w:val="002B3C5F"/>
    <w:rsid w:val="002B3E94"/>
    <w:rsid w:val="002B3F44"/>
    <w:rsid w:val="002B3FB5"/>
    <w:rsid w:val="002B4011"/>
    <w:rsid w:val="002B40C8"/>
    <w:rsid w:val="002B41BF"/>
    <w:rsid w:val="002B4341"/>
    <w:rsid w:val="002B4349"/>
    <w:rsid w:val="002B4358"/>
    <w:rsid w:val="002B4364"/>
    <w:rsid w:val="002B4399"/>
    <w:rsid w:val="002B4513"/>
    <w:rsid w:val="002B458C"/>
    <w:rsid w:val="002B45A6"/>
    <w:rsid w:val="002B45D8"/>
    <w:rsid w:val="002B464F"/>
    <w:rsid w:val="002B4670"/>
    <w:rsid w:val="002B4682"/>
    <w:rsid w:val="002B4771"/>
    <w:rsid w:val="002B47A4"/>
    <w:rsid w:val="002B4882"/>
    <w:rsid w:val="002B48A1"/>
    <w:rsid w:val="002B494B"/>
    <w:rsid w:val="002B495F"/>
    <w:rsid w:val="002B49BB"/>
    <w:rsid w:val="002B49CC"/>
    <w:rsid w:val="002B4A27"/>
    <w:rsid w:val="002B4B52"/>
    <w:rsid w:val="002B4BF6"/>
    <w:rsid w:val="002B4C61"/>
    <w:rsid w:val="002B4D35"/>
    <w:rsid w:val="002B4D5F"/>
    <w:rsid w:val="002B4DA9"/>
    <w:rsid w:val="002B4ECE"/>
    <w:rsid w:val="002B4F2E"/>
    <w:rsid w:val="002B4F42"/>
    <w:rsid w:val="002B4FEC"/>
    <w:rsid w:val="002B5164"/>
    <w:rsid w:val="002B5225"/>
    <w:rsid w:val="002B529F"/>
    <w:rsid w:val="002B52AE"/>
    <w:rsid w:val="002B53A4"/>
    <w:rsid w:val="002B5400"/>
    <w:rsid w:val="002B5494"/>
    <w:rsid w:val="002B54D3"/>
    <w:rsid w:val="002B5506"/>
    <w:rsid w:val="002B55B0"/>
    <w:rsid w:val="002B5611"/>
    <w:rsid w:val="002B5674"/>
    <w:rsid w:val="002B57AC"/>
    <w:rsid w:val="002B584F"/>
    <w:rsid w:val="002B58DF"/>
    <w:rsid w:val="002B58EA"/>
    <w:rsid w:val="002B5932"/>
    <w:rsid w:val="002B59C6"/>
    <w:rsid w:val="002B59DD"/>
    <w:rsid w:val="002B5A37"/>
    <w:rsid w:val="002B5AA3"/>
    <w:rsid w:val="002B5B77"/>
    <w:rsid w:val="002B5B9E"/>
    <w:rsid w:val="002B5C0B"/>
    <w:rsid w:val="002B5C11"/>
    <w:rsid w:val="002B5C14"/>
    <w:rsid w:val="002B5C1F"/>
    <w:rsid w:val="002B5C49"/>
    <w:rsid w:val="002B5C61"/>
    <w:rsid w:val="002B5D2A"/>
    <w:rsid w:val="002B5F8F"/>
    <w:rsid w:val="002B6021"/>
    <w:rsid w:val="002B6049"/>
    <w:rsid w:val="002B60DB"/>
    <w:rsid w:val="002B60E5"/>
    <w:rsid w:val="002B6158"/>
    <w:rsid w:val="002B61BD"/>
    <w:rsid w:val="002B6235"/>
    <w:rsid w:val="002B6299"/>
    <w:rsid w:val="002B636B"/>
    <w:rsid w:val="002B6385"/>
    <w:rsid w:val="002B64E6"/>
    <w:rsid w:val="002B64FB"/>
    <w:rsid w:val="002B650A"/>
    <w:rsid w:val="002B6537"/>
    <w:rsid w:val="002B6557"/>
    <w:rsid w:val="002B65AC"/>
    <w:rsid w:val="002B675A"/>
    <w:rsid w:val="002B6849"/>
    <w:rsid w:val="002B684C"/>
    <w:rsid w:val="002B6881"/>
    <w:rsid w:val="002B693D"/>
    <w:rsid w:val="002B6A58"/>
    <w:rsid w:val="002B6A78"/>
    <w:rsid w:val="002B6B98"/>
    <w:rsid w:val="002B6DB9"/>
    <w:rsid w:val="002B6DE3"/>
    <w:rsid w:val="002B6F7A"/>
    <w:rsid w:val="002B6FF2"/>
    <w:rsid w:val="002B70A0"/>
    <w:rsid w:val="002B70BC"/>
    <w:rsid w:val="002B7140"/>
    <w:rsid w:val="002B7181"/>
    <w:rsid w:val="002B71B9"/>
    <w:rsid w:val="002B731C"/>
    <w:rsid w:val="002B732F"/>
    <w:rsid w:val="002B7338"/>
    <w:rsid w:val="002B737E"/>
    <w:rsid w:val="002B7384"/>
    <w:rsid w:val="002B73B5"/>
    <w:rsid w:val="002B73C9"/>
    <w:rsid w:val="002B73D6"/>
    <w:rsid w:val="002B748D"/>
    <w:rsid w:val="002B74FE"/>
    <w:rsid w:val="002B7526"/>
    <w:rsid w:val="002B75C3"/>
    <w:rsid w:val="002B767A"/>
    <w:rsid w:val="002B76E8"/>
    <w:rsid w:val="002B76F5"/>
    <w:rsid w:val="002B775A"/>
    <w:rsid w:val="002B7777"/>
    <w:rsid w:val="002B77B5"/>
    <w:rsid w:val="002B7981"/>
    <w:rsid w:val="002B79A4"/>
    <w:rsid w:val="002B79B3"/>
    <w:rsid w:val="002B7A16"/>
    <w:rsid w:val="002B7A4D"/>
    <w:rsid w:val="002B7ADF"/>
    <w:rsid w:val="002B7B84"/>
    <w:rsid w:val="002B7B8F"/>
    <w:rsid w:val="002B7C3D"/>
    <w:rsid w:val="002B7CCF"/>
    <w:rsid w:val="002B7D5A"/>
    <w:rsid w:val="002B7D76"/>
    <w:rsid w:val="002B7D8A"/>
    <w:rsid w:val="002B7EDC"/>
    <w:rsid w:val="002B7EFD"/>
    <w:rsid w:val="002B7F30"/>
    <w:rsid w:val="002B7F79"/>
    <w:rsid w:val="002C000D"/>
    <w:rsid w:val="002C001F"/>
    <w:rsid w:val="002C0036"/>
    <w:rsid w:val="002C00F0"/>
    <w:rsid w:val="002C0280"/>
    <w:rsid w:val="002C0318"/>
    <w:rsid w:val="002C0359"/>
    <w:rsid w:val="002C03B2"/>
    <w:rsid w:val="002C03D4"/>
    <w:rsid w:val="002C0468"/>
    <w:rsid w:val="002C0598"/>
    <w:rsid w:val="002C05D7"/>
    <w:rsid w:val="002C070F"/>
    <w:rsid w:val="002C071B"/>
    <w:rsid w:val="002C07AE"/>
    <w:rsid w:val="002C07BD"/>
    <w:rsid w:val="002C083A"/>
    <w:rsid w:val="002C08ED"/>
    <w:rsid w:val="002C0959"/>
    <w:rsid w:val="002C0A2F"/>
    <w:rsid w:val="002C0B11"/>
    <w:rsid w:val="002C0B42"/>
    <w:rsid w:val="002C0B68"/>
    <w:rsid w:val="002C0B9D"/>
    <w:rsid w:val="002C0BA9"/>
    <w:rsid w:val="002C0BC7"/>
    <w:rsid w:val="002C0BEA"/>
    <w:rsid w:val="002C0BF4"/>
    <w:rsid w:val="002C0C19"/>
    <w:rsid w:val="002C0D26"/>
    <w:rsid w:val="002C0DCA"/>
    <w:rsid w:val="002C0E5D"/>
    <w:rsid w:val="002C0F13"/>
    <w:rsid w:val="002C0F5B"/>
    <w:rsid w:val="002C0FE4"/>
    <w:rsid w:val="002C1072"/>
    <w:rsid w:val="002C109C"/>
    <w:rsid w:val="002C10CC"/>
    <w:rsid w:val="002C115F"/>
    <w:rsid w:val="002C1263"/>
    <w:rsid w:val="002C13AB"/>
    <w:rsid w:val="002C13EF"/>
    <w:rsid w:val="002C14E8"/>
    <w:rsid w:val="002C16FF"/>
    <w:rsid w:val="002C1705"/>
    <w:rsid w:val="002C175F"/>
    <w:rsid w:val="002C179A"/>
    <w:rsid w:val="002C17A3"/>
    <w:rsid w:val="002C180D"/>
    <w:rsid w:val="002C1946"/>
    <w:rsid w:val="002C1984"/>
    <w:rsid w:val="002C1A80"/>
    <w:rsid w:val="002C1B3B"/>
    <w:rsid w:val="002C1BE8"/>
    <w:rsid w:val="002C1C14"/>
    <w:rsid w:val="002C1C7B"/>
    <w:rsid w:val="002C1CA3"/>
    <w:rsid w:val="002C1D44"/>
    <w:rsid w:val="002C1DCB"/>
    <w:rsid w:val="002C1E38"/>
    <w:rsid w:val="002C1EC0"/>
    <w:rsid w:val="002C1FE8"/>
    <w:rsid w:val="002C202D"/>
    <w:rsid w:val="002C20AC"/>
    <w:rsid w:val="002C20F2"/>
    <w:rsid w:val="002C2162"/>
    <w:rsid w:val="002C21C8"/>
    <w:rsid w:val="002C2204"/>
    <w:rsid w:val="002C223F"/>
    <w:rsid w:val="002C224B"/>
    <w:rsid w:val="002C2254"/>
    <w:rsid w:val="002C2308"/>
    <w:rsid w:val="002C235F"/>
    <w:rsid w:val="002C2453"/>
    <w:rsid w:val="002C2565"/>
    <w:rsid w:val="002C2625"/>
    <w:rsid w:val="002C263D"/>
    <w:rsid w:val="002C26A9"/>
    <w:rsid w:val="002C26E7"/>
    <w:rsid w:val="002C2700"/>
    <w:rsid w:val="002C290B"/>
    <w:rsid w:val="002C29AB"/>
    <w:rsid w:val="002C29BB"/>
    <w:rsid w:val="002C2A1F"/>
    <w:rsid w:val="002C2A6D"/>
    <w:rsid w:val="002C2B4D"/>
    <w:rsid w:val="002C2B63"/>
    <w:rsid w:val="002C2C1C"/>
    <w:rsid w:val="002C2CB3"/>
    <w:rsid w:val="002C2CD9"/>
    <w:rsid w:val="002C2D1E"/>
    <w:rsid w:val="002C2D9F"/>
    <w:rsid w:val="002C2E93"/>
    <w:rsid w:val="002C3020"/>
    <w:rsid w:val="002C3047"/>
    <w:rsid w:val="002C3066"/>
    <w:rsid w:val="002C31C3"/>
    <w:rsid w:val="002C3238"/>
    <w:rsid w:val="002C32A2"/>
    <w:rsid w:val="002C32D4"/>
    <w:rsid w:val="002C3317"/>
    <w:rsid w:val="002C33D6"/>
    <w:rsid w:val="002C3424"/>
    <w:rsid w:val="002C357C"/>
    <w:rsid w:val="002C363B"/>
    <w:rsid w:val="002C3657"/>
    <w:rsid w:val="002C3658"/>
    <w:rsid w:val="002C367D"/>
    <w:rsid w:val="002C36E4"/>
    <w:rsid w:val="002C3707"/>
    <w:rsid w:val="002C3837"/>
    <w:rsid w:val="002C3965"/>
    <w:rsid w:val="002C3977"/>
    <w:rsid w:val="002C397B"/>
    <w:rsid w:val="002C39DC"/>
    <w:rsid w:val="002C3ABD"/>
    <w:rsid w:val="002C3B20"/>
    <w:rsid w:val="002C3B44"/>
    <w:rsid w:val="002C3B5D"/>
    <w:rsid w:val="002C3C03"/>
    <w:rsid w:val="002C3C0C"/>
    <w:rsid w:val="002C3C38"/>
    <w:rsid w:val="002C3C52"/>
    <w:rsid w:val="002C3C8C"/>
    <w:rsid w:val="002C3CF7"/>
    <w:rsid w:val="002C3DBF"/>
    <w:rsid w:val="002C3DDD"/>
    <w:rsid w:val="002C3E9A"/>
    <w:rsid w:val="002C3F87"/>
    <w:rsid w:val="002C3FAC"/>
    <w:rsid w:val="002C4000"/>
    <w:rsid w:val="002C421D"/>
    <w:rsid w:val="002C422C"/>
    <w:rsid w:val="002C425C"/>
    <w:rsid w:val="002C435F"/>
    <w:rsid w:val="002C442C"/>
    <w:rsid w:val="002C4443"/>
    <w:rsid w:val="002C450D"/>
    <w:rsid w:val="002C45B5"/>
    <w:rsid w:val="002C4679"/>
    <w:rsid w:val="002C46C2"/>
    <w:rsid w:val="002C46F1"/>
    <w:rsid w:val="002C473B"/>
    <w:rsid w:val="002C4791"/>
    <w:rsid w:val="002C47D5"/>
    <w:rsid w:val="002C4803"/>
    <w:rsid w:val="002C490C"/>
    <w:rsid w:val="002C499A"/>
    <w:rsid w:val="002C4A24"/>
    <w:rsid w:val="002C4A41"/>
    <w:rsid w:val="002C4B0E"/>
    <w:rsid w:val="002C4C76"/>
    <w:rsid w:val="002C4D3A"/>
    <w:rsid w:val="002C4F08"/>
    <w:rsid w:val="002C4F20"/>
    <w:rsid w:val="002C4FCA"/>
    <w:rsid w:val="002C5054"/>
    <w:rsid w:val="002C505B"/>
    <w:rsid w:val="002C5099"/>
    <w:rsid w:val="002C50E9"/>
    <w:rsid w:val="002C50FF"/>
    <w:rsid w:val="002C5161"/>
    <w:rsid w:val="002C5224"/>
    <w:rsid w:val="002C527E"/>
    <w:rsid w:val="002C5284"/>
    <w:rsid w:val="002C53D7"/>
    <w:rsid w:val="002C542F"/>
    <w:rsid w:val="002C54DD"/>
    <w:rsid w:val="002C5606"/>
    <w:rsid w:val="002C560E"/>
    <w:rsid w:val="002C568F"/>
    <w:rsid w:val="002C57FB"/>
    <w:rsid w:val="002C5801"/>
    <w:rsid w:val="002C5816"/>
    <w:rsid w:val="002C58F6"/>
    <w:rsid w:val="002C594E"/>
    <w:rsid w:val="002C59A4"/>
    <w:rsid w:val="002C59F0"/>
    <w:rsid w:val="002C5A04"/>
    <w:rsid w:val="002C5C0B"/>
    <w:rsid w:val="002C5CE1"/>
    <w:rsid w:val="002C5D06"/>
    <w:rsid w:val="002C5DA5"/>
    <w:rsid w:val="002C5E27"/>
    <w:rsid w:val="002C5EB0"/>
    <w:rsid w:val="002C5F5A"/>
    <w:rsid w:val="002C5FB9"/>
    <w:rsid w:val="002C601E"/>
    <w:rsid w:val="002C6167"/>
    <w:rsid w:val="002C618C"/>
    <w:rsid w:val="002C61B4"/>
    <w:rsid w:val="002C61DC"/>
    <w:rsid w:val="002C61E0"/>
    <w:rsid w:val="002C62B0"/>
    <w:rsid w:val="002C630F"/>
    <w:rsid w:val="002C6347"/>
    <w:rsid w:val="002C6372"/>
    <w:rsid w:val="002C63F0"/>
    <w:rsid w:val="002C6433"/>
    <w:rsid w:val="002C6438"/>
    <w:rsid w:val="002C6529"/>
    <w:rsid w:val="002C6565"/>
    <w:rsid w:val="002C65FA"/>
    <w:rsid w:val="002C6608"/>
    <w:rsid w:val="002C6614"/>
    <w:rsid w:val="002C662E"/>
    <w:rsid w:val="002C667C"/>
    <w:rsid w:val="002C66AF"/>
    <w:rsid w:val="002C6798"/>
    <w:rsid w:val="002C68B0"/>
    <w:rsid w:val="002C6906"/>
    <w:rsid w:val="002C6942"/>
    <w:rsid w:val="002C69E3"/>
    <w:rsid w:val="002C6A07"/>
    <w:rsid w:val="002C6ABF"/>
    <w:rsid w:val="002C6BF9"/>
    <w:rsid w:val="002C6C13"/>
    <w:rsid w:val="002C6D2B"/>
    <w:rsid w:val="002C6D5A"/>
    <w:rsid w:val="002C6DB2"/>
    <w:rsid w:val="002C6E13"/>
    <w:rsid w:val="002C6E36"/>
    <w:rsid w:val="002C6E7A"/>
    <w:rsid w:val="002C6EBD"/>
    <w:rsid w:val="002C6F3B"/>
    <w:rsid w:val="002C6FE6"/>
    <w:rsid w:val="002C70D5"/>
    <w:rsid w:val="002C7105"/>
    <w:rsid w:val="002C716C"/>
    <w:rsid w:val="002C721B"/>
    <w:rsid w:val="002C729B"/>
    <w:rsid w:val="002C729C"/>
    <w:rsid w:val="002C7327"/>
    <w:rsid w:val="002C7418"/>
    <w:rsid w:val="002C744C"/>
    <w:rsid w:val="002C74E0"/>
    <w:rsid w:val="002C766E"/>
    <w:rsid w:val="002C771A"/>
    <w:rsid w:val="002C7733"/>
    <w:rsid w:val="002C7750"/>
    <w:rsid w:val="002C77A4"/>
    <w:rsid w:val="002C7865"/>
    <w:rsid w:val="002C78F0"/>
    <w:rsid w:val="002C791B"/>
    <w:rsid w:val="002C7942"/>
    <w:rsid w:val="002C794F"/>
    <w:rsid w:val="002C7A54"/>
    <w:rsid w:val="002C7A94"/>
    <w:rsid w:val="002C7AB7"/>
    <w:rsid w:val="002C7AD3"/>
    <w:rsid w:val="002C7BA1"/>
    <w:rsid w:val="002C7CC0"/>
    <w:rsid w:val="002C7CC3"/>
    <w:rsid w:val="002C7E65"/>
    <w:rsid w:val="002C7EA7"/>
    <w:rsid w:val="002C7F94"/>
    <w:rsid w:val="002C7FC2"/>
    <w:rsid w:val="002C7FCE"/>
    <w:rsid w:val="002D0007"/>
    <w:rsid w:val="002D0037"/>
    <w:rsid w:val="002D0121"/>
    <w:rsid w:val="002D0193"/>
    <w:rsid w:val="002D01AE"/>
    <w:rsid w:val="002D01C7"/>
    <w:rsid w:val="002D01CB"/>
    <w:rsid w:val="002D0204"/>
    <w:rsid w:val="002D02C7"/>
    <w:rsid w:val="002D0460"/>
    <w:rsid w:val="002D0488"/>
    <w:rsid w:val="002D05B3"/>
    <w:rsid w:val="002D062C"/>
    <w:rsid w:val="002D06AC"/>
    <w:rsid w:val="002D06DB"/>
    <w:rsid w:val="002D0743"/>
    <w:rsid w:val="002D0823"/>
    <w:rsid w:val="002D0873"/>
    <w:rsid w:val="002D08AC"/>
    <w:rsid w:val="002D08D2"/>
    <w:rsid w:val="002D0917"/>
    <w:rsid w:val="002D0997"/>
    <w:rsid w:val="002D09B6"/>
    <w:rsid w:val="002D0AD9"/>
    <w:rsid w:val="002D0B23"/>
    <w:rsid w:val="002D0B61"/>
    <w:rsid w:val="002D0B71"/>
    <w:rsid w:val="002D0B77"/>
    <w:rsid w:val="002D0B8D"/>
    <w:rsid w:val="002D0BC6"/>
    <w:rsid w:val="002D0C27"/>
    <w:rsid w:val="002D0C61"/>
    <w:rsid w:val="002D0E2C"/>
    <w:rsid w:val="002D0E5E"/>
    <w:rsid w:val="002D0E71"/>
    <w:rsid w:val="002D0EEC"/>
    <w:rsid w:val="002D0F7D"/>
    <w:rsid w:val="002D0F87"/>
    <w:rsid w:val="002D0FDE"/>
    <w:rsid w:val="002D100C"/>
    <w:rsid w:val="002D102D"/>
    <w:rsid w:val="002D10DA"/>
    <w:rsid w:val="002D10F4"/>
    <w:rsid w:val="002D110C"/>
    <w:rsid w:val="002D1119"/>
    <w:rsid w:val="002D1168"/>
    <w:rsid w:val="002D136E"/>
    <w:rsid w:val="002D1373"/>
    <w:rsid w:val="002D160E"/>
    <w:rsid w:val="002D16C9"/>
    <w:rsid w:val="002D1827"/>
    <w:rsid w:val="002D18F4"/>
    <w:rsid w:val="002D191D"/>
    <w:rsid w:val="002D1981"/>
    <w:rsid w:val="002D1AE2"/>
    <w:rsid w:val="002D1B02"/>
    <w:rsid w:val="002D1B7D"/>
    <w:rsid w:val="002D1B98"/>
    <w:rsid w:val="002D1BB9"/>
    <w:rsid w:val="002D1EAC"/>
    <w:rsid w:val="002D1ECD"/>
    <w:rsid w:val="002D1F5F"/>
    <w:rsid w:val="002D2062"/>
    <w:rsid w:val="002D2090"/>
    <w:rsid w:val="002D219B"/>
    <w:rsid w:val="002D21BF"/>
    <w:rsid w:val="002D21E0"/>
    <w:rsid w:val="002D2236"/>
    <w:rsid w:val="002D22FE"/>
    <w:rsid w:val="002D2435"/>
    <w:rsid w:val="002D24D3"/>
    <w:rsid w:val="002D2524"/>
    <w:rsid w:val="002D2573"/>
    <w:rsid w:val="002D25B0"/>
    <w:rsid w:val="002D2643"/>
    <w:rsid w:val="002D2651"/>
    <w:rsid w:val="002D2701"/>
    <w:rsid w:val="002D270A"/>
    <w:rsid w:val="002D2913"/>
    <w:rsid w:val="002D2920"/>
    <w:rsid w:val="002D2939"/>
    <w:rsid w:val="002D294C"/>
    <w:rsid w:val="002D295E"/>
    <w:rsid w:val="002D2A1B"/>
    <w:rsid w:val="002D2AF3"/>
    <w:rsid w:val="002D2B4C"/>
    <w:rsid w:val="002D2C42"/>
    <w:rsid w:val="002D2C6D"/>
    <w:rsid w:val="002D2CBB"/>
    <w:rsid w:val="002D2CDF"/>
    <w:rsid w:val="002D2D20"/>
    <w:rsid w:val="002D2D86"/>
    <w:rsid w:val="002D2EB1"/>
    <w:rsid w:val="002D2F4B"/>
    <w:rsid w:val="002D3067"/>
    <w:rsid w:val="002D307C"/>
    <w:rsid w:val="002D30AC"/>
    <w:rsid w:val="002D30BB"/>
    <w:rsid w:val="002D30CD"/>
    <w:rsid w:val="002D3174"/>
    <w:rsid w:val="002D3221"/>
    <w:rsid w:val="002D3251"/>
    <w:rsid w:val="002D3301"/>
    <w:rsid w:val="002D33B9"/>
    <w:rsid w:val="002D3424"/>
    <w:rsid w:val="002D3505"/>
    <w:rsid w:val="002D3524"/>
    <w:rsid w:val="002D3530"/>
    <w:rsid w:val="002D35AA"/>
    <w:rsid w:val="002D35BD"/>
    <w:rsid w:val="002D36F5"/>
    <w:rsid w:val="002D36FB"/>
    <w:rsid w:val="002D382E"/>
    <w:rsid w:val="002D38D1"/>
    <w:rsid w:val="002D38FC"/>
    <w:rsid w:val="002D3920"/>
    <w:rsid w:val="002D3968"/>
    <w:rsid w:val="002D396F"/>
    <w:rsid w:val="002D3976"/>
    <w:rsid w:val="002D3B6B"/>
    <w:rsid w:val="002D3C22"/>
    <w:rsid w:val="002D3C2B"/>
    <w:rsid w:val="002D3C72"/>
    <w:rsid w:val="002D3D12"/>
    <w:rsid w:val="002D3D2D"/>
    <w:rsid w:val="002D3D38"/>
    <w:rsid w:val="002D3D9F"/>
    <w:rsid w:val="002D3DBD"/>
    <w:rsid w:val="002D3E1B"/>
    <w:rsid w:val="002D3EC2"/>
    <w:rsid w:val="002D3EE8"/>
    <w:rsid w:val="002D3F21"/>
    <w:rsid w:val="002D3F5C"/>
    <w:rsid w:val="002D3F5F"/>
    <w:rsid w:val="002D3F62"/>
    <w:rsid w:val="002D3FEB"/>
    <w:rsid w:val="002D3FFF"/>
    <w:rsid w:val="002D40A1"/>
    <w:rsid w:val="002D40B2"/>
    <w:rsid w:val="002D4130"/>
    <w:rsid w:val="002D4133"/>
    <w:rsid w:val="002D41A0"/>
    <w:rsid w:val="002D41C8"/>
    <w:rsid w:val="002D42AB"/>
    <w:rsid w:val="002D42E7"/>
    <w:rsid w:val="002D4386"/>
    <w:rsid w:val="002D43AB"/>
    <w:rsid w:val="002D43FE"/>
    <w:rsid w:val="002D446A"/>
    <w:rsid w:val="002D4496"/>
    <w:rsid w:val="002D44E0"/>
    <w:rsid w:val="002D4519"/>
    <w:rsid w:val="002D4583"/>
    <w:rsid w:val="002D4607"/>
    <w:rsid w:val="002D46C7"/>
    <w:rsid w:val="002D47C2"/>
    <w:rsid w:val="002D4822"/>
    <w:rsid w:val="002D48AB"/>
    <w:rsid w:val="002D491E"/>
    <w:rsid w:val="002D49C0"/>
    <w:rsid w:val="002D4A1B"/>
    <w:rsid w:val="002D4B4B"/>
    <w:rsid w:val="002D4BCF"/>
    <w:rsid w:val="002D4D0A"/>
    <w:rsid w:val="002D4D0E"/>
    <w:rsid w:val="002D4D44"/>
    <w:rsid w:val="002D4E24"/>
    <w:rsid w:val="002D4E6E"/>
    <w:rsid w:val="002D4F40"/>
    <w:rsid w:val="002D5057"/>
    <w:rsid w:val="002D510A"/>
    <w:rsid w:val="002D516B"/>
    <w:rsid w:val="002D519C"/>
    <w:rsid w:val="002D52BD"/>
    <w:rsid w:val="002D52D7"/>
    <w:rsid w:val="002D5343"/>
    <w:rsid w:val="002D539B"/>
    <w:rsid w:val="002D53BF"/>
    <w:rsid w:val="002D54D6"/>
    <w:rsid w:val="002D5519"/>
    <w:rsid w:val="002D554A"/>
    <w:rsid w:val="002D5556"/>
    <w:rsid w:val="002D55A7"/>
    <w:rsid w:val="002D55B7"/>
    <w:rsid w:val="002D5740"/>
    <w:rsid w:val="002D5758"/>
    <w:rsid w:val="002D5777"/>
    <w:rsid w:val="002D57D3"/>
    <w:rsid w:val="002D585F"/>
    <w:rsid w:val="002D59C8"/>
    <w:rsid w:val="002D59FF"/>
    <w:rsid w:val="002D5A3E"/>
    <w:rsid w:val="002D5B65"/>
    <w:rsid w:val="002D5BCF"/>
    <w:rsid w:val="002D5C27"/>
    <w:rsid w:val="002D5CBA"/>
    <w:rsid w:val="002D5D68"/>
    <w:rsid w:val="002D5D80"/>
    <w:rsid w:val="002D5EA9"/>
    <w:rsid w:val="002D5F76"/>
    <w:rsid w:val="002D5FC7"/>
    <w:rsid w:val="002D60F4"/>
    <w:rsid w:val="002D61D9"/>
    <w:rsid w:val="002D6205"/>
    <w:rsid w:val="002D633B"/>
    <w:rsid w:val="002D638A"/>
    <w:rsid w:val="002D63F0"/>
    <w:rsid w:val="002D64EC"/>
    <w:rsid w:val="002D66EA"/>
    <w:rsid w:val="002D6797"/>
    <w:rsid w:val="002D67EF"/>
    <w:rsid w:val="002D6930"/>
    <w:rsid w:val="002D697D"/>
    <w:rsid w:val="002D6A07"/>
    <w:rsid w:val="002D6A2C"/>
    <w:rsid w:val="002D6B0C"/>
    <w:rsid w:val="002D6BA8"/>
    <w:rsid w:val="002D6C19"/>
    <w:rsid w:val="002D6C86"/>
    <w:rsid w:val="002D6D91"/>
    <w:rsid w:val="002D6DBC"/>
    <w:rsid w:val="002D6DFD"/>
    <w:rsid w:val="002D6E04"/>
    <w:rsid w:val="002D6EAF"/>
    <w:rsid w:val="002D6F3A"/>
    <w:rsid w:val="002D6F50"/>
    <w:rsid w:val="002D6F8B"/>
    <w:rsid w:val="002D71FC"/>
    <w:rsid w:val="002D722C"/>
    <w:rsid w:val="002D72EC"/>
    <w:rsid w:val="002D72F9"/>
    <w:rsid w:val="002D731C"/>
    <w:rsid w:val="002D73A6"/>
    <w:rsid w:val="002D7405"/>
    <w:rsid w:val="002D7418"/>
    <w:rsid w:val="002D742A"/>
    <w:rsid w:val="002D743E"/>
    <w:rsid w:val="002D744F"/>
    <w:rsid w:val="002D7456"/>
    <w:rsid w:val="002D74E0"/>
    <w:rsid w:val="002D7511"/>
    <w:rsid w:val="002D7609"/>
    <w:rsid w:val="002D7636"/>
    <w:rsid w:val="002D7667"/>
    <w:rsid w:val="002D7730"/>
    <w:rsid w:val="002D7763"/>
    <w:rsid w:val="002D776F"/>
    <w:rsid w:val="002D779E"/>
    <w:rsid w:val="002D77CD"/>
    <w:rsid w:val="002D77E6"/>
    <w:rsid w:val="002D780F"/>
    <w:rsid w:val="002D7810"/>
    <w:rsid w:val="002D786C"/>
    <w:rsid w:val="002D7886"/>
    <w:rsid w:val="002D7895"/>
    <w:rsid w:val="002D78B4"/>
    <w:rsid w:val="002D795A"/>
    <w:rsid w:val="002D797B"/>
    <w:rsid w:val="002D79BF"/>
    <w:rsid w:val="002D7A8C"/>
    <w:rsid w:val="002D7AE2"/>
    <w:rsid w:val="002D7B5A"/>
    <w:rsid w:val="002D7BAB"/>
    <w:rsid w:val="002D7C53"/>
    <w:rsid w:val="002D7D1C"/>
    <w:rsid w:val="002D7E0F"/>
    <w:rsid w:val="002D7F1D"/>
    <w:rsid w:val="002D7F74"/>
    <w:rsid w:val="002E00B6"/>
    <w:rsid w:val="002E01BA"/>
    <w:rsid w:val="002E0231"/>
    <w:rsid w:val="002E0234"/>
    <w:rsid w:val="002E0253"/>
    <w:rsid w:val="002E02BA"/>
    <w:rsid w:val="002E02EE"/>
    <w:rsid w:val="002E02F9"/>
    <w:rsid w:val="002E033F"/>
    <w:rsid w:val="002E036A"/>
    <w:rsid w:val="002E039B"/>
    <w:rsid w:val="002E0476"/>
    <w:rsid w:val="002E052E"/>
    <w:rsid w:val="002E053E"/>
    <w:rsid w:val="002E05E8"/>
    <w:rsid w:val="002E068F"/>
    <w:rsid w:val="002E07EF"/>
    <w:rsid w:val="002E080E"/>
    <w:rsid w:val="002E087C"/>
    <w:rsid w:val="002E0889"/>
    <w:rsid w:val="002E08F4"/>
    <w:rsid w:val="002E0A21"/>
    <w:rsid w:val="002E0A57"/>
    <w:rsid w:val="002E0A88"/>
    <w:rsid w:val="002E0BE1"/>
    <w:rsid w:val="002E0C64"/>
    <w:rsid w:val="002E0CCD"/>
    <w:rsid w:val="002E0CDF"/>
    <w:rsid w:val="002E0D0C"/>
    <w:rsid w:val="002E0D46"/>
    <w:rsid w:val="002E0D8F"/>
    <w:rsid w:val="002E0E4A"/>
    <w:rsid w:val="002E0E4E"/>
    <w:rsid w:val="002E0E7F"/>
    <w:rsid w:val="002E0E94"/>
    <w:rsid w:val="002E0F41"/>
    <w:rsid w:val="002E0F42"/>
    <w:rsid w:val="002E0F8B"/>
    <w:rsid w:val="002E0FFA"/>
    <w:rsid w:val="002E1012"/>
    <w:rsid w:val="002E1090"/>
    <w:rsid w:val="002E10E3"/>
    <w:rsid w:val="002E1183"/>
    <w:rsid w:val="002E12C8"/>
    <w:rsid w:val="002E13C1"/>
    <w:rsid w:val="002E140E"/>
    <w:rsid w:val="002E141A"/>
    <w:rsid w:val="002E14E5"/>
    <w:rsid w:val="002E14FB"/>
    <w:rsid w:val="002E157A"/>
    <w:rsid w:val="002E15E5"/>
    <w:rsid w:val="002E15E8"/>
    <w:rsid w:val="002E162B"/>
    <w:rsid w:val="002E16BC"/>
    <w:rsid w:val="002E16DB"/>
    <w:rsid w:val="002E1772"/>
    <w:rsid w:val="002E1798"/>
    <w:rsid w:val="002E184F"/>
    <w:rsid w:val="002E186C"/>
    <w:rsid w:val="002E1954"/>
    <w:rsid w:val="002E1956"/>
    <w:rsid w:val="002E196D"/>
    <w:rsid w:val="002E19B8"/>
    <w:rsid w:val="002E1B9E"/>
    <w:rsid w:val="002E1BD3"/>
    <w:rsid w:val="002E1D04"/>
    <w:rsid w:val="002E1D96"/>
    <w:rsid w:val="002E1F15"/>
    <w:rsid w:val="002E1F3F"/>
    <w:rsid w:val="002E1F7C"/>
    <w:rsid w:val="002E1FB3"/>
    <w:rsid w:val="002E2099"/>
    <w:rsid w:val="002E20AF"/>
    <w:rsid w:val="002E20C7"/>
    <w:rsid w:val="002E2162"/>
    <w:rsid w:val="002E21C0"/>
    <w:rsid w:val="002E2220"/>
    <w:rsid w:val="002E2410"/>
    <w:rsid w:val="002E24B6"/>
    <w:rsid w:val="002E24B9"/>
    <w:rsid w:val="002E2600"/>
    <w:rsid w:val="002E2604"/>
    <w:rsid w:val="002E2674"/>
    <w:rsid w:val="002E26D4"/>
    <w:rsid w:val="002E2792"/>
    <w:rsid w:val="002E27B3"/>
    <w:rsid w:val="002E289C"/>
    <w:rsid w:val="002E2A1E"/>
    <w:rsid w:val="002E2A7E"/>
    <w:rsid w:val="002E2AB7"/>
    <w:rsid w:val="002E2AF7"/>
    <w:rsid w:val="002E2B12"/>
    <w:rsid w:val="002E2B51"/>
    <w:rsid w:val="002E2BE8"/>
    <w:rsid w:val="002E2C71"/>
    <w:rsid w:val="002E2CAC"/>
    <w:rsid w:val="002E2D28"/>
    <w:rsid w:val="002E2DF2"/>
    <w:rsid w:val="002E2DFC"/>
    <w:rsid w:val="002E2ECF"/>
    <w:rsid w:val="002E2F3D"/>
    <w:rsid w:val="002E2FAB"/>
    <w:rsid w:val="002E2FCE"/>
    <w:rsid w:val="002E2FF3"/>
    <w:rsid w:val="002E3064"/>
    <w:rsid w:val="002E3075"/>
    <w:rsid w:val="002E30B1"/>
    <w:rsid w:val="002E3149"/>
    <w:rsid w:val="002E315B"/>
    <w:rsid w:val="002E31D7"/>
    <w:rsid w:val="002E322C"/>
    <w:rsid w:val="002E324C"/>
    <w:rsid w:val="002E3280"/>
    <w:rsid w:val="002E32D3"/>
    <w:rsid w:val="002E3352"/>
    <w:rsid w:val="002E34B2"/>
    <w:rsid w:val="002E3562"/>
    <w:rsid w:val="002E35F1"/>
    <w:rsid w:val="002E3647"/>
    <w:rsid w:val="002E365B"/>
    <w:rsid w:val="002E36CD"/>
    <w:rsid w:val="002E3939"/>
    <w:rsid w:val="002E39DB"/>
    <w:rsid w:val="002E3A1E"/>
    <w:rsid w:val="002E3A4A"/>
    <w:rsid w:val="002E3A9A"/>
    <w:rsid w:val="002E3AB2"/>
    <w:rsid w:val="002E3B2E"/>
    <w:rsid w:val="002E3B31"/>
    <w:rsid w:val="002E3BCB"/>
    <w:rsid w:val="002E3BF4"/>
    <w:rsid w:val="002E3C47"/>
    <w:rsid w:val="002E3C79"/>
    <w:rsid w:val="002E3C89"/>
    <w:rsid w:val="002E3C95"/>
    <w:rsid w:val="002E3D30"/>
    <w:rsid w:val="002E3DCF"/>
    <w:rsid w:val="002E3DEB"/>
    <w:rsid w:val="002E3E0B"/>
    <w:rsid w:val="002E3E33"/>
    <w:rsid w:val="002E3E60"/>
    <w:rsid w:val="002E3E6E"/>
    <w:rsid w:val="002E3F07"/>
    <w:rsid w:val="002E3F4F"/>
    <w:rsid w:val="002E3F77"/>
    <w:rsid w:val="002E3FD9"/>
    <w:rsid w:val="002E404A"/>
    <w:rsid w:val="002E4098"/>
    <w:rsid w:val="002E40CE"/>
    <w:rsid w:val="002E411B"/>
    <w:rsid w:val="002E41BB"/>
    <w:rsid w:val="002E430E"/>
    <w:rsid w:val="002E436F"/>
    <w:rsid w:val="002E4417"/>
    <w:rsid w:val="002E443A"/>
    <w:rsid w:val="002E44F3"/>
    <w:rsid w:val="002E460B"/>
    <w:rsid w:val="002E4699"/>
    <w:rsid w:val="002E4802"/>
    <w:rsid w:val="002E49A2"/>
    <w:rsid w:val="002E49F4"/>
    <w:rsid w:val="002E4BAD"/>
    <w:rsid w:val="002E4C90"/>
    <w:rsid w:val="002E4D08"/>
    <w:rsid w:val="002E4D1F"/>
    <w:rsid w:val="002E4D6A"/>
    <w:rsid w:val="002E4DA9"/>
    <w:rsid w:val="002E4E44"/>
    <w:rsid w:val="002E4E8E"/>
    <w:rsid w:val="002E4EA2"/>
    <w:rsid w:val="002E4EAB"/>
    <w:rsid w:val="002E4EAE"/>
    <w:rsid w:val="002E4F5F"/>
    <w:rsid w:val="002E51DC"/>
    <w:rsid w:val="002E51F9"/>
    <w:rsid w:val="002E5228"/>
    <w:rsid w:val="002E525E"/>
    <w:rsid w:val="002E5275"/>
    <w:rsid w:val="002E530C"/>
    <w:rsid w:val="002E53C2"/>
    <w:rsid w:val="002E540A"/>
    <w:rsid w:val="002E540D"/>
    <w:rsid w:val="002E5478"/>
    <w:rsid w:val="002E549D"/>
    <w:rsid w:val="002E557A"/>
    <w:rsid w:val="002E55FA"/>
    <w:rsid w:val="002E5639"/>
    <w:rsid w:val="002E5665"/>
    <w:rsid w:val="002E5675"/>
    <w:rsid w:val="002E5678"/>
    <w:rsid w:val="002E57F3"/>
    <w:rsid w:val="002E5886"/>
    <w:rsid w:val="002E58B7"/>
    <w:rsid w:val="002E59A5"/>
    <w:rsid w:val="002E5A57"/>
    <w:rsid w:val="002E5B2A"/>
    <w:rsid w:val="002E5B7F"/>
    <w:rsid w:val="002E5C7B"/>
    <w:rsid w:val="002E5C89"/>
    <w:rsid w:val="002E5CE6"/>
    <w:rsid w:val="002E5D0C"/>
    <w:rsid w:val="002E5E1F"/>
    <w:rsid w:val="002E5E5B"/>
    <w:rsid w:val="002E5FDB"/>
    <w:rsid w:val="002E6008"/>
    <w:rsid w:val="002E60BA"/>
    <w:rsid w:val="002E60BB"/>
    <w:rsid w:val="002E60D7"/>
    <w:rsid w:val="002E60EF"/>
    <w:rsid w:val="002E612D"/>
    <w:rsid w:val="002E617B"/>
    <w:rsid w:val="002E61E2"/>
    <w:rsid w:val="002E61E8"/>
    <w:rsid w:val="002E61E9"/>
    <w:rsid w:val="002E6226"/>
    <w:rsid w:val="002E6262"/>
    <w:rsid w:val="002E63CE"/>
    <w:rsid w:val="002E6485"/>
    <w:rsid w:val="002E64FE"/>
    <w:rsid w:val="002E6617"/>
    <w:rsid w:val="002E6649"/>
    <w:rsid w:val="002E6686"/>
    <w:rsid w:val="002E6700"/>
    <w:rsid w:val="002E6785"/>
    <w:rsid w:val="002E67BA"/>
    <w:rsid w:val="002E6891"/>
    <w:rsid w:val="002E6906"/>
    <w:rsid w:val="002E6987"/>
    <w:rsid w:val="002E69FF"/>
    <w:rsid w:val="002E6BB9"/>
    <w:rsid w:val="002E6DAD"/>
    <w:rsid w:val="002E6DB5"/>
    <w:rsid w:val="002E6DDB"/>
    <w:rsid w:val="002E6F7A"/>
    <w:rsid w:val="002E70C9"/>
    <w:rsid w:val="002E70F4"/>
    <w:rsid w:val="002E716E"/>
    <w:rsid w:val="002E721C"/>
    <w:rsid w:val="002E7308"/>
    <w:rsid w:val="002E7432"/>
    <w:rsid w:val="002E7448"/>
    <w:rsid w:val="002E747F"/>
    <w:rsid w:val="002E74B5"/>
    <w:rsid w:val="002E7553"/>
    <w:rsid w:val="002E76F1"/>
    <w:rsid w:val="002E7829"/>
    <w:rsid w:val="002E7862"/>
    <w:rsid w:val="002E7A03"/>
    <w:rsid w:val="002E7AAB"/>
    <w:rsid w:val="002E7AE7"/>
    <w:rsid w:val="002E7B59"/>
    <w:rsid w:val="002E7D87"/>
    <w:rsid w:val="002E7E76"/>
    <w:rsid w:val="002E7F84"/>
    <w:rsid w:val="002F00E2"/>
    <w:rsid w:val="002F019C"/>
    <w:rsid w:val="002F0304"/>
    <w:rsid w:val="002F0399"/>
    <w:rsid w:val="002F039A"/>
    <w:rsid w:val="002F04A9"/>
    <w:rsid w:val="002F0532"/>
    <w:rsid w:val="002F057D"/>
    <w:rsid w:val="002F05A0"/>
    <w:rsid w:val="002F067F"/>
    <w:rsid w:val="002F06A0"/>
    <w:rsid w:val="002F086E"/>
    <w:rsid w:val="002F0880"/>
    <w:rsid w:val="002F090C"/>
    <w:rsid w:val="002F0967"/>
    <w:rsid w:val="002F0981"/>
    <w:rsid w:val="002F09B6"/>
    <w:rsid w:val="002F0A57"/>
    <w:rsid w:val="002F0A79"/>
    <w:rsid w:val="002F0AFD"/>
    <w:rsid w:val="002F0B65"/>
    <w:rsid w:val="002F0BD8"/>
    <w:rsid w:val="002F0D0F"/>
    <w:rsid w:val="002F0D68"/>
    <w:rsid w:val="002F0DA0"/>
    <w:rsid w:val="002F0DB3"/>
    <w:rsid w:val="002F0DF9"/>
    <w:rsid w:val="002F0EE1"/>
    <w:rsid w:val="002F0F55"/>
    <w:rsid w:val="002F0F85"/>
    <w:rsid w:val="002F0FD2"/>
    <w:rsid w:val="002F0FE6"/>
    <w:rsid w:val="002F10B2"/>
    <w:rsid w:val="002F10C6"/>
    <w:rsid w:val="002F10FD"/>
    <w:rsid w:val="002F11B2"/>
    <w:rsid w:val="002F1215"/>
    <w:rsid w:val="002F1285"/>
    <w:rsid w:val="002F128F"/>
    <w:rsid w:val="002F12CF"/>
    <w:rsid w:val="002F12DD"/>
    <w:rsid w:val="002F12E5"/>
    <w:rsid w:val="002F1309"/>
    <w:rsid w:val="002F14E5"/>
    <w:rsid w:val="002F14FD"/>
    <w:rsid w:val="002F15C0"/>
    <w:rsid w:val="002F1662"/>
    <w:rsid w:val="002F16EF"/>
    <w:rsid w:val="002F184F"/>
    <w:rsid w:val="002F192C"/>
    <w:rsid w:val="002F1975"/>
    <w:rsid w:val="002F19AF"/>
    <w:rsid w:val="002F19DA"/>
    <w:rsid w:val="002F19DB"/>
    <w:rsid w:val="002F19FC"/>
    <w:rsid w:val="002F1A55"/>
    <w:rsid w:val="002F1A70"/>
    <w:rsid w:val="002F1AEC"/>
    <w:rsid w:val="002F1AF1"/>
    <w:rsid w:val="002F1AFF"/>
    <w:rsid w:val="002F1C5E"/>
    <w:rsid w:val="002F1C92"/>
    <w:rsid w:val="002F1CA7"/>
    <w:rsid w:val="002F1CBA"/>
    <w:rsid w:val="002F1D6A"/>
    <w:rsid w:val="002F1D8D"/>
    <w:rsid w:val="002F1F95"/>
    <w:rsid w:val="002F2026"/>
    <w:rsid w:val="002F2044"/>
    <w:rsid w:val="002F20A6"/>
    <w:rsid w:val="002F2113"/>
    <w:rsid w:val="002F2369"/>
    <w:rsid w:val="002F2491"/>
    <w:rsid w:val="002F2494"/>
    <w:rsid w:val="002F252D"/>
    <w:rsid w:val="002F253D"/>
    <w:rsid w:val="002F255C"/>
    <w:rsid w:val="002F259F"/>
    <w:rsid w:val="002F25A2"/>
    <w:rsid w:val="002F25D2"/>
    <w:rsid w:val="002F2679"/>
    <w:rsid w:val="002F269F"/>
    <w:rsid w:val="002F26DA"/>
    <w:rsid w:val="002F2743"/>
    <w:rsid w:val="002F2764"/>
    <w:rsid w:val="002F27C5"/>
    <w:rsid w:val="002F27EF"/>
    <w:rsid w:val="002F28E2"/>
    <w:rsid w:val="002F28EE"/>
    <w:rsid w:val="002F2982"/>
    <w:rsid w:val="002F29E3"/>
    <w:rsid w:val="002F2A06"/>
    <w:rsid w:val="002F2ACA"/>
    <w:rsid w:val="002F2C35"/>
    <w:rsid w:val="002F2C37"/>
    <w:rsid w:val="002F2C6B"/>
    <w:rsid w:val="002F2C86"/>
    <w:rsid w:val="002F2CF9"/>
    <w:rsid w:val="002F2DCA"/>
    <w:rsid w:val="002F2DCC"/>
    <w:rsid w:val="002F2DFC"/>
    <w:rsid w:val="002F2EBD"/>
    <w:rsid w:val="002F2F19"/>
    <w:rsid w:val="002F3040"/>
    <w:rsid w:val="002F304D"/>
    <w:rsid w:val="002F309D"/>
    <w:rsid w:val="002F30F1"/>
    <w:rsid w:val="002F3165"/>
    <w:rsid w:val="002F31FA"/>
    <w:rsid w:val="002F3246"/>
    <w:rsid w:val="002F338B"/>
    <w:rsid w:val="002F33D8"/>
    <w:rsid w:val="002F33FD"/>
    <w:rsid w:val="002F3421"/>
    <w:rsid w:val="002F347E"/>
    <w:rsid w:val="002F34F0"/>
    <w:rsid w:val="002F3586"/>
    <w:rsid w:val="002F35BA"/>
    <w:rsid w:val="002F362F"/>
    <w:rsid w:val="002F368C"/>
    <w:rsid w:val="002F371E"/>
    <w:rsid w:val="002F372D"/>
    <w:rsid w:val="002F378D"/>
    <w:rsid w:val="002F391A"/>
    <w:rsid w:val="002F3A05"/>
    <w:rsid w:val="002F3A1D"/>
    <w:rsid w:val="002F3A8D"/>
    <w:rsid w:val="002F3BBF"/>
    <w:rsid w:val="002F3BEA"/>
    <w:rsid w:val="002F3CE8"/>
    <w:rsid w:val="002F3D01"/>
    <w:rsid w:val="002F3EBD"/>
    <w:rsid w:val="002F3EED"/>
    <w:rsid w:val="002F3F01"/>
    <w:rsid w:val="002F3FB9"/>
    <w:rsid w:val="002F401B"/>
    <w:rsid w:val="002F401F"/>
    <w:rsid w:val="002F41BB"/>
    <w:rsid w:val="002F41DA"/>
    <w:rsid w:val="002F428D"/>
    <w:rsid w:val="002F4429"/>
    <w:rsid w:val="002F44CA"/>
    <w:rsid w:val="002F4516"/>
    <w:rsid w:val="002F4520"/>
    <w:rsid w:val="002F45CF"/>
    <w:rsid w:val="002F464A"/>
    <w:rsid w:val="002F4732"/>
    <w:rsid w:val="002F47C5"/>
    <w:rsid w:val="002F4858"/>
    <w:rsid w:val="002F48AA"/>
    <w:rsid w:val="002F4997"/>
    <w:rsid w:val="002F49CD"/>
    <w:rsid w:val="002F4A31"/>
    <w:rsid w:val="002F4AE2"/>
    <w:rsid w:val="002F4AE4"/>
    <w:rsid w:val="002F4B29"/>
    <w:rsid w:val="002F4B9A"/>
    <w:rsid w:val="002F4BF2"/>
    <w:rsid w:val="002F4C92"/>
    <w:rsid w:val="002F4D10"/>
    <w:rsid w:val="002F4D8B"/>
    <w:rsid w:val="002F4E82"/>
    <w:rsid w:val="002F4FC8"/>
    <w:rsid w:val="002F5018"/>
    <w:rsid w:val="002F506D"/>
    <w:rsid w:val="002F506F"/>
    <w:rsid w:val="002F508D"/>
    <w:rsid w:val="002F50FB"/>
    <w:rsid w:val="002F515A"/>
    <w:rsid w:val="002F519A"/>
    <w:rsid w:val="002F53BE"/>
    <w:rsid w:val="002F541A"/>
    <w:rsid w:val="002F5466"/>
    <w:rsid w:val="002F54B5"/>
    <w:rsid w:val="002F5510"/>
    <w:rsid w:val="002F5541"/>
    <w:rsid w:val="002F567E"/>
    <w:rsid w:val="002F5774"/>
    <w:rsid w:val="002F57E4"/>
    <w:rsid w:val="002F5805"/>
    <w:rsid w:val="002F58F0"/>
    <w:rsid w:val="002F597A"/>
    <w:rsid w:val="002F59CF"/>
    <w:rsid w:val="002F59D2"/>
    <w:rsid w:val="002F5A8F"/>
    <w:rsid w:val="002F5B0B"/>
    <w:rsid w:val="002F5BD5"/>
    <w:rsid w:val="002F5BD9"/>
    <w:rsid w:val="002F5C72"/>
    <w:rsid w:val="002F5D2A"/>
    <w:rsid w:val="002F5D67"/>
    <w:rsid w:val="002F5D72"/>
    <w:rsid w:val="002F5E9B"/>
    <w:rsid w:val="002F5EBC"/>
    <w:rsid w:val="002F6032"/>
    <w:rsid w:val="002F60AC"/>
    <w:rsid w:val="002F60BD"/>
    <w:rsid w:val="002F61EE"/>
    <w:rsid w:val="002F621B"/>
    <w:rsid w:val="002F6226"/>
    <w:rsid w:val="002F622E"/>
    <w:rsid w:val="002F62E5"/>
    <w:rsid w:val="002F62EA"/>
    <w:rsid w:val="002F6302"/>
    <w:rsid w:val="002F6354"/>
    <w:rsid w:val="002F6394"/>
    <w:rsid w:val="002F63C0"/>
    <w:rsid w:val="002F63E0"/>
    <w:rsid w:val="002F6604"/>
    <w:rsid w:val="002F674F"/>
    <w:rsid w:val="002F675E"/>
    <w:rsid w:val="002F67D4"/>
    <w:rsid w:val="002F683A"/>
    <w:rsid w:val="002F68FE"/>
    <w:rsid w:val="002F697E"/>
    <w:rsid w:val="002F69D0"/>
    <w:rsid w:val="002F69FF"/>
    <w:rsid w:val="002F6BC6"/>
    <w:rsid w:val="002F6BF1"/>
    <w:rsid w:val="002F6BFA"/>
    <w:rsid w:val="002F6E90"/>
    <w:rsid w:val="002F6ED2"/>
    <w:rsid w:val="002F7009"/>
    <w:rsid w:val="002F700D"/>
    <w:rsid w:val="002F7176"/>
    <w:rsid w:val="002F71D0"/>
    <w:rsid w:val="002F71D4"/>
    <w:rsid w:val="002F725C"/>
    <w:rsid w:val="002F727C"/>
    <w:rsid w:val="002F72CD"/>
    <w:rsid w:val="002F7340"/>
    <w:rsid w:val="002F7347"/>
    <w:rsid w:val="002F73AC"/>
    <w:rsid w:val="002F74D0"/>
    <w:rsid w:val="002F751C"/>
    <w:rsid w:val="002F7632"/>
    <w:rsid w:val="002F7659"/>
    <w:rsid w:val="002F765E"/>
    <w:rsid w:val="002F76ED"/>
    <w:rsid w:val="002F7896"/>
    <w:rsid w:val="002F798D"/>
    <w:rsid w:val="002F79E8"/>
    <w:rsid w:val="002F7A1B"/>
    <w:rsid w:val="002F7C37"/>
    <w:rsid w:val="002F7CDD"/>
    <w:rsid w:val="002F7CEC"/>
    <w:rsid w:val="002F7CF1"/>
    <w:rsid w:val="002F7D09"/>
    <w:rsid w:val="002F7D61"/>
    <w:rsid w:val="002F7DD0"/>
    <w:rsid w:val="002F7E7B"/>
    <w:rsid w:val="002F7EED"/>
    <w:rsid w:val="002F7F4E"/>
    <w:rsid w:val="002F7FDA"/>
    <w:rsid w:val="00300060"/>
    <w:rsid w:val="0030020B"/>
    <w:rsid w:val="00300315"/>
    <w:rsid w:val="0030032B"/>
    <w:rsid w:val="003003B4"/>
    <w:rsid w:val="00300461"/>
    <w:rsid w:val="00300518"/>
    <w:rsid w:val="003005A9"/>
    <w:rsid w:val="0030060E"/>
    <w:rsid w:val="00300687"/>
    <w:rsid w:val="003006A6"/>
    <w:rsid w:val="003006AF"/>
    <w:rsid w:val="00300772"/>
    <w:rsid w:val="003007D9"/>
    <w:rsid w:val="0030081A"/>
    <w:rsid w:val="00300859"/>
    <w:rsid w:val="003009D7"/>
    <w:rsid w:val="00300A29"/>
    <w:rsid w:val="00300A6C"/>
    <w:rsid w:val="00300A8D"/>
    <w:rsid w:val="00300AAF"/>
    <w:rsid w:val="00300B2C"/>
    <w:rsid w:val="00300B48"/>
    <w:rsid w:val="00300BCE"/>
    <w:rsid w:val="00300C09"/>
    <w:rsid w:val="00300C58"/>
    <w:rsid w:val="00300CE7"/>
    <w:rsid w:val="00300DD8"/>
    <w:rsid w:val="00300E7E"/>
    <w:rsid w:val="00300EB3"/>
    <w:rsid w:val="00300EBA"/>
    <w:rsid w:val="00300ED7"/>
    <w:rsid w:val="00300F05"/>
    <w:rsid w:val="00300F59"/>
    <w:rsid w:val="00301074"/>
    <w:rsid w:val="003010C4"/>
    <w:rsid w:val="003010E2"/>
    <w:rsid w:val="0030112F"/>
    <w:rsid w:val="00301209"/>
    <w:rsid w:val="0030121E"/>
    <w:rsid w:val="0030128A"/>
    <w:rsid w:val="0030129C"/>
    <w:rsid w:val="003013A7"/>
    <w:rsid w:val="003013E2"/>
    <w:rsid w:val="0030156B"/>
    <w:rsid w:val="00301577"/>
    <w:rsid w:val="00301595"/>
    <w:rsid w:val="003015E3"/>
    <w:rsid w:val="0030166E"/>
    <w:rsid w:val="003016C0"/>
    <w:rsid w:val="003016EA"/>
    <w:rsid w:val="00301706"/>
    <w:rsid w:val="00301730"/>
    <w:rsid w:val="00301739"/>
    <w:rsid w:val="00301769"/>
    <w:rsid w:val="003017BC"/>
    <w:rsid w:val="00301890"/>
    <w:rsid w:val="00301956"/>
    <w:rsid w:val="00301988"/>
    <w:rsid w:val="003019D5"/>
    <w:rsid w:val="00301A8C"/>
    <w:rsid w:val="00301AAC"/>
    <w:rsid w:val="00301B7D"/>
    <w:rsid w:val="00301C30"/>
    <w:rsid w:val="00301C62"/>
    <w:rsid w:val="00301CAC"/>
    <w:rsid w:val="00301D06"/>
    <w:rsid w:val="00301D10"/>
    <w:rsid w:val="00301E96"/>
    <w:rsid w:val="00301EC3"/>
    <w:rsid w:val="00301F06"/>
    <w:rsid w:val="00302022"/>
    <w:rsid w:val="0030202F"/>
    <w:rsid w:val="00302037"/>
    <w:rsid w:val="00302113"/>
    <w:rsid w:val="00302161"/>
    <w:rsid w:val="0030218B"/>
    <w:rsid w:val="003021D6"/>
    <w:rsid w:val="003023CB"/>
    <w:rsid w:val="00302413"/>
    <w:rsid w:val="003024B5"/>
    <w:rsid w:val="003024BB"/>
    <w:rsid w:val="0030251E"/>
    <w:rsid w:val="00302534"/>
    <w:rsid w:val="00302588"/>
    <w:rsid w:val="00302696"/>
    <w:rsid w:val="003026CB"/>
    <w:rsid w:val="003026FD"/>
    <w:rsid w:val="00302747"/>
    <w:rsid w:val="003027B8"/>
    <w:rsid w:val="0030284F"/>
    <w:rsid w:val="00302951"/>
    <w:rsid w:val="003029DD"/>
    <w:rsid w:val="00302A66"/>
    <w:rsid w:val="00302ABE"/>
    <w:rsid w:val="00302AC5"/>
    <w:rsid w:val="00302ADD"/>
    <w:rsid w:val="00302B38"/>
    <w:rsid w:val="00302B95"/>
    <w:rsid w:val="00302BAC"/>
    <w:rsid w:val="00302C02"/>
    <w:rsid w:val="00302C26"/>
    <w:rsid w:val="00302C4D"/>
    <w:rsid w:val="00302C7C"/>
    <w:rsid w:val="00302CAD"/>
    <w:rsid w:val="00302CC9"/>
    <w:rsid w:val="00302CCA"/>
    <w:rsid w:val="00302D81"/>
    <w:rsid w:val="00302E56"/>
    <w:rsid w:val="00302E9A"/>
    <w:rsid w:val="00302F53"/>
    <w:rsid w:val="00303021"/>
    <w:rsid w:val="0030306A"/>
    <w:rsid w:val="003030DB"/>
    <w:rsid w:val="00303158"/>
    <w:rsid w:val="003031B9"/>
    <w:rsid w:val="003031D5"/>
    <w:rsid w:val="00303205"/>
    <w:rsid w:val="0030326C"/>
    <w:rsid w:val="003032F0"/>
    <w:rsid w:val="003033F6"/>
    <w:rsid w:val="003033FB"/>
    <w:rsid w:val="0030348A"/>
    <w:rsid w:val="0030354A"/>
    <w:rsid w:val="00303612"/>
    <w:rsid w:val="00303772"/>
    <w:rsid w:val="003037AB"/>
    <w:rsid w:val="00303871"/>
    <w:rsid w:val="003039BC"/>
    <w:rsid w:val="003039C7"/>
    <w:rsid w:val="003039D5"/>
    <w:rsid w:val="00303A22"/>
    <w:rsid w:val="00303A39"/>
    <w:rsid w:val="00303A5C"/>
    <w:rsid w:val="00303A62"/>
    <w:rsid w:val="00303B72"/>
    <w:rsid w:val="00303B98"/>
    <w:rsid w:val="00303BDD"/>
    <w:rsid w:val="00303C1F"/>
    <w:rsid w:val="00303C42"/>
    <w:rsid w:val="00303CA6"/>
    <w:rsid w:val="00303D72"/>
    <w:rsid w:val="00303DAB"/>
    <w:rsid w:val="00303E36"/>
    <w:rsid w:val="00303E49"/>
    <w:rsid w:val="00303EEE"/>
    <w:rsid w:val="00303F61"/>
    <w:rsid w:val="00304088"/>
    <w:rsid w:val="003041AA"/>
    <w:rsid w:val="003041B3"/>
    <w:rsid w:val="003041C3"/>
    <w:rsid w:val="003042BB"/>
    <w:rsid w:val="003042F9"/>
    <w:rsid w:val="00304489"/>
    <w:rsid w:val="0030449F"/>
    <w:rsid w:val="0030461E"/>
    <w:rsid w:val="0030472D"/>
    <w:rsid w:val="00304771"/>
    <w:rsid w:val="00304825"/>
    <w:rsid w:val="00304826"/>
    <w:rsid w:val="0030482B"/>
    <w:rsid w:val="0030488B"/>
    <w:rsid w:val="00304AA8"/>
    <w:rsid w:val="00304AE5"/>
    <w:rsid w:val="00304B62"/>
    <w:rsid w:val="00304B98"/>
    <w:rsid w:val="00304BBF"/>
    <w:rsid w:val="00304C51"/>
    <w:rsid w:val="00304CE9"/>
    <w:rsid w:val="00304D86"/>
    <w:rsid w:val="00304F80"/>
    <w:rsid w:val="00304FE1"/>
    <w:rsid w:val="003050A0"/>
    <w:rsid w:val="003050EE"/>
    <w:rsid w:val="0030510A"/>
    <w:rsid w:val="00305234"/>
    <w:rsid w:val="003052B5"/>
    <w:rsid w:val="003053D7"/>
    <w:rsid w:val="0030556A"/>
    <w:rsid w:val="0030559D"/>
    <w:rsid w:val="0030563B"/>
    <w:rsid w:val="00305664"/>
    <w:rsid w:val="003056E8"/>
    <w:rsid w:val="00305703"/>
    <w:rsid w:val="00305714"/>
    <w:rsid w:val="00305824"/>
    <w:rsid w:val="003058FE"/>
    <w:rsid w:val="00305952"/>
    <w:rsid w:val="0030598D"/>
    <w:rsid w:val="003059C2"/>
    <w:rsid w:val="003059D6"/>
    <w:rsid w:val="003059DE"/>
    <w:rsid w:val="00305B3A"/>
    <w:rsid w:val="00305BC4"/>
    <w:rsid w:val="00305BE9"/>
    <w:rsid w:val="00305C9C"/>
    <w:rsid w:val="00305CF4"/>
    <w:rsid w:val="00305D02"/>
    <w:rsid w:val="00305D0C"/>
    <w:rsid w:val="00305D18"/>
    <w:rsid w:val="00305D95"/>
    <w:rsid w:val="00305DD4"/>
    <w:rsid w:val="00305E27"/>
    <w:rsid w:val="00305E40"/>
    <w:rsid w:val="00305E8A"/>
    <w:rsid w:val="00305E93"/>
    <w:rsid w:val="00305EF4"/>
    <w:rsid w:val="00305EFA"/>
    <w:rsid w:val="00305F5E"/>
    <w:rsid w:val="00305F8F"/>
    <w:rsid w:val="00306107"/>
    <w:rsid w:val="00306199"/>
    <w:rsid w:val="003061A8"/>
    <w:rsid w:val="003061D4"/>
    <w:rsid w:val="00306292"/>
    <w:rsid w:val="0030638A"/>
    <w:rsid w:val="0030657C"/>
    <w:rsid w:val="00306682"/>
    <w:rsid w:val="0030682D"/>
    <w:rsid w:val="003068E2"/>
    <w:rsid w:val="00306A28"/>
    <w:rsid w:val="00306A43"/>
    <w:rsid w:val="00306B29"/>
    <w:rsid w:val="00306C06"/>
    <w:rsid w:val="00306CF2"/>
    <w:rsid w:val="00306E3E"/>
    <w:rsid w:val="00306E6A"/>
    <w:rsid w:val="00306EA3"/>
    <w:rsid w:val="00306F74"/>
    <w:rsid w:val="00306FAA"/>
    <w:rsid w:val="003070C9"/>
    <w:rsid w:val="003070D8"/>
    <w:rsid w:val="003070ED"/>
    <w:rsid w:val="003071C0"/>
    <w:rsid w:val="003072AD"/>
    <w:rsid w:val="003072C0"/>
    <w:rsid w:val="00307370"/>
    <w:rsid w:val="003073B3"/>
    <w:rsid w:val="0030744C"/>
    <w:rsid w:val="0030758D"/>
    <w:rsid w:val="0030759A"/>
    <w:rsid w:val="0030761C"/>
    <w:rsid w:val="00307632"/>
    <w:rsid w:val="003076BD"/>
    <w:rsid w:val="003077FE"/>
    <w:rsid w:val="0030786E"/>
    <w:rsid w:val="00307896"/>
    <w:rsid w:val="003078AC"/>
    <w:rsid w:val="003079AC"/>
    <w:rsid w:val="003079D8"/>
    <w:rsid w:val="00307CFA"/>
    <w:rsid w:val="00307D76"/>
    <w:rsid w:val="00307D8D"/>
    <w:rsid w:val="00307DCC"/>
    <w:rsid w:val="00310121"/>
    <w:rsid w:val="0031021F"/>
    <w:rsid w:val="003102E8"/>
    <w:rsid w:val="00310302"/>
    <w:rsid w:val="00310309"/>
    <w:rsid w:val="003103F5"/>
    <w:rsid w:val="00310431"/>
    <w:rsid w:val="00310538"/>
    <w:rsid w:val="003105E8"/>
    <w:rsid w:val="00310652"/>
    <w:rsid w:val="00310790"/>
    <w:rsid w:val="003107D7"/>
    <w:rsid w:val="003107DF"/>
    <w:rsid w:val="00310862"/>
    <w:rsid w:val="00310AAD"/>
    <w:rsid w:val="00310B10"/>
    <w:rsid w:val="00310B19"/>
    <w:rsid w:val="00310B40"/>
    <w:rsid w:val="00310B85"/>
    <w:rsid w:val="00310B88"/>
    <w:rsid w:val="00310BCB"/>
    <w:rsid w:val="00310C2F"/>
    <w:rsid w:val="00310CD2"/>
    <w:rsid w:val="00310D78"/>
    <w:rsid w:val="00310DB6"/>
    <w:rsid w:val="00310DBC"/>
    <w:rsid w:val="00310DC1"/>
    <w:rsid w:val="00310E1B"/>
    <w:rsid w:val="00310E8F"/>
    <w:rsid w:val="00310F3B"/>
    <w:rsid w:val="00310F43"/>
    <w:rsid w:val="00310F4E"/>
    <w:rsid w:val="00310F68"/>
    <w:rsid w:val="00310F97"/>
    <w:rsid w:val="00310FFA"/>
    <w:rsid w:val="003110CA"/>
    <w:rsid w:val="0031113C"/>
    <w:rsid w:val="00311183"/>
    <w:rsid w:val="003111B7"/>
    <w:rsid w:val="003111F9"/>
    <w:rsid w:val="003112F6"/>
    <w:rsid w:val="0031132A"/>
    <w:rsid w:val="00311385"/>
    <w:rsid w:val="003113FB"/>
    <w:rsid w:val="0031148A"/>
    <w:rsid w:val="003114DE"/>
    <w:rsid w:val="003114E5"/>
    <w:rsid w:val="00311509"/>
    <w:rsid w:val="003115E2"/>
    <w:rsid w:val="0031160E"/>
    <w:rsid w:val="00311657"/>
    <w:rsid w:val="0031166D"/>
    <w:rsid w:val="0031169D"/>
    <w:rsid w:val="003117CE"/>
    <w:rsid w:val="003117FB"/>
    <w:rsid w:val="003117FD"/>
    <w:rsid w:val="0031192D"/>
    <w:rsid w:val="0031194E"/>
    <w:rsid w:val="00311A44"/>
    <w:rsid w:val="00311A70"/>
    <w:rsid w:val="00311B2E"/>
    <w:rsid w:val="00311B3C"/>
    <w:rsid w:val="00311BB7"/>
    <w:rsid w:val="00311C5F"/>
    <w:rsid w:val="00311C86"/>
    <w:rsid w:val="00311D33"/>
    <w:rsid w:val="00311D8A"/>
    <w:rsid w:val="00311DD9"/>
    <w:rsid w:val="00311E1B"/>
    <w:rsid w:val="00311EDA"/>
    <w:rsid w:val="00311F93"/>
    <w:rsid w:val="00311FE0"/>
    <w:rsid w:val="00312012"/>
    <w:rsid w:val="00312071"/>
    <w:rsid w:val="0031210B"/>
    <w:rsid w:val="00312127"/>
    <w:rsid w:val="00312171"/>
    <w:rsid w:val="003121AB"/>
    <w:rsid w:val="003123A2"/>
    <w:rsid w:val="00312412"/>
    <w:rsid w:val="003124F4"/>
    <w:rsid w:val="00312579"/>
    <w:rsid w:val="00312691"/>
    <w:rsid w:val="003126B6"/>
    <w:rsid w:val="003126E6"/>
    <w:rsid w:val="003127E8"/>
    <w:rsid w:val="003127FB"/>
    <w:rsid w:val="0031282A"/>
    <w:rsid w:val="003128FB"/>
    <w:rsid w:val="00312939"/>
    <w:rsid w:val="00312964"/>
    <w:rsid w:val="003129C2"/>
    <w:rsid w:val="00312A1F"/>
    <w:rsid w:val="00312A47"/>
    <w:rsid w:val="00312B12"/>
    <w:rsid w:val="00312C68"/>
    <w:rsid w:val="00312C9C"/>
    <w:rsid w:val="00312D2C"/>
    <w:rsid w:val="00312DAB"/>
    <w:rsid w:val="00312E15"/>
    <w:rsid w:val="00312ED2"/>
    <w:rsid w:val="00312FB1"/>
    <w:rsid w:val="00312FFD"/>
    <w:rsid w:val="003130ED"/>
    <w:rsid w:val="0031327B"/>
    <w:rsid w:val="003132AD"/>
    <w:rsid w:val="003132F1"/>
    <w:rsid w:val="0031330D"/>
    <w:rsid w:val="0031336D"/>
    <w:rsid w:val="0031337B"/>
    <w:rsid w:val="003133CA"/>
    <w:rsid w:val="003134A3"/>
    <w:rsid w:val="0031352D"/>
    <w:rsid w:val="00313532"/>
    <w:rsid w:val="00313552"/>
    <w:rsid w:val="00313562"/>
    <w:rsid w:val="003135F4"/>
    <w:rsid w:val="00313648"/>
    <w:rsid w:val="003136AA"/>
    <w:rsid w:val="003136BD"/>
    <w:rsid w:val="0031378A"/>
    <w:rsid w:val="0031383F"/>
    <w:rsid w:val="00313938"/>
    <w:rsid w:val="00313947"/>
    <w:rsid w:val="0031396D"/>
    <w:rsid w:val="0031398E"/>
    <w:rsid w:val="0031399E"/>
    <w:rsid w:val="00313A7C"/>
    <w:rsid w:val="00313A99"/>
    <w:rsid w:val="00313B05"/>
    <w:rsid w:val="00313B17"/>
    <w:rsid w:val="00313B9E"/>
    <w:rsid w:val="00313C34"/>
    <w:rsid w:val="00313C7B"/>
    <w:rsid w:val="00313D4D"/>
    <w:rsid w:val="00313D7F"/>
    <w:rsid w:val="00313D92"/>
    <w:rsid w:val="00313E37"/>
    <w:rsid w:val="00313E53"/>
    <w:rsid w:val="00313F4B"/>
    <w:rsid w:val="00313FD8"/>
    <w:rsid w:val="0031418D"/>
    <w:rsid w:val="003141FF"/>
    <w:rsid w:val="0031420C"/>
    <w:rsid w:val="00314258"/>
    <w:rsid w:val="0031428B"/>
    <w:rsid w:val="003142CE"/>
    <w:rsid w:val="0031430B"/>
    <w:rsid w:val="0031443F"/>
    <w:rsid w:val="00314469"/>
    <w:rsid w:val="003144E2"/>
    <w:rsid w:val="0031452D"/>
    <w:rsid w:val="0031455E"/>
    <w:rsid w:val="00314584"/>
    <w:rsid w:val="003146B9"/>
    <w:rsid w:val="003146DD"/>
    <w:rsid w:val="00314702"/>
    <w:rsid w:val="00314704"/>
    <w:rsid w:val="00314786"/>
    <w:rsid w:val="0031482B"/>
    <w:rsid w:val="003149AD"/>
    <w:rsid w:val="003149EE"/>
    <w:rsid w:val="003149FD"/>
    <w:rsid w:val="00314A1F"/>
    <w:rsid w:val="00314AAD"/>
    <w:rsid w:val="00314ADD"/>
    <w:rsid w:val="00314AE3"/>
    <w:rsid w:val="00314B02"/>
    <w:rsid w:val="00314B06"/>
    <w:rsid w:val="00314B71"/>
    <w:rsid w:val="00314B8C"/>
    <w:rsid w:val="00314BA1"/>
    <w:rsid w:val="00314CFB"/>
    <w:rsid w:val="00314D1A"/>
    <w:rsid w:val="00314DC9"/>
    <w:rsid w:val="00314DF8"/>
    <w:rsid w:val="00314E7F"/>
    <w:rsid w:val="00314EE7"/>
    <w:rsid w:val="00314F7E"/>
    <w:rsid w:val="00314F8F"/>
    <w:rsid w:val="0031507B"/>
    <w:rsid w:val="003150DA"/>
    <w:rsid w:val="00315177"/>
    <w:rsid w:val="0031518F"/>
    <w:rsid w:val="003151D4"/>
    <w:rsid w:val="003152BA"/>
    <w:rsid w:val="00315313"/>
    <w:rsid w:val="003153B0"/>
    <w:rsid w:val="003153B5"/>
    <w:rsid w:val="003153F7"/>
    <w:rsid w:val="003154D4"/>
    <w:rsid w:val="00315657"/>
    <w:rsid w:val="0031568A"/>
    <w:rsid w:val="0031574C"/>
    <w:rsid w:val="0031576D"/>
    <w:rsid w:val="0031577E"/>
    <w:rsid w:val="0031584C"/>
    <w:rsid w:val="00315893"/>
    <w:rsid w:val="003158A1"/>
    <w:rsid w:val="003159A0"/>
    <w:rsid w:val="00315A2C"/>
    <w:rsid w:val="00315A8B"/>
    <w:rsid w:val="00315AC6"/>
    <w:rsid w:val="00315BE4"/>
    <w:rsid w:val="00315BFA"/>
    <w:rsid w:val="00315C05"/>
    <w:rsid w:val="00315C1C"/>
    <w:rsid w:val="00315D2B"/>
    <w:rsid w:val="00315D3E"/>
    <w:rsid w:val="00315D67"/>
    <w:rsid w:val="00315D9F"/>
    <w:rsid w:val="00315DC4"/>
    <w:rsid w:val="00315EB2"/>
    <w:rsid w:val="00315EB3"/>
    <w:rsid w:val="00315FF1"/>
    <w:rsid w:val="0031612D"/>
    <w:rsid w:val="0031615B"/>
    <w:rsid w:val="00316215"/>
    <w:rsid w:val="0031622D"/>
    <w:rsid w:val="0031629B"/>
    <w:rsid w:val="00316436"/>
    <w:rsid w:val="003164DC"/>
    <w:rsid w:val="003164DD"/>
    <w:rsid w:val="00316528"/>
    <w:rsid w:val="00316602"/>
    <w:rsid w:val="00316621"/>
    <w:rsid w:val="00316738"/>
    <w:rsid w:val="003167A9"/>
    <w:rsid w:val="003167C9"/>
    <w:rsid w:val="003167EB"/>
    <w:rsid w:val="00316872"/>
    <w:rsid w:val="003169F4"/>
    <w:rsid w:val="00316A06"/>
    <w:rsid w:val="00316A28"/>
    <w:rsid w:val="00316A94"/>
    <w:rsid w:val="00316AF7"/>
    <w:rsid w:val="00316B4D"/>
    <w:rsid w:val="00316BE1"/>
    <w:rsid w:val="00316C6C"/>
    <w:rsid w:val="00316CE0"/>
    <w:rsid w:val="00316CE1"/>
    <w:rsid w:val="00316E5D"/>
    <w:rsid w:val="00316EC6"/>
    <w:rsid w:val="00316ED7"/>
    <w:rsid w:val="00316F4E"/>
    <w:rsid w:val="00316F6A"/>
    <w:rsid w:val="00316F9F"/>
    <w:rsid w:val="00317002"/>
    <w:rsid w:val="00317036"/>
    <w:rsid w:val="00317055"/>
    <w:rsid w:val="00317084"/>
    <w:rsid w:val="00317099"/>
    <w:rsid w:val="003170D1"/>
    <w:rsid w:val="00317103"/>
    <w:rsid w:val="0031712D"/>
    <w:rsid w:val="00317133"/>
    <w:rsid w:val="00317139"/>
    <w:rsid w:val="00317152"/>
    <w:rsid w:val="0031718C"/>
    <w:rsid w:val="00317215"/>
    <w:rsid w:val="003174B5"/>
    <w:rsid w:val="00317507"/>
    <w:rsid w:val="0031751F"/>
    <w:rsid w:val="0031766A"/>
    <w:rsid w:val="003176FA"/>
    <w:rsid w:val="003177BD"/>
    <w:rsid w:val="003177CE"/>
    <w:rsid w:val="003177F5"/>
    <w:rsid w:val="00317807"/>
    <w:rsid w:val="003178A0"/>
    <w:rsid w:val="003178F2"/>
    <w:rsid w:val="003179DB"/>
    <w:rsid w:val="003179DC"/>
    <w:rsid w:val="00317A31"/>
    <w:rsid w:val="00317D7C"/>
    <w:rsid w:val="00317DB4"/>
    <w:rsid w:val="00317DC2"/>
    <w:rsid w:val="00317F22"/>
    <w:rsid w:val="00317FAA"/>
    <w:rsid w:val="00320051"/>
    <w:rsid w:val="003200FA"/>
    <w:rsid w:val="003201C4"/>
    <w:rsid w:val="003201CD"/>
    <w:rsid w:val="003201D9"/>
    <w:rsid w:val="00320244"/>
    <w:rsid w:val="00320267"/>
    <w:rsid w:val="003202F9"/>
    <w:rsid w:val="00320347"/>
    <w:rsid w:val="003203A7"/>
    <w:rsid w:val="0032058F"/>
    <w:rsid w:val="003205B1"/>
    <w:rsid w:val="00320631"/>
    <w:rsid w:val="0032063F"/>
    <w:rsid w:val="0032068D"/>
    <w:rsid w:val="00320750"/>
    <w:rsid w:val="00320890"/>
    <w:rsid w:val="00320978"/>
    <w:rsid w:val="003209BF"/>
    <w:rsid w:val="003209EC"/>
    <w:rsid w:val="00320A1C"/>
    <w:rsid w:val="00320A2A"/>
    <w:rsid w:val="00320B64"/>
    <w:rsid w:val="00320B83"/>
    <w:rsid w:val="00320BC7"/>
    <w:rsid w:val="00320BF5"/>
    <w:rsid w:val="00320D11"/>
    <w:rsid w:val="00320D45"/>
    <w:rsid w:val="00320DEE"/>
    <w:rsid w:val="00320EF7"/>
    <w:rsid w:val="00320FD5"/>
    <w:rsid w:val="00321006"/>
    <w:rsid w:val="0032107F"/>
    <w:rsid w:val="003210BA"/>
    <w:rsid w:val="003210EA"/>
    <w:rsid w:val="0032118A"/>
    <w:rsid w:val="003211E1"/>
    <w:rsid w:val="0032124C"/>
    <w:rsid w:val="0032125C"/>
    <w:rsid w:val="00321293"/>
    <w:rsid w:val="003212B1"/>
    <w:rsid w:val="00321377"/>
    <w:rsid w:val="003213A4"/>
    <w:rsid w:val="00321470"/>
    <w:rsid w:val="00321572"/>
    <w:rsid w:val="00321591"/>
    <w:rsid w:val="003215D3"/>
    <w:rsid w:val="003215DF"/>
    <w:rsid w:val="003215E7"/>
    <w:rsid w:val="00321609"/>
    <w:rsid w:val="0032162F"/>
    <w:rsid w:val="003216D4"/>
    <w:rsid w:val="0032173C"/>
    <w:rsid w:val="00321896"/>
    <w:rsid w:val="003218DF"/>
    <w:rsid w:val="00321990"/>
    <w:rsid w:val="00321B09"/>
    <w:rsid w:val="00321B2B"/>
    <w:rsid w:val="00321B34"/>
    <w:rsid w:val="00321B37"/>
    <w:rsid w:val="00321BF2"/>
    <w:rsid w:val="00321C59"/>
    <w:rsid w:val="00321D21"/>
    <w:rsid w:val="00321D40"/>
    <w:rsid w:val="00321E26"/>
    <w:rsid w:val="00321E69"/>
    <w:rsid w:val="00321F1E"/>
    <w:rsid w:val="00321FA8"/>
    <w:rsid w:val="0032202B"/>
    <w:rsid w:val="00322064"/>
    <w:rsid w:val="00322119"/>
    <w:rsid w:val="00322139"/>
    <w:rsid w:val="00322166"/>
    <w:rsid w:val="00322174"/>
    <w:rsid w:val="003221E6"/>
    <w:rsid w:val="00322241"/>
    <w:rsid w:val="00322250"/>
    <w:rsid w:val="00322293"/>
    <w:rsid w:val="0032234D"/>
    <w:rsid w:val="00322358"/>
    <w:rsid w:val="00322393"/>
    <w:rsid w:val="003223B3"/>
    <w:rsid w:val="003224E8"/>
    <w:rsid w:val="0032251A"/>
    <w:rsid w:val="00322543"/>
    <w:rsid w:val="003225F5"/>
    <w:rsid w:val="00322644"/>
    <w:rsid w:val="003226AA"/>
    <w:rsid w:val="003226E3"/>
    <w:rsid w:val="00322780"/>
    <w:rsid w:val="003227FF"/>
    <w:rsid w:val="003228C0"/>
    <w:rsid w:val="0032295A"/>
    <w:rsid w:val="0032299F"/>
    <w:rsid w:val="00322A25"/>
    <w:rsid w:val="00322A8D"/>
    <w:rsid w:val="00322BF3"/>
    <w:rsid w:val="00322C2E"/>
    <w:rsid w:val="00322CF6"/>
    <w:rsid w:val="00322DCD"/>
    <w:rsid w:val="00322E55"/>
    <w:rsid w:val="00322EAB"/>
    <w:rsid w:val="00322F4C"/>
    <w:rsid w:val="00322F86"/>
    <w:rsid w:val="003230CB"/>
    <w:rsid w:val="003230D8"/>
    <w:rsid w:val="003231BD"/>
    <w:rsid w:val="003231BE"/>
    <w:rsid w:val="003231EE"/>
    <w:rsid w:val="003231F0"/>
    <w:rsid w:val="0032335E"/>
    <w:rsid w:val="003233A0"/>
    <w:rsid w:val="003233C0"/>
    <w:rsid w:val="003233EE"/>
    <w:rsid w:val="0032340D"/>
    <w:rsid w:val="00323524"/>
    <w:rsid w:val="00323530"/>
    <w:rsid w:val="0032358B"/>
    <w:rsid w:val="003235DF"/>
    <w:rsid w:val="003236CA"/>
    <w:rsid w:val="003236DF"/>
    <w:rsid w:val="003236FE"/>
    <w:rsid w:val="00323714"/>
    <w:rsid w:val="00323716"/>
    <w:rsid w:val="00323746"/>
    <w:rsid w:val="003237BC"/>
    <w:rsid w:val="003237F9"/>
    <w:rsid w:val="00323864"/>
    <w:rsid w:val="00323891"/>
    <w:rsid w:val="003238F3"/>
    <w:rsid w:val="00323935"/>
    <w:rsid w:val="00323948"/>
    <w:rsid w:val="0032395D"/>
    <w:rsid w:val="00323965"/>
    <w:rsid w:val="003239C2"/>
    <w:rsid w:val="003239C9"/>
    <w:rsid w:val="003239E3"/>
    <w:rsid w:val="00323A30"/>
    <w:rsid w:val="00323A81"/>
    <w:rsid w:val="00323A8E"/>
    <w:rsid w:val="00323AD0"/>
    <w:rsid w:val="00323B43"/>
    <w:rsid w:val="00323BBD"/>
    <w:rsid w:val="00323BCD"/>
    <w:rsid w:val="00323C1C"/>
    <w:rsid w:val="00323DCF"/>
    <w:rsid w:val="00323E5A"/>
    <w:rsid w:val="00323EB2"/>
    <w:rsid w:val="0032400C"/>
    <w:rsid w:val="003242B7"/>
    <w:rsid w:val="003242D2"/>
    <w:rsid w:val="003242FE"/>
    <w:rsid w:val="00324403"/>
    <w:rsid w:val="00324465"/>
    <w:rsid w:val="00324468"/>
    <w:rsid w:val="0032447C"/>
    <w:rsid w:val="00324527"/>
    <w:rsid w:val="003245A0"/>
    <w:rsid w:val="003245A2"/>
    <w:rsid w:val="003245C5"/>
    <w:rsid w:val="003245D4"/>
    <w:rsid w:val="00324614"/>
    <w:rsid w:val="00324690"/>
    <w:rsid w:val="0032470E"/>
    <w:rsid w:val="00324710"/>
    <w:rsid w:val="0032472B"/>
    <w:rsid w:val="00324731"/>
    <w:rsid w:val="003247F1"/>
    <w:rsid w:val="00324912"/>
    <w:rsid w:val="003249BF"/>
    <w:rsid w:val="00324A2B"/>
    <w:rsid w:val="00324ADF"/>
    <w:rsid w:val="00324AED"/>
    <w:rsid w:val="00324B6A"/>
    <w:rsid w:val="00324B7D"/>
    <w:rsid w:val="00324DA8"/>
    <w:rsid w:val="00324DC9"/>
    <w:rsid w:val="00324E0F"/>
    <w:rsid w:val="00324E9D"/>
    <w:rsid w:val="00324F12"/>
    <w:rsid w:val="00324F6A"/>
    <w:rsid w:val="00324F82"/>
    <w:rsid w:val="00324FB8"/>
    <w:rsid w:val="00325012"/>
    <w:rsid w:val="0032504C"/>
    <w:rsid w:val="003251FE"/>
    <w:rsid w:val="00325247"/>
    <w:rsid w:val="00325310"/>
    <w:rsid w:val="0032533A"/>
    <w:rsid w:val="00325416"/>
    <w:rsid w:val="0032546E"/>
    <w:rsid w:val="00325479"/>
    <w:rsid w:val="003254A1"/>
    <w:rsid w:val="003254AE"/>
    <w:rsid w:val="0032557B"/>
    <w:rsid w:val="0032557E"/>
    <w:rsid w:val="00325582"/>
    <w:rsid w:val="003255E7"/>
    <w:rsid w:val="003256FA"/>
    <w:rsid w:val="00325722"/>
    <w:rsid w:val="00325795"/>
    <w:rsid w:val="00325849"/>
    <w:rsid w:val="00325853"/>
    <w:rsid w:val="003258A6"/>
    <w:rsid w:val="00325916"/>
    <w:rsid w:val="0032592B"/>
    <w:rsid w:val="0032592F"/>
    <w:rsid w:val="0032598B"/>
    <w:rsid w:val="00325A5E"/>
    <w:rsid w:val="00325AD4"/>
    <w:rsid w:val="00325CF6"/>
    <w:rsid w:val="00325E06"/>
    <w:rsid w:val="00325E1D"/>
    <w:rsid w:val="00325E6C"/>
    <w:rsid w:val="00325FDD"/>
    <w:rsid w:val="00326034"/>
    <w:rsid w:val="00326096"/>
    <w:rsid w:val="003260E5"/>
    <w:rsid w:val="003261AE"/>
    <w:rsid w:val="003261D0"/>
    <w:rsid w:val="00326251"/>
    <w:rsid w:val="0032630A"/>
    <w:rsid w:val="00326383"/>
    <w:rsid w:val="003263AA"/>
    <w:rsid w:val="0032643B"/>
    <w:rsid w:val="0032646E"/>
    <w:rsid w:val="0032654E"/>
    <w:rsid w:val="0032661B"/>
    <w:rsid w:val="0032667E"/>
    <w:rsid w:val="00326725"/>
    <w:rsid w:val="0032672E"/>
    <w:rsid w:val="003267C6"/>
    <w:rsid w:val="00326951"/>
    <w:rsid w:val="0032699C"/>
    <w:rsid w:val="00326ABA"/>
    <w:rsid w:val="00326B2E"/>
    <w:rsid w:val="00326BB7"/>
    <w:rsid w:val="00326BEE"/>
    <w:rsid w:val="00326C54"/>
    <w:rsid w:val="00326C5F"/>
    <w:rsid w:val="00326D1D"/>
    <w:rsid w:val="00326D79"/>
    <w:rsid w:val="00326D98"/>
    <w:rsid w:val="00326DBB"/>
    <w:rsid w:val="00326E2A"/>
    <w:rsid w:val="00326E2F"/>
    <w:rsid w:val="00326EE3"/>
    <w:rsid w:val="00326EFB"/>
    <w:rsid w:val="0032701D"/>
    <w:rsid w:val="003270E7"/>
    <w:rsid w:val="00327143"/>
    <w:rsid w:val="0032726D"/>
    <w:rsid w:val="00327278"/>
    <w:rsid w:val="00327281"/>
    <w:rsid w:val="00327290"/>
    <w:rsid w:val="00327331"/>
    <w:rsid w:val="00327358"/>
    <w:rsid w:val="003273BE"/>
    <w:rsid w:val="0032745F"/>
    <w:rsid w:val="0032746F"/>
    <w:rsid w:val="003274AF"/>
    <w:rsid w:val="0032752A"/>
    <w:rsid w:val="003275D6"/>
    <w:rsid w:val="0032762A"/>
    <w:rsid w:val="00327714"/>
    <w:rsid w:val="0032781F"/>
    <w:rsid w:val="00327822"/>
    <w:rsid w:val="003278AB"/>
    <w:rsid w:val="003278B9"/>
    <w:rsid w:val="00327A00"/>
    <w:rsid w:val="00327A71"/>
    <w:rsid w:val="00327ACF"/>
    <w:rsid w:val="00327B30"/>
    <w:rsid w:val="00327B59"/>
    <w:rsid w:val="00327CAD"/>
    <w:rsid w:val="00327D09"/>
    <w:rsid w:val="00327D3C"/>
    <w:rsid w:val="00327D82"/>
    <w:rsid w:val="00327DD4"/>
    <w:rsid w:val="00327F39"/>
    <w:rsid w:val="00327F46"/>
    <w:rsid w:val="00327F9C"/>
    <w:rsid w:val="00330039"/>
    <w:rsid w:val="0033004D"/>
    <w:rsid w:val="0033005A"/>
    <w:rsid w:val="00330064"/>
    <w:rsid w:val="00330168"/>
    <w:rsid w:val="00330204"/>
    <w:rsid w:val="0033028C"/>
    <w:rsid w:val="003303F5"/>
    <w:rsid w:val="0033041C"/>
    <w:rsid w:val="0033042E"/>
    <w:rsid w:val="0033043A"/>
    <w:rsid w:val="003304C9"/>
    <w:rsid w:val="0033054E"/>
    <w:rsid w:val="00330572"/>
    <w:rsid w:val="00330710"/>
    <w:rsid w:val="003307AF"/>
    <w:rsid w:val="003307C3"/>
    <w:rsid w:val="00330859"/>
    <w:rsid w:val="00330976"/>
    <w:rsid w:val="003309F3"/>
    <w:rsid w:val="00330A0A"/>
    <w:rsid w:val="00330AAB"/>
    <w:rsid w:val="00330AB2"/>
    <w:rsid w:val="00330ADC"/>
    <w:rsid w:val="00330C8A"/>
    <w:rsid w:val="00330D08"/>
    <w:rsid w:val="00330D7B"/>
    <w:rsid w:val="00330DA4"/>
    <w:rsid w:val="003310BA"/>
    <w:rsid w:val="00331188"/>
    <w:rsid w:val="0033119F"/>
    <w:rsid w:val="003311E4"/>
    <w:rsid w:val="00331331"/>
    <w:rsid w:val="00331396"/>
    <w:rsid w:val="003313BA"/>
    <w:rsid w:val="0033143F"/>
    <w:rsid w:val="003314B4"/>
    <w:rsid w:val="003314DB"/>
    <w:rsid w:val="003314DE"/>
    <w:rsid w:val="003314FB"/>
    <w:rsid w:val="00331543"/>
    <w:rsid w:val="00331557"/>
    <w:rsid w:val="0033158E"/>
    <w:rsid w:val="003315AF"/>
    <w:rsid w:val="003315BA"/>
    <w:rsid w:val="0033161E"/>
    <w:rsid w:val="0033163B"/>
    <w:rsid w:val="00331667"/>
    <w:rsid w:val="00331733"/>
    <w:rsid w:val="0033173D"/>
    <w:rsid w:val="00331830"/>
    <w:rsid w:val="00331847"/>
    <w:rsid w:val="003318D4"/>
    <w:rsid w:val="003319C2"/>
    <w:rsid w:val="003319E8"/>
    <w:rsid w:val="00331A7E"/>
    <w:rsid w:val="00331A94"/>
    <w:rsid w:val="00331ACC"/>
    <w:rsid w:val="00331AD0"/>
    <w:rsid w:val="00331B49"/>
    <w:rsid w:val="00331B4F"/>
    <w:rsid w:val="00331B9D"/>
    <w:rsid w:val="00331C10"/>
    <w:rsid w:val="00331D65"/>
    <w:rsid w:val="00331DA5"/>
    <w:rsid w:val="00331DB6"/>
    <w:rsid w:val="00331DC4"/>
    <w:rsid w:val="00331DD3"/>
    <w:rsid w:val="00331E6A"/>
    <w:rsid w:val="00331E88"/>
    <w:rsid w:val="00331EE4"/>
    <w:rsid w:val="00331F68"/>
    <w:rsid w:val="00331F9A"/>
    <w:rsid w:val="00331FAD"/>
    <w:rsid w:val="0033200D"/>
    <w:rsid w:val="003321C8"/>
    <w:rsid w:val="00332234"/>
    <w:rsid w:val="0033227F"/>
    <w:rsid w:val="00332306"/>
    <w:rsid w:val="0033231C"/>
    <w:rsid w:val="0033233C"/>
    <w:rsid w:val="0033235F"/>
    <w:rsid w:val="0033238F"/>
    <w:rsid w:val="003323A9"/>
    <w:rsid w:val="00332409"/>
    <w:rsid w:val="0033243D"/>
    <w:rsid w:val="00332444"/>
    <w:rsid w:val="00332466"/>
    <w:rsid w:val="0033251B"/>
    <w:rsid w:val="00332587"/>
    <w:rsid w:val="003325EE"/>
    <w:rsid w:val="0033268B"/>
    <w:rsid w:val="00332703"/>
    <w:rsid w:val="0033277D"/>
    <w:rsid w:val="0033279F"/>
    <w:rsid w:val="003327C1"/>
    <w:rsid w:val="00332826"/>
    <w:rsid w:val="00332897"/>
    <w:rsid w:val="00332A92"/>
    <w:rsid w:val="00332AAA"/>
    <w:rsid w:val="00332B25"/>
    <w:rsid w:val="00332B8E"/>
    <w:rsid w:val="00332BA1"/>
    <w:rsid w:val="00332BA3"/>
    <w:rsid w:val="00332BD7"/>
    <w:rsid w:val="00332C48"/>
    <w:rsid w:val="00332C88"/>
    <w:rsid w:val="00332CD0"/>
    <w:rsid w:val="00332D29"/>
    <w:rsid w:val="00332DCD"/>
    <w:rsid w:val="00332F06"/>
    <w:rsid w:val="00332FE0"/>
    <w:rsid w:val="00332FE4"/>
    <w:rsid w:val="00332FE5"/>
    <w:rsid w:val="0033310B"/>
    <w:rsid w:val="003331D3"/>
    <w:rsid w:val="00333216"/>
    <w:rsid w:val="00333241"/>
    <w:rsid w:val="0033331B"/>
    <w:rsid w:val="003333FA"/>
    <w:rsid w:val="003334EB"/>
    <w:rsid w:val="003334F3"/>
    <w:rsid w:val="0033355A"/>
    <w:rsid w:val="00333564"/>
    <w:rsid w:val="003335CF"/>
    <w:rsid w:val="00333628"/>
    <w:rsid w:val="00333667"/>
    <w:rsid w:val="003336F3"/>
    <w:rsid w:val="0033371E"/>
    <w:rsid w:val="00333737"/>
    <w:rsid w:val="00333779"/>
    <w:rsid w:val="003337C5"/>
    <w:rsid w:val="00333801"/>
    <w:rsid w:val="0033382B"/>
    <w:rsid w:val="00333840"/>
    <w:rsid w:val="0033385B"/>
    <w:rsid w:val="00333949"/>
    <w:rsid w:val="0033394B"/>
    <w:rsid w:val="00333996"/>
    <w:rsid w:val="003339BE"/>
    <w:rsid w:val="003339C5"/>
    <w:rsid w:val="00333A0D"/>
    <w:rsid w:val="00333A23"/>
    <w:rsid w:val="00333B1F"/>
    <w:rsid w:val="00333BF8"/>
    <w:rsid w:val="00333C1E"/>
    <w:rsid w:val="00333C47"/>
    <w:rsid w:val="00333C52"/>
    <w:rsid w:val="00333C86"/>
    <w:rsid w:val="00333D61"/>
    <w:rsid w:val="00333D6B"/>
    <w:rsid w:val="00333EB8"/>
    <w:rsid w:val="00333F25"/>
    <w:rsid w:val="00333FBB"/>
    <w:rsid w:val="00333FEA"/>
    <w:rsid w:val="0033400C"/>
    <w:rsid w:val="00334069"/>
    <w:rsid w:val="003340A5"/>
    <w:rsid w:val="003340E8"/>
    <w:rsid w:val="003341F8"/>
    <w:rsid w:val="003342A3"/>
    <w:rsid w:val="003343C9"/>
    <w:rsid w:val="0033452C"/>
    <w:rsid w:val="00334554"/>
    <w:rsid w:val="00334693"/>
    <w:rsid w:val="003346DA"/>
    <w:rsid w:val="0033479E"/>
    <w:rsid w:val="00334802"/>
    <w:rsid w:val="0033485D"/>
    <w:rsid w:val="0033489F"/>
    <w:rsid w:val="003348DD"/>
    <w:rsid w:val="00334928"/>
    <w:rsid w:val="00334992"/>
    <w:rsid w:val="00334A4D"/>
    <w:rsid w:val="00334B3A"/>
    <w:rsid w:val="00334B3B"/>
    <w:rsid w:val="00334C89"/>
    <w:rsid w:val="00334CC5"/>
    <w:rsid w:val="003350BA"/>
    <w:rsid w:val="003350F1"/>
    <w:rsid w:val="0033513E"/>
    <w:rsid w:val="00335161"/>
    <w:rsid w:val="003351ED"/>
    <w:rsid w:val="00335270"/>
    <w:rsid w:val="003352AE"/>
    <w:rsid w:val="003352C0"/>
    <w:rsid w:val="00335397"/>
    <w:rsid w:val="003353DB"/>
    <w:rsid w:val="00335401"/>
    <w:rsid w:val="00335407"/>
    <w:rsid w:val="00335445"/>
    <w:rsid w:val="00335450"/>
    <w:rsid w:val="003354A2"/>
    <w:rsid w:val="003354D2"/>
    <w:rsid w:val="00335562"/>
    <w:rsid w:val="00335571"/>
    <w:rsid w:val="003355B2"/>
    <w:rsid w:val="003356AC"/>
    <w:rsid w:val="003356C1"/>
    <w:rsid w:val="003356C7"/>
    <w:rsid w:val="00335762"/>
    <w:rsid w:val="003357B0"/>
    <w:rsid w:val="003357B8"/>
    <w:rsid w:val="003357C0"/>
    <w:rsid w:val="00335A38"/>
    <w:rsid w:val="00335A3C"/>
    <w:rsid w:val="00335C27"/>
    <w:rsid w:val="00335C6C"/>
    <w:rsid w:val="00335C86"/>
    <w:rsid w:val="00335EAD"/>
    <w:rsid w:val="00335F53"/>
    <w:rsid w:val="00335FB6"/>
    <w:rsid w:val="00335FED"/>
    <w:rsid w:val="00336000"/>
    <w:rsid w:val="00336018"/>
    <w:rsid w:val="003360C1"/>
    <w:rsid w:val="003361AA"/>
    <w:rsid w:val="0033622F"/>
    <w:rsid w:val="00336278"/>
    <w:rsid w:val="00336357"/>
    <w:rsid w:val="003363AB"/>
    <w:rsid w:val="003363B2"/>
    <w:rsid w:val="003363D5"/>
    <w:rsid w:val="0033646A"/>
    <w:rsid w:val="00336492"/>
    <w:rsid w:val="003364A1"/>
    <w:rsid w:val="003364FF"/>
    <w:rsid w:val="0033653F"/>
    <w:rsid w:val="003365F8"/>
    <w:rsid w:val="00336675"/>
    <w:rsid w:val="0033670D"/>
    <w:rsid w:val="0033678E"/>
    <w:rsid w:val="00336834"/>
    <w:rsid w:val="0033683D"/>
    <w:rsid w:val="0033686E"/>
    <w:rsid w:val="0033688D"/>
    <w:rsid w:val="00336908"/>
    <w:rsid w:val="00336A0D"/>
    <w:rsid w:val="00336A3A"/>
    <w:rsid w:val="00336BE9"/>
    <w:rsid w:val="00336BEF"/>
    <w:rsid w:val="00336CD1"/>
    <w:rsid w:val="00336CDC"/>
    <w:rsid w:val="00336CFE"/>
    <w:rsid w:val="00336D85"/>
    <w:rsid w:val="00336DB4"/>
    <w:rsid w:val="00336E70"/>
    <w:rsid w:val="00336EA6"/>
    <w:rsid w:val="00336F2B"/>
    <w:rsid w:val="00336F3F"/>
    <w:rsid w:val="00336FF8"/>
    <w:rsid w:val="0033708B"/>
    <w:rsid w:val="003370B9"/>
    <w:rsid w:val="00337112"/>
    <w:rsid w:val="00337154"/>
    <w:rsid w:val="003371C4"/>
    <w:rsid w:val="003371FF"/>
    <w:rsid w:val="0033724E"/>
    <w:rsid w:val="0033727A"/>
    <w:rsid w:val="003372D4"/>
    <w:rsid w:val="00337349"/>
    <w:rsid w:val="003374AC"/>
    <w:rsid w:val="00337576"/>
    <w:rsid w:val="003375A0"/>
    <w:rsid w:val="003375D6"/>
    <w:rsid w:val="003375DE"/>
    <w:rsid w:val="003375EC"/>
    <w:rsid w:val="00337664"/>
    <w:rsid w:val="0033766C"/>
    <w:rsid w:val="0033766D"/>
    <w:rsid w:val="00337768"/>
    <w:rsid w:val="00337896"/>
    <w:rsid w:val="0033795F"/>
    <w:rsid w:val="00337966"/>
    <w:rsid w:val="00337971"/>
    <w:rsid w:val="00337AFB"/>
    <w:rsid w:val="00337B37"/>
    <w:rsid w:val="00337B8E"/>
    <w:rsid w:val="00337C18"/>
    <w:rsid w:val="00337C77"/>
    <w:rsid w:val="00337C91"/>
    <w:rsid w:val="00337CC3"/>
    <w:rsid w:val="00337CF6"/>
    <w:rsid w:val="00337D03"/>
    <w:rsid w:val="00337D6D"/>
    <w:rsid w:val="00337D9E"/>
    <w:rsid w:val="0034009B"/>
    <w:rsid w:val="00340118"/>
    <w:rsid w:val="00340147"/>
    <w:rsid w:val="0034014C"/>
    <w:rsid w:val="00340206"/>
    <w:rsid w:val="0034034B"/>
    <w:rsid w:val="0034043F"/>
    <w:rsid w:val="003404C0"/>
    <w:rsid w:val="003404D3"/>
    <w:rsid w:val="00340521"/>
    <w:rsid w:val="00340592"/>
    <w:rsid w:val="003405B3"/>
    <w:rsid w:val="003405E3"/>
    <w:rsid w:val="003406E5"/>
    <w:rsid w:val="003406E7"/>
    <w:rsid w:val="0034074A"/>
    <w:rsid w:val="003407B2"/>
    <w:rsid w:val="0034082F"/>
    <w:rsid w:val="00340A3E"/>
    <w:rsid w:val="00340C82"/>
    <w:rsid w:val="00340D37"/>
    <w:rsid w:val="00340DEA"/>
    <w:rsid w:val="00340E02"/>
    <w:rsid w:val="00340F24"/>
    <w:rsid w:val="00340F2A"/>
    <w:rsid w:val="00340F77"/>
    <w:rsid w:val="00340FD1"/>
    <w:rsid w:val="00340FD8"/>
    <w:rsid w:val="00341049"/>
    <w:rsid w:val="0034104B"/>
    <w:rsid w:val="0034107D"/>
    <w:rsid w:val="003410AD"/>
    <w:rsid w:val="003412F5"/>
    <w:rsid w:val="003412F8"/>
    <w:rsid w:val="0034133A"/>
    <w:rsid w:val="0034137F"/>
    <w:rsid w:val="00341398"/>
    <w:rsid w:val="003413B3"/>
    <w:rsid w:val="003413DD"/>
    <w:rsid w:val="00341430"/>
    <w:rsid w:val="0034155B"/>
    <w:rsid w:val="003415B2"/>
    <w:rsid w:val="003415C6"/>
    <w:rsid w:val="00341770"/>
    <w:rsid w:val="00341804"/>
    <w:rsid w:val="0034194A"/>
    <w:rsid w:val="0034194E"/>
    <w:rsid w:val="00341997"/>
    <w:rsid w:val="003419A2"/>
    <w:rsid w:val="00341AC9"/>
    <w:rsid w:val="00341AF9"/>
    <w:rsid w:val="00341B7D"/>
    <w:rsid w:val="00341BAB"/>
    <w:rsid w:val="00341BD5"/>
    <w:rsid w:val="00341C0F"/>
    <w:rsid w:val="00341D6C"/>
    <w:rsid w:val="00341D96"/>
    <w:rsid w:val="00341D9B"/>
    <w:rsid w:val="00341DE5"/>
    <w:rsid w:val="00341E26"/>
    <w:rsid w:val="00341E37"/>
    <w:rsid w:val="00341F16"/>
    <w:rsid w:val="00341FF6"/>
    <w:rsid w:val="00342003"/>
    <w:rsid w:val="0034201D"/>
    <w:rsid w:val="0034208D"/>
    <w:rsid w:val="00342236"/>
    <w:rsid w:val="0034245C"/>
    <w:rsid w:val="00342486"/>
    <w:rsid w:val="003424CA"/>
    <w:rsid w:val="003424CF"/>
    <w:rsid w:val="0034252F"/>
    <w:rsid w:val="003425CE"/>
    <w:rsid w:val="0034260A"/>
    <w:rsid w:val="00342612"/>
    <w:rsid w:val="0034264E"/>
    <w:rsid w:val="0034273E"/>
    <w:rsid w:val="003427CB"/>
    <w:rsid w:val="0034288E"/>
    <w:rsid w:val="003428E5"/>
    <w:rsid w:val="003428F8"/>
    <w:rsid w:val="003428FA"/>
    <w:rsid w:val="00342978"/>
    <w:rsid w:val="0034298B"/>
    <w:rsid w:val="00342A8A"/>
    <w:rsid w:val="00342AD0"/>
    <w:rsid w:val="00342B21"/>
    <w:rsid w:val="00342B2E"/>
    <w:rsid w:val="00342C09"/>
    <w:rsid w:val="00342C79"/>
    <w:rsid w:val="00342D7B"/>
    <w:rsid w:val="00342DEE"/>
    <w:rsid w:val="00342E17"/>
    <w:rsid w:val="00342E21"/>
    <w:rsid w:val="00342E51"/>
    <w:rsid w:val="00342E9E"/>
    <w:rsid w:val="00342EC2"/>
    <w:rsid w:val="0034309C"/>
    <w:rsid w:val="00343300"/>
    <w:rsid w:val="00343306"/>
    <w:rsid w:val="003433CD"/>
    <w:rsid w:val="003433FB"/>
    <w:rsid w:val="0034343E"/>
    <w:rsid w:val="00343520"/>
    <w:rsid w:val="00343532"/>
    <w:rsid w:val="003435E3"/>
    <w:rsid w:val="00343600"/>
    <w:rsid w:val="00343627"/>
    <w:rsid w:val="0034363F"/>
    <w:rsid w:val="00343657"/>
    <w:rsid w:val="0034365A"/>
    <w:rsid w:val="0034366D"/>
    <w:rsid w:val="00343823"/>
    <w:rsid w:val="003438DC"/>
    <w:rsid w:val="00343904"/>
    <w:rsid w:val="003439CE"/>
    <w:rsid w:val="00343A81"/>
    <w:rsid w:val="00343B24"/>
    <w:rsid w:val="00343B3D"/>
    <w:rsid w:val="00343B77"/>
    <w:rsid w:val="00343BF1"/>
    <w:rsid w:val="00343C41"/>
    <w:rsid w:val="00343C52"/>
    <w:rsid w:val="00343C5B"/>
    <w:rsid w:val="00343D00"/>
    <w:rsid w:val="00343D79"/>
    <w:rsid w:val="00343D98"/>
    <w:rsid w:val="00343DBB"/>
    <w:rsid w:val="00343E53"/>
    <w:rsid w:val="00343EBB"/>
    <w:rsid w:val="00343ED3"/>
    <w:rsid w:val="00343F5A"/>
    <w:rsid w:val="00343FB0"/>
    <w:rsid w:val="00344033"/>
    <w:rsid w:val="00344046"/>
    <w:rsid w:val="0034405F"/>
    <w:rsid w:val="003440F2"/>
    <w:rsid w:val="0034410E"/>
    <w:rsid w:val="003441A8"/>
    <w:rsid w:val="003441E4"/>
    <w:rsid w:val="003441E8"/>
    <w:rsid w:val="00344298"/>
    <w:rsid w:val="003442D8"/>
    <w:rsid w:val="003442EA"/>
    <w:rsid w:val="0034434E"/>
    <w:rsid w:val="003443B2"/>
    <w:rsid w:val="0034441E"/>
    <w:rsid w:val="00344490"/>
    <w:rsid w:val="003444AE"/>
    <w:rsid w:val="003444C5"/>
    <w:rsid w:val="003444FA"/>
    <w:rsid w:val="00344535"/>
    <w:rsid w:val="00344635"/>
    <w:rsid w:val="00344682"/>
    <w:rsid w:val="00344749"/>
    <w:rsid w:val="00344779"/>
    <w:rsid w:val="003447DA"/>
    <w:rsid w:val="0034485F"/>
    <w:rsid w:val="003448D4"/>
    <w:rsid w:val="00344A27"/>
    <w:rsid w:val="00344A56"/>
    <w:rsid w:val="00344A87"/>
    <w:rsid w:val="00344AB2"/>
    <w:rsid w:val="00344AC1"/>
    <w:rsid w:val="00344AE6"/>
    <w:rsid w:val="00344B2C"/>
    <w:rsid w:val="00344B3D"/>
    <w:rsid w:val="00344B6D"/>
    <w:rsid w:val="00344B7B"/>
    <w:rsid w:val="00344BAD"/>
    <w:rsid w:val="00344BF0"/>
    <w:rsid w:val="00344C48"/>
    <w:rsid w:val="00344C54"/>
    <w:rsid w:val="00344C6D"/>
    <w:rsid w:val="00344C77"/>
    <w:rsid w:val="00344CA3"/>
    <w:rsid w:val="00344D0D"/>
    <w:rsid w:val="00344E9F"/>
    <w:rsid w:val="00344EA6"/>
    <w:rsid w:val="00344F4A"/>
    <w:rsid w:val="00344FDF"/>
    <w:rsid w:val="00345196"/>
    <w:rsid w:val="00345201"/>
    <w:rsid w:val="00345230"/>
    <w:rsid w:val="0034527F"/>
    <w:rsid w:val="003452B4"/>
    <w:rsid w:val="003453A6"/>
    <w:rsid w:val="003454AF"/>
    <w:rsid w:val="003455D5"/>
    <w:rsid w:val="00345630"/>
    <w:rsid w:val="003456E8"/>
    <w:rsid w:val="003457F1"/>
    <w:rsid w:val="00345815"/>
    <w:rsid w:val="00345843"/>
    <w:rsid w:val="00345878"/>
    <w:rsid w:val="00345915"/>
    <w:rsid w:val="00345957"/>
    <w:rsid w:val="00345A1F"/>
    <w:rsid w:val="00345B5C"/>
    <w:rsid w:val="00345C5D"/>
    <w:rsid w:val="00345D19"/>
    <w:rsid w:val="00345D44"/>
    <w:rsid w:val="00345DC2"/>
    <w:rsid w:val="00345E23"/>
    <w:rsid w:val="00345EB7"/>
    <w:rsid w:val="00345EEC"/>
    <w:rsid w:val="00345EEF"/>
    <w:rsid w:val="00345F11"/>
    <w:rsid w:val="00345F55"/>
    <w:rsid w:val="00346012"/>
    <w:rsid w:val="00346013"/>
    <w:rsid w:val="003460BC"/>
    <w:rsid w:val="00346204"/>
    <w:rsid w:val="0034622B"/>
    <w:rsid w:val="003462E1"/>
    <w:rsid w:val="0034638A"/>
    <w:rsid w:val="003464FB"/>
    <w:rsid w:val="00346568"/>
    <w:rsid w:val="003465CA"/>
    <w:rsid w:val="00346683"/>
    <w:rsid w:val="00346688"/>
    <w:rsid w:val="00346788"/>
    <w:rsid w:val="0034682F"/>
    <w:rsid w:val="00346855"/>
    <w:rsid w:val="00346951"/>
    <w:rsid w:val="00346990"/>
    <w:rsid w:val="0034699D"/>
    <w:rsid w:val="00346AAE"/>
    <w:rsid w:val="00346B17"/>
    <w:rsid w:val="00346B75"/>
    <w:rsid w:val="00346BD2"/>
    <w:rsid w:val="00346BF9"/>
    <w:rsid w:val="00346BFD"/>
    <w:rsid w:val="00346C4A"/>
    <w:rsid w:val="00346CC6"/>
    <w:rsid w:val="00346CD0"/>
    <w:rsid w:val="00346D05"/>
    <w:rsid w:val="00346D37"/>
    <w:rsid w:val="00346D92"/>
    <w:rsid w:val="00346DD2"/>
    <w:rsid w:val="00346DEE"/>
    <w:rsid w:val="00346E23"/>
    <w:rsid w:val="00346F5F"/>
    <w:rsid w:val="0034702D"/>
    <w:rsid w:val="00347049"/>
    <w:rsid w:val="003470B2"/>
    <w:rsid w:val="00347121"/>
    <w:rsid w:val="00347167"/>
    <w:rsid w:val="003471EF"/>
    <w:rsid w:val="003471FC"/>
    <w:rsid w:val="0034723D"/>
    <w:rsid w:val="003472BF"/>
    <w:rsid w:val="00347372"/>
    <w:rsid w:val="00347426"/>
    <w:rsid w:val="0034749E"/>
    <w:rsid w:val="003474A4"/>
    <w:rsid w:val="00347518"/>
    <w:rsid w:val="00347528"/>
    <w:rsid w:val="003475BB"/>
    <w:rsid w:val="003475D8"/>
    <w:rsid w:val="00347663"/>
    <w:rsid w:val="003476ED"/>
    <w:rsid w:val="00347771"/>
    <w:rsid w:val="003477AC"/>
    <w:rsid w:val="00347920"/>
    <w:rsid w:val="0034799D"/>
    <w:rsid w:val="003479A2"/>
    <w:rsid w:val="00347A71"/>
    <w:rsid w:val="00347ACA"/>
    <w:rsid w:val="00347AD2"/>
    <w:rsid w:val="00347AEC"/>
    <w:rsid w:val="00347B27"/>
    <w:rsid w:val="00347BD0"/>
    <w:rsid w:val="00347BFA"/>
    <w:rsid w:val="00347C08"/>
    <w:rsid w:val="00347C18"/>
    <w:rsid w:val="00347CFA"/>
    <w:rsid w:val="00347D69"/>
    <w:rsid w:val="00347D7C"/>
    <w:rsid w:val="00347D87"/>
    <w:rsid w:val="00347D95"/>
    <w:rsid w:val="00347DA7"/>
    <w:rsid w:val="0035004A"/>
    <w:rsid w:val="003500BA"/>
    <w:rsid w:val="003501A2"/>
    <w:rsid w:val="003501F1"/>
    <w:rsid w:val="003501F8"/>
    <w:rsid w:val="003501FB"/>
    <w:rsid w:val="00350273"/>
    <w:rsid w:val="003502E3"/>
    <w:rsid w:val="00350320"/>
    <w:rsid w:val="00350333"/>
    <w:rsid w:val="0035034D"/>
    <w:rsid w:val="0035044E"/>
    <w:rsid w:val="00350479"/>
    <w:rsid w:val="00350555"/>
    <w:rsid w:val="00350734"/>
    <w:rsid w:val="003507E2"/>
    <w:rsid w:val="00350834"/>
    <w:rsid w:val="00350849"/>
    <w:rsid w:val="0035088E"/>
    <w:rsid w:val="00350896"/>
    <w:rsid w:val="003508F2"/>
    <w:rsid w:val="00350A8F"/>
    <w:rsid w:val="00350B0D"/>
    <w:rsid w:val="00350B7E"/>
    <w:rsid w:val="00350BBC"/>
    <w:rsid w:val="00350C32"/>
    <w:rsid w:val="00350C40"/>
    <w:rsid w:val="00350E81"/>
    <w:rsid w:val="00350ED8"/>
    <w:rsid w:val="00350F3D"/>
    <w:rsid w:val="00350F48"/>
    <w:rsid w:val="00350FEA"/>
    <w:rsid w:val="00351055"/>
    <w:rsid w:val="0035105D"/>
    <w:rsid w:val="0035115E"/>
    <w:rsid w:val="00351161"/>
    <w:rsid w:val="0035122C"/>
    <w:rsid w:val="00351332"/>
    <w:rsid w:val="00351366"/>
    <w:rsid w:val="00351453"/>
    <w:rsid w:val="00351558"/>
    <w:rsid w:val="003515A0"/>
    <w:rsid w:val="00351647"/>
    <w:rsid w:val="003516EB"/>
    <w:rsid w:val="0035172C"/>
    <w:rsid w:val="00351761"/>
    <w:rsid w:val="00351891"/>
    <w:rsid w:val="003518FB"/>
    <w:rsid w:val="00351900"/>
    <w:rsid w:val="0035190B"/>
    <w:rsid w:val="00351961"/>
    <w:rsid w:val="003519E6"/>
    <w:rsid w:val="00351A89"/>
    <w:rsid w:val="00351AB8"/>
    <w:rsid w:val="00351BB6"/>
    <w:rsid w:val="00351BE2"/>
    <w:rsid w:val="00351C0C"/>
    <w:rsid w:val="00351C62"/>
    <w:rsid w:val="00351CB6"/>
    <w:rsid w:val="00351DB0"/>
    <w:rsid w:val="00351DCC"/>
    <w:rsid w:val="00351E24"/>
    <w:rsid w:val="00351E76"/>
    <w:rsid w:val="00351F4D"/>
    <w:rsid w:val="00351FA5"/>
    <w:rsid w:val="00351FA9"/>
    <w:rsid w:val="003520A9"/>
    <w:rsid w:val="003521CB"/>
    <w:rsid w:val="0035223B"/>
    <w:rsid w:val="0035223E"/>
    <w:rsid w:val="00352294"/>
    <w:rsid w:val="003522EF"/>
    <w:rsid w:val="003524DA"/>
    <w:rsid w:val="00352678"/>
    <w:rsid w:val="003526F1"/>
    <w:rsid w:val="0035275B"/>
    <w:rsid w:val="003528D4"/>
    <w:rsid w:val="0035290F"/>
    <w:rsid w:val="0035294B"/>
    <w:rsid w:val="003529B4"/>
    <w:rsid w:val="003529DA"/>
    <w:rsid w:val="00352A24"/>
    <w:rsid w:val="00352A49"/>
    <w:rsid w:val="00352A61"/>
    <w:rsid w:val="00352A88"/>
    <w:rsid w:val="00352BE0"/>
    <w:rsid w:val="00352BF8"/>
    <w:rsid w:val="00352C72"/>
    <w:rsid w:val="00352CA6"/>
    <w:rsid w:val="00352CDF"/>
    <w:rsid w:val="00352D1E"/>
    <w:rsid w:val="00352DE5"/>
    <w:rsid w:val="00352E91"/>
    <w:rsid w:val="00352FC5"/>
    <w:rsid w:val="00353089"/>
    <w:rsid w:val="003530B4"/>
    <w:rsid w:val="003530FB"/>
    <w:rsid w:val="003531AF"/>
    <w:rsid w:val="003531D4"/>
    <w:rsid w:val="003531DB"/>
    <w:rsid w:val="003531DE"/>
    <w:rsid w:val="0035321D"/>
    <w:rsid w:val="00353321"/>
    <w:rsid w:val="00353386"/>
    <w:rsid w:val="003533A7"/>
    <w:rsid w:val="00353433"/>
    <w:rsid w:val="003534F1"/>
    <w:rsid w:val="0035355B"/>
    <w:rsid w:val="00353582"/>
    <w:rsid w:val="003535E7"/>
    <w:rsid w:val="0035360A"/>
    <w:rsid w:val="00353682"/>
    <w:rsid w:val="00353767"/>
    <w:rsid w:val="003537C1"/>
    <w:rsid w:val="003537EB"/>
    <w:rsid w:val="003537F8"/>
    <w:rsid w:val="0035381B"/>
    <w:rsid w:val="0035398D"/>
    <w:rsid w:val="003539DA"/>
    <w:rsid w:val="00353A24"/>
    <w:rsid w:val="00353ACB"/>
    <w:rsid w:val="00353B40"/>
    <w:rsid w:val="00353B5F"/>
    <w:rsid w:val="00353BB8"/>
    <w:rsid w:val="00353BB9"/>
    <w:rsid w:val="00353C81"/>
    <w:rsid w:val="00353CB8"/>
    <w:rsid w:val="00353D29"/>
    <w:rsid w:val="00353D34"/>
    <w:rsid w:val="00353D53"/>
    <w:rsid w:val="00353D58"/>
    <w:rsid w:val="00353DAA"/>
    <w:rsid w:val="00353F3D"/>
    <w:rsid w:val="00353FFF"/>
    <w:rsid w:val="0035404C"/>
    <w:rsid w:val="003540CB"/>
    <w:rsid w:val="0035413F"/>
    <w:rsid w:val="00354179"/>
    <w:rsid w:val="003541AC"/>
    <w:rsid w:val="003541C8"/>
    <w:rsid w:val="003542D6"/>
    <w:rsid w:val="003542DD"/>
    <w:rsid w:val="00354394"/>
    <w:rsid w:val="003544DF"/>
    <w:rsid w:val="0035454F"/>
    <w:rsid w:val="00354568"/>
    <w:rsid w:val="003545C2"/>
    <w:rsid w:val="00354610"/>
    <w:rsid w:val="00354651"/>
    <w:rsid w:val="00354839"/>
    <w:rsid w:val="0035485D"/>
    <w:rsid w:val="0035489B"/>
    <w:rsid w:val="0035492D"/>
    <w:rsid w:val="00354942"/>
    <w:rsid w:val="0035499A"/>
    <w:rsid w:val="003549EC"/>
    <w:rsid w:val="00354AC2"/>
    <w:rsid w:val="00354BC2"/>
    <w:rsid w:val="00354BD9"/>
    <w:rsid w:val="00354BE8"/>
    <w:rsid w:val="00354BF5"/>
    <w:rsid w:val="00354C1F"/>
    <w:rsid w:val="00354C66"/>
    <w:rsid w:val="00354D45"/>
    <w:rsid w:val="00354D9E"/>
    <w:rsid w:val="00354E29"/>
    <w:rsid w:val="00354ECE"/>
    <w:rsid w:val="00354EF4"/>
    <w:rsid w:val="00354F0C"/>
    <w:rsid w:val="00354F51"/>
    <w:rsid w:val="00354F97"/>
    <w:rsid w:val="00354FC7"/>
    <w:rsid w:val="00354FF1"/>
    <w:rsid w:val="003550BA"/>
    <w:rsid w:val="00355103"/>
    <w:rsid w:val="00355121"/>
    <w:rsid w:val="00355123"/>
    <w:rsid w:val="003551AD"/>
    <w:rsid w:val="003551D0"/>
    <w:rsid w:val="003551DA"/>
    <w:rsid w:val="00355243"/>
    <w:rsid w:val="00355258"/>
    <w:rsid w:val="003552FE"/>
    <w:rsid w:val="00355311"/>
    <w:rsid w:val="003554A5"/>
    <w:rsid w:val="00355526"/>
    <w:rsid w:val="00355529"/>
    <w:rsid w:val="003555ED"/>
    <w:rsid w:val="00355623"/>
    <w:rsid w:val="003556A0"/>
    <w:rsid w:val="00355700"/>
    <w:rsid w:val="00355731"/>
    <w:rsid w:val="0035582D"/>
    <w:rsid w:val="00355856"/>
    <w:rsid w:val="003558C4"/>
    <w:rsid w:val="003558F5"/>
    <w:rsid w:val="0035596D"/>
    <w:rsid w:val="003559BF"/>
    <w:rsid w:val="00355A7E"/>
    <w:rsid w:val="00355A7F"/>
    <w:rsid w:val="00355B15"/>
    <w:rsid w:val="00355C12"/>
    <w:rsid w:val="00355C2C"/>
    <w:rsid w:val="00355D02"/>
    <w:rsid w:val="00355E03"/>
    <w:rsid w:val="00355E4F"/>
    <w:rsid w:val="003560B0"/>
    <w:rsid w:val="003560E6"/>
    <w:rsid w:val="00356195"/>
    <w:rsid w:val="003561A2"/>
    <w:rsid w:val="003561B1"/>
    <w:rsid w:val="003561EC"/>
    <w:rsid w:val="00356206"/>
    <w:rsid w:val="0035621E"/>
    <w:rsid w:val="0035627D"/>
    <w:rsid w:val="003562B1"/>
    <w:rsid w:val="0035637D"/>
    <w:rsid w:val="003563E9"/>
    <w:rsid w:val="00356466"/>
    <w:rsid w:val="003564E3"/>
    <w:rsid w:val="003567F2"/>
    <w:rsid w:val="003567FD"/>
    <w:rsid w:val="003568CE"/>
    <w:rsid w:val="003568ED"/>
    <w:rsid w:val="00356A2B"/>
    <w:rsid w:val="00356AB7"/>
    <w:rsid w:val="00356BD4"/>
    <w:rsid w:val="00356BDD"/>
    <w:rsid w:val="00356C7E"/>
    <w:rsid w:val="00356D9D"/>
    <w:rsid w:val="00356DDE"/>
    <w:rsid w:val="00356E15"/>
    <w:rsid w:val="00356E61"/>
    <w:rsid w:val="00356EA6"/>
    <w:rsid w:val="00356EC0"/>
    <w:rsid w:val="00356F46"/>
    <w:rsid w:val="00356F4B"/>
    <w:rsid w:val="00357033"/>
    <w:rsid w:val="003571B1"/>
    <w:rsid w:val="003571D8"/>
    <w:rsid w:val="00357244"/>
    <w:rsid w:val="003572AB"/>
    <w:rsid w:val="0035732E"/>
    <w:rsid w:val="003573A7"/>
    <w:rsid w:val="003573E0"/>
    <w:rsid w:val="003573ED"/>
    <w:rsid w:val="003573F8"/>
    <w:rsid w:val="003574E7"/>
    <w:rsid w:val="003574EC"/>
    <w:rsid w:val="003575B0"/>
    <w:rsid w:val="003575D6"/>
    <w:rsid w:val="003575E7"/>
    <w:rsid w:val="0035767E"/>
    <w:rsid w:val="003576A1"/>
    <w:rsid w:val="003576A7"/>
    <w:rsid w:val="003576EE"/>
    <w:rsid w:val="003577AC"/>
    <w:rsid w:val="003577B3"/>
    <w:rsid w:val="0035781A"/>
    <w:rsid w:val="00357865"/>
    <w:rsid w:val="003578F3"/>
    <w:rsid w:val="0035794D"/>
    <w:rsid w:val="00357956"/>
    <w:rsid w:val="003579B9"/>
    <w:rsid w:val="00357A29"/>
    <w:rsid w:val="00357A45"/>
    <w:rsid w:val="00357B0B"/>
    <w:rsid w:val="00357C03"/>
    <w:rsid w:val="00357C2A"/>
    <w:rsid w:val="00357CDF"/>
    <w:rsid w:val="00357D8F"/>
    <w:rsid w:val="00357DB0"/>
    <w:rsid w:val="00357E2E"/>
    <w:rsid w:val="00357E7C"/>
    <w:rsid w:val="00357E89"/>
    <w:rsid w:val="00357EDD"/>
    <w:rsid w:val="00357F37"/>
    <w:rsid w:val="00357F8A"/>
    <w:rsid w:val="00357FDB"/>
    <w:rsid w:val="00357FFD"/>
    <w:rsid w:val="00360006"/>
    <w:rsid w:val="00360074"/>
    <w:rsid w:val="00360177"/>
    <w:rsid w:val="0036023B"/>
    <w:rsid w:val="00360337"/>
    <w:rsid w:val="003603A9"/>
    <w:rsid w:val="003603D2"/>
    <w:rsid w:val="003603E4"/>
    <w:rsid w:val="003604E6"/>
    <w:rsid w:val="003605B2"/>
    <w:rsid w:val="003606E4"/>
    <w:rsid w:val="00360766"/>
    <w:rsid w:val="00360797"/>
    <w:rsid w:val="00360875"/>
    <w:rsid w:val="00360897"/>
    <w:rsid w:val="0036099A"/>
    <w:rsid w:val="003609C3"/>
    <w:rsid w:val="003609D0"/>
    <w:rsid w:val="00360C7E"/>
    <w:rsid w:val="00360D19"/>
    <w:rsid w:val="00360EA5"/>
    <w:rsid w:val="00360F26"/>
    <w:rsid w:val="00360F51"/>
    <w:rsid w:val="00360F86"/>
    <w:rsid w:val="00360F99"/>
    <w:rsid w:val="00360F9E"/>
    <w:rsid w:val="0036107D"/>
    <w:rsid w:val="003610DC"/>
    <w:rsid w:val="00361102"/>
    <w:rsid w:val="00361212"/>
    <w:rsid w:val="003612AB"/>
    <w:rsid w:val="003612EF"/>
    <w:rsid w:val="00361394"/>
    <w:rsid w:val="003613D5"/>
    <w:rsid w:val="003613E0"/>
    <w:rsid w:val="00361437"/>
    <w:rsid w:val="00361444"/>
    <w:rsid w:val="003614C3"/>
    <w:rsid w:val="003614F7"/>
    <w:rsid w:val="00361685"/>
    <w:rsid w:val="0036175B"/>
    <w:rsid w:val="003617ED"/>
    <w:rsid w:val="00361869"/>
    <w:rsid w:val="003618B5"/>
    <w:rsid w:val="003619DB"/>
    <w:rsid w:val="00361A00"/>
    <w:rsid w:val="00361A15"/>
    <w:rsid w:val="00361A82"/>
    <w:rsid w:val="00361AB4"/>
    <w:rsid w:val="00361BCA"/>
    <w:rsid w:val="00361BE2"/>
    <w:rsid w:val="00361C0A"/>
    <w:rsid w:val="00361D78"/>
    <w:rsid w:val="00361ED3"/>
    <w:rsid w:val="00361F51"/>
    <w:rsid w:val="00361F8D"/>
    <w:rsid w:val="003620E2"/>
    <w:rsid w:val="003620E7"/>
    <w:rsid w:val="003620FC"/>
    <w:rsid w:val="00362137"/>
    <w:rsid w:val="0036213B"/>
    <w:rsid w:val="003621EA"/>
    <w:rsid w:val="003622A0"/>
    <w:rsid w:val="0036240C"/>
    <w:rsid w:val="0036252A"/>
    <w:rsid w:val="0036254C"/>
    <w:rsid w:val="003625F7"/>
    <w:rsid w:val="00362632"/>
    <w:rsid w:val="00362659"/>
    <w:rsid w:val="003626AA"/>
    <w:rsid w:val="003627ED"/>
    <w:rsid w:val="003629E3"/>
    <w:rsid w:val="00362A0E"/>
    <w:rsid w:val="00362AC4"/>
    <w:rsid w:val="00362B8D"/>
    <w:rsid w:val="00362BA4"/>
    <w:rsid w:val="00362BCF"/>
    <w:rsid w:val="00362BD0"/>
    <w:rsid w:val="00362C49"/>
    <w:rsid w:val="00362E3E"/>
    <w:rsid w:val="00362EA6"/>
    <w:rsid w:val="0036302F"/>
    <w:rsid w:val="00363033"/>
    <w:rsid w:val="0036305C"/>
    <w:rsid w:val="00363069"/>
    <w:rsid w:val="00363086"/>
    <w:rsid w:val="00363163"/>
    <w:rsid w:val="00363188"/>
    <w:rsid w:val="003631D3"/>
    <w:rsid w:val="003631E6"/>
    <w:rsid w:val="0036320F"/>
    <w:rsid w:val="00363241"/>
    <w:rsid w:val="00363256"/>
    <w:rsid w:val="00363263"/>
    <w:rsid w:val="003632C1"/>
    <w:rsid w:val="003632FD"/>
    <w:rsid w:val="0036331B"/>
    <w:rsid w:val="003633B2"/>
    <w:rsid w:val="003633DC"/>
    <w:rsid w:val="003633FF"/>
    <w:rsid w:val="00363488"/>
    <w:rsid w:val="0036348F"/>
    <w:rsid w:val="003634D8"/>
    <w:rsid w:val="003634E1"/>
    <w:rsid w:val="00363517"/>
    <w:rsid w:val="0036352B"/>
    <w:rsid w:val="003635D1"/>
    <w:rsid w:val="0036369E"/>
    <w:rsid w:val="00363749"/>
    <w:rsid w:val="00363753"/>
    <w:rsid w:val="0036375E"/>
    <w:rsid w:val="003637FF"/>
    <w:rsid w:val="0036385C"/>
    <w:rsid w:val="00363932"/>
    <w:rsid w:val="003639D4"/>
    <w:rsid w:val="00363A97"/>
    <w:rsid w:val="00363AF3"/>
    <w:rsid w:val="00363B19"/>
    <w:rsid w:val="00363B8E"/>
    <w:rsid w:val="00363BAF"/>
    <w:rsid w:val="00363DF1"/>
    <w:rsid w:val="00363E4C"/>
    <w:rsid w:val="00363EC7"/>
    <w:rsid w:val="00363F2F"/>
    <w:rsid w:val="00363F41"/>
    <w:rsid w:val="00363F5E"/>
    <w:rsid w:val="00363FA4"/>
    <w:rsid w:val="00364043"/>
    <w:rsid w:val="0036405D"/>
    <w:rsid w:val="00364145"/>
    <w:rsid w:val="00364147"/>
    <w:rsid w:val="003641D3"/>
    <w:rsid w:val="00364202"/>
    <w:rsid w:val="003643FB"/>
    <w:rsid w:val="00364577"/>
    <w:rsid w:val="0036461F"/>
    <w:rsid w:val="00364637"/>
    <w:rsid w:val="00364639"/>
    <w:rsid w:val="003646AB"/>
    <w:rsid w:val="00364710"/>
    <w:rsid w:val="00364799"/>
    <w:rsid w:val="003647A8"/>
    <w:rsid w:val="003647FD"/>
    <w:rsid w:val="00364867"/>
    <w:rsid w:val="00364882"/>
    <w:rsid w:val="003648F1"/>
    <w:rsid w:val="00364990"/>
    <w:rsid w:val="00364A00"/>
    <w:rsid w:val="00364A17"/>
    <w:rsid w:val="00364A3A"/>
    <w:rsid w:val="00364A41"/>
    <w:rsid w:val="00364AEC"/>
    <w:rsid w:val="00364BBD"/>
    <w:rsid w:val="00364CA2"/>
    <w:rsid w:val="00364D60"/>
    <w:rsid w:val="00364DBA"/>
    <w:rsid w:val="00364DDD"/>
    <w:rsid w:val="00364DE9"/>
    <w:rsid w:val="00364EAE"/>
    <w:rsid w:val="00364FB1"/>
    <w:rsid w:val="00365058"/>
    <w:rsid w:val="003650D3"/>
    <w:rsid w:val="003650DC"/>
    <w:rsid w:val="0036531D"/>
    <w:rsid w:val="00365332"/>
    <w:rsid w:val="0036533C"/>
    <w:rsid w:val="00365395"/>
    <w:rsid w:val="003653AE"/>
    <w:rsid w:val="003654B6"/>
    <w:rsid w:val="00365508"/>
    <w:rsid w:val="003655D1"/>
    <w:rsid w:val="003655D3"/>
    <w:rsid w:val="00365647"/>
    <w:rsid w:val="003656FB"/>
    <w:rsid w:val="00365755"/>
    <w:rsid w:val="0036577C"/>
    <w:rsid w:val="00365897"/>
    <w:rsid w:val="003658BC"/>
    <w:rsid w:val="0036597D"/>
    <w:rsid w:val="00365A93"/>
    <w:rsid w:val="00365A98"/>
    <w:rsid w:val="00365ACD"/>
    <w:rsid w:val="00365B23"/>
    <w:rsid w:val="00365B62"/>
    <w:rsid w:val="00365BF3"/>
    <w:rsid w:val="00365C42"/>
    <w:rsid w:val="00365C71"/>
    <w:rsid w:val="00365CCD"/>
    <w:rsid w:val="00365CED"/>
    <w:rsid w:val="00365D2B"/>
    <w:rsid w:val="00365DB0"/>
    <w:rsid w:val="00365DB9"/>
    <w:rsid w:val="00365E56"/>
    <w:rsid w:val="00365EA3"/>
    <w:rsid w:val="00365EA4"/>
    <w:rsid w:val="00365F04"/>
    <w:rsid w:val="00365F77"/>
    <w:rsid w:val="00365F8C"/>
    <w:rsid w:val="00365FEC"/>
    <w:rsid w:val="00365FFC"/>
    <w:rsid w:val="00366005"/>
    <w:rsid w:val="00366060"/>
    <w:rsid w:val="003660A1"/>
    <w:rsid w:val="003660E1"/>
    <w:rsid w:val="003660F4"/>
    <w:rsid w:val="003661AA"/>
    <w:rsid w:val="003661D5"/>
    <w:rsid w:val="0036624D"/>
    <w:rsid w:val="003663B7"/>
    <w:rsid w:val="003663E2"/>
    <w:rsid w:val="0036641B"/>
    <w:rsid w:val="00366458"/>
    <w:rsid w:val="003664E6"/>
    <w:rsid w:val="00366568"/>
    <w:rsid w:val="003665BC"/>
    <w:rsid w:val="003666DF"/>
    <w:rsid w:val="003667AE"/>
    <w:rsid w:val="003667B6"/>
    <w:rsid w:val="003667BE"/>
    <w:rsid w:val="003667DD"/>
    <w:rsid w:val="003667E9"/>
    <w:rsid w:val="0036681F"/>
    <w:rsid w:val="003668A8"/>
    <w:rsid w:val="003668E5"/>
    <w:rsid w:val="0036696C"/>
    <w:rsid w:val="00366B54"/>
    <w:rsid w:val="00366B76"/>
    <w:rsid w:val="00366B81"/>
    <w:rsid w:val="00366BAC"/>
    <w:rsid w:val="00366BF6"/>
    <w:rsid w:val="00366BFF"/>
    <w:rsid w:val="00366C0D"/>
    <w:rsid w:val="00366CBF"/>
    <w:rsid w:val="00366CC0"/>
    <w:rsid w:val="00366CD4"/>
    <w:rsid w:val="00366CF8"/>
    <w:rsid w:val="00366E04"/>
    <w:rsid w:val="00366EBF"/>
    <w:rsid w:val="00366F03"/>
    <w:rsid w:val="00366F1A"/>
    <w:rsid w:val="00366F2F"/>
    <w:rsid w:val="00367086"/>
    <w:rsid w:val="00367107"/>
    <w:rsid w:val="0036713E"/>
    <w:rsid w:val="00367147"/>
    <w:rsid w:val="0036728F"/>
    <w:rsid w:val="003672B7"/>
    <w:rsid w:val="00367324"/>
    <w:rsid w:val="003673BE"/>
    <w:rsid w:val="00367402"/>
    <w:rsid w:val="0036742B"/>
    <w:rsid w:val="0036743C"/>
    <w:rsid w:val="00367450"/>
    <w:rsid w:val="0036765D"/>
    <w:rsid w:val="00367677"/>
    <w:rsid w:val="003676AE"/>
    <w:rsid w:val="003676D2"/>
    <w:rsid w:val="0036773D"/>
    <w:rsid w:val="00367785"/>
    <w:rsid w:val="003677A8"/>
    <w:rsid w:val="0036784B"/>
    <w:rsid w:val="0036787F"/>
    <w:rsid w:val="00367A45"/>
    <w:rsid w:val="00367AB7"/>
    <w:rsid w:val="00367ABE"/>
    <w:rsid w:val="00367C16"/>
    <w:rsid w:val="00367C1A"/>
    <w:rsid w:val="00367D4E"/>
    <w:rsid w:val="00367D50"/>
    <w:rsid w:val="00367E46"/>
    <w:rsid w:val="00367E8B"/>
    <w:rsid w:val="00367F5D"/>
    <w:rsid w:val="00367F79"/>
    <w:rsid w:val="00367F8F"/>
    <w:rsid w:val="0037002F"/>
    <w:rsid w:val="0037017C"/>
    <w:rsid w:val="00370240"/>
    <w:rsid w:val="00370275"/>
    <w:rsid w:val="00370289"/>
    <w:rsid w:val="0037036E"/>
    <w:rsid w:val="00370449"/>
    <w:rsid w:val="00370513"/>
    <w:rsid w:val="0037051E"/>
    <w:rsid w:val="00370549"/>
    <w:rsid w:val="0037060D"/>
    <w:rsid w:val="00370629"/>
    <w:rsid w:val="00370634"/>
    <w:rsid w:val="0037067A"/>
    <w:rsid w:val="0037072C"/>
    <w:rsid w:val="00370761"/>
    <w:rsid w:val="003707E9"/>
    <w:rsid w:val="00370815"/>
    <w:rsid w:val="003708BE"/>
    <w:rsid w:val="003708DC"/>
    <w:rsid w:val="0037098E"/>
    <w:rsid w:val="00370A46"/>
    <w:rsid w:val="00370A6E"/>
    <w:rsid w:val="00370AC5"/>
    <w:rsid w:val="00370AC8"/>
    <w:rsid w:val="00370B1F"/>
    <w:rsid w:val="00370B41"/>
    <w:rsid w:val="00370B7E"/>
    <w:rsid w:val="00370C1D"/>
    <w:rsid w:val="00370CE3"/>
    <w:rsid w:val="00370D20"/>
    <w:rsid w:val="00370D48"/>
    <w:rsid w:val="00370D5F"/>
    <w:rsid w:val="00370DA0"/>
    <w:rsid w:val="00370E62"/>
    <w:rsid w:val="00370EAC"/>
    <w:rsid w:val="00370EC0"/>
    <w:rsid w:val="00370ED3"/>
    <w:rsid w:val="00370F96"/>
    <w:rsid w:val="00370FEC"/>
    <w:rsid w:val="0037103E"/>
    <w:rsid w:val="0037113D"/>
    <w:rsid w:val="00371196"/>
    <w:rsid w:val="00371285"/>
    <w:rsid w:val="00371295"/>
    <w:rsid w:val="0037133B"/>
    <w:rsid w:val="00371400"/>
    <w:rsid w:val="00371424"/>
    <w:rsid w:val="00371449"/>
    <w:rsid w:val="003714CA"/>
    <w:rsid w:val="003714CB"/>
    <w:rsid w:val="00371569"/>
    <w:rsid w:val="00371617"/>
    <w:rsid w:val="0037167A"/>
    <w:rsid w:val="003716C1"/>
    <w:rsid w:val="003716E0"/>
    <w:rsid w:val="00371827"/>
    <w:rsid w:val="00371A3B"/>
    <w:rsid w:val="00371AD6"/>
    <w:rsid w:val="00371B2E"/>
    <w:rsid w:val="00371B8E"/>
    <w:rsid w:val="00371C3D"/>
    <w:rsid w:val="00371C65"/>
    <w:rsid w:val="00371CB8"/>
    <w:rsid w:val="00371CE2"/>
    <w:rsid w:val="00371D56"/>
    <w:rsid w:val="00371EDB"/>
    <w:rsid w:val="00371FCE"/>
    <w:rsid w:val="00372025"/>
    <w:rsid w:val="0037209C"/>
    <w:rsid w:val="0037232E"/>
    <w:rsid w:val="00372435"/>
    <w:rsid w:val="0037246B"/>
    <w:rsid w:val="0037251E"/>
    <w:rsid w:val="003725C0"/>
    <w:rsid w:val="003726A2"/>
    <w:rsid w:val="003726C2"/>
    <w:rsid w:val="0037275D"/>
    <w:rsid w:val="003727B9"/>
    <w:rsid w:val="003727DD"/>
    <w:rsid w:val="003727E3"/>
    <w:rsid w:val="0037283F"/>
    <w:rsid w:val="0037286C"/>
    <w:rsid w:val="003728BA"/>
    <w:rsid w:val="003729FF"/>
    <w:rsid w:val="00372A74"/>
    <w:rsid w:val="00372A88"/>
    <w:rsid w:val="00372A8D"/>
    <w:rsid w:val="00372B5F"/>
    <w:rsid w:val="00372B7A"/>
    <w:rsid w:val="00372B83"/>
    <w:rsid w:val="00372BE3"/>
    <w:rsid w:val="00372BF4"/>
    <w:rsid w:val="00372CAE"/>
    <w:rsid w:val="00372CE7"/>
    <w:rsid w:val="00372DA9"/>
    <w:rsid w:val="00372DD4"/>
    <w:rsid w:val="00372E12"/>
    <w:rsid w:val="00372FB9"/>
    <w:rsid w:val="003730A4"/>
    <w:rsid w:val="003730C7"/>
    <w:rsid w:val="003730D9"/>
    <w:rsid w:val="003731C5"/>
    <w:rsid w:val="003731F3"/>
    <w:rsid w:val="00373272"/>
    <w:rsid w:val="003732BF"/>
    <w:rsid w:val="003732C8"/>
    <w:rsid w:val="00373411"/>
    <w:rsid w:val="0037341C"/>
    <w:rsid w:val="0037345E"/>
    <w:rsid w:val="00373465"/>
    <w:rsid w:val="00373495"/>
    <w:rsid w:val="003734C9"/>
    <w:rsid w:val="003734DA"/>
    <w:rsid w:val="00373552"/>
    <w:rsid w:val="00373595"/>
    <w:rsid w:val="003735F8"/>
    <w:rsid w:val="00373618"/>
    <w:rsid w:val="0037362A"/>
    <w:rsid w:val="00373658"/>
    <w:rsid w:val="003736AC"/>
    <w:rsid w:val="003736DD"/>
    <w:rsid w:val="003737D0"/>
    <w:rsid w:val="003739CA"/>
    <w:rsid w:val="00373A54"/>
    <w:rsid w:val="00373ACA"/>
    <w:rsid w:val="00373AF9"/>
    <w:rsid w:val="00373C18"/>
    <w:rsid w:val="00373C7F"/>
    <w:rsid w:val="00373CBB"/>
    <w:rsid w:val="00373CD6"/>
    <w:rsid w:val="00373DA6"/>
    <w:rsid w:val="00373DBF"/>
    <w:rsid w:val="00373E65"/>
    <w:rsid w:val="00373EB6"/>
    <w:rsid w:val="00373FAD"/>
    <w:rsid w:val="00374020"/>
    <w:rsid w:val="00374091"/>
    <w:rsid w:val="0037409F"/>
    <w:rsid w:val="003740F5"/>
    <w:rsid w:val="00374108"/>
    <w:rsid w:val="0037420C"/>
    <w:rsid w:val="00374232"/>
    <w:rsid w:val="003742AF"/>
    <w:rsid w:val="003742EB"/>
    <w:rsid w:val="003742FC"/>
    <w:rsid w:val="00374398"/>
    <w:rsid w:val="003743A4"/>
    <w:rsid w:val="003744B0"/>
    <w:rsid w:val="00374526"/>
    <w:rsid w:val="00374530"/>
    <w:rsid w:val="003745F1"/>
    <w:rsid w:val="0037460B"/>
    <w:rsid w:val="00374653"/>
    <w:rsid w:val="0037468B"/>
    <w:rsid w:val="00374765"/>
    <w:rsid w:val="00374787"/>
    <w:rsid w:val="003747A3"/>
    <w:rsid w:val="003747E2"/>
    <w:rsid w:val="00374867"/>
    <w:rsid w:val="00374988"/>
    <w:rsid w:val="00374A33"/>
    <w:rsid w:val="00374A64"/>
    <w:rsid w:val="00374ABF"/>
    <w:rsid w:val="00374B04"/>
    <w:rsid w:val="00374B39"/>
    <w:rsid w:val="00374D2C"/>
    <w:rsid w:val="00374D4A"/>
    <w:rsid w:val="00374E0C"/>
    <w:rsid w:val="00374F5D"/>
    <w:rsid w:val="00374F60"/>
    <w:rsid w:val="00374F77"/>
    <w:rsid w:val="00374FB8"/>
    <w:rsid w:val="003750AE"/>
    <w:rsid w:val="003750DA"/>
    <w:rsid w:val="0037510D"/>
    <w:rsid w:val="0037512A"/>
    <w:rsid w:val="00375171"/>
    <w:rsid w:val="003751BE"/>
    <w:rsid w:val="00375264"/>
    <w:rsid w:val="003752DF"/>
    <w:rsid w:val="00375321"/>
    <w:rsid w:val="00375338"/>
    <w:rsid w:val="003753ED"/>
    <w:rsid w:val="00375503"/>
    <w:rsid w:val="0037555D"/>
    <w:rsid w:val="003755A7"/>
    <w:rsid w:val="00375624"/>
    <w:rsid w:val="00375642"/>
    <w:rsid w:val="0037570A"/>
    <w:rsid w:val="0037588F"/>
    <w:rsid w:val="003759DC"/>
    <w:rsid w:val="003759F8"/>
    <w:rsid w:val="00375AB5"/>
    <w:rsid w:val="00375B75"/>
    <w:rsid w:val="00375C54"/>
    <w:rsid w:val="00375CFA"/>
    <w:rsid w:val="00375D81"/>
    <w:rsid w:val="00375DB6"/>
    <w:rsid w:val="00375DE4"/>
    <w:rsid w:val="00375E3F"/>
    <w:rsid w:val="00375E98"/>
    <w:rsid w:val="00375EAD"/>
    <w:rsid w:val="00375F78"/>
    <w:rsid w:val="00376090"/>
    <w:rsid w:val="00376169"/>
    <w:rsid w:val="003761BD"/>
    <w:rsid w:val="003761CA"/>
    <w:rsid w:val="003761EA"/>
    <w:rsid w:val="003762AF"/>
    <w:rsid w:val="0037633D"/>
    <w:rsid w:val="00376441"/>
    <w:rsid w:val="0037646A"/>
    <w:rsid w:val="003764F3"/>
    <w:rsid w:val="00376549"/>
    <w:rsid w:val="003765D3"/>
    <w:rsid w:val="00376659"/>
    <w:rsid w:val="00376687"/>
    <w:rsid w:val="003766AD"/>
    <w:rsid w:val="00376729"/>
    <w:rsid w:val="00376765"/>
    <w:rsid w:val="0037689C"/>
    <w:rsid w:val="003768FE"/>
    <w:rsid w:val="00376959"/>
    <w:rsid w:val="003769A0"/>
    <w:rsid w:val="003769CE"/>
    <w:rsid w:val="00376AF2"/>
    <w:rsid w:val="00376AF3"/>
    <w:rsid w:val="00376BAE"/>
    <w:rsid w:val="00376C12"/>
    <w:rsid w:val="00376C30"/>
    <w:rsid w:val="00376C3C"/>
    <w:rsid w:val="00376C44"/>
    <w:rsid w:val="00376CB8"/>
    <w:rsid w:val="00376CCA"/>
    <w:rsid w:val="00376CE5"/>
    <w:rsid w:val="00376D7E"/>
    <w:rsid w:val="00376E0F"/>
    <w:rsid w:val="00376E4D"/>
    <w:rsid w:val="00376EA1"/>
    <w:rsid w:val="00376F8E"/>
    <w:rsid w:val="00376FF7"/>
    <w:rsid w:val="0037707B"/>
    <w:rsid w:val="00377103"/>
    <w:rsid w:val="00377157"/>
    <w:rsid w:val="00377202"/>
    <w:rsid w:val="00377231"/>
    <w:rsid w:val="00377255"/>
    <w:rsid w:val="0037725D"/>
    <w:rsid w:val="0037727A"/>
    <w:rsid w:val="00377391"/>
    <w:rsid w:val="003773BB"/>
    <w:rsid w:val="00377411"/>
    <w:rsid w:val="00377490"/>
    <w:rsid w:val="003774D4"/>
    <w:rsid w:val="003774D7"/>
    <w:rsid w:val="00377582"/>
    <w:rsid w:val="003775BC"/>
    <w:rsid w:val="003775BE"/>
    <w:rsid w:val="003775F9"/>
    <w:rsid w:val="0037779A"/>
    <w:rsid w:val="00377876"/>
    <w:rsid w:val="003778CD"/>
    <w:rsid w:val="0037790F"/>
    <w:rsid w:val="00377A23"/>
    <w:rsid w:val="00377A5A"/>
    <w:rsid w:val="00377A83"/>
    <w:rsid w:val="00377ABB"/>
    <w:rsid w:val="00377B0A"/>
    <w:rsid w:val="00377B16"/>
    <w:rsid w:val="00377B89"/>
    <w:rsid w:val="00377C14"/>
    <w:rsid w:val="00377C32"/>
    <w:rsid w:val="00377CA2"/>
    <w:rsid w:val="00377DEA"/>
    <w:rsid w:val="00377E14"/>
    <w:rsid w:val="00377E2C"/>
    <w:rsid w:val="00377EAC"/>
    <w:rsid w:val="00377EDF"/>
    <w:rsid w:val="00377FAF"/>
    <w:rsid w:val="00380043"/>
    <w:rsid w:val="00380089"/>
    <w:rsid w:val="003800A2"/>
    <w:rsid w:val="0038012D"/>
    <w:rsid w:val="00380199"/>
    <w:rsid w:val="003801D9"/>
    <w:rsid w:val="003801F9"/>
    <w:rsid w:val="00380257"/>
    <w:rsid w:val="00380266"/>
    <w:rsid w:val="00380318"/>
    <w:rsid w:val="003803C8"/>
    <w:rsid w:val="00380419"/>
    <w:rsid w:val="00380558"/>
    <w:rsid w:val="003805B7"/>
    <w:rsid w:val="003805C2"/>
    <w:rsid w:val="0038068F"/>
    <w:rsid w:val="003806DE"/>
    <w:rsid w:val="00380736"/>
    <w:rsid w:val="00380767"/>
    <w:rsid w:val="003807C5"/>
    <w:rsid w:val="003807D7"/>
    <w:rsid w:val="0038086D"/>
    <w:rsid w:val="00380944"/>
    <w:rsid w:val="003809B9"/>
    <w:rsid w:val="00380A19"/>
    <w:rsid w:val="00380A6B"/>
    <w:rsid w:val="00380A8C"/>
    <w:rsid w:val="00380ABA"/>
    <w:rsid w:val="00380AE3"/>
    <w:rsid w:val="00380AF5"/>
    <w:rsid w:val="00380B94"/>
    <w:rsid w:val="00380BD3"/>
    <w:rsid w:val="00380C15"/>
    <w:rsid w:val="00380C60"/>
    <w:rsid w:val="00380D9E"/>
    <w:rsid w:val="00380E33"/>
    <w:rsid w:val="00380E6F"/>
    <w:rsid w:val="00380E82"/>
    <w:rsid w:val="00380ED2"/>
    <w:rsid w:val="00380F1E"/>
    <w:rsid w:val="00380F3D"/>
    <w:rsid w:val="00380F62"/>
    <w:rsid w:val="00380FBF"/>
    <w:rsid w:val="00381015"/>
    <w:rsid w:val="00381058"/>
    <w:rsid w:val="00381114"/>
    <w:rsid w:val="003811AA"/>
    <w:rsid w:val="003811C7"/>
    <w:rsid w:val="003811DD"/>
    <w:rsid w:val="003812A8"/>
    <w:rsid w:val="003812B1"/>
    <w:rsid w:val="00381474"/>
    <w:rsid w:val="003814F2"/>
    <w:rsid w:val="00381505"/>
    <w:rsid w:val="0038163D"/>
    <w:rsid w:val="003816B3"/>
    <w:rsid w:val="0038172D"/>
    <w:rsid w:val="00381735"/>
    <w:rsid w:val="00381837"/>
    <w:rsid w:val="0038183E"/>
    <w:rsid w:val="00381856"/>
    <w:rsid w:val="00381890"/>
    <w:rsid w:val="00381971"/>
    <w:rsid w:val="003819C4"/>
    <w:rsid w:val="00381A07"/>
    <w:rsid w:val="00381A8E"/>
    <w:rsid w:val="00381B6E"/>
    <w:rsid w:val="00381C1A"/>
    <w:rsid w:val="00381C21"/>
    <w:rsid w:val="00381CA4"/>
    <w:rsid w:val="00381D01"/>
    <w:rsid w:val="00381D47"/>
    <w:rsid w:val="00381D57"/>
    <w:rsid w:val="00381D75"/>
    <w:rsid w:val="00381DC9"/>
    <w:rsid w:val="00381E3D"/>
    <w:rsid w:val="00382004"/>
    <w:rsid w:val="00382116"/>
    <w:rsid w:val="0038218D"/>
    <w:rsid w:val="003821AD"/>
    <w:rsid w:val="00382261"/>
    <w:rsid w:val="0038227C"/>
    <w:rsid w:val="003822BF"/>
    <w:rsid w:val="003822CE"/>
    <w:rsid w:val="003822E1"/>
    <w:rsid w:val="00382334"/>
    <w:rsid w:val="003823DB"/>
    <w:rsid w:val="003823FF"/>
    <w:rsid w:val="00382412"/>
    <w:rsid w:val="00382423"/>
    <w:rsid w:val="003824B4"/>
    <w:rsid w:val="003825CD"/>
    <w:rsid w:val="003825DC"/>
    <w:rsid w:val="003825F1"/>
    <w:rsid w:val="003826AB"/>
    <w:rsid w:val="00382773"/>
    <w:rsid w:val="00382797"/>
    <w:rsid w:val="0038280B"/>
    <w:rsid w:val="00382830"/>
    <w:rsid w:val="00382873"/>
    <w:rsid w:val="0038289D"/>
    <w:rsid w:val="00382A0B"/>
    <w:rsid w:val="00382A12"/>
    <w:rsid w:val="00382A40"/>
    <w:rsid w:val="00382A56"/>
    <w:rsid w:val="00382C0A"/>
    <w:rsid w:val="00382C21"/>
    <w:rsid w:val="00382C51"/>
    <w:rsid w:val="00382C6A"/>
    <w:rsid w:val="00382CE0"/>
    <w:rsid w:val="00382D03"/>
    <w:rsid w:val="00382D86"/>
    <w:rsid w:val="00382DD5"/>
    <w:rsid w:val="00382E45"/>
    <w:rsid w:val="00382E57"/>
    <w:rsid w:val="00382E9E"/>
    <w:rsid w:val="00382F1A"/>
    <w:rsid w:val="00382F5B"/>
    <w:rsid w:val="00383075"/>
    <w:rsid w:val="00383093"/>
    <w:rsid w:val="003830D7"/>
    <w:rsid w:val="003830E2"/>
    <w:rsid w:val="003831A5"/>
    <w:rsid w:val="00383234"/>
    <w:rsid w:val="00383283"/>
    <w:rsid w:val="003832AF"/>
    <w:rsid w:val="003833A5"/>
    <w:rsid w:val="003833B0"/>
    <w:rsid w:val="00383420"/>
    <w:rsid w:val="00383437"/>
    <w:rsid w:val="00383462"/>
    <w:rsid w:val="00383509"/>
    <w:rsid w:val="003835B4"/>
    <w:rsid w:val="003835E9"/>
    <w:rsid w:val="00383703"/>
    <w:rsid w:val="0038386B"/>
    <w:rsid w:val="00383942"/>
    <w:rsid w:val="00383988"/>
    <w:rsid w:val="00383994"/>
    <w:rsid w:val="00383BC2"/>
    <w:rsid w:val="00383CC5"/>
    <w:rsid w:val="00383D55"/>
    <w:rsid w:val="00383DA7"/>
    <w:rsid w:val="00383E33"/>
    <w:rsid w:val="00383E5A"/>
    <w:rsid w:val="00384017"/>
    <w:rsid w:val="00384057"/>
    <w:rsid w:val="003841E2"/>
    <w:rsid w:val="003841F5"/>
    <w:rsid w:val="0038426E"/>
    <w:rsid w:val="003842DE"/>
    <w:rsid w:val="0038431F"/>
    <w:rsid w:val="00384323"/>
    <w:rsid w:val="003843A9"/>
    <w:rsid w:val="003843C3"/>
    <w:rsid w:val="003843DF"/>
    <w:rsid w:val="003843EF"/>
    <w:rsid w:val="0038451B"/>
    <w:rsid w:val="003845D3"/>
    <w:rsid w:val="003846A2"/>
    <w:rsid w:val="00384731"/>
    <w:rsid w:val="00384740"/>
    <w:rsid w:val="00384760"/>
    <w:rsid w:val="00384776"/>
    <w:rsid w:val="0038477A"/>
    <w:rsid w:val="0038479D"/>
    <w:rsid w:val="0038489D"/>
    <w:rsid w:val="003848A0"/>
    <w:rsid w:val="003848A4"/>
    <w:rsid w:val="003848C2"/>
    <w:rsid w:val="0038494E"/>
    <w:rsid w:val="00384A0E"/>
    <w:rsid w:val="00384BE6"/>
    <w:rsid w:val="00384BFE"/>
    <w:rsid w:val="00384C16"/>
    <w:rsid w:val="00384C73"/>
    <w:rsid w:val="00384D25"/>
    <w:rsid w:val="00384D3B"/>
    <w:rsid w:val="00384E6A"/>
    <w:rsid w:val="00384EBF"/>
    <w:rsid w:val="00384F18"/>
    <w:rsid w:val="00384F1B"/>
    <w:rsid w:val="00384F74"/>
    <w:rsid w:val="0038507D"/>
    <w:rsid w:val="00385093"/>
    <w:rsid w:val="0038519F"/>
    <w:rsid w:val="003851C3"/>
    <w:rsid w:val="003852CB"/>
    <w:rsid w:val="0038535E"/>
    <w:rsid w:val="003853FC"/>
    <w:rsid w:val="0038540A"/>
    <w:rsid w:val="00385475"/>
    <w:rsid w:val="003854A4"/>
    <w:rsid w:val="003854EC"/>
    <w:rsid w:val="00385507"/>
    <w:rsid w:val="00385588"/>
    <w:rsid w:val="003855A9"/>
    <w:rsid w:val="003855AE"/>
    <w:rsid w:val="003855C4"/>
    <w:rsid w:val="00385671"/>
    <w:rsid w:val="003856A1"/>
    <w:rsid w:val="00385700"/>
    <w:rsid w:val="00385855"/>
    <w:rsid w:val="003858A3"/>
    <w:rsid w:val="003858C1"/>
    <w:rsid w:val="003858D4"/>
    <w:rsid w:val="00385A63"/>
    <w:rsid w:val="00385B7D"/>
    <w:rsid w:val="00385C25"/>
    <w:rsid w:val="00385C3C"/>
    <w:rsid w:val="00385CAE"/>
    <w:rsid w:val="00385D2E"/>
    <w:rsid w:val="00385DCB"/>
    <w:rsid w:val="00385DCE"/>
    <w:rsid w:val="00385E06"/>
    <w:rsid w:val="00385E41"/>
    <w:rsid w:val="00385E8F"/>
    <w:rsid w:val="00385EF1"/>
    <w:rsid w:val="00386007"/>
    <w:rsid w:val="0038602D"/>
    <w:rsid w:val="003860E1"/>
    <w:rsid w:val="0038618C"/>
    <w:rsid w:val="003861AC"/>
    <w:rsid w:val="003862AD"/>
    <w:rsid w:val="0038630A"/>
    <w:rsid w:val="0038632B"/>
    <w:rsid w:val="003863BA"/>
    <w:rsid w:val="00386457"/>
    <w:rsid w:val="003864AE"/>
    <w:rsid w:val="003864EB"/>
    <w:rsid w:val="0038665E"/>
    <w:rsid w:val="0038666A"/>
    <w:rsid w:val="0038684D"/>
    <w:rsid w:val="003868A1"/>
    <w:rsid w:val="003868D1"/>
    <w:rsid w:val="003868D9"/>
    <w:rsid w:val="00386911"/>
    <w:rsid w:val="00386939"/>
    <w:rsid w:val="00386958"/>
    <w:rsid w:val="00386975"/>
    <w:rsid w:val="003869ED"/>
    <w:rsid w:val="00386A57"/>
    <w:rsid w:val="00386A63"/>
    <w:rsid w:val="00386AA5"/>
    <w:rsid w:val="00386B70"/>
    <w:rsid w:val="00386B95"/>
    <w:rsid w:val="00386C1E"/>
    <w:rsid w:val="00386D70"/>
    <w:rsid w:val="00386E72"/>
    <w:rsid w:val="00386F72"/>
    <w:rsid w:val="00386FAC"/>
    <w:rsid w:val="00386FE4"/>
    <w:rsid w:val="0038709C"/>
    <w:rsid w:val="00387139"/>
    <w:rsid w:val="0038721C"/>
    <w:rsid w:val="00387240"/>
    <w:rsid w:val="00387248"/>
    <w:rsid w:val="00387259"/>
    <w:rsid w:val="003872B3"/>
    <w:rsid w:val="00387364"/>
    <w:rsid w:val="0038742A"/>
    <w:rsid w:val="0038745F"/>
    <w:rsid w:val="00387463"/>
    <w:rsid w:val="003875DF"/>
    <w:rsid w:val="003876E0"/>
    <w:rsid w:val="003877B4"/>
    <w:rsid w:val="003877C0"/>
    <w:rsid w:val="003877D2"/>
    <w:rsid w:val="00387891"/>
    <w:rsid w:val="003878A7"/>
    <w:rsid w:val="00387947"/>
    <w:rsid w:val="0038795F"/>
    <w:rsid w:val="00387998"/>
    <w:rsid w:val="00387A48"/>
    <w:rsid w:val="00387A6F"/>
    <w:rsid w:val="00387AD9"/>
    <w:rsid w:val="00387B4A"/>
    <w:rsid w:val="00387BDF"/>
    <w:rsid w:val="00387BFC"/>
    <w:rsid w:val="00387CB9"/>
    <w:rsid w:val="00387D0F"/>
    <w:rsid w:val="00387E62"/>
    <w:rsid w:val="00387E8D"/>
    <w:rsid w:val="00387F00"/>
    <w:rsid w:val="00387F0C"/>
    <w:rsid w:val="00387F63"/>
    <w:rsid w:val="00390199"/>
    <w:rsid w:val="00390269"/>
    <w:rsid w:val="003902DE"/>
    <w:rsid w:val="003902E7"/>
    <w:rsid w:val="00390316"/>
    <w:rsid w:val="00390408"/>
    <w:rsid w:val="00390441"/>
    <w:rsid w:val="00390447"/>
    <w:rsid w:val="0039046F"/>
    <w:rsid w:val="00390555"/>
    <w:rsid w:val="003905C3"/>
    <w:rsid w:val="00390652"/>
    <w:rsid w:val="0039067E"/>
    <w:rsid w:val="0039068E"/>
    <w:rsid w:val="003906D8"/>
    <w:rsid w:val="003906EF"/>
    <w:rsid w:val="003907BB"/>
    <w:rsid w:val="003907EF"/>
    <w:rsid w:val="00390896"/>
    <w:rsid w:val="003908EC"/>
    <w:rsid w:val="003908FD"/>
    <w:rsid w:val="00390945"/>
    <w:rsid w:val="003909AE"/>
    <w:rsid w:val="00390A29"/>
    <w:rsid w:val="00390A31"/>
    <w:rsid w:val="00390A6D"/>
    <w:rsid w:val="00390B96"/>
    <w:rsid w:val="00390D87"/>
    <w:rsid w:val="00390D92"/>
    <w:rsid w:val="00390E09"/>
    <w:rsid w:val="00390E7C"/>
    <w:rsid w:val="00390E8B"/>
    <w:rsid w:val="00390ED7"/>
    <w:rsid w:val="00390F29"/>
    <w:rsid w:val="00390F65"/>
    <w:rsid w:val="00390F6C"/>
    <w:rsid w:val="00390FB8"/>
    <w:rsid w:val="00390FDD"/>
    <w:rsid w:val="00390FF9"/>
    <w:rsid w:val="0039100B"/>
    <w:rsid w:val="003910C5"/>
    <w:rsid w:val="003911B5"/>
    <w:rsid w:val="00391216"/>
    <w:rsid w:val="00391274"/>
    <w:rsid w:val="0039128F"/>
    <w:rsid w:val="0039136D"/>
    <w:rsid w:val="0039137E"/>
    <w:rsid w:val="003913ED"/>
    <w:rsid w:val="0039141F"/>
    <w:rsid w:val="0039149B"/>
    <w:rsid w:val="003914E0"/>
    <w:rsid w:val="00391502"/>
    <w:rsid w:val="00391525"/>
    <w:rsid w:val="00391573"/>
    <w:rsid w:val="003915E2"/>
    <w:rsid w:val="00391777"/>
    <w:rsid w:val="003917B5"/>
    <w:rsid w:val="003917B6"/>
    <w:rsid w:val="003917F1"/>
    <w:rsid w:val="0039181F"/>
    <w:rsid w:val="00391845"/>
    <w:rsid w:val="0039186A"/>
    <w:rsid w:val="00391895"/>
    <w:rsid w:val="003918A9"/>
    <w:rsid w:val="003918D0"/>
    <w:rsid w:val="003918FF"/>
    <w:rsid w:val="00391A1D"/>
    <w:rsid w:val="00391A9E"/>
    <w:rsid w:val="00391AA5"/>
    <w:rsid w:val="00391BC9"/>
    <w:rsid w:val="00391BD0"/>
    <w:rsid w:val="00391BED"/>
    <w:rsid w:val="00391CC0"/>
    <w:rsid w:val="00391CDF"/>
    <w:rsid w:val="00391F77"/>
    <w:rsid w:val="00391FC4"/>
    <w:rsid w:val="00392084"/>
    <w:rsid w:val="003920E1"/>
    <w:rsid w:val="00392257"/>
    <w:rsid w:val="00392419"/>
    <w:rsid w:val="0039242A"/>
    <w:rsid w:val="003924DA"/>
    <w:rsid w:val="0039253F"/>
    <w:rsid w:val="00392640"/>
    <w:rsid w:val="00392653"/>
    <w:rsid w:val="003926FB"/>
    <w:rsid w:val="00392717"/>
    <w:rsid w:val="00392785"/>
    <w:rsid w:val="003927B9"/>
    <w:rsid w:val="003927C5"/>
    <w:rsid w:val="003927CD"/>
    <w:rsid w:val="00392833"/>
    <w:rsid w:val="00392875"/>
    <w:rsid w:val="0039287C"/>
    <w:rsid w:val="00392885"/>
    <w:rsid w:val="003928CE"/>
    <w:rsid w:val="0039290B"/>
    <w:rsid w:val="00392981"/>
    <w:rsid w:val="00392AAC"/>
    <w:rsid w:val="00392AC4"/>
    <w:rsid w:val="00392B54"/>
    <w:rsid w:val="00392B5F"/>
    <w:rsid w:val="00392BA7"/>
    <w:rsid w:val="00392BDE"/>
    <w:rsid w:val="00392BE9"/>
    <w:rsid w:val="00392C4D"/>
    <w:rsid w:val="00392C7D"/>
    <w:rsid w:val="00392C9D"/>
    <w:rsid w:val="00392CEF"/>
    <w:rsid w:val="00392D19"/>
    <w:rsid w:val="00392D81"/>
    <w:rsid w:val="00392E06"/>
    <w:rsid w:val="00392E38"/>
    <w:rsid w:val="00392ED0"/>
    <w:rsid w:val="00392F88"/>
    <w:rsid w:val="00392FC6"/>
    <w:rsid w:val="00393028"/>
    <w:rsid w:val="00393098"/>
    <w:rsid w:val="0039316D"/>
    <w:rsid w:val="00393294"/>
    <w:rsid w:val="003932A9"/>
    <w:rsid w:val="003932CC"/>
    <w:rsid w:val="0039336E"/>
    <w:rsid w:val="003933E3"/>
    <w:rsid w:val="003933F4"/>
    <w:rsid w:val="0039341C"/>
    <w:rsid w:val="00393480"/>
    <w:rsid w:val="0039356D"/>
    <w:rsid w:val="0039357A"/>
    <w:rsid w:val="00393587"/>
    <w:rsid w:val="003935A4"/>
    <w:rsid w:val="003936D5"/>
    <w:rsid w:val="0039370A"/>
    <w:rsid w:val="00393791"/>
    <w:rsid w:val="003937CD"/>
    <w:rsid w:val="0039380E"/>
    <w:rsid w:val="00393815"/>
    <w:rsid w:val="00393879"/>
    <w:rsid w:val="00393892"/>
    <w:rsid w:val="00393908"/>
    <w:rsid w:val="0039392F"/>
    <w:rsid w:val="00393932"/>
    <w:rsid w:val="00393A53"/>
    <w:rsid w:val="00393AB8"/>
    <w:rsid w:val="00393B2A"/>
    <w:rsid w:val="00393B2B"/>
    <w:rsid w:val="00393B37"/>
    <w:rsid w:val="00393C04"/>
    <w:rsid w:val="00393D30"/>
    <w:rsid w:val="00393E82"/>
    <w:rsid w:val="00393F76"/>
    <w:rsid w:val="00393FDB"/>
    <w:rsid w:val="003940E4"/>
    <w:rsid w:val="003940EA"/>
    <w:rsid w:val="0039410C"/>
    <w:rsid w:val="003941B8"/>
    <w:rsid w:val="0039422F"/>
    <w:rsid w:val="00394261"/>
    <w:rsid w:val="00394301"/>
    <w:rsid w:val="0039436F"/>
    <w:rsid w:val="003943DD"/>
    <w:rsid w:val="003944DA"/>
    <w:rsid w:val="0039450D"/>
    <w:rsid w:val="00394555"/>
    <w:rsid w:val="003945BA"/>
    <w:rsid w:val="0039468D"/>
    <w:rsid w:val="00394698"/>
    <w:rsid w:val="00394758"/>
    <w:rsid w:val="003947FB"/>
    <w:rsid w:val="00394865"/>
    <w:rsid w:val="003948D8"/>
    <w:rsid w:val="00394A6E"/>
    <w:rsid w:val="00394AAD"/>
    <w:rsid w:val="00394B06"/>
    <w:rsid w:val="00394B94"/>
    <w:rsid w:val="00394B9F"/>
    <w:rsid w:val="00394BAA"/>
    <w:rsid w:val="00394BBA"/>
    <w:rsid w:val="00394BDF"/>
    <w:rsid w:val="00394C7F"/>
    <w:rsid w:val="00394CA5"/>
    <w:rsid w:val="00394CDE"/>
    <w:rsid w:val="00394D39"/>
    <w:rsid w:val="00394E11"/>
    <w:rsid w:val="00394E3A"/>
    <w:rsid w:val="00394F43"/>
    <w:rsid w:val="00394F6D"/>
    <w:rsid w:val="00394FC7"/>
    <w:rsid w:val="00394FF7"/>
    <w:rsid w:val="00395042"/>
    <w:rsid w:val="0039505B"/>
    <w:rsid w:val="003950CB"/>
    <w:rsid w:val="00395112"/>
    <w:rsid w:val="0039513B"/>
    <w:rsid w:val="003951A2"/>
    <w:rsid w:val="003952BB"/>
    <w:rsid w:val="003952C9"/>
    <w:rsid w:val="00395393"/>
    <w:rsid w:val="003953EF"/>
    <w:rsid w:val="0039540D"/>
    <w:rsid w:val="0039567B"/>
    <w:rsid w:val="00395686"/>
    <w:rsid w:val="0039569F"/>
    <w:rsid w:val="0039581D"/>
    <w:rsid w:val="0039589F"/>
    <w:rsid w:val="003958D9"/>
    <w:rsid w:val="003958EF"/>
    <w:rsid w:val="00395967"/>
    <w:rsid w:val="003959E0"/>
    <w:rsid w:val="003959E6"/>
    <w:rsid w:val="00395A4F"/>
    <w:rsid w:val="00395A7A"/>
    <w:rsid w:val="00395A9E"/>
    <w:rsid w:val="00395ACD"/>
    <w:rsid w:val="00395B1E"/>
    <w:rsid w:val="00395CE6"/>
    <w:rsid w:val="00395CFE"/>
    <w:rsid w:val="00395D3A"/>
    <w:rsid w:val="00395D92"/>
    <w:rsid w:val="00395E27"/>
    <w:rsid w:val="00395E88"/>
    <w:rsid w:val="00395EE0"/>
    <w:rsid w:val="00395F1B"/>
    <w:rsid w:val="00395F30"/>
    <w:rsid w:val="00396088"/>
    <w:rsid w:val="0039614C"/>
    <w:rsid w:val="00396189"/>
    <w:rsid w:val="003961D3"/>
    <w:rsid w:val="003961D8"/>
    <w:rsid w:val="003962B0"/>
    <w:rsid w:val="0039631B"/>
    <w:rsid w:val="0039633B"/>
    <w:rsid w:val="003963A2"/>
    <w:rsid w:val="003963D3"/>
    <w:rsid w:val="00396416"/>
    <w:rsid w:val="0039648F"/>
    <w:rsid w:val="003964F9"/>
    <w:rsid w:val="0039651F"/>
    <w:rsid w:val="0039654D"/>
    <w:rsid w:val="0039655A"/>
    <w:rsid w:val="0039677E"/>
    <w:rsid w:val="003967A9"/>
    <w:rsid w:val="003968EC"/>
    <w:rsid w:val="00396920"/>
    <w:rsid w:val="00396A36"/>
    <w:rsid w:val="00396A7D"/>
    <w:rsid w:val="00396AA9"/>
    <w:rsid w:val="00396B63"/>
    <w:rsid w:val="00396C44"/>
    <w:rsid w:val="00396C60"/>
    <w:rsid w:val="00396C67"/>
    <w:rsid w:val="00396D4F"/>
    <w:rsid w:val="00396DEF"/>
    <w:rsid w:val="00396E02"/>
    <w:rsid w:val="00396E36"/>
    <w:rsid w:val="00396E9D"/>
    <w:rsid w:val="00396ED9"/>
    <w:rsid w:val="00396F1D"/>
    <w:rsid w:val="00396F24"/>
    <w:rsid w:val="00396F79"/>
    <w:rsid w:val="00396FA5"/>
    <w:rsid w:val="00397006"/>
    <w:rsid w:val="0039709B"/>
    <w:rsid w:val="003970CF"/>
    <w:rsid w:val="003971DD"/>
    <w:rsid w:val="003971F9"/>
    <w:rsid w:val="00397248"/>
    <w:rsid w:val="003972EE"/>
    <w:rsid w:val="00397301"/>
    <w:rsid w:val="00397303"/>
    <w:rsid w:val="003973A3"/>
    <w:rsid w:val="00397445"/>
    <w:rsid w:val="00397459"/>
    <w:rsid w:val="0039745B"/>
    <w:rsid w:val="0039749D"/>
    <w:rsid w:val="00397543"/>
    <w:rsid w:val="003976F4"/>
    <w:rsid w:val="00397711"/>
    <w:rsid w:val="00397754"/>
    <w:rsid w:val="00397898"/>
    <w:rsid w:val="003978BB"/>
    <w:rsid w:val="00397939"/>
    <w:rsid w:val="003979C3"/>
    <w:rsid w:val="00397A2C"/>
    <w:rsid w:val="00397A67"/>
    <w:rsid w:val="00397AB2"/>
    <w:rsid w:val="00397B6F"/>
    <w:rsid w:val="00397BD9"/>
    <w:rsid w:val="00397BF8"/>
    <w:rsid w:val="00397C3F"/>
    <w:rsid w:val="00397CB6"/>
    <w:rsid w:val="00397CC5"/>
    <w:rsid w:val="00397D11"/>
    <w:rsid w:val="00397D90"/>
    <w:rsid w:val="00397D99"/>
    <w:rsid w:val="00397E2C"/>
    <w:rsid w:val="00397EA6"/>
    <w:rsid w:val="00397FDF"/>
    <w:rsid w:val="003A004C"/>
    <w:rsid w:val="003A00F7"/>
    <w:rsid w:val="003A0228"/>
    <w:rsid w:val="003A0232"/>
    <w:rsid w:val="003A0265"/>
    <w:rsid w:val="003A03F1"/>
    <w:rsid w:val="003A040E"/>
    <w:rsid w:val="003A04DC"/>
    <w:rsid w:val="003A056A"/>
    <w:rsid w:val="003A05C2"/>
    <w:rsid w:val="003A0635"/>
    <w:rsid w:val="003A0655"/>
    <w:rsid w:val="003A067C"/>
    <w:rsid w:val="003A074F"/>
    <w:rsid w:val="003A07CF"/>
    <w:rsid w:val="003A0863"/>
    <w:rsid w:val="003A08D0"/>
    <w:rsid w:val="003A090B"/>
    <w:rsid w:val="003A0975"/>
    <w:rsid w:val="003A09B3"/>
    <w:rsid w:val="003A0A14"/>
    <w:rsid w:val="003A0B90"/>
    <w:rsid w:val="003A0BE8"/>
    <w:rsid w:val="003A0C5B"/>
    <w:rsid w:val="003A0DC5"/>
    <w:rsid w:val="003A0E70"/>
    <w:rsid w:val="003A0EC1"/>
    <w:rsid w:val="003A1072"/>
    <w:rsid w:val="003A1073"/>
    <w:rsid w:val="003A1086"/>
    <w:rsid w:val="003A1094"/>
    <w:rsid w:val="003A1147"/>
    <w:rsid w:val="003A1172"/>
    <w:rsid w:val="003A12AE"/>
    <w:rsid w:val="003A12C8"/>
    <w:rsid w:val="003A12CF"/>
    <w:rsid w:val="003A1345"/>
    <w:rsid w:val="003A1447"/>
    <w:rsid w:val="003A1487"/>
    <w:rsid w:val="003A14C4"/>
    <w:rsid w:val="003A14CB"/>
    <w:rsid w:val="003A150E"/>
    <w:rsid w:val="003A157C"/>
    <w:rsid w:val="003A15B2"/>
    <w:rsid w:val="003A1664"/>
    <w:rsid w:val="003A17F4"/>
    <w:rsid w:val="003A19B7"/>
    <w:rsid w:val="003A1C6C"/>
    <w:rsid w:val="003A1C80"/>
    <w:rsid w:val="003A1D7C"/>
    <w:rsid w:val="003A1E8A"/>
    <w:rsid w:val="003A1EB4"/>
    <w:rsid w:val="003A202A"/>
    <w:rsid w:val="003A20E1"/>
    <w:rsid w:val="003A20EB"/>
    <w:rsid w:val="003A213E"/>
    <w:rsid w:val="003A21C9"/>
    <w:rsid w:val="003A2258"/>
    <w:rsid w:val="003A2260"/>
    <w:rsid w:val="003A2277"/>
    <w:rsid w:val="003A22AC"/>
    <w:rsid w:val="003A22BD"/>
    <w:rsid w:val="003A2316"/>
    <w:rsid w:val="003A23A9"/>
    <w:rsid w:val="003A2403"/>
    <w:rsid w:val="003A2441"/>
    <w:rsid w:val="003A2537"/>
    <w:rsid w:val="003A25E8"/>
    <w:rsid w:val="003A25F7"/>
    <w:rsid w:val="003A2687"/>
    <w:rsid w:val="003A26A4"/>
    <w:rsid w:val="003A26E1"/>
    <w:rsid w:val="003A2703"/>
    <w:rsid w:val="003A275F"/>
    <w:rsid w:val="003A2770"/>
    <w:rsid w:val="003A2942"/>
    <w:rsid w:val="003A2993"/>
    <w:rsid w:val="003A29A4"/>
    <w:rsid w:val="003A29AA"/>
    <w:rsid w:val="003A29B9"/>
    <w:rsid w:val="003A2AC6"/>
    <w:rsid w:val="003A2AD0"/>
    <w:rsid w:val="003A2B1E"/>
    <w:rsid w:val="003A2B3F"/>
    <w:rsid w:val="003A2B5F"/>
    <w:rsid w:val="003A2C25"/>
    <w:rsid w:val="003A2C37"/>
    <w:rsid w:val="003A2C77"/>
    <w:rsid w:val="003A2D3E"/>
    <w:rsid w:val="003A2D66"/>
    <w:rsid w:val="003A2D82"/>
    <w:rsid w:val="003A2F75"/>
    <w:rsid w:val="003A2F8E"/>
    <w:rsid w:val="003A30EF"/>
    <w:rsid w:val="003A316E"/>
    <w:rsid w:val="003A319C"/>
    <w:rsid w:val="003A31A7"/>
    <w:rsid w:val="003A31A9"/>
    <w:rsid w:val="003A32A0"/>
    <w:rsid w:val="003A32A6"/>
    <w:rsid w:val="003A3300"/>
    <w:rsid w:val="003A330C"/>
    <w:rsid w:val="003A3329"/>
    <w:rsid w:val="003A3330"/>
    <w:rsid w:val="003A3460"/>
    <w:rsid w:val="003A3660"/>
    <w:rsid w:val="003A3850"/>
    <w:rsid w:val="003A399A"/>
    <w:rsid w:val="003A3A37"/>
    <w:rsid w:val="003A3ABA"/>
    <w:rsid w:val="003A3AFB"/>
    <w:rsid w:val="003A3B36"/>
    <w:rsid w:val="003A3CB9"/>
    <w:rsid w:val="003A3D5C"/>
    <w:rsid w:val="003A3D9A"/>
    <w:rsid w:val="003A3E97"/>
    <w:rsid w:val="003A3EFF"/>
    <w:rsid w:val="003A3FFC"/>
    <w:rsid w:val="003A41AD"/>
    <w:rsid w:val="003A4310"/>
    <w:rsid w:val="003A43A0"/>
    <w:rsid w:val="003A44E3"/>
    <w:rsid w:val="003A45FB"/>
    <w:rsid w:val="003A4638"/>
    <w:rsid w:val="003A47C4"/>
    <w:rsid w:val="003A4844"/>
    <w:rsid w:val="003A48A4"/>
    <w:rsid w:val="003A498E"/>
    <w:rsid w:val="003A4B2A"/>
    <w:rsid w:val="003A4BD3"/>
    <w:rsid w:val="003A4C0F"/>
    <w:rsid w:val="003A4D2C"/>
    <w:rsid w:val="003A4D64"/>
    <w:rsid w:val="003A4D77"/>
    <w:rsid w:val="003A4D78"/>
    <w:rsid w:val="003A4DFE"/>
    <w:rsid w:val="003A4EFB"/>
    <w:rsid w:val="003A4F15"/>
    <w:rsid w:val="003A5053"/>
    <w:rsid w:val="003A51ED"/>
    <w:rsid w:val="003A522C"/>
    <w:rsid w:val="003A524F"/>
    <w:rsid w:val="003A52A5"/>
    <w:rsid w:val="003A5346"/>
    <w:rsid w:val="003A5503"/>
    <w:rsid w:val="003A5505"/>
    <w:rsid w:val="003A5563"/>
    <w:rsid w:val="003A5593"/>
    <w:rsid w:val="003A55A3"/>
    <w:rsid w:val="003A55E0"/>
    <w:rsid w:val="003A55E4"/>
    <w:rsid w:val="003A5679"/>
    <w:rsid w:val="003A5680"/>
    <w:rsid w:val="003A56E6"/>
    <w:rsid w:val="003A586E"/>
    <w:rsid w:val="003A5912"/>
    <w:rsid w:val="003A5916"/>
    <w:rsid w:val="003A5975"/>
    <w:rsid w:val="003A5A48"/>
    <w:rsid w:val="003A5A4C"/>
    <w:rsid w:val="003A5A6C"/>
    <w:rsid w:val="003A5A9A"/>
    <w:rsid w:val="003A5AA2"/>
    <w:rsid w:val="003A5AEC"/>
    <w:rsid w:val="003A5B69"/>
    <w:rsid w:val="003A5B96"/>
    <w:rsid w:val="003A5B9C"/>
    <w:rsid w:val="003A5C34"/>
    <w:rsid w:val="003A5C41"/>
    <w:rsid w:val="003A5C56"/>
    <w:rsid w:val="003A5CFC"/>
    <w:rsid w:val="003A5E06"/>
    <w:rsid w:val="003A5F7D"/>
    <w:rsid w:val="003A60A6"/>
    <w:rsid w:val="003A615F"/>
    <w:rsid w:val="003A617D"/>
    <w:rsid w:val="003A61E6"/>
    <w:rsid w:val="003A6219"/>
    <w:rsid w:val="003A6327"/>
    <w:rsid w:val="003A6349"/>
    <w:rsid w:val="003A6358"/>
    <w:rsid w:val="003A6416"/>
    <w:rsid w:val="003A6467"/>
    <w:rsid w:val="003A6589"/>
    <w:rsid w:val="003A65C8"/>
    <w:rsid w:val="003A65D5"/>
    <w:rsid w:val="003A65DD"/>
    <w:rsid w:val="003A6652"/>
    <w:rsid w:val="003A6683"/>
    <w:rsid w:val="003A671C"/>
    <w:rsid w:val="003A67C0"/>
    <w:rsid w:val="003A6811"/>
    <w:rsid w:val="003A6856"/>
    <w:rsid w:val="003A6934"/>
    <w:rsid w:val="003A695A"/>
    <w:rsid w:val="003A69B6"/>
    <w:rsid w:val="003A6AB2"/>
    <w:rsid w:val="003A6ABA"/>
    <w:rsid w:val="003A6BCE"/>
    <w:rsid w:val="003A6BE4"/>
    <w:rsid w:val="003A6BF6"/>
    <w:rsid w:val="003A6C52"/>
    <w:rsid w:val="003A6C58"/>
    <w:rsid w:val="003A6C9A"/>
    <w:rsid w:val="003A6CA6"/>
    <w:rsid w:val="003A6D52"/>
    <w:rsid w:val="003A6DD5"/>
    <w:rsid w:val="003A6DDD"/>
    <w:rsid w:val="003A6F6B"/>
    <w:rsid w:val="003A6FA3"/>
    <w:rsid w:val="003A7009"/>
    <w:rsid w:val="003A70FF"/>
    <w:rsid w:val="003A7189"/>
    <w:rsid w:val="003A7279"/>
    <w:rsid w:val="003A7286"/>
    <w:rsid w:val="003A72A1"/>
    <w:rsid w:val="003A7339"/>
    <w:rsid w:val="003A74CF"/>
    <w:rsid w:val="003A7581"/>
    <w:rsid w:val="003A759F"/>
    <w:rsid w:val="003A75DA"/>
    <w:rsid w:val="003A76AA"/>
    <w:rsid w:val="003A76CF"/>
    <w:rsid w:val="003A76FA"/>
    <w:rsid w:val="003A774F"/>
    <w:rsid w:val="003A77FF"/>
    <w:rsid w:val="003A7841"/>
    <w:rsid w:val="003A788D"/>
    <w:rsid w:val="003A792C"/>
    <w:rsid w:val="003A79B4"/>
    <w:rsid w:val="003A7A8D"/>
    <w:rsid w:val="003A7AC4"/>
    <w:rsid w:val="003A7ACD"/>
    <w:rsid w:val="003A7B2D"/>
    <w:rsid w:val="003A7BEC"/>
    <w:rsid w:val="003A7CAE"/>
    <w:rsid w:val="003A7CE3"/>
    <w:rsid w:val="003A7DAD"/>
    <w:rsid w:val="003A7E37"/>
    <w:rsid w:val="003A7EEB"/>
    <w:rsid w:val="003A7F07"/>
    <w:rsid w:val="003B00F5"/>
    <w:rsid w:val="003B01FA"/>
    <w:rsid w:val="003B0318"/>
    <w:rsid w:val="003B0359"/>
    <w:rsid w:val="003B037E"/>
    <w:rsid w:val="003B03BF"/>
    <w:rsid w:val="003B03C1"/>
    <w:rsid w:val="003B0598"/>
    <w:rsid w:val="003B05E2"/>
    <w:rsid w:val="003B0612"/>
    <w:rsid w:val="003B065A"/>
    <w:rsid w:val="003B06B9"/>
    <w:rsid w:val="003B06E8"/>
    <w:rsid w:val="003B08CB"/>
    <w:rsid w:val="003B096D"/>
    <w:rsid w:val="003B09C4"/>
    <w:rsid w:val="003B0A27"/>
    <w:rsid w:val="003B0A47"/>
    <w:rsid w:val="003B0B6E"/>
    <w:rsid w:val="003B0B97"/>
    <w:rsid w:val="003B0C28"/>
    <w:rsid w:val="003B0C85"/>
    <w:rsid w:val="003B0CFC"/>
    <w:rsid w:val="003B0D33"/>
    <w:rsid w:val="003B0D7B"/>
    <w:rsid w:val="003B0E6D"/>
    <w:rsid w:val="003B0EBF"/>
    <w:rsid w:val="003B0EE8"/>
    <w:rsid w:val="003B0F48"/>
    <w:rsid w:val="003B0F55"/>
    <w:rsid w:val="003B109B"/>
    <w:rsid w:val="003B1217"/>
    <w:rsid w:val="003B1220"/>
    <w:rsid w:val="003B126D"/>
    <w:rsid w:val="003B12B7"/>
    <w:rsid w:val="003B12C8"/>
    <w:rsid w:val="003B12F1"/>
    <w:rsid w:val="003B138E"/>
    <w:rsid w:val="003B143B"/>
    <w:rsid w:val="003B14A8"/>
    <w:rsid w:val="003B1585"/>
    <w:rsid w:val="003B1735"/>
    <w:rsid w:val="003B173D"/>
    <w:rsid w:val="003B1750"/>
    <w:rsid w:val="003B175E"/>
    <w:rsid w:val="003B17CB"/>
    <w:rsid w:val="003B1805"/>
    <w:rsid w:val="003B18AD"/>
    <w:rsid w:val="003B194A"/>
    <w:rsid w:val="003B19F1"/>
    <w:rsid w:val="003B1A19"/>
    <w:rsid w:val="003B1A77"/>
    <w:rsid w:val="003B1ACA"/>
    <w:rsid w:val="003B1B5B"/>
    <w:rsid w:val="003B1C43"/>
    <w:rsid w:val="003B1C46"/>
    <w:rsid w:val="003B1C71"/>
    <w:rsid w:val="003B1DA0"/>
    <w:rsid w:val="003B1DD7"/>
    <w:rsid w:val="003B1DF2"/>
    <w:rsid w:val="003B1E5D"/>
    <w:rsid w:val="003B1E6A"/>
    <w:rsid w:val="003B1EFD"/>
    <w:rsid w:val="003B1F61"/>
    <w:rsid w:val="003B200A"/>
    <w:rsid w:val="003B207A"/>
    <w:rsid w:val="003B2112"/>
    <w:rsid w:val="003B2115"/>
    <w:rsid w:val="003B214B"/>
    <w:rsid w:val="003B2174"/>
    <w:rsid w:val="003B2210"/>
    <w:rsid w:val="003B2255"/>
    <w:rsid w:val="003B22BB"/>
    <w:rsid w:val="003B2346"/>
    <w:rsid w:val="003B234C"/>
    <w:rsid w:val="003B2424"/>
    <w:rsid w:val="003B2457"/>
    <w:rsid w:val="003B24B0"/>
    <w:rsid w:val="003B2602"/>
    <w:rsid w:val="003B2692"/>
    <w:rsid w:val="003B26B4"/>
    <w:rsid w:val="003B2732"/>
    <w:rsid w:val="003B2745"/>
    <w:rsid w:val="003B2772"/>
    <w:rsid w:val="003B27EF"/>
    <w:rsid w:val="003B282E"/>
    <w:rsid w:val="003B2835"/>
    <w:rsid w:val="003B28B6"/>
    <w:rsid w:val="003B28F8"/>
    <w:rsid w:val="003B2973"/>
    <w:rsid w:val="003B2ACC"/>
    <w:rsid w:val="003B2CFA"/>
    <w:rsid w:val="003B2D4E"/>
    <w:rsid w:val="003B2D6B"/>
    <w:rsid w:val="003B2E44"/>
    <w:rsid w:val="003B3257"/>
    <w:rsid w:val="003B328F"/>
    <w:rsid w:val="003B32A8"/>
    <w:rsid w:val="003B3330"/>
    <w:rsid w:val="003B3339"/>
    <w:rsid w:val="003B33CB"/>
    <w:rsid w:val="003B3420"/>
    <w:rsid w:val="003B352C"/>
    <w:rsid w:val="003B3566"/>
    <w:rsid w:val="003B3599"/>
    <w:rsid w:val="003B35B8"/>
    <w:rsid w:val="003B35C1"/>
    <w:rsid w:val="003B365B"/>
    <w:rsid w:val="003B368D"/>
    <w:rsid w:val="003B37CC"/>
    <w:rsid w:val="003B38BE"/>
    <w:rsid w:val="003B38CC"/>
    <w:rsid w:val="003B3913"/>
    <w:rsid w:val="003B3921"/>
    <w:rsid w:val="003B3969"/>
    <w:rsid w:val="003B39AE"/>
    <w:rsid w:val="003B39EE"/>
    <w:rsid w:val="003B3A13"/>
    <w:rsid w:val="003B3AA0"/>
    <w:rsid w:val="003B3B0F"/>
    <w:rsid w:val="003B3B3F"/>
    <w:rsid w:val="003B3C6D"/>
    <w:rsid w:val="003B3CB8"/>
    <w:rsid w:val="003B3CCC"/>
    <w:rsid w:val="003B3CDE"/>
    <w:rsid w:val="003B3D1D"/>
    <w:rsid w:val="003B3D36"/>
    <w:rsid w:val="003B3D6A"/>
    <w:rsid w:val="003B3F2A"/>
    <w:rsid w:val="003B3F51"/>
    <w:rsid w:val="003B3FDF"/>
    <w:rsid w:val="003B400A"/>
    <w:rsid w:val="003B4067"/>
    <w:rsid w:val="003B40D1"/>
    <w:rsid w:val="003B4101"/>
    <w:rsid w:val="003B41E6"/>
    <w:rsid w:val="003B4227"/>
    <w:rsid w:val="003B42AA"/>
    <w:rsid w:val="003B4321"/>
    <w:rsid w:val="003B4326"/>
    <w:rsid w:val="003B43C4"/>
    <w:rsid w:val="003B43D0"/>
    <w:rsid w:val="003B4470"/>
    <w:rsid w:val="003B4567"/>
    <w:rsid w:val="003B4680"/>
    <w:rsid w:val="003B4683"/>
    <w:rsid w:val="003B47D1"/>
    <w:rsid w:val="003B4937"/>
    <w:rsid w:val="003B49E2"/>
    <w:rsid w:val="003B4A0A"/>
    <w:rsid w:val="003B4A3D"/>
    <w:rsid w:val="003B4A66"/>
    <w:rsid w:val="003B4AA4"/>
    <w:rsid w:val="003B4B56"/>
    <w:rsid w:val="003B4B59"/>
    <w:rsid w:val="003B4BA2"/>
    <w:rsid w:val="003B4C82"/>
    <w:rsid w:val="003B4CC1"/>
    <w:rsid w:val="003B4CDF"/>
    <w:rsid w:val="003B4D0F"/>
    <w:rsid w:val="003B4D4B"/>
    <w:rsid w:val="003B4E9D"/>
    <w:rsid w:val="003B4EBD"/>
    <w:rsid w:val="003B4EBE"/>
    <w:rsid w:val="003B4F3C"/>
    <w:rsid w:val="003B5060"/>
    <w:rsid w:val="003B50CF"/>
    <w:rsid w:val="003B50DC"/>
    <w:rsid w:val="003B50E9"/>
    <w:rsid w:val="003B5135"/>
    <w:rsid w:val="003B51A6"/>
    <w:rsid w:val="003B52F0"/>
    <w:rsid w:val="003B53F5"/>
    <w:rsid w:val="003B541C"/>
    <w:rsid w:val="003B5448"/>
    <w:rsid w:val="003B5546"/>
    <w:rsid w:val="003B55D2"/>
    <w:rsid w:val="003B56DA"/>
    <w:rsid w:val="003B578E"/>
    <w:rsid w:val="003B5873"/>
    <w:rsid w:val="003B58C5"/>
    <w:rsid w:val="003B58F5"/>
    <w:rsid w:val="003B591D"/>
    <w:rsid w:val="003B59D3"/>
    <w:rsid w:val="003B5AFA"/>
    <w:rsid w:val="003B5B16"/>
    <w:rsid w:val="003B5BAC"/>
    <w:rsid w:val="003B5C15"/>
    <w:rsid w:val="003B5C70"/>
    <w:rsid w:val="003B5C94"/>
    <w:rsid w:val="003B5DCE"/>
    <w:rsid w:val="003B5DFC"/>
    <w:rsid w:val="003B5E51"/>
    <w:rsid w:val="003B5ED3"/>
    <w:rsid w:val="003B5EFA"/>
    <w:rsid w:val="003B5F27"/>
    <w:rsid w:val="003B5F76"/>
    <w:rsid w:val="003B5FD9"/>
    <w:rsid w:val="003B5FEC"/>
    <w:rsid w:val="003B621E"/>
    <w:rsid w:val="003B6224"/>
    <w:rsid w:val="003B6263"/>
    <w:rsid w:val="003B6267"/>
    <w:rsid w:val="003B6277"/>
    <w:rsid w:val="003B6292"/>
    <w:rsid w:val="003B6297"/>
    <w:rsid w:val="003B62D8"/>
    <w:rsid w:val="003B6310"/>
    <w:rsid w:val="003B6347"/>
    <w:rsid w:val="003B63D3"/>
    <w:rsid w:val="003B6406"/>
    <w:rsid w:val="003B6466"/>
    <w:rsid w:val="003B655F"/>
    <w:rsid w:val="003B6611"/>
    <w:rsid w:val="003B6708"/>
    <w:rsid w:val="003B6710"/>
    <w:rsid w:val="003B67D3"/>
    <w:rsid w:val="003B691A"/>
    <w:rsid w:val="003B695F"/>
    <w:rsid w:val="003B6976"/>
    <w:rsid w:val="003B6981"/>
    <w:rsid w:val="003B69F8"/>
    <w:rsid w:val="003B69FF"/>
    <w:rsid w:val="003B6A39"/>
    <w:rsid w:val="003B6B52"/>
    <w:rsid w:val="003B6BB1"/>
    <w:rsid w:val="003B6C0D"/>
    <w:rsid w:val="003B6C42"/>
    <w:rsid w:val="003B6C78"/>
    <w:rsid w:val="003B6C96"/>
    <w:rsid w:val="003B6D4E"/>
    <w:rsid w:val="003B6E28"/>
    <w:rsid w:val="003B6E76"/>
    <w:rsid w:val="003B6E92"/>
    <w:rsid w:val="003B6FBE"/>
    <w:rsid w:val="003B7125"/>
    <w:rsid w:val="003B7263"/>
    <w:rsid w:val="003B72AA"/>
    <w:rsid w:val="003B7309"/>
    <w:rsid w:val="003B7338"/>
    <w:rsid w:val="003B73E2"/>
    <w:rsid w:val="003B73F5"/>
    <w:rsid w:val="003B73FF"/>
    <w:rsid w:val="003B7478"/>
    <w:rsid w:val="003B74DD"/>
    <w:rsid w:val="003B74E8"/>
    <w:rsid w:val="003B75AE"/>
    <w:rsid w:val="003B76CA"/>
    <w:rsid w:val="003B7724"/>
    <w:rsid w:val="003B782F"/>
    <w:rsid w:val="003B7884"/>
    <w:rsid w:val="003B78E5"/>
    <w:rsid w:val="003B7959"/>
    <w:rsid w:val="003B7964"/>
    <w:rsid w:val="003B7B35"/>
    <w:rsid w:val="003B7B98"/>
    <w:rsid w:val="003B7BFC"/>
    <w:rsid w:val="003B7C34"/>
    <w:rsid w:val="003B7D0E"/>
    <w:rsid w:val="003B7D39"/>
    <w:rsid w:val="003B7E63"/>
    <w:rsid w:val="003B7E7A"/>
    <w:rsid w:val="003B7E84"/>
    <w:rsid w:val="003B7E95"/>
    <w:rsid w:val="003B7EB5"/>
    <w:rsid w:val="003B7EFB"/>
    <w:rsid w:val="003B7F78"/>
    <w:rsid w:val="003B7F8A"/>
    <w:rsid w:val="003C0003"/>
    <w:rsid w:val="003C0021"/>
    <w:rsid w:val="003C0030"/>
    <w:rsid w:val="003C0047"/>
    <w:rsid w:val="003C00AC"/>
    <w:rsid w:val="003C0127"/>
    <w:rsid w:val="003C0208"/>
    <w:rsid w:val="003C0284"/>
    <w:rsid w:val="003C02AB"/>
    <w:rsid w:val="003C031F"/>
    <w:rsid w:val="003C033B"/>
    <w:rsid w:val="003C0355"/>
    <w:rsid w:val="003C0456"/>
    <w:rsid w:val="003C054E"/>
    <w:rsid w:val="003C05AE"/>
    <w:rsid w:val="003C06EE"/>
    <w:rsid w:val="003C06FD"/>
    <w:rsid w:val="003C0712"/>
    <w:rsid w:val="003C078F"/>
    <w:rsid w:val="003C0811"/>
    <w:rsid w:val="003C0996"/>
    <w:rsid w:val="003C0A61"/>
    <w:rsid w:val="003C0AB3"/>
    <w:rsid w:val="003C0ADF"/>
    <w:rsid w:val="003C0B69"/>
    <w:rsid w:val="003C0B90"/>
    <w:rsid w:val="003C0D20"/>
    <w:rsid w:val="003C0D63"/>
    <w:rsid w:val="003C0DBB"/>
    <w:rsid w:val="003C0DBE"/>
    <w:rsid w:val="003C0DC6"/>
    <w:rsid w:val="003C0EAD"/>
    <w:rsid w:val="003C0F01"/>
    <w:rsid w:val="003C0F26"/>
    <w:rsid w:val="003C0F74"/>
    <w:rsid w:val="003C0F87"/>
    <w:rsid w:val="003C10CC"/>
    <w:rsid w:val="003C1182"/>
    <w:rsid w:val="003C11CA"/>
    <w:rsid w:val="003C1222"/>
    <w:rsid w:val="003C127A"/>
    <w:rsid w:val="003C1312"/>
    <w:rsid w:val="003C13B0"/>
    <w:rsid w:val="003C13E2"/>
    <w:rsid w:val="003C1460"/>
    <w:rsid w:val="003C1524"/>
    <w:rsid w:val="003C1599"/>
    <w:rsid w:val="003C17CA"/>
    <w:rsid w:val="003C1834"/>
    <w:rsid w:val="003C1840"/>
    <w:rsid w:val="003C18D9"/>
    <w:rsid w:val="003C18E7"/>
    <w:rsid w:val="003C1976"/>
    <w:rsid w:val="003C1B01"/>
    <w:rsid w:val="003C1B12"/>
    <w:rsid w:val="003C1B4C"/>
    <w:rsid w:val="003C1B8D"/>
    <w:rsid w:val="003C1BA8"/>
    <w:rsid w:val="003C1C09"/>
    <w:rsid w:val="003C1C12"/>
    <w:rsid w:val="003C1C56"/>
    <w:rsid w:val="003C1C7A"/>
    <w:rsid w:val="003C1D3E"/>
    <w:rsid w:val="003C1D4C"/>
    <w:rsid w:val="003C1D5F"/>
    <w:rsid w:val="003C1DAF"/>
    <w:rsid w:val="003C1DC1"/>
    <w:rsid w:val="003C1F24"/>
    <w:rsid w:val="003C1F52"/>
    <w:rsid w:val="003C1F5E"/>
    <w:rsid w:val="003C2021"/>
    <w:rsid w:val="003C2036"/>
    <w:rsid w:val="003C20D2"/>
    <w:rsid w:val="003C21A3"/>
    <w:rsid w:val="003C228B"/>
    <w:rsid w:val="003C22B4"/>
    <w:rsid w:val="003C22F4"/>
    <w:rsid w:val="003C2319"/>
    <w:rsid w:val="003C236C"/>
    <w:rsid w:val="003C2462"/>
    <w:rsid w:val="003C2487"/>
    <w:rsid w:val="003C249C"/>
    <w:rsid w:val="003C251A"/>
    <w:rsid w:val="003C2599"/>
    <w:rsid w:val="003C259F"/>
    <w:rsid w:val="003C26F2"/>
    <w:rsid w:val="003C2726"/>
    <w:rsid w:val="003C275D"/>
    <w:rsid w:val="003C276A"/>
    <w:rsid w:val="003C27E0"/>
    <w:rsid w:val="003C2811"/>
    <w:rsid w:val="003C295B"/>
    <w:rsid w:val="003C29A2"/>
    <w:rsid w:val="003C2A11"/>
    <w:rsid w:val="003C2AAC"/>
    <w:rsid w:val="003C2B1A"/>
    <w:rsid w:val="003C2BB5"/>
    <w:rsid w:val="003C2C3E"/>
    <w:rsid w:val="003C2C7E"/>
    <w:rsid w:val="003C2C80"/>
    <w:rsid w:val="003C2C87"/>
    <w:rsid w:val="003C2C8E"/>
    <w:rsid w:val="003C2CA4"/>
    <w:rsid w:val="003C2DD4"/>
    <w:rsid w:val="003C2DF8"/>
    <w:rsid w:val="003C2E28"/>
    <w:rsid w:val="003C2E47"/>
    <w:rsid w:val="003C2ECE"/>
    <w:rsid w:val="003C2F4B"/>
    <w:rsid w:val="003C3117"/>
    <w:rsid w:val="003C3137"/>
    <w:rsid w:val="003C326E"/>
    <w:rsid w:val="003C32B5"/>
    <w:rsid w:val="003C336D"/>
    <w:rsid w:val="003C3451"/>
    <w:rsid w:val="003C35A4"/>
    <w:rsid w:val="003C366F"/>
    <w:rsid w:val="003C36B8"/>
    <w:rsid w:val="003C375A"/>
    <w:rsid w:val="003C37E1"/>
    <w:rsid w:val="003C37F9"/>
    <w:rsid w:val="003C389F"/>
    <w:rsid w:val="003C38F4"/>
    <w:rsid w:val="003C39DF"/>
    <w:rsid w:val="003C3B09"/>
    <w:rsid w:val="003C3B63"/>
    <w:rsid w:val="003C3BD4"/>
    <w:rsid w:val="003C3BF6"/>
    <w:rsid w:val="003C3C5F"/>
    <w:rsid w:val="003C3C72"/>
    <w:rsid w:val="003C3D1D"/>
    <w:rsid w:val="003C3D2F"/>
    <w:rsid w:val="003C3E46"/>
    <w:rsid w:val="003C3E71"/>
    <w:rsid w:val="003C3EBC"/>
    <w:rsid w:val="003C3F72"/>
    <w:rsid w:val="003C4013"/>
    <w:rsid w:val="003C403A"/>
    <w:rsid w:val="003C40A3"/>
    <w:rsid w:val="003C42A3"/>
    <w:rsid w:val="003C42B3"/>
    <w:rsid w:val="003C42E5"/>
    <w:rsid w:val="003C4304"/>
    <w:rsid w:val="003C43D8"/>
    <w:rsid w:val="003C442E"/>
    <w:rsid w:val="003C4450"/>
    <w:rsid w:val="003C4643"/>
    <w:rsid w:val="003C4665"/>
    <w:rsid w:val="003C46D5"/>
    <w:rsid w:val="003C4773"/>
    <w:rsid w:val="003C4781"/>
    <w:rsid w:val="003C480A"/>
    <w:rsid w:val="003C4825"/>
    <w:rsid w:val="003C486B"/>
    <w:rsid w:val="003C48BB"/>
    <w:rsid w:val="003C48CC"/>
    <w:rsid w:val="003C48F1"/>
    <w:rsid w:val="003C49CA"/>
    <w:rsid w:val="003C4A30"/>
    <w:rsid w:val="003C4AE4"/>
    <w:rsid w:val="003C4B17"/>
    <w:rsid w:val="003C4B6A"/>
    <w:rsid w:val="003C4C81"/>
    <w:rsid w:val="003C4D9B"/>
    <w:rsid w:val="003C4E29"/>
    <w:rsid w:val="003C4E52"/>
    <w:rsid w:val="003C4ECB"/>
    <w:rsid w:val="003C4F24"/>
    <w:rsid w:val="003C4F32"/>
    <w:rsid w:val="003C4F6E"/>
    <w:rsid w:val="003C4FE0"/>
    <w:rsid w:val="003C516A"/>
    <w:rsid w:val="003C51D7"/>
    <w:rsid w:val="003C534A"/>
    <w:rsid w:val="003C5375"/>
    <w:rsid w:val="003C5396"/>
    <w:rsid w:val="003C5404"/>
    <w:rsid w:val="003C543E"/>
    <w:rsid w:val="003C549D"/>
    <w:rsid w:val="003C5522"/>
    <w:rsid w:val="003C555C"/>
    <w:rsid w:val="003C568E"/>
    <w:rsid w:val="003C56F8"/>
    <w:rsid w:val="003C57E7"/>
    <w:rsid w:val="003C5837"/>
    <w:rsid w:val="003C5912"/>
    <w:rsid w:val="003C592A"/>
    <w:rsid w:val="003C5955"/>
    <w:rsid w:val="003C59A1"/>
    <w:rsid w:val="003C5A48"/>
    <w:rsid w:val="003C5A8C"/>
    <w:rsid w:val="003C5B2D"/>
    <w:rsid w:val="003C5B3A"/>
    <w:rsid w:val="003C5B57"/>
    <w:rsid w:val="003C5BE8"/>
    <w:rsid w:val="003C5CC0"/>
    <w:rsid w:val="003C5CF6"/>
    <w:rsid w:val="003C5D89"/>
    <w:rsid w:val="003C5DE0"/>
    <w:rsid w:val="003C5E0E"/>
    <w:rsid w:val="003C5E3E"/>
    <w:rsid w:val="003C5E53"/>
    <w:rsid w:val="003C5F65"/>
    <w:rsid w:val="003C5FC4"/>
    <w:rsid w:val="003C6022"/>
    <w:rsid w:val="003C6043"/>
    <w:rsid w:val="003C60BD"/>
    <w:rsid w:val="003C60D8"/>
    <w:rsid w:val="003C6159"/>
    <w:rsid w:val="003C620A"/>
    <w:rsid w:val="003C6224"/>
    <w:rsid w:val="003C627D"/>
    <w:rsid w:val="003C6289"/>
    <w:rsid w:val="003C628A"/>
    <w:rsid w:val="003C62B2"/>
    <w:rsid w:val="003C62CD"/>
    <w:rsid w:val="003C6409"/>
    <w:rsid w:val="003C6436"/>
    <w:rsid w:val="003C646C"/>
    <w:rsid w:val="003C6635"/>
    <w:rsid w:val="003C664B"/>
    <w:rsid w:val="003C6654"/>
    <w:rsid w:val="003C6713"/>
    <w:rsid w:val="003C6734"/>
    <w:rsid w:val="003C67D3"/>
    <w:rsid w:val="003C69D5"/>
    <w:rsid w:val="003C6A25"/>
    <w:rsid w:val="003C6A75"/>
    <w:rsid w:val="003C6AB2"/>
    <w:rsid w:val="003C6B2F"/>
    <w:rsid w:val="003C6B36"/>
    <w:rsid w:val="003C6B6B"/>
    <w:rsid w:val="003C6E38"/>
    <w:rsid w:val="003C6E9B"/>
    <w:rsid w:val="003C6EBD"/>
    <w:rsid w:val="003C6EED"/>
    <w:rsid w:val="003C6F55"/>
    <w:rsid w:val="003C70A8"/>
    <w:rsid w:val="003C70D3"/>
    <w:rsid w:val="003C70F0"/>
    <w:rsid w:val="003C7185"/>
    <w:rsid w:val="003C718A"/>
    <w:rsid w:val="003C71E4"/>
    <w:rsid w:val="003C7268"/>
    <w:rsid w:val="003C7366"/>
    <w:rsid w:val="003C7381"/>
    <w:rsid w:val="003C73F4"/>
    <w:rsid w:val="003C74AC"/>
    <w:rsid w:val="003C74B6"/>
    <w:rsid w:val="003C7588"/>
    <w:rsid w:val="003C758A"/>
    <w:rsid w:val="003C7632"/>
    <w:rsid w:val="003C765A"/>
    <w:rsid w:val="003C76C1"/>
    <w:rsid w:val="003C7714"/>
    <w:rsid w:val="003C77B5"/>
    <w:rsid w:val="003C7806"/>
    <w:rsid w:val="003C786E"/>
    <w:rsid w:val="003C791C"/>
    <w:rsid w:val="003C793E"/>
    <w:rsid w:val="003C79C7"/>
    <w:rsid w:val="003C79E8"/>
    <w:rsid w:val="003C7A51"/>
    <w:rsid w:val="003C7B49"/>
    <w:rsid w:val="003C7B61"/>
    <w:rsid w:val="003C7C7B"/>
    <w:rsid w:val="003C7CF5"/>
    <w:rsid w:val="003C7D2A"/>
    <w:rsid w:val="003C7D50"/>
    <w:rsid w:val="003C7D61"/>
    <w:rsid w:val="003C7D89"/>
    <w:rsid w:val="003C7DBE"/>
    <w:rsid w:val="003C7EC5"/>
    <w:rsid w:val="003C7F25"/>
    <w:rsid w:val="003C7F82"/>
    <w:rsid w:val="003C7F8A"/>
    <w:rsid w:val="003D0046"/>
    <w:rsid w:val="003D0061"/>
    <w:rsid w:val="003D0099"/>
    <w:rsid w:val="003D0100"/>
    <w:rsid w:val="003D0136"/>
    <w:rsid w:val="003D01AC"/>
    <w:rsid w:val="003D021B"/>
    <w:rsid w:val="003D0235"/>
    <w:rsid w:val="003D0263"/>
    <w:rsid w:val="003D027F"/>
    <w:rsid w:val="003D0325"/>
    <w:rsid w:val="003D041A"/>
    <w:rsid w:val="003D04F7"/>
    <w:rsid w:val="003D0539"/>
    <w:rsid w:val="003D059E"/>
    <w:rsid w:val="003D05BC"/>
    <w:rsid w:val="003D0633"/>
    <w:rsid w:val="003D0683"/>
    <w:rsid w:val="003D07AF"/>
    <w:rsid w:val="003D08E3"/>
    <w:rsid w:val="003D0954"/>
    <w:rsid w:val="003D0A65"/>
    <w:rsid w:val="003D0B39"/>
    <w:rsid w:val="003D0BB0"/>
    <w:rsid w:val="003D0BF9"/>
    <w:rsid w:val="003D0C41"/>
    <w:rsid w:val="003D0CCD"/>
    <w:rsid w:val="003D0D03"/>
    <w:rsid w:val="003D0D11"/>
    <w:rsid w:val="003D0D5D"/>
    <w:rsid w:val="003D0DD1"/>
    <w:rsid w:val="003D0EAA"/>
    <w:rsid w:val="003D0EB0"/>
    <w:rsid w:val="003D0F1A"/>
    <w:rsid w:val="003D0F68"/>
    <w:rsid w:val="003D0F99"/>
    <w:rsid w:val="003D0F9B"/>
    <w:rsid w:val="003D0FD2"/>
    <w:rsid w:val="003D0FDE"/>
    <w:rsid w:val="003D1048"/>
    <w:rsid w:val="003D1049"/>
    <w:rsid w:val="003D1076"/>
    <w:rsid w:val="003D10E0"/>
    <w:rsid w:val="003D111D"/>
    <w:rsid w:val="003D1159"/>
    <w:rsid w:val="003D11C9"/>
    <w:rsid w:val="003D1228"/>
    <w:rsid w:val="003D12A6"/>
    <w:rsid w:val="003D12B7"/>
    <w:rsid w:val="003D12E3"/>
    <w:rsid w:val="003D1375"/>
    <w:rsid w:val="003D13C7"/>
    <w:rsid w:val="003D1409"/>
    <w:rsid w:val="003D1470"/>
    <w:rsid w:val="003D1510"/>
    <w:rsid w:val="003D152C"/>
    <w:rsid w:val="003D154E"/>
    <w:rsid w:val="003D15F6"/>
    <w:rsid w:val="003D1620"/>
    <w:rsid w:val="003D16DE"/>
    <w:rsid w:val="003D17B3"/>
    <w:rsid w:val="003D1939"/>
    <w:rsid w:val="003D19BF"/>
    <w:rsid w:val="003D1A2E"/>
    <w:rsid w:val="003D1A6A"/>
    <w:rsid w:val="003D1BC6"/>
    <w:rsid w:val="003D1BDC"/>
    <w:rsid w:val="003D1BF4"/>
    <w:rsid w:val="003D1C62"/>
    <w:rsid w:val="003D1C80"/>
    <w:rsid w:val="003D1CF7"/>
    <w:rsid w:val="003D1CF9"/>
    <w:rsid w:val="003D1D83"/>
    <w:rsid w:val="003D1E95"/>
    <w:rsid w:val="003D1F69"/>
    <w:rsid w:val="003D206E"/>
    <w:rsid w:val="003D2249"/>
    <w:rsid w:val="003D2257"/>
    <w:rsid w:val="003D234A"/>
    <w:rsid w:val="003D23C4"/>
    <w:rsid w:val="003D2491"/>
    <w:rsid w:val="003D24A7"/>
    <w:rsid w:val="003D268C"/>
    <w:rsid w:val="003D26A0"/>
    <w:rsid w:val="003D274A"/>
    <w:rsid w:val="003D2895"/>
    <w:rsid w:val="003D28E4"/>
    <w:rsid w:val="003D28E7"/>
    <w:rsid w:val="003D2928"/>
    <w:rsid w:val="003D295D"/>
    <w:rsid w:val="003D2987"/>
    <w:rsid w:val="003D29BB"/>
    <w:rsid w:val="003D29C8"/>
    <w:rsid w:val="003D2A07"/>
    <w:rsid w:val="003D2A0D"/>
    <w:rsid w:val="003D2A27"/>
    <w:rsid w:val="003D2A9C"/>
    <w:rsid w:val="003D2AA0"/>
    <w:rsid w:val="003D2C0D"/>
    <w:rsid w:val="003D2CA6"/>
    <w:rsid w:val="003D2D75"/>
    <w:rsid w:val="003D2D7C"/>
    <w:rsid w:val="003D2DCB"/>
    <w:rsid w:val="003D2DD6"/>
    <w:rsid w:val="003D2ED3"/>
    <w:rsid w:val="003D2F65"/>
    <w:rsid w:val="003D2F92"/>
    <w:rsid w:val="003D3029"/>
    <w:rsid w:val="003D309F"/>
    <w:rsid w:val="003D30B3"/>
    <w:rsid w:val="003D30EE"/>
    <w:rsid w:val="003D3115"/>
    <w:rsid w:val="003D320F"/>
    <w:rsid w:val="003D322A"/>
    <w:rsid w:val="003D32D4"/>
    <w:rsid w:val="003D32E2"/>
    <w:rsid w:val="003D330D"/>
    <w:rsid w:val="003D330E"/>
    <w:rsid w:val="003D3365"/>
    <w:rsid w:val="003D341A"/>
    <w:rsid w:val="003D344E"/>
    <w:rsid w:val="003D3654"/>
    <w:rsid w:val="003D36C9"/>
    <w:rsid w:val="003D372D"/>
    <w:rsid w:val="003D3740"/>
    <w:rsid w:val="003D3763"/>
    <w:rsid w:val="003D3817"/>
    <w:rsid w:val="003D381E"/>
    <w:rsid w:val="003D382D"/>
    <w:rsid w:val="003D38D0"/>
    <w:rsid w:val="003D3B19"/>
    <w:rsid w:val="003D3B1A"/>
    <w:rsid w:val="003D3BDE"/>
    <w:rsid w:val="003D3BE0"/>
    <w:rsid w:val="003D3BEE"/>
    <w:rsid w:val="003D3C0A"/>
    <w:rsid w:val="003D3CE8"/>
    <w:rsid w:val="003D3D6E"/>
    <w:rsid w:val="003D3D97"/>
    <w:rsid w:val="003D3E65"/>
    <w:rsid w:val="003D3EF2"/>
    <w:rsid w:val="003D3EFC"/>
    <w:rsid w:val="003D3F09"/>
    <w:rsid w:val="003D3F26"/>
    <w:rsid w:val="003D3F67"/>
    <w:rsid w:val="003D3F6C"/>
    <w:rsid w:val="003D3FA3"/>
    <w:rsid w:val="003D3FD8"/>
    <w:rsid w:val="003D4033"/>
    <w:rsid w:val="003D406C"/>
    <w:rsid w:val="003D4092"/>
    <w:rsid w:val="003D40DB"/>
    <w:rsid w:val="003D4185"/>
    <w:rsid w:val="003D4193"/>
    <w:rsid w:val="003D41AE"/>
    <w:rsid w:val="003D428B"/>
    <w:rsid w:val="003D428F"/>
    <w:rsid w:val="003D42B5"/>
    <w:rsid w:val="003D4309"/>
    <w:rsid w:val="003D434E"/>
    <w:rsid w:val="003D4378"/>
    <w:rsid w:val="003D43AC"/>
    <w:rsid w:val="003D43DC"/>
    <w:rsid w:val="003D4413"/>
    <w:rsid w:val="003D4432"/>
    <w:rsid w:val="003D44B4"/>
    <w:rsid w:val="003D4518"/>
    <w:rsid w:val="003D459A"/>
    <w:rsid w:val="003D46A4"/>
    <w:rsid w:val="003D46C2"/>
    <w:rsid w:val="003D46E3"/>
    <w:rsid w:val="003D46FF"/>
    <w:rsid w:val="003D473A"/>
    <w:rsid w:val="003D47C2"/>
    <w:rsid w:val="003D47F6"/>
    <w:rsid w:val="003D4829"/>
    <w:rsid w:val="003D483F"/>
    <w:rsid w:val="003D484A"/>
    <w:rsid w:val="003D48AE"/>
    <w:rsid w:val="003D48F9"/>
    <w:rsid w:val="003D49B5"/>
    <w:rsid w:val="003D4A40"/>
    <w:rsid w:val="003D4AEA"/>
    <w:rsid w:val="003D4B0D"/>
    <w:rsid w:val="003D4B12"/>
    <w:rsid w:val="003D4B18"/>
    <w:rsid w:val="003D4B1C"/>
    <w:rsid w:val="003D4B26"/>
    <w:rsid w:val="003D4B46"/>
    <w:rsid w:val="003D4BA8"/>
    <w:rsid w:val="003D4C0C"/>
    <w:rsid w:val="003D4C55"/>
    <w:rsid w:val="003D4CA8"/>
    <w:rsid w:val="003D4CD7"/>
    <w:rsid w:val="003D4CE8"/>
    <w:rsid w:val="003D4D0F"/>
    <w:rsid w:val="003D4D65"/>
    <w:rsid w:val="003D4DBF"/>
    <w:rsid w:val="003D4DC1"/>
    <w:rsid w:val="003D4E5A"/>
    <w:rsid w:val="003D4ED5"/>
    <w:rsid w:val="003D4EDB"/>
    <w:rsid w:val="003D4F9E"/>
    <w:rsid w:val="003D502D"/>
    <w:rsid w:val="003D5035"/>
    <w:rsid w:val="003D506E"/>
    <w:rsid w:val="003D51C7"/>
    <w:rsid w:val="003D51D3"/>
    <w:rsid w:val="003D5216"/>
    <w:rsid w:val="003D5278"/>
    <w:rsid w:val="003D52ED"/>
    <w:rsid w:val="003D5379"/>
    <w:rsid w:val="003D53B2"/>
    <w:rsid w:val="003D53B7"/>
    <w:rsid w:val="003D540C"/>
    <w:rsid w:val="003D5451"/>
    <w:rsid w:val="003D54D8"/>
    <w:rsid w:val="003D54F8"/>
    <w:rsid w:val="003D5587"/>
    <w:rsid w:val="003D564D"/>
    <w:rsid w:val="003D56AA"/>
    <w:rsid w:val="003D56C8"/>
    <w:rsid w:val="003D56E5"/>
    <w:rsid w:val="003D5734"/>
    <w:rsid w:val="003D5752"/>
    <w:rsid w:val="003D57E8"/>
    <w:rsid w:val="003D588A"/>
    <w:rsid w:val="003D58AB"/>
    <w:rsid w:val="003D58AC"/>
    <w:rsid w:val="003D595E"/>
    <w:rsid w:val="003D59C3"/>
    <w:rsid w:val="003D5A4F"/>
    <w:rsid w:val="003D5A72"/>
    <w:rsid w:val="003D5BE6"/>
    <w:rsid w:val="003D5BF0"/>
    <w:rsid w:val="003D5C03"/>
    <w:rsid w:val="003D5CCA"/>
    <w:rsid w:val="003D5D34"/>
    <w:rsid w:val="003D5D38"/>
    <w:rsid w:val="003D5DA5"/>
    <w:rsid w:val="003D5E37"/>
    <w:rsid w:val="003D5FC5"/>
    <w:rsid w:val="003D603E"/>
    <w:rsid w:val="003D606F"/>
    <w:rsid w:val="003D6098"/>
    <w:rsid w:val="003D60AD"/>
    <w:rsid w:val="003D60FA"/>
    <w:rsid w:val="003D61A9"/>
    <w:rsid w:val="003D61B9"/>
    <w:rsid w:val="003D61F4"/>
    <w:rsid w:val="003D6201"/>
    <w:rsid w:val="003D622A"/>
    <w:rsid w:val="003D623C"/>
    <w:rsid w:val="003D6277"/>
    <w:rsid w:val="003D627A"/>
    <w:rsid w:val="003D62BA"/>
    <w:rsid w:val="003D62D6"/>
    <w:rsid w:val="003D63B3"/>
    <w:rsid w:val="003D6432"/>
    <w:rsid w:val="003D64B7"/>
    <w:rsid w:val="003D6507"/>
    <w:rsid w:val="003D656C"/>
    <w:rsid w:val="003D65A7"/>
    <w:rsid w:val="003D671E"/>
    <w:rsid w:val="003D6739"/>
    <w:rsid w:val="003D6783"/>
    <w:rsid w:val="003D68A1"/>
    <w:rsid w:val="003D69A3"/>
    <w:rsid w:val="003D69BF"/>
    <w:rsid w:val="003D69EA"/>
    <w:rsid w:val="003D69ED"/>
    <w:rsid w:val="003D6A5D"/>
    <w:rsid w:val="003D6A7B"/>
    <w:rsid w:val="003D6AA2"/>
    <w:rsid w:val="003D6BF6"/>
    <w:rsid w:val="003D6C32"/>
    <w:rsid w:val="003D6C67"/>
    <w:rsid w:val="003D6CFC"/>
    <w:rsid w:val="003D6DBD"/>
    <w:rsid w:val="003D6E94"/>
    <w:rsid w:val="003D7033"/>
    <w:rsid w:val="003D706C"/>
    <w:rsid w:val="003D7073"/>
    <w:rsid w:val="003D727F"/>
    <w:rsid w:val="003D7283"/>
    <w:rsid w:val="003D729F"/>
    <w:rsid w:val="003D72AA"/>
    <w:rsid w:val="003D72ED"/>
    <w:rsid w:val="003D732A"/>
    <w:rsid w:val="003D7344"/>
    <w:rsid w:val="003D737A"/>
    <w:rsid w:val="003D747F"/>
    <w:rsid w:val="003D75BA"/>
    <w:rsid w:val="003D760C"/>
    <w:rsid w:val="003D7676"/>
    <w:rsid w:val="003D771B"/>
    <w:rsid w:val="003D7871"/>
    <w:rsid w:val="003D7879"/>
    <w:rsid w:val="003D7888"/>
    <w:rsid w:val="003D7890"/>
    <w:rsid w:val="003D7988"/>
    <w:rsid w:val="003D79FE"/>
    <w:rsid w:val="003D7B9D"/>
    <w:rsid w:val="003D7BF1"/>
    <w:rsid w:val="003D7C58"/>
    <w:rsid w:val="003D7C78"/>
    <w:rsid w:val="003D7C7B"/>
    <w:rsid w:val="003D7D51"/>
    <w:rsid w:val="003D7DDC"/>
    <w:rsid w:val="003D7DF8"/>
    <w:rsid w:val="003D7F3A"/>
    <w:rsid w:val="003E0043"/>
    <w:rsid w:val="003E004A"/>
    <w:rsid w:val="003E01A4"/>
    <w:rsid w:val="003E01D3"/>
    <w:rsid w:val="003E033C"/>
    <w:rsid w:val="003E0395"/>
    <w:rsid w:val="003E03E2"/>
    <w:rsid w:val="003E049B"/>
    <w:rsid w:val="003E0522"/>
    <w:rsid w:val="003E0532"/>
    <w:rsid w:val="003E0590"/>
    <w:rsid w:val="003E0648"/>
    <w:rsid w:val="003E06A3"/>
    <w:rsid w:val="003E06E6"/>
    <w:rsid w:val="003E06F9"/>
    <w:rsid w:val="003E0754"/>
    <w:rsid w:val="003E07C1"/>
    <w:rsid w:val="003E07EF"/>
    <w:rsid w:val="003E0813"/>
    <w:rsid w:val="003E0824"/>
    <w:rsid w:val="003E0865"/>
    <w:rsid w:val="003E0870"/>
    <w:rsid w:val="003E08B0"/>
    <w:rsid w:val="003E09AE"/>
    <w:rsid w:val="003E09C1"/>
    <w:rsid w:val="003E0A6E"/>
    <w:rsid w:val="003E0B0C"/>
    <w:rsid w:val="003E0B33"/>
    <w:rsid w:val="003E0B6B"/>
    <w:rsid w:val="003E0D48"/>
    <w:rsid w:val="003E0D73"/>
    <w:rsid w:val="003E0E4A"/>
    <w:rsid w:val="003E0EBC"/>
    <w:rsid w:val="003E0EFC"/>
    <w:rsid w:val="003E0F4F"/>
    <w:rsid w:val="003E0FB2"/>
    <w:rsid w:val="003E0FFC"/>
    <w:rsid w:val="003E104E"/>
    <w:rsid w:val="003E107E"/>
    <w:rsid w:val="003E11BD"/>
    <w:rsid w:val="003E11FB"/>
    <w:rsid w:val="003E127B"/>
    <w:rsid w:val="003E128B"/>
    <w:rsid w:val="003E12BD"/>
    <w:rsid w:val="003E13A4"/>
    <w:rsid w:val="003E156B"/>
    <w:rsid w:val="003E159D"/>
    <w:rsid w:val="003E1615"/>
    <w:rsid w:val="003E1713"/>
    <w:rsid w:val="003E1748"/>
    <w:rsid w:val="003E1903"/>
    <w:rsid w:val="003E1935"/>
    <w:rsid w:val="003E1967"/>
    <w:rsid w:val="003E1A40"/>
    <w:rsid w:val="003E1C14"/>
    <w:rsid w:val="003E1CE2"/>
    <w:rsid w:val="003E1D67"/>
    <w:rsid w:val="003E1D8C"/>
    <w:rsid w:val="003E1E5D"/>
    <w:rsid w:val="003E1E74"/>
    <w:rsid w:val="003E1E96"/>
    <w:rsid w:val="003E1EB6"/>
    <w:rsid w:val="003E1EE2"/>
    <w:rsid w:val="003E208E"/>
    <w:rsid w:val="003E20E2"/>
    <w:rsid w:val="003E2100"/>
    <w:rsid w:val="003E2157"/>
    <w:rsid w:val="003E2218"/>
    <w:rsid w:val="003E22E8"/>
    <w:rsid w:val="003E234B"/>
    <w:rsid w:val="003E24D2"/>
    <w:rsid w:val="003E257A"/>
    <w:rsid w:val="003E27F3"/>
    <w:rsid w:val="003E299D"/>
    <w:rsid w:val="003E29FA"/>
    <w:rsid w:val="003E2A1B"/>
    <w:rsid w:val="003E2A31"/>
    <w:rsid w:val="003E2B00"/>
    <w:rsid w:val="003E2B46"/>
    <w:rsid w:val="003E2B73"/>
    <w:rsid w:val="003E2BE1"/>
    <w:rsid w:val="003E2C86"/>
    <w:rsid w:val="003E2CE2"/>
    <w:rsid w:val="003E2CE9"/>
    <w:rsid w:val="003E2E5B"/>
    <w:rsid w:val="003E2E7A"/>
    <w:rsid w:val="003E2EA1"/>
    <w:rsid w:val="003E2F47"/>
    <w:rsid w:val="003E2FA5"/>
    <w:rsid w:val="003E3117"/>
    <w:rsid w:val="003E3119"/>
    <w:rsid w:val="003E311A"/>
    <w:rsid w:val="003E3133"/>
    <w:rsid w:val="003E3205"/>
    <w:rsid w:val="003E3244"/>
    <w:rsid w:val="003E32C9"/>
    <w:rsid w:val="003E32D6"/>
    <w:rsid w:val="003E32FB"/>
    <w:rsid w:val="003E33A7"/>
    <w:rsid w:val="003E3473"/>
    <w:rsid w:val="003E3475"/>
    <w:rsid w:val="003E34BB"/>
    <w:rsid w:val="003E34D0"/>
    <w:rsid w:val="003E353A"/>
    <w:rsid w:val="003E357C"/>
    <w:rsid w:val="003E3592"/>
    <w:rsid w:val="003E36A9"/>
    <w:rsid w:val="003E3764"/>
    <w:rsid w:val="003E37B7"/>
    <w:rsid w:val="003E3817"/>
    <w:rsid w:val="003E3946"/>
    <w:rsid w:val="003E3970"/>
    <w:rsid w:val="003E399B"/>
    <w:rsid w:val="003E3A93"/>
    <w:rsid w:val="003E3AA5"/>
    <w:rsid w:val="003E3AB6"/>
    <w:rsid w:val="003E3B13"/>
    <w:rsid w:val="003E3BBE"/>
    <w:rsid w:val="003E3C0F"/>
    <w:rsid w:val="003E3D54"/>
    <w:rsid w:val="003E3E5D"/>
    <w:rsid w:val="003E3EB4"/>
    <w:rsid w:val="003E3FC9"/>
    <w:rsid w:val="003E3FE2"/>
    <w:rsid w:val="003E4070"/>
    <w:rsid w:val="003E40C8"/>
    <w:rsid w:val="003E4119"/>
    <w:rsid w:val="003E4133"/>
    <w:rsid w:val="003E4187"/>
    <w:rsid w:val="003E41F0"/>
    <w:rsid w:val="003E41FA"/>
    <w:rsid w:val="003E4235"/>
    <w:rsid w:val="003E4272"/>
    <w:rsid w:val="003E42B8"/>
    <w:rsid w:val="003E42BF"/>
    <w:rsid w:val="003E4335"/>
    <w:rsid w:val="003E43DC"/>
    <w:rsid w:val="003E4473"/>
    <w:rsid w:val="003E4492"/>
    <w:rsid w:val="003E44F4"/>
    <w:rsid w:val="003E460F"/>
    <w:rsid w:val="003E462E"/>
    <w:rsid w:val="003E465C"/>
    <w:rsid w:val="003E46A8"/>
    <w:rsid w:val="003E4742"/>
    <w:rsid w:val="003E4744"/>
    <w:rsid w:val="003E4778"/>
    <w:rsid w:val="003E491F"/>
    <w:rsid w:val="003E49E1"/>
    <w:rsid w:val="003E4A00"/>
    <w:rsid w:val="003E4A4A"/>
    <w:rsid w:val="003E4A52"/>
    <w:rsid w:val="003E4A86"/>
    <w:rsid w:val="003E4AC2"/>
    <w:rsid w:val="003E4BDB"/>
    <w:rsid w:val="003E4C95"/>
    <w:rsid w:val="003E4CD8"/>
    <w:rsid w:val="003E4E17"/>
    <w:rsid w:val="003E4F54"/>
    <w:rsid w:val="003E50D7"/>
    <w:rsid w:val="003E50F3"/>
    <w:rsid w:val="003E51A9"/>
    <w:rsid w:val="003E51CF"/>
    <w:rsid w:val="003E5255"/>
    <w:rsid w:val="003E5261"/>
    <w:rsid w:val="003E5371"/>
    <w:rsid w:val="003E5389"/>
    <w:rsid w:val="003E5402"/>
    <w:rsid w:val="003E5488"/>
    <w:rsid w:val="003E557D"/>
    <w:rsid w:val="003E5688"/>
    <w:rsid w:val="003E571C"/>
    <w:rsid w:val="003E5741"/>
    <w:rsid w:val="003E5781"/>
    <w:rsid w:val="003E58AF"/>
    <w:rsid w:val="003E58D3"/>
    <w:rsid w:val="003E59A3"/>
    <w:rsid w:val="003E59B0"/>
    <w:rsid w:val="003E5A43"/>
    <w:rsid w:val="003E5A6F"/>
    <w:rsid w:val="003E5AC2"/>
    <w:rsid w:val="003E5BBC"/>
    <w:rsid w:val="003E5CF1"/>
    <w:rsid w:val="003E5D03"/>
    <w:rsid w:val="003E5D48"/>
    <w:rsid w:val="003E5D7B"/>
    <w:rsid w:val="003E5E09"/>
    <w:rsid w:val="003E5E1F"/>
    <w:rsid w:val="003E5E75"/>
    <w:rsid w:val="003E5E7D"/>
    <w:rsid w:val="003E5E9E"/>
    <w:rsid w:val="003E5F3C"/>
    <w:rsid w:val="003E5F94"/>
    <w:rsid w:val="003E5FDB"/>
    <w:rsid w:val="003E6000"/>
    <w:rsid w:val="003E6001"/>
    <w:rsid w:val="003E6046"/>
    <w:rsid w:val="003E609B"/>
    <w:rsid w:val="003E6100"/>
    <w:rsid w:val="003E61AA"/>
    <w:rsid w:val="003E61DE"/>
    <w:rsid w:val="003E620E"/>
    <w:rsid w:val="003E627B"/>
    <w:rsid w:val="003E629D"/>
    <w:rsid w:val="003E62C3"/>
    <w:rsid w:val="003E6353"/>
    <w:rsid w:val="003E6441"/>
    <w:rsid w:val="003E668D"/>
    <w:rsid w:val="003E6701"/>
    <w:rsid w:val="003E6750"/>
    <w:rsid w:val="003E678A"/>
    <w:rsid w:val="003E67DB"/>
    <w:rsid w:val="003E68A4"/>
    <w:rsid w:val="003E68A5"/>
    <w:rsid w:val="003E68C2"/>
    <w:rsid w:val="003E68DE"/>
    <w:rsid w:val="003E68FE"/>
    <w:rsid w:val="003E692D"/>
    <w:rsid w:val="003E6931"/>
    <w:rsid w:val="003E693C"/>
    <w:rsid w:val="003E69CD"/>
    <w:rsid w:val="003E69D6"/>
    <w:rsid w:val="003E6A04"/>
    <w:rsid w:val="003E6A28"/>
    <w:rsid w:val="003E6A94"/>
    <w:rsid w:val="003E6BC5"/>
    <w:rsid w:val="003E6C4B"/>
    <w:rsid w:val="003E6C61"/>
    <w:rsid w:val="003E6C73"/>
    <w:rsid w:val="003E6CA5"/>
    <w:rsid w:val="003E6CE5"/>
    <w:rsid w:val="003E6CF8"/>
    <w:rsid w:val="003E6D8C"/>
    <w:rsid w:val="003E6E09"/>
    <w:rsid w:val="003E6E0C"/>
    <w:rsid w:val="003E6E26"/>
    <w:rsid w:val="003E6E5B"/>
    <w:rsid w:val="003E6F0A"/>
    <w:rsid w:val="003E6F68"/>
    <w:rsid w:val="003E6F94"/>
    <w:rsid w:val="003E6FF2"/>
    <w:rsid w:val="003E702A"/>
    <w:rsid w:val="003E7044"/>
    <w:rsid w:val="003E7067"/>
    <w:rsid w:val="003E70C3"/>
    <w:rsid w:val="003E70D0"/>
    <w:rsid w:val="003E7129"/>
    <w:rsid w:val="003E712F"/>
    <w:rsid w:val="003E71EB"/>
    <w:rsid w:val="003E734D"/>
    <w:rsid w:val="003E7392"/>
    <w:rsid w:val="003E73AD"/>
    <w:rsid w:val="003E7438"/>
    <w:rsid w:val="003E76EB"/>
    <w:rsid w:val="003E7790"/>
    <w:rsid w:val="003E7821"/>
    <w:rsid w:val="003E7870"/>
    <w:rsid w:val="003E788D"/>
    <w:rsid w:val="003E78AA"/>
    <w:rsid w:val="003E78B7"/>
    <w:rsid w:val="003E7920"/>
    <w:rsid w:val="003E795A"/>
    <w:rsid w:val="003E7A5C"/>
    <w:rsid w:val="003E7A7A"/>
    <w:rsid w:val="003E7AC2"/>
    <w:rsid w:val="003E7B35"/>
    <w:rsid w:val="003E7B4D"/>
    <w:rsid w:val="003E7BE9"/>
    <w:rsid w:val="003E7C58"/>
    <w:rsid w:val="003E7CBB"/>
    <w:rsid w:val="003E7CD8"/>
    <w:rsid w:val="003E7D59"/>
    <w:rsid w:val="003E7DF2"/>
    <w:rsid w:val="003E7E23"/>
    <w:rsid w:val="003E7E64"/>
    <w:rsid w:val="003E7EBC"/>
    <w:rsid w:val="003E7EBE"/>
    <w:rsid w:val="003E7ECF"/>
    <w:rsid w:val="003E7FE9"/>
    <w:rsid w:val="003F0055"/>
    <w:rsid w:val="003F0104"/>
    <w:rsid w:val="003F010D"/>
    <w:rsid w:val="003F0141"/>
    <w:rsid w:val="003F0144"/>
    <w:rsid w:val="003F018C"/>
    <w:rsid w:val="003F01AE"/>
    <w:rsid w:val="003F01D7"/>
    <w:rsid w:val="003F020E"/>
    <w:rsid w:val="003F022E"/>
    <w:rsid w:val="003F02BB"/>
    <w:rsid w:val="003F02C0"/>
    <w:rsid w:val="003F0307"/>
    <w:rsid w:val="003F03A4"/>
    <w:rsid w:val="003F03F2"/>
    <w:rsid w:val="003F0401"/>
    <w:rsid w:val="003F0458"/>
    <w:rsid w:val="003F04B6"/>
    <w:rsid w:val="003F06D5"/>
    <w:rsid w:val="003F070B"/>
    <w:rsid w:val="003F072E"/>
    <w:rsid w:val="003F0863"/>
    <w:rsid w:val="003F09C0"/>
    <w:rsid w:val="003F0A6A"/>
    <w:rsid w:val="003F0B09"/>
    <w:rsid w:val="003F0B21"/>
    <w:rsid w:val="003F0B89"/>
    <w:rsid w:val="003F0C06"/>
    <w:rsid w:val="003F0C5A"/>
    <w:rsid w:val="003F0C87"/>
    <w:rsid w:val="003F0CE9"/>
    <w:rsid w:val="003F0D1C"/>
    <w:rsid w:val="003F0DF8"/>
    <w:rsid w:val="003F0E2C"/>
    <w:rsid w:val="003F0E8A"/>
    <w:rsid w:val="003F0F30"/>
    <w:rsid w:val="003F0F34"/>
    <w:rsid w:val="003F1105"/>
    <w:rsid w:val="003F1155"/>
    <w:rsid w:val="003F11FB"/>
    <w:rsid w:val="003F12C9"/>
    <w:rsid w:val="003F1405"/>
    <w:rsid w:val="003F1436"/>
    <w:rsid w:val="003F147F"/>
    <w:rsid w:val="003F149A"/>
    <w:rsid w:val="003F14BE"/>
    <w:rsid w:val="003F14C8"/>
    <w:rsid w:val="003F14E0"/>
    <w:rsid w:val="003F16A1"/>
    <w:rsid w:val="003F17BC"/>
    <w:rsid w:val="003F1819"/>
    <w:rsid w:val="003F182D"/>
    <w:rsid w:val="003F18E7"/>
    <w:rsid w:val="003F190B"/>
    <w:rsid w:val="003F19B6"/>
    <w:rsid w:val="003F19DC"/>
    <w:rsid w:val="003F19F2"/>
    <w:rsid w:val="003F1A04"/>
    <w:rsid w:val="003F1A95"/>
    <w:rsid w:val="003F1AE9"/>
    <w:rsid w:val="003F1BA5"/>
    <w:rsid w:val="003F1C45"/>
    <w:rsid w:val="003F1C4D"/>
    <w:rsid w:val="003F1C72"/>
    <w:rsid w:val="003F1EF7"/>
    <w:rsid w:val="003F1EF8"/>
    <w:rsid w:val="003F1F4D"/>
    <w:rsid w:val="003F1F64"/>
    <w:rsid w:val="003F1F6B"/>
    <w:rsid w:val="003F1F80"/>
    <w:rsid w:val="003F1FE8"/>
    <w:rsid w:val="003F201D"/>
    <w:rsid w:val="003F2099"/>
    <w:rsid w:val="003F20DC"/>
    <w:rsid w:val="003F2166"/>
    <w:rsid w:val="003F217D"/>
    <w:rsid w:val="003F2183"/>
    <w:rsid w:val="003F2205"/>
    <w:rsid w:val="003F2295"/>
    <w:rsid w:val="003F22EB"/>
    <w:rsid w:val="003F2476"/>
    <w:rsid w:val="003F2503"/>
    <w:rsid w:val="003F2604"/>
    <w:rsid w:val="003F26F8"/>
    <w:rsid w:val="003F2726"/>
    <w:rsid w:val="003F2727"/>
    <w:rsid w:val="003F273F"/>
    <w:rsid w:val="003F27A8"/>
    <w:rsid w:val="003F27E7"/>
    <w:rsid w:val="003F282D"/>
    <w:rsid w:val="003F284C"/>
    <w:rsid w:val="003F293A"/>
    <w:rsid w:val="003F2973"/>
    <w:rsid w:val="003F297D"/>
    <w:rsid w:val="003F299A"/>
    <w:rsid w:val="003F2AB2"/>
    <w:rsid w:val="003F2AE6"/>
    <w:rsid w:val="003F2C1D"/>
    <w:rsid w:val="003F2CC6"/>
    <w:rsid w:val="003F2CC9"/>
    <w:rsid w:val="003F2CCF"/>
    <w:rsid w:val="003F2D32"/>
    <w:rsid w:val="003F2D68"/>
    <w:rsid w:val="003F2DAF"/>
    <w:rsid w:val="003F2DB3"/>
    <w:rsid w:val="003F2DBC"/>
    <w:rsid w:val="003F2DC0"/>
    <w:rsid w:val="003F2EB1"/>
    <w:rsid w:val="003F2EE9"/>
    <w:rsid w:val="003F2EFC"/>
    <w:rsid w:val="003F2F1E"/>
    <w:rsid w:val="003F2F2E"/>
    <w:rsid w:val="003F300A"/>
    <w:rsid w:val="003F30CF"/>
    <w:rsid w:val="003F3154"/>
    <w:rsid w:val="003F3162"/>
    <w:rsid w:val="003F3263"/>
    <w:rsid w:val="003F3580"/>
    <w:rsid w:val="003F36D0"/>
    <w:rsid w:val="003F3829"/>
    <w:rsid w:val="003F388A"/>
    <w:rsid w:val="003F38A5"/>
    <w:rsid w:val="003F38A9"/>
    <w:rsid w:val="003F38B6"/>
    <w:rsid w:val="003F39C2"/>
    <w:rsid w:val="003F3A1F"/>
    <w:rsid w:val="003F3A66"/>
    <w:rsid w:val="003F3BCF"/>
    <w:rsid w:val="003F3C6D"/>
    <w:rsid w:val="003F3C70"/>
    <w:rsid w:val="003F3D49"/>
    <w:rsid w:val="003F3D79"/>
    <w:rsid w:val="003F3F1C"/>
    <w:rsid w:val="003F3FAE"/>
    <w:rsid w:val="003F3FE6"/>
    <w:rsid w:val="003F4009"/>
    <w:rsid w:val="003F4049"/>
    <w:rsid w:val="003F405F"/>
    <w:rsid w:val="003F40F2"/>
    <w:rsid w:val="003F416D"/>
    <w:rsid w:val="003F43A7"/>
    <w:rsid w:val="003F43B1"/>
    <w:rsid w:val="003F4422"/>
    <w:rsid w:val="003F4460"/>
    <w:rsid w:val="003F446B"/>
    <w:rsid w:val="003F44DC"/>
    <w:rsid w:val="003F4558"/>
    <w:rsid w:val="003F461F"/>
    <w:rsid w:val="003F4680"/>
    <w:rsid w:val="003F4758"/>
    <w:rsid w:val="003F4833"/>
    <w:rsid w:val="003F4A33"/>
    <w:rsid w:val="003F4A4D"/>
    <w:rsid w:val="003F4A60"/>
    <w:rsid w:val="003F4A88"/>
    <w:rsid w:val="003F4ADF"/>
    <w:rsid w:val="003F4BB8"/>
    <w:rsid w:val="003F4BE4"/>
    <w:rsid w:val="003F4BE6"/>
    <w:rsid w:val="003F4CC9"/>
    <w:rsid w:val="003F4D10"/>
    <w:rsid w:val="003F4D3A"/>
    <w:rsid w:val="003F4D7C"/>
    <w:rsid w:val="003F4F12"/>
    <w:rsid w:val="003F4F19"/>
    <w:rsid w:val="003F5012"/>
    <w:rsid w:val="003F51C1"/>
    <w:rsid w:val="003F5209"/>
    <w:rsid w:val="003F5242"/>
    <w:rsid w:val="003F5374"/>
    <w:rsid w:val="003F54B2"/>
    <w:rsid w:val="003F5590"/>
    <w:rsid w:val="003F55E9"/>
    <w:rsid w:val="003F5613"/>
    <w:rsid w:val="003F5639"/>
    <w:rsid w:val="003F566B"/>
    <w:rsid w:val="003F579F"/>
    <w:rsid w:val="003F57A8"/>
    <w:rsid w:val="003F57E6"/>
    <w:rsid w:val="003F581A"/>
    <w:rsid w:val="003F5823"/>
    <w:rsid w:val="003F58B1"/>
    <w:rsid w:val="003F59E7"/>
    <w:rsid w:val="003F5A1B"/>
    <w:rsid w:val="003F5BCA"/>
    <w:rsid w:val="003F5BE8"/>
    <w:rsid w:val="003F5C5B"/>
    <w:rsid w:val="003F5C68"/>
    <w:rsid w:val="003F5D02"/>
    <w:rsid w:val="003F5E97"/>
    <w:rsid w:val="003F5EEF"/>
    <w:rsid w:val="003F5EF7"/>
    <w:rsid w:val="003F5F17"/>
    <w:rsid w:val="003F5F30"/>
    <w:rsid w:val="003F5FA1"/>
    <w:rsid w:val="003F5FFC"/>
    <w:rsid w:val="003F6101"/>
    <w:rsid w:val="003F616A"/>
    <w:rsid w:val="003F61B1"/>
    <w:rsid w:val="003F61BD"/>
    <w:rsid w:val="003F61F8"/>
    <w:rsid w:val="003F6228"/>
    <w:rsid w:val="003F6240"/>
    <w:rsid w:val="003F625D"/>
    <w:rsid w:val="003F6278"/>
    <w:rsid w:val="003F62BB"/>
    <w:rsid w:val="003F62CC"/>
    <w:rsid w:val="003F63A1"/>
    <w:rsid w:val="003F63A9"/>
    <w:rsid w:val="003F63DB"/>
    <w:rsid w:val="003F645E"/>
    <w:rsid w:val="003F647D"/>
    <w:rsid w:val="003F651A"/>
    <w:rsid w:val="003F6525"/>
    <w:rsid w:val="003F65A0"/>
    <w:rsid w:val="003F6708"/>
    <w:rsid w:val="003F67B0"/>
    <w:rsid w:val="003F681E"/>
    <w:rsid w:val="003F6852"/>
    <w:rsid w:val="003F68C4"/>
    <w:rsid w:val="003F69C8"/>
    <w:rsid w:val="003F6A56"/>
    <w:rsid w:val="003F6B45"/>
    <w:rsid w:val="003F6CBB"/>
    <w:rsid w:val="003F6D09"/>
    <w:rsid w:val="003F6D63"/>
    <w:rsid w:val="003F6D6C"/>
    <w:rsid w:val="003F6E2A"/>
    <w:rsid w:val="003F6E43"/>
    <w:rsid w:val="003F6E8A"/>
    <w:rsid w:val="003F6F0C"/>
    <w:rsid w:val="003F6FB2"/>
    <w:rsid w:val="003F6FEA"/>
    <w:rsid w:val="003F7028"/>
    <w:rsid w:val="003F7093"/>
    <w:rsid w:val="003F70E6"/>
    <w:rsid w:val="003F7198"/>
    <w:rsid w:val="003F71E9"/>
    <w:rsid w:val="003F71F8"/>
    <w:rsid w:val="003F7252"/>
    <w:rsid w:val="003F7349"/>
    <w:rsid w:val="003F736A"/>
    <w:rsid w:val="003F738A"/>
    <w:rsid w:val="003F739A"/>
    <w:rsid w:val="003F747B"/>
    <w:rsid w:val="003F748E"/>
    <w:rsid w:val="003F757F"/>
    <w:rsid w:val="003F760D"/>
    <w:rsid w:val="003F7619"/>
    <w:rsid w:val="003F7620"/>
    <w:rsid w:val="003F765E"/>
    <w:rsid w:val="003F7721"/>
    <w:rsid w:val="003F7823"/>
    <w:rsid w:val="003F784B"/>
    <w:rsid w:val="003F78B7"/>
    <w:rsid w:val="003F78CC"/>
    <w:rsid w:val="003F790E"/>
    <w:rsid w:val="003F793A"/>
    <w:rsid w:val="003F7A86"/>
    <w:rsid w:val="003F7A92"/>
    <w:rsid w:val="003F7AAF"/>
    <w:rsid w:val="003F7ACB"/>
    <w:rsid w:val="003F7B9D"/>
    <w:rsid w:val="003F7CD1"/>
    <w:rsid w:val="003F7D19"/>
    <w:rsid w:val="003F7D57"/>
    <w:rsid w:val="003F7DA4"/>
    <w:rsid w:val="003F7DAF"/>
    <w:rsid w:val="003F7DCD"/>
    <w:rsid w:val="003F7DD4"/>
    <w:rsid w:val="003F7DDA"/>
    <w:rsid w:val="003F7E00"/>
    <w:rsid w:val="003F7E9E"/>
    <w:rsid w:val="003F7EAD"/>
    <w:rsid w:val="003F7F7F"/>
    <w:rsid w:val="003F7FDC"/>
    <w:rsid w:val="004001B3"/>
    <w:rsid w:val="004001D6"/>
    <w:rsid w:val="00400230"/>
    <w:rsid w:val="004002FE"/>
    <w:rsid w:val="00400397"/>
    <w:rsid w:val="00400432"/>
    <w:rsid w:val="004004E6"/>
    <w:rsid w:val="00400661"/>
    <w:rsid w:val="00400684"/>
    <w:rsid w:val="00400748"/>
    <w:rsid w:val="00400854"/>
    <w:rsid w:val="00400925"/>
    <w:rsid w:val="004009F7"/>
    <w:rsid w:val="004009FA"/>
    <w:rsid w:val="00400A10"/>
    <w:rsid w:val="00400A8A"/>
    <w:rsid w:val="00400A8E"/>
    <w:rsid w:val="00400AA4"/>
    <w:rsid w:val="00400B04"/>
    <w:rsid w:val="00400B1F"/>
    <w:rsid w:val="00400B86"/>
    <w:rsid w:val="00400B97"/>
    <w:rsid w:val="00400BAE"/>
    <w:rsid w:val="00400BD5"/>
    <w:rsid w:val="00400C40"/>
    <w:rsid w:val="00400CB0"/>
    <w:rsid w:val="00400DA4"/>
    <w:rsid w:val="00400DAC"/>
    <w:rsid w:val="00400DF2"/>
    <w:rsid w:val="00400E49"/>
    <w:rsid w:val="00400E6F"/>
    <w:rsid w:val="00400E8F"/>
    <w:rsid w:val="00400EBD"/>
    <w:rsid w:val="00400EE7"/>
    <w:rsid w:val="00401090"/>
    <w:rsid w:val="004010A9"/>
    <w:rsid w:val="004010E4"/>
    <w:rsid w:val="00401113"/>
    <w:rsid w:val="004012A8"/>
    <w:rsid w:val="004012E9"/>
    <w:rsid w:val="004012FA"/>
    <w:rsid w:val="00401344"/>
    <w:rsid w:val="00401490"/>
    <w:rsid w:val="00401491"/>
    <w:rsid w:val="00401503"/>
    <w:rsid w:val="0040154B"/>
    <w:rsid w:val="004015FA"/>
    <w:rsid w:val="004016D3"/>
    <w:rsid w:val="004017A7"/>
    <w:rsid w:val="004017DB"/>
    <w:rsid w:val="0040182B"/>
    <w:rsid w:val="004018D4"/>
    <w:rsid w:val="00401933"/>
    <w:rsid w:val="00401A4C"/>
    <w:rsid w:val="00401A4D"/>
    <w:rsid w:val="00401A60"/>
    <w:rsid w:val="00401AC1"/>
    <w:rsid w:val="00401BB3"/>
    <w:rsid w:val="00401C3D"/>
    <w:rsid w:val="00401C79"/>
    <w:rsid w:val="00401C9C"/>
    <w:rsid w:val="00401CBA"/>
    <w:rsid w:val="00401D05"/>
    <w:rsid w:val="00401D18"/>
    <w:rsid w:val="00401D38"/>
    <w:rsid w:val="00401D58"/>
    <w:rsid w:val="00401D6D"/>
    <w:rsid w:val="00401F9C"/>
    <w:rsid w:val="00401FAE"/>
    <w:rsid w:val="00401FCA"/>
    <w:rsid w:val="00402089"/>
    <w:rsid w:val="004020C2"/>
    <w:rsid w:val="0040219F"/>
    <w:rsid w:val="004021B3"/>
    <w:rsid w:val="004021D2"/>
    <w:rsid w:val="004021F2"/>
    <w:rsid w:val="00402255"/>
    <w:rsid w:val="004022FD"/>
    <w:rsid w:val="004023D3"/>
    <w:rsid w:val="004023D7"/>
    <w:rsid w:val="0040257F"/>
    <w:rsid w:val="00402688"/>
    <w:rsid w:val="004026E2"/>
    <w:rsid w:val="00402721"/>
    <w:rsid w:val="00402761"/>
    <w:rsid w:val="004027E6"/>
    <w:rsid w:val="004027EB"/>
    <w:rsid w:val="00402915"/>
    <w:rsid w:val="00402916"/>
    <w:rsid w:val="00402932"/>
    <w:rsid w:val="004029A4"/>
    <w:rsid w:val="00402A3F"/>
    <w:rsid w:val="00402A9D"/>
    <w:rsid w:val="00402B84"/>
    <w:rsid w:val="00402C10"/>
    <w:rsid w:val="00402C6A"/>
    <w:rsid w:val="00402C74"/>
    <w:rsid w:val="00402CDD"/>
    <w:rsid w:val="00402CF1"/>
    <w:rsid w:val="00402D2F"/>
    <w:rsid w:val="00402DE8"/>
    <w:rsid w:val="00402E30"/>
    <w:rsid w:val="00402ED7"/>
    <w:rsid w:val="00402F80"/>
    <w:rsid w:val="00402FE8"/>
    <w:rsid w:val="00403041"/>
    <w:rsid w:val="004030C5"/>
    <w:rsid w:val="004030F7"/>
    <w:rsid w:val="00403160"/>
    <w:rsid w:val="00403197"/>
    <w:rsid w:val="004031ED"/>
    <w:rsid w:val="0040322F"/>
    <w:rsid w:val="00403240"/>
    <w:rsid w:val="00403259"/>
    <w:rsid w:val="004032A1"/>
    <w:rsid w:val="004033D9"/>
    <w:rsid w:val="004033FF"/>
    <w:rsid w:val="00403423"/>
    <w:rsid w:val="004034B4"/>
    <w:rsid w:val="004034D0"/>
    <w:rsid w:val="004034DD"/>
    <w:rsid w:val="00403626"/>
    <w:rsid w:val="00403631"/>
    <w:rsid w:val="0040370C"/>
    <w:rsid w:val="0040376B"/>
    <w:rsid w:val="00403786"/>
    <w:rsid w:val="004037BE"/>
    <w:rsid w:val="00403888"/>
    <w:rsid w:val="00403933"/>
    <w:rsid w:val="004039D6"/>
    <w:rsid w:val="00403A42"/>
    <w:rsid w:val="00403BAC"/>
    <w:rsid w:val="00403D88"/>
    <w:rsid w:val="00403DAE"/>
    <w:rsid w:val="00403DDE"/>
    <w:rsid w:val="00403E9D"/>
    <w:rsid w:val="00403FBE"/>
    <w:rsid w:val="00403FE6"/>
    <w:rsid w:val="0040407D"/>
    <w:rsid w:val="004040FF"/>
    <w:rsid w:val="00404169"/>
    <w:rsid w:val="0040421C"/>
    <w:rsid w:val="00404257"/>
    <w:rsid w:val="0040428E"/>
    <w:rsid w:val="0040432D"/>
    <w:rsid w:val="00404387"/>
    <w:rsid w:val="00404446"/>
    <w:rsid w:val="004045DA"/>
    <w:rsid w:val="004045FC"/>
    <w:rsid w:val="00404746"/>
    <w:rsid w:val="00404784"/>
    <w:rsid w:val="004047A3"/>
    <w:rsid w:val="004047A5"/>
    <w:rsid w:val="00404823"/>
    <w:rsid w:val="00404898"/>
    <w:rsid w:val="004048BE"/>
    <w:rsid w:val="00404AC4"/>
    <w:rsid w:val="00404ADD"/>
    <w:rsid w:val="00404B57"/>
    <w:rsid w:val="00404C47"/>
    <w:rsid w:val="00404C7D"/>
    <w:rsid w:val="00404D1E"/>
    <w:rsid w:val="00404D8C"/>
    <w:rsid w:val="00404E15"/>
    <w:rsid w:val="00404E21"/>
    <w:rsid w:val="00404E7D"/>
    <w:rsid w:val="00404E9A"/>
    <w:rsid w:val="00404F1B"/>
    <w:rsid w:val="00404F74"/>
    <w:rsid w:val="00405079"/>
    <w:rsid w:val="0040510A"/>
    <w:rsid w:val="00405161"/>
    <w:rsid w:val="004051AE"/>
    <w:rsid w:val="0040527B"/>
    <w:rsid w:val="004052B6"/>
    <w:rsid w:val="004053B1"/>
    <w:rsid w:val="004053F8"/>
    <w:rsid w:val="00405412"/>
    <w:rsid w:val="0040545B"/>
    <w:rsid w:val="00405474"/>
    <w:rsid w:val="00405497"/>
    <w:rsid w:val="004054C0"/>
    <w:rsid w:val="00405605"/>
    <w:rsid w:val="0040570F"/>
    <w:rsid w:val="004057F1"/>
    <w:rsid w:val="00405865"/>
    <w:rsid w:val="004059E3"/>
    <w:rsid w:val="00405A65"/>
    <w:rsid w:val="00405B28"/>
    <w:rsid w:val="00405B99"/>
    <w:rsid w:val="00405C43"/>
    <w:rsid w:val="00405C4E"/>
    <w:rsid w:val="00405D5E"/>
    <w:rsid w:val="00405DEA"/>
    <w:rsid w:val="00405EE3"/>
    <w:rsid w:val="00405FD8"/>
    <w:rsid w:val="00405FE9"/>
    <w:rsid w:val="00406070"/>
    <w:rsid w:val="0040607D"/>
    <w:rsid w:val="00406128"/>
    <w:rsid w:val="00406140"/>
    <w:rsid w:val="00406179"/>
    <w:rsid w:val="0040619E"/>
    <w:rsid w:val="00406205"/>
    <w:rsid w:val="00406249"/>
    <w:rsid w:val="004062D4"/>
    <w:rsid w:val="00406378"/>
    <w:rsid w:val="0040639D"/>
    <w:rsid w:val="004064B6"/>
    <w:rsid w:val="00406508"/>
    <w:rsid w:val="00406579"/>
    <w:rsid w:val="004065B2"/>
    <w:rsid w:val="00406627"/>
    <w:rsid w:val="0040663C"/>
    <w:rsid w:val="00406682"/>
    <w:rsid w:val="0040669A"/>
    <w:rsid w:val="004066ED"/>
    <w:rsid w:val="004066EE"/>
    <w:rsid w:val="00406721"/>
    <w:rsid w:val="00406755"/>
    <w:rsid w:val="00406863"/>
    <w:rsid w:val="004068B6"/>
    <w:rsid w:val="004068EB"/>
    <w:rsid w:val="004068ED"/>
    <w:rsid w:val="00406975"/>
    <w:rsid w:val="00406983"/>
    <w:rsid w:val="00406A10"/>
    <w:rsid w:val="00406B3A"/>
    <w:rsid w:val="00406C0C"/>
    <w:rsid w:val="00406C2F"/>
    <w:rsid w:val="00406C4E"/>
    <w:rsid w:val="00406D05"/>
    <w:rsid w:val="00406D40"/>
    <w:rsid w:val="00406D41"/>
    <w:rsid w:val="00406DA2"/>
    <w:rsid w:val="00406EFA"/>
    <w:rsid w:val="0040703B"/>
    <w:rsid w:val="0040709E"/>
    <w:rsid w:val="004070D2"/>
    <w:rsid w:val="004070DD"/>
    <w:rsid w:val="00407143"/>
    <w:rsid w:val="00407218"/>
    <w:rsid w:val="00407238"/>
    <w:rsid w:val="004072A3"/>
    <w:rsid w:val="00407336"/>
    <w:rsid w:val="00407543"/>
    <w:rsid w:val="0040754E"/>
    <w:rsid w:val="00407559"/>
    <w:rsid w:val="00407563"/>
    <w:rsid w:val="0040756F"/>
    <w:rsid w:val="0040758A"/>
    <w:rsid w:val="00407611"/>
    <w:rsid w:val="00407645"/>
    <w:rsid w:val="0040768C"/>
    <w:rsid w:val="004076E8"/>
    <w:rsid w:val="004076F3"/>
    <w:rsid w:val="00407747"/>
    <w:rsid w:val="00407778"/>
    <w:rsid w:val="004077F1"/>
    <w:rsid w:val="0040789F"/>
    <w:rsid w:val="004078A8"/>
    <w:rsid w:val="004078BB"/>
    <w:rsid w:val="00407975"/>
    <w:rsid w:val="00407AD6"/>
    <w:rsid w:val="00407C34"/>
    <w:rsid w:val="00407CC6"/>
    <w:rsid w:val="00407D49"/>
    <w:rsid w:val="00407DF7"/>
    <w:rsid w:val="00407E1E"/>
    <w:rsid w:val="00407E8D"/>
    <w:rsid w:val="00407EF5"/>
    <w:rsid w:val="00410086"/>
    <w:rsid w:val="0041009C"/>
    <w:rsid w:val="004100BB"/>
    <w:rsid w:val="00410182"/>
    <w:rsid w:val="0041031B"/>
    <w:rsid w:val="004103E3"/>
    <w:rsid w:val="00410401"/>
    <w:rsid w:val="00410423"/>
    <w:rsid w:val="004105FF"/>
    <w:rsid w:val="00410616"/>
    <w:rsid w:val="00410629"/>
    <w:rsid w:val="00410713"/>
    <w:rsid w:val="0041087E"/>
    <w:rsid w:val="00410897"/>
    <w:rsid w:val="00410899"/>
    <w:rsid w:val="00410AB1"/>
    <w:rsid w:val="00410B27"/>
    <w:rsid w:val="00410BC9"/>
    <w:rsid w:val="00410C68"/>
    <w:rsid w:val="00410CA3"/>
    <w:rsid w:val="00410D24"/>
    <w:rsid w:val="00410D45"/>
    <w:rsid w:val="00410D87"/>
    <w:rsid w:val="00410E20"/>
    <w:rsid w:val="00410E91"/>
    <w:rsid w:val="00410F18"/>
    <w:rsid w:val="00410F3F"/>
    <w:rsid w:val="00410F86"/>
    <w:rsid w:val="00410FC7"/>
    <w:rsid w:val="00411015"/>
    <w:rsid w:val="004110E6"/>
    <w:rsid w:val="0041117E"/>
    <w:rsid w:val="004112EF"/>
    <w:rsid w:val="004114B3"/>
    <w:rsid w:val="004114DF"/>
    <w:rsid w:val="00411535"/>
    <w:rsid w:val="00411615"/>
    <w:rsid w:val="00411663"/>
    <w:rsid w:val="00411710"/>
    <w:rsid w:val="004117F6"/>
    <w:rsid w:val="00411839"/>
    <w:rsid w:val="0041198F"/>
    <w:rsid w:val="004119FC"/>
    <w:rsid w:val="00411A08"/>
    <w:rsid w:val="00411A1A"/>
    <w:rsid w:val="00411A53"/>
    <w:rsid w:val="00411A66"/>
    <w:rsid w:val="00411A9C"/>
    <w:rsid w:val="00411AD4"/>
    <w:rsid w:val="00411BEE"/>
    <w:rsid w:val="00411C33"/>
    <w:rsid w:val="00411D1F"/>
    <w:rsid w:val="00411DA4"/>
    <w:rsid w:val="00411F1C"/>
    <w:rsid w:val="00411FF3"/>
    <w:rsid w:val="0041206C"/>
    <w:rsid w:val="00412322"/>
    <w:rsid w:val="00412459"/>
    <w:rsid w:val="00412539"/>
    <w:rsid w:val="00412564"/>
    <w:rsid w:val="00412566"/>
    <w:rsid w:val="00412595"/>
    <w:rsid w:val="004125B4"/>
    <w:rsid w:val="004125C5"/>
    <w:rsid w:val="00412609"/>
    <w:rsid w:val="0041261F"/>
    <w:rsid w:val="0041269F"/>
    <w:rsid w:val="004126D4"/>
    <w:rsid w:val="0041271A"/>
    <w:rsid w:val="0041281E"/>
    <w:rsid w:val="00412845"/>
    <w:rsid w:val="0041284D"/>
    <w:rsid w:val="00412867"/>
    <w:rsid w:val="004128F3"/>
    <w:rsid w:val="0041291C"/>
    <w:rsid w:val="00412929"/>
    <w:rsid w:val="00412932"/>
    <w:rsid w:val="00412966"/>
    <w:rsid w:val="00412A60"/>
    <w:rsid w:val="00412AE9"/>
    <w:rsid w:val="00412BBA"/>
    <w:rsid w:val="00412C0D"/>
    <w:rsid w:val="00412D27"/>
    <w:rsid w:val="00412D6E"/>
    <w:rsid w:val="00412EAA"/>
    <w:rsid w:val="00412F12"/>
    <w:rsid w:val="00412F18"/>
    <w:rsid w:val="00412F24"/>
    <w:rsid w:val="00412FDF"/>
    <w:rsid w:val="0041307C"/>
    <w:rsid w:val="004130AC"/>
    <w:rsid w:val="004130D4"/>
    <w:rsid w:val="00413110"/>
    <w:rsid w:val="004131EE"/>
    <w:rsid w:val="0041320D"/>
    <w:rsid w:val="00413226"/>
    <w:rsid w:val="004132B4"/>
    <w:rsid w:val="004132CA"/>
    <w:rsid w:val="00413310"/>
    <w:rsid w:val="004134B2"/>
    <w:rsid w:val="00413566"/>
    <w:rsid w:val="0041357D"/>
    <w:rsid w:val="004135EB"/>
    <w:rsid w:val="0041360F"/>
    <w:rsid w:val="0041371D"/>
    <w:rsid w:val="0041399C"/>
    <w:rsid w:val="00413A21"/>
    <w:rsid w:val="00413A2C"/>
    <w:rsid w:val="00413A35"/>
    <w:rsid w:val="00413A43"/>
    <w:rsid w:val="00413B8B"/>
    <w:rsid w:val="00413BA3"/>
    <w:rsid w:val="00413C1E"/>
    <w:rsid w:val="00413C42"/>
    <w:rsid w:val="00413C45"/>
    <w:rsid w:val="00413C5E"/>
    <w:rsid w:val="00413C7C"/>
    <w:rsid w:val="00413CB5"/>
    <w:rsid w:val="00413CDF"/>
    <w:rsid w:val="00413D22"/>
    <w:rsid w:val="00413DD6"/>
    <w:rsid w:val="00413DEA"/>
    <w:rsid w:val="00413E0C"/>
    <w:rsid w:val="00413EDB"/>
    <w:rsid w:val="00413F37"/>
    <w:rsid w:val="00413F63"/>
    <w:rsid w:val="00413F7C"/>
    <w:rsid w:val="0041408C"/>
    <w:rsid w:val="00414115"/>
    <w:rsid w:val="0041411C"/>
    <w:rsid w:val="0041431C"/>
    <w:rsid w:val="0041437D"/>
    <w:rsid w:val="00414580"/>
    <w:rsid w:val="0041463F"/>
    <w:rsid w:val="004148FA"/>
    <w:rsid w:val="0041495A"/>
    <w:rsid w:val="0041498A"/>
    <w:rsid w:val="00414AAA"/>
    <w:rsid w:val="00414ADA"/>
    <w:rsid w:val="00414B1A"/>
    <w:rsid w:val="00414B48"/>
    <w:rsid w:val="00414BB6"/>
    <w:rsid w:val="00414BFF"/>
    <w:rsid w:val="00414DB7"/>
    <w:rsid w:val="00414EB1"/>
    <w:rsid w:val="00414EE1"/>
    <w:rsid w:val="00414F1B"/>
    <w:rsid w:val="00414F3F"/>
    <w:rsid w:val="00414F9B"/>
    <w:rsid w:val="00414FEF"/>
    <w:rsid w:val="00415012"/>
    <w:rsid w:val="004150B3"/>
    <w:rsid w:val="004150E6"/>
    <w:rsid w:val="004150E8"/>
    <w:rsid w:val="004150FA"/>
    <w:rsid w:val="0041512C"/>
    <w:rsid w:val="0041519D"/>
    <w:rsid w:val="004151C6"/>
    <w:rsid w:val="00415214"/>
    <w:rsid w:val="00415217"/>
    <w:rsid w:val="00415234"/>
    <w:rsid w:val="004152F3"/>
    <w:rsid w:val="0041534B"/>
    <w:rsid w:val="004153B4"/>
    <w:rsid w:val="004153CB"/>
    <w:rsid w:val="004153E1"/>
    <w:rsid w:val="00415477"/>
    <w:rsid w:val="00415503"/>
    <w:rsid w:val="004155D1"/>
    <w:rsid w:val="004155D9"/>
    <w:rsid w:val="00415629"/>
    <w:rsid w:val="0041563A"/>
    <w:rsid w:val="0041569E"/>
    <w:rsid w:val="00415717"/>
    <w:rsid w:val="004157BF"/>
    <w:rsid w:val="00415896"/>
    <w:rsid w:val="004158BB"/>
    <w:rsid w:val="004158FD"/>
    <w:rsid w:val="00415B1A"/>
    <w:rsid w:val="00415B27"/>
    <w:rsid w:val="00415B29"/>
    <w:rsid w:val="00415B46"/>
    <w:rsid w:val="00415BF4"/>
    <w:rsid w:val="00415C48"/>
    <w:rsid w:val="00415C89"/>
    <w:rsid w:val="00415CA4"/>
    <w:rsid w:val="00415D21"/>
    <w:rsid w:val="00415D26"/>
    <w:rsid w:val="00415D7C"/>
    <w:rsid w:val="00415DAD"/>
    <w:rsid w:val="00415DCE"/>
    <w:rsid w:val="00415E53"/>
    <w:rsid w:val="00415E5D"/>
    <w:rsid w:val="00415E86"/>
    <w:rsid w:val="00415F00"/>
    <w:rsid w:val="00415FFF"/>
    <w:rsid w:val="00416023"/>
    <w:rsid w:val="004160CD"/>
    <w:rsid w:val="004161CF"/>
    <w:rsid w:val="004161FD"/>
    <w:rsid w:val="0041626E"/>
    <w:rsid w:val="004162C4"/>
    <w:rsid w:val="004162EC"/>
    <w:rsid w:val="00416302"/>
    <w:rsid w:val="0041641C"/>
    <w:rsid w:val="00416527"/>
    <w:rsid w:val="0041652E"/>
    <w:rsid w:val="004165B3"/>
    <w:rsid w:val="004165BD"/>
    <w:rsid w:val="0041665F"/>
    <w:rsid w:val="00416661"/>
    <w:rsid w:val="004166E1"/>
    <w:rsid w:val="0041679A"/>
    <w:rsid w:val="0041680E"/>
    <w:rsid w:val="004169A5"/>
    <w:rsid w:val="00416B7B"/>
    <w:rsid w:val="00416B9F"/>
    <w:rsid w:val="00416C19"/>
    <w:rsid w:val="00416C7A"/>
    <w:rsid w:val="00416C9C"/>
    <w:rsid w:val="00416CA5"/>
    <w:rsid w:val="00416E70"/>
    <w:rsid w:val="00416E83"/>
    <w:rsid w:val="00416FA1"/>
    <w:rsid w:val="00416FA2"/>
    <w:rsid w:val="00416FCA"/>
    <w:rsid w:val="00417017"/>
    <w:rsid w:val="00417065"/>
    <w:rsid w:val="004170AB"/>
    <w:rsid w:val="00417279"/>
    <w:rsid w:val="0041728D"/>
    <w:rsid w:val="004172D6"/>
    <w:rsid w:val="004172DE"/>
    <w:rsid w:val="0041738C"/>
    <w:rsid w:val="0041739A"/>
    <w:rsid w:val="00417401"/>
    <w:rsid w:val="0041746F"/>
    <w:rsid w:val="00417518"/>
    <w:rsid w:val="004176D3"/>
    <w:rsid w:val="00417994"/>
    <w:rsid w:val="00417B6B"/>
    <w:rsid w:val="00417BC4"/>
    <w:rsid w:val="00417D8F"/>
    <w:rsid w:val="00417E00"/>
    <w:rsid w:val="00417E0C"/>
    <w:rsid w:val="00417E27"/>
    <w:rsid w:val="00417E3B"/>
    <w:rsid w:val="00417E6B"/>
    <w:rsid w:val="00417F00"/>
    <w:rsid w:val="004200D0"/>
    <w:rsid w:val="004201A7"/>
    <w:rsid w:val="004201F5"/>
    <w:rsid w:val="0042020C"/>
    <w:rsid w:val="00420213"/>
    <w:rsid w:val="0042027C"/>
    <w:rsid w:val="004202B4"/>
    <w:rsid w:val="004202F5"/>
    <w:rsid w:val="00420310"/>
    <w:rsid w:val="00420338"/>
    <w:rsid w:val="004203CB"/>
    <w:rsid w:val="00420439"/>
    <w:rsid w:val="00420503"/>
    <w:rsid w:val="00420661"/>
    <w:rsid w:val="00420666"/>
    <w:rsid w:val="00420689"/>
    <w:rsid w:val="00420734"/>
    <w:rsid w:val="00420753"/>
    <w:rsid w:val="00420793"/>
    <w:rsid w:val="00420848"/>
    <w:rsid w:val="00420934"/>
    <w:rsid w:val="00420941"/>
    <w:rsid w:val="0042094C"/>
    <w:rsid w:val="00420991"/>
    <w:rsid w:val="00420AB6"/>
    <w:rsid w:val="00420AB8"/>
    <w:rsid w:val="00420AD8"/>
    <w:rsid w:val="00420B11"/>
    <w:rsid w:val="00420BA3"/>
    <w:rsid w:val="00420C5D"/>
    <w:rsid w:val="00420D61"/>
    <w:rsid w:val="00420DE1"/>
    <w:rsid w:val="00420E0C"/>
    <w:rsid w:val="00420E41"/>
    <w:rsid w:val="00420E57"/>
    <w:rsid w:val="00420EF6"/>
    <w:rsid w:val="00421073"/>
    <w:rsid w:val="0042110A"/>
    <w:rsid w:val="00421338"/>
    <w:rsid w:val="004213D4"/>
    <w:rsid w:val="004214F0"/>
    <w:rsid w:val="004214F6"/>
    <w:rsid w:val="004215C0"/>
    <w:rsid w:val="004215FF"/>
    <w:rsid w:val="004216AA"/>
    <w:rsid w:val="00421749"/>
    <w:rsid w:val="0042177B"/>
    <w:rsid w:val="00421815"/>
    <w:rsid w:val="00421839"/>
    <w:rsid w:val="0042193B"/>
    <w:rsid w:val="00421B5C"/>
    <w:rsid w:val="00421B8A"/>
    <w:rsid w:val="00421BC0"/>
    <w:rsid w:val="00421BDE"/>
    <w:rsid w:val="00421C12"/>
    <w:rsid w:val="00421D09"/>
    <w:rsid w:val="00421D4E"/>
    <w:rsid w:val="00421D75"/>
    <w:rsid w:val="00421DA0"/>
    <w:rsid w:val="00421ECD"/>
    <w:rsid w:val="00421FC5"/>
    <w:rsid w:val="0042214D"/>
    <w:rsid w:val="004221B1"/>
    <w:rsid w:val="0042224D"/>
    <w:rsid w:val="00422285"/>
    <w:rsid w:val="004222B5"/>
    <w:rsid w:val="004222E7"/>
    <w:rsid w:val="0042230C"/>
    <w:rsid w:val="004223E8"/>
    <w:rsid w:val="00422470"/>
    <w:rsid w:val="004225B1"/>
    <w:rsid w:val="004225EF"/>
    <w:rsid w:val="0042261F"/>
    <w:rsid w:val="0042266B"/>
    <w:rsid w:val="00422677"/>
    <w:rsid w:val="0042269F"/>
    <w:rsid w:val="004227B3"/>
    <w:rsid w:val="004227FB"/>
    <w:rsid w:val="0042283D"/>
    <w:rsid w:val="004228D1"/>
    <w:rsid w:val="00422907"/>
    <w:rsid w:val="00422947"/>
    <w:rsid w:val="004229D0"/>
    <w:rsid w:val="00422A81"/>
    <w:rsid w:val="00422AC0"/>
    <w:rsid w:val="00422AC9"/>
    <w:rsid w:val="00422AD9"/>
    <w:rsid w:val="00422B15"/>
    <w:rsid w:val="00422B58"/>
    <w:rsid w:val="00422B7D"/>
    <w:rsid w:val="00422BF7"/>
    <w:rsid w:val="00422C0F"/>
    <w:rsid w:val="00422CBE"/>
    <w:rsid w:val="00422CF6"/>
    <w:rsid w:val="00422D04"/>
    <w:rsid w:val="00422D1F"/>
    <w:rsid w:val="00422D6E"/>
    <w:rsid w:val="00422DFB"/>
    <w:rsid w:val="00422EC6"/>
    <w:rsid w:val="00422F00"/>
    <w:rsid w:val="00422F6B"/>
    <w:rsid w:val="00422F91"/>
    <w:rsid w:val="00422FE4"/>
    <w:rsid w:val="00423033"/>
    <w:rsid w:val="00423044"/>
    <w:rsid w:val="004230D8"/>
    <w:rsid w:val="004230F9"/>
    <w:rsid w:val="00423134"/>
    <w:rsid w:val="00423195"/>
    <w:rsid w:val="0042319C"/>
    <w:rsid w:val="00423376"/>
    <w:rsid w:val="004233DF"/>
    <w:rsid w:val="0042344A"/>
    <w:rsid w:val="00423478"/>
    <w:rsid w:val="004234D7"/>
    <w:rsid w:val="00423591"/>
    <w:rsid w:val="004235A7"/>
    <w:rsid w:val="004235B4"/>
    <w:rsid w:val="00423610"/>
    <w:rsid w:val="00423645"/>
    <w:rsid w:val="0042364A"/>
    <w:rsid w:val="004236FA"/>
    <w:rsid w:val="00423737"/>
    <w:rsid w:val="00423791"/>
    <w:rsid w:val="004237C5"/>
    <w:rsid w:val="004237D0"/>
    <w:rsid w:val="004237DC"/>
    <w:rsid w:val="00423868"/>
    <w:rsid w:val="00423874"/>
    <w:rsid w:val="0042387E"/>
    <w:rsid w:val="00423930"/>
    <w:rsid w:val="0042394A"/>
    <w:rsid w:val="004239A2"/>
    <w:rsid w:val="00423A5D"/>
    <w:rsid w:val="00423A6C"/>
    <w:rsid w:val="00423AD4"/>
    <w:rsid w:val="00423B9C"/>
    <w:rsid w:val="00423BBD"/>
    <w:rsid w:val="00423CFA"/>
    <w:rsid w:val="00423DDB"/>
    <w:rsid w:val="00423DE5"/>
    <w:rsid w:val="00423E14"/>
    <w:rsid w:val="00423E3A"/>
    <w:rsid w:val="00423E54"/>
    <w:rsid w:val="00423ED7"/>
    <w:rsid w:val="00423EFD"/>
    <w:rsid w:val="00423F41"/>
    <w:rsid w:val="00423F87"/>
    <w:rsid w:val="00423F88"/>
    <w:rsid w:val="00424014"/>
    <w:rsid w:val="00424073"/>
    <w:rsid w:val="004240BB"/>
    <w:rsid w:val="00424140"/>
    <w:rsid w:val="0042417A"/>
    <w:rsid w:val="00424183"/>
    <w:rsid w:val="0042424E"/>
    <w:rsid w:val="0042428E"/>
    <w:rsid w:val="00424389"/>
    <w:rsid w:val="00424406"/>
    <w:rsid w:val="0042445E"/>
    <w:rsid w:val="00424484"/>
    <w:rsid w:val="004244E7"/>
    <w:rsid w:val="00424628"/>
    <w:rsid w:val="00424669"/>
    <w:rsid w:val="004247CD"/>
    <w:rsid w:val="00424808"/>
    <w:rsid w:val="0042480E"/>
    <w:rsid w:val="00424838"/>
    <w:rsid w:val="0042485E"/>
    <w:rsid w:val="00424866"/>
    <w:rsid w:val="00424879"/>
    <w:rsid w:val="00424981"/>
    <w:rsid w:val="00424A63"/>
    <w:rsid w:val="00424ABB"/>
    <w:rsid w:val="00424AE3"/>
    <w:rsid w:val="00424B5B"/>
    <w:rsid w:val="00424BE9"/>
    <w:rsid w:val="00424C5E"/>
    <w:rsid w:val="00424CCE"/>
    <w:rsid w:val="00424D0E"/>
    <w:rsid w:val="00424E75"/>
    <w:rsid w:val="00424F6E"/>
    <w:rsid w:val="00424FDD"/>
    <w:rsid w:val="0042509E"/>
    <w:rsid w:val="0042520F"/>
    <w:rsid w:val="004252AD"/>
    <w:rsid w:val="004252E8"/>
    <w:rsid w:val="00425372"/>
    <w:rsid w:val="0042542E"/>
    <w:rsid w:val="0042545B"/>
    <w:rsid w:val="00425468"/>
    <w:rsid w:val="00425491"/>
    <w:rsid w:val="004254BB"/>
    <w:rsid w:val="004255DC"/>
    <w:rsid w:val="0042571C"/>
    <w:rsid w:val="0042579C"/>
    <w:rsid w:val="004257D5"/>
    <w:rsid w:val="0042580A"/>
    <w:rsid w:val="00425946"/>
    <w:rsid w:val="004259A5"/>
    <w:rsid w:val="00425A6B"/>
    <w:rsid w:val="00425A7F"/>
    <w:rsid w:val="00425AA0"/>
    <w:rsid w:val="00425AC5"/>
    <w:rsid w:val="00425B99"/>
    <w:rsid w:val="00425BEA"/>
    <w:rsid w:val="00425BEF"/>
    <w:rsid w:val="00425BF0"/>
    <w:rsid w:val="00425CA5"/>
    <w:rsid w:val="00425CEC"/>
    <w:rsid w:val="00425E09"/>
    <w:rsid w:val="00425E5F"/>
    <w:rsid w:val="00425E8B"/>
    <w:rsid w:val="00425E92"/>
    <w:rsid w:val="00425F87"/>
    <w:rsid w:val="0042608C"/>
    <w:rsid w:val="00426225"/>
    <w:rsid w:val="0042636E"/>
    <w:rsid w:val="0042646B"/>
    <w:rsid w:val="00426485"/>
    <w:rsid w:val="00426492"/>
    <w:rsid w:val="00426551"/>
    <w:rsid w:val="004265C7"/>
    <w:rsid w:val="00426603"/>
    <w:rsid w:val="00426659"/>
    <w:rsid w:val="00426699"/>
    <w:rsid w:val="004266FA"/>
    <w:rsid w:val="00426738"/>
    <w:rsid w:val="004267D5"/>
    <w:rsid w:val="0042681E"/>
    <w:rsid w:val="00426923"/>
    <w:rsid w:val="00426938"/>
    <w:rsid w:val="00426941"/>
    <w:rsid w:val="00426A68"/>
    <w:rsid w:val="00426A87"/>
    <w:rsid w:val="00426AE7"/>
    <w:rsid w:val="00426BB6"/>
    <w:rsid w:val="00426BDB"/>
    <w:rsid w:val="00426BE8"/>
    <w:rsid w:val="00426BFA"/>
    <w:rsid w:val="00426C31"/>
    <w:rsid w:val="00426E2B"/>
    <w:rsid w:val="00426E43"/>
    <w:rsid w:val="00426ECD"/>
    <w:rsid w:val="00426F26"/>
    <w:rsid w:val="00426FE4"/>
    <w:rsid w:val="00426FE9"/>
    <w:rsid w:val="00427072"/>
    <w:rsid w:val="00427087"/>
    <w:rsid w:val="0042715A"/>
    <w:rsid w:val="00427167"/>
    <w:rsid w:val="0042719D"/>
    <w:rsid w:val="004272DA"/>
    <w:rsid w:val="004272FD"/>
    <w:rsid w:val="00427348"/>
    <w:rsid w:val="004273D1"/>
    <w:rsid w:val="004273EB"/>
    <w:rsid w:val="00427447"/>
    <w:rsid w:val="00427468"/>
    <w:rsid w:val="004274CE"/>
    <w:rsid w:val="004274D0"/>
    <w:rsid w:val="004274DD"/>
    <w:rsid w:val="0042751E"/>
    <w:rsid w:val="00427543"/>
    <w:rsid w:val="0042755A"/>
    <w:rsid w:val="004276AA"/>
    <w:rsid w:val="0042783B"/>
    <w:rsid w:val="0042787B"/>
    <w:rsid w:val="004278C5"/>
    <w:rsid w:val="00427A8D"/>
    <w:rsid w:val="00427AFC"/>
    <w:rsid w:val="00427AFD"/>
    <w:rsid w:val="00427B29"/>
    <w:rsid w:val="00427B43"/>
    <w:rsid w:val="00427B7F"/>
    <w:rsid w:val="00427C04"/>
    <w:rsid w:val="00427CD2"/>
    <w:rsid w:val="00427D21"/>
    <w:rsid w:val="00427D3A"/>
    <w:rsid w:val="00427D7F"/>
    <w:rsid w:val="00427D9C"/>
    <w:rsid w:val="00427DD8"/>
    <w:rsid w:val="00427E2C"/>
    <w:rsid w:val="00427E51"/>
    <w:rsid w:val="00427E9B"/>
    <w:rsid w:val="00427EA1"/>
    <w:rsid w:val="00427F3D"/>
    <w:rsid w:val="00427F50"/>
    <w:rsid w:val="00427FEF"/>
    <w:rsid w:val="00430026"/>
    <w:rsid w:val="00430034"/>
    <w:rsid w:val="00430061"/>
    <w:rsid w:val="00430082"/>
    <w:rsid w:val="00430090"/>
    <w:rsid w:val="00430111"/>
    <w:rsid w:val="0043022D"/>
    <w:rsid w:val="004302C1"/>
    <w:rsid w:val="004302E1"/>
    <w:rsid w:val="004302E4"/>
    <w:rsid w:val="004302E6"/>
    <w:rsid w:val="0043037D"/>
    <w:rsid w:val="00430393"/>
    <w:rsid w:val="004303A0"/>
    <w:rsid w:val="0043041A"/>
    <w:rsid w:val="0043043F"/>
    <w:rsid w:val="004304AD"/>
    <w:rsid w:val="004304FA"/>
    <w:rsid w:val="0043052B"/>
    <w:rsid w:val="0043054D"/>
    <w:rsid w:val="004305AE"/>
    <w:rsid w:val="004305C6"/>
    <w:rsid w:val="00430611"/>
    <w:rsid w:val="0043071D"/>
    <w:rsid w:val="0043072D"/>
    <w:rsid w:val="004307A7"/>
    <w:rsid w:val="004307CC"/>
    <w:rsid w:val="00430800"/>
    <w:rsid w:val="00430883"/>
    <w:rsid w:val="004308E9"/>
    <w:rsid w:val="00430927"/>
    <w:rsid w:val="00430934"/>
    <w:rsid w:val="00430945"/>
    <w:rsid w:val="0043095A"/>
    <w:rsid w:val="0043095F"/>
    <w:rsid w:val="0043098D"/>
    <w:rsid w:val="00430A19"/>
    <w:rsid w:val="00430A3C"/>
    <w:rsid w:val="00430A5C"/>
    <w:rsid w:val="00430C97"/>
    <w:rsid w:val="00430CC8"/>
    <w:rsid w:val="00430D13"/>
    <w:rsid w:val="00430D6B"/>
    <w:rsid w:val="00430D8C"/>
    <w:rsid w:val="00430E71"/>
    <w:rsid w:val="00430F9C"/>
    <w:rsid w:val="0043100F"/>
    <w:rsid w:val="0043101E"/>
    <w:rsid w:val="004310F5"/>
    <w:rsid w:val="00431237"/>
    <w:rsid w:val="0043126F"/>
    <w:rsid w:val="004312B2"/>
    <w:rsid w:val="004312FC"/>
    <w:rsid w:val="004312FF"/>
    <w:rsid w:val="0043131C"/>
    <w:rsid w:val="004313D4"/>
    <w:rsid w:val="004313D8"/>
    <w:rsid w:val="004313DE"/>
    <w:rsid w:val="00431418"/>
    <w:rsid w:val="00431423"/>
    <w:rsid w:val="00431434"/>
    <w:rsid w:val="00431439"/>
    <w:rsid w:val="00431562"/>
    <w:rsid w:val="00431690"/>
    <w:rsid w:val="0043171D"/>
    <w:rsid w:val="0043174A"/>
    <w:rsid w:val="00431770"/>
    <w:rsid w:val="004318C5"/>
    <w:rsid w:val="004318C9"/>
    <w:rsid w:val="004318F1"/>
    <w:rsid w:val="0043191E"/>
    <w:rsid w:val="00431B65"/>
    <w:rsid w:val="00431B7C"/>
    <w:rsid w:val="00431BD4"/>
    <w:rsid w:val="00431C16"/>
    <w:rsid w:val="00431C77"/>
    <w:rsid w:val="00431D0E"/>
    <w:rsid w:val="00431EBD"/>
    <w:rsid w:val="00431F94"/>
    <w:rsid w:val="00431FB2"/>
    <w:rsid w:val="00432057"/>
    <w:rsid w:val="00432081"/>
    <w:rsid w:val="0043208B"/>
    <w:rsid w:val="004320A7"/>
    <w:rsid w:val="00432112"/>
    <w:rsid w:val="004321D5"/>
    <w:rsid w:val="0043221F"/>
    <w:rsid w:val="00432293"/>
    <w:rsid w:val="00432307"/>
    <w:rsid w:val="00432341"/>
    <w:rsid w:val="004323BA"/>
    <w:rsid w:val="0043247D"/>
    <w:rsid w:val="00432564"/>
    <w:rsid w:val="004325B4"/>
    <w:rsid w:val="004325D8"/>
    <w:rsid w:val="004325E2"/>
    <w:rsid w:val="00432651"/>
    <w:rsid w:val="0043268C"/>
    <w:rsid w:val="004326CC"/>
    <w:rsid w:val="004326F1"/>
    <w:rsid w:val="00432709"/>
    <w:rsid w:val="0043272B"/>
    <w:rsid w:val="00432867"/>
    <w:rsid w:val="0043286D"/>
    <w:rsid w:val="00432984"/>
    <w:rsid w:val="00432ABA"/>
    <w:rsid w:val="00432AF6"/>
    <w:rsid w:val="00432B29"/>
    <w:rsid w:val="00432B41"/>
    <w:rsid w:val="00432B81"/>
    <w:rsid w:val="00432BD1"/>
    <w:rsid w:val="00432BF3"/>
    <w:rsid w:val="00432C1D"/>
    <w:rsid w:val="00432CB1"/>
    <w:rsid w:val="00432CE9"/>
    <w:rsid w:val="00432D17"/>
    <w:rsid w:val="00432D18"/>
    <w:rsid w:val="00432D43"/>
    <w:rsid w:val="00432DA3"/>
    <w:rsid w:val="00432DC0"/>
    <w:rsid w:val="00432E90"/>
    <w:rsid w:val="00432EBA"/>
    <w:rsid w:val="00432F13"/>
    <w:rsid w:val="00432F41"/>
    <w:rsid w:val="00432FF8"/>
    <w:rsid w:val="00433071"/>
    <w:rsid w:val="00433084"/>
    <w:rsid w:val="004330F3"/>
    <w:rsid w:val="00433191"/>
    <w:rsid w:val="004331CE"/>
    <w:rsid w:val="0043321E"/>
    <w:rsid w:val="0043326E"/>
    <w:rsid w:val="0043336A"/>
    <w:rsid w:val="00433377"/>
    <w:rsid w:val="004333F1"/>
    <w:rsid w:val="00433542"/>
    <w:rsid w:val="004335A2"/>
    <w:rsid w:val="004336B6"/>
    <w:rsid w:val="004336EA"/>
    <w:rsid w:val="004337E1"/>
    <w:rsid w:val="004338BB"/>
    <w:rsid w:val="004338DC"/>
    <w:rsid w:val="004338E3"/>
    <w:rsid w:val="004338FD"/>
    <w:rsid w:val="0043392D"/>
    <w:rsid w:val="00433938"/>
    <w:rsid w:val="0043398C"/>
    <w:rsid w:val="0043399A"/>
    <w:rsid w:val="00433A77"/>
    <w:rsid w:val="00433A7C"/>
    <w:rsid w:val="00433A92"/>
    <w:rsid w:val="00433A95"/>
    <w:rsid w:val="00433B0A"/>
    <w:rsid w:val="00433B34"/>
    <w:rsid w:val="00433B5E"/>
    <w:rsid w:val="00433B7C"/>
    <w:rsid w:val="00433B9A"/>
    <w:rsid w:val="00433C3C"/>
    <w:rsid w:val="00433CAF"/>
    <w:rsid w:val="00433CD7"/>
    <w:rsid w:val="00433CD9"/>
    <w:rsid w:val="00433CEF"/>
    <w:rsid w:val="00433CF7"/>
    <w:rsid w:val="00433D65"/>
    <w:rsid w:val="00433D72"/>
    <w:rsid w:val="00433DC4"/>
    <w:rsid w:val="00433E6D"/>
    <w:rsid w:val="00433E72"/>
    <w:rsid w:val="00433F9B"/>
    <w:rsid w:val="00433FC4"/>
    <w:rsid w:val="00434014"/>
    <w:rsid w:val="004341FA"/>
    <w:rsid w:val="0043434D"/>
    <w:rsid w:val="00434377"/>
    <w:rsid w:val="00434407"/>
    <w:rsid w:val="00434453"/>
    <w:rsid w:val="00434469"/>
    <w:rsid w:val="00434555"/>
    <w:rsid w:val="004345D7"/>
    <w:rsid w:val="004346ED"/>
    <w:rsid w:val="004347D8"/>
    <w:rsid w:val="004348CB"/>
    <w:rsid w:val="004348D9"/>
    <w:rsid w:val="00434930"/>
    <w:rsid w:val="00434941"/>
    <w:rsid w:val="00434961"/>
    <w:rsid w:val="004349DB"/>
    <w:rsid w:val="00434A2A"/>
    <w:rsid w:val="00434BB8"/>
    <w:rsid w:val="00434D27"/>
    <w:rsid w:val="00434E03"/>
    <w:rsid w:val="00434E1D"/>
    <w:rsid w:val="00434E8B"/>
    <w:rsid w:val="00434EAC"/>
    <w:rsid w:val="00434EFD"/>
    <w:rsid w:val="00434F51"/>
    <w:rsid w:val="00434F57"/>
    <w:rsid w:val="00435089"/>
    <w:rsid w:val="00435282"/>
    <w:rsid w:val="00435300"/>
    <w:rsid w:val="00435385"/>
    <w:rsid w:val="00435458"/>
    <w:rsid w:val="004354DC"/>
    <w:rsid w:val="00435544"/>
    <w:rsid w:val="00435622"/>
    <w:rsid w:val="00435726"/>
    <w:rsid w:val="0043578D"/>
    <w:rsid w:val="004357FF"/>
    <w:rsid w:val="004358ED"/>
    <w:rsid w:val="00435949"/>
    <w:rsid w:val="00435AAC"/>
    <w:rsid w:val="00435C05"/>
    <w:rsid w:val="00435C13"/>
    <w:rsid w:val="00435C2A"/>
    <w:rsid w:val="00435C6B"/>
    <w:rsid w:val="00435F27"/>
    <w:rsid w:val="00435F59"/>
    <w:rsid w:val="00435FD4"/>
    <w:rsid w:val="0043616E"/>
    <w:rsid w:val="004361FF"/>
    <w:rsid w:val="0043620A"/>
    <w:rsid w:val="00436229"/>
    <w:rsid w:val="00436244"/>
    <w:rsid w:val="00436256"/>
    <w:rsid w:val="0043626A"/>
    <w:rsid w:val="004362AC"/>
    <w:rsid w:val="0043633F"/>
    <w:rsid w:val="004363D4"/>
    <w:rsid w:val="00436487"/>
    <w:rsid w:val="004364AD"/>
    <w:rsid w:val="004364FD"/>
    <w:rsid w:val="00436553"/>
    <w:rsid w:val="00436720"/>
    <w:rsid w:val="00436735"/>
    <w:rsid w:val="0043674B"/>
    <w:rsid w:val="0043676A"/>
    <w:rsid w:val="00436903"/>
    <w:rsid w:val="00436952"/>
    <w:rsid w:val="00436961"/>
    <w:rsid w:val="00436B58"/>
    <w:rsid w:val="00436B7D"/>
    <w:rsid w:val="00436BE3"/>
    <w:rsid w:val="00436C06"/>
    <w:rsid w:val="00436D4A"/>
    <w:rsid w:val="00436DB0"/>
    <w:rsid w:val="00436DC5"/>
    <w:rsid w:val="00436E15"/>
    <w:rsid w:val="00436E35"/>
    <w:rsid w:val="00436E3D"/>
    <w:rsid w:val="00436EAA"/>
    <w:rsid w:val="00436F0A"/>
    <w:rsid w:val="00436F20"/>
    <w:rsid w:val="00436F29"/>
    <w:rsid w:val="00436F4B"/>
    <w:rsid w:val="00437017"/>
    <w:rsid w:val="00437119"/>
    <w:rsid w:val="00437185"/>
    <w:rsid w:val="00437205"/>
    <w:rsid w:val="00437250"/>
    <w:rsid w:val="00437287"/>
    <w:rsid w:val="004372EE"/>
    <w:rsid w:val="00437313"/>
    <w:rsid w:val="00437315"/>
    <w:rsid w:val="00437388"/>
    <w:rsid w:val="0043744A"/>
    <w:rsid w:val="0043745E"/>
    <w:rsid w:val="00437490"/>
    <w:rsid w:val="004374AF"/>
    <w:rsid w:val="004374DA"/>
    <w:rsid w:val="00437605"/>
    <w:rsid w:val="0043788A"/>
    <w:rsid w:val="00437939"/>
    <w:rsid w:val="00437A22"/>
    <w:rsid w:val="00437A91"/>
    <w:rsid w:val="00437B21"/>
    <w:rsid w:val="00437B76"/>
    <w:rsid w:val="00437B91"/>
    <w:rsid w:val="00437BFC"/>
    <w:rsid w:val="00437BFF"/>
    <w:rsid w:val="00437C68"/>
    <w:rsid w:val="00437CA3"/>
    <w:rsid w:val="00437DF7"/>
    <w:rsid w:val="00437E46"/>
    <w:rsid w:val="00437E49"/>
    <w:rsid w:val="00437F2B"/>
    <w:rsid w:val="00437F8B"/>
    <w:rsid w:val="00437F91"/>
    <w:rsid w:val="0044001A"/>
    <w:rsid w:val="00440088"/>
    <w:rsid w:val="00440118"/>
    <w:rsid w:val="00440284"/>
    <w:rsid w:val="004402E4"/>
    <w:rsid w:val="00440448"/>
    <w:rsid w:val="00440453"/>
    <w:rsid w:val="004405F3"/>
    <w:rsid w:val="004406AF"/>
    <w:rsid w:val="004406D7"/>
    <w:rsid w:val="0044079B"/>
    <w:rsid w:val="00440861"/>
    <w:rsid w:val="004408EE"/>
    <w:rsid w:val="00440909"/>
    <w:rsid w:val="00440964"/>
    <w:rsid w:val="0044097D"/>
    <w:rsid w:val="004409DE"/>
    <w:rsid w:val="00440A0A"/>
    <w:rsid w:val="00440A7C"/>
    <w:rsid w:val="00440A99"/>
    <w:rsid w:val="00440ABD"/>
    <w:rsid w:val="00440B20"/>
    <w:rsid w:val="00440C1B"/>
    <w:rsid w:val="00440C66"/>
    <w:rsid w:val="00440EE8"/>
    <w:rsid w:val="00440F6E"/>
    <w:rsid w:val="00440F73"/>
    <w:rsid w:val="0044100E"/>
    <w:rsid w:val="0044113A"/>
    <w:rsid w:val="0044115F"/>
    <w:rsid w:val="00441232"/>
    <w:rsid w:val="00441320"/>
    <w:rsid w:val="0044135A"/>
    <w:rsid w:val="004413C8"/>
    <w:rsid w:val="0044152F"/>
    <w:rsid w:val="00441559"/>
    <w:rsid w:val="004415C6"/>
    <w:rsid w:val="004415E2"/>
    <w:rsid w:val="0044169D"/>
    <w:rsid w:val="004416DE"/>
    <w:rsid w:val="00441743"/>
    <w:rsid w:val="0044177D"/>
    <w:rsid w:val="00441790"/>
    <w:rsid w:val="00441865"/>
    <w:rsid w:val="00441974"/>
    <w:rsid w:val="004419AF"/>
    <w:rsid w:val="004419DF"/>
    <w:rsid w:val="00441A1B"/>
    <w:rsid w:val="00441A95"/>
    <w:rsid w:val="00441AF5"/>
    <w:rsid w:val="00441BF5"/>
    <w:rsid w:val="00441C30"/>
    <w:rsid w:val="00441CE8"/>
    <w:rsid w:val="00441CF9"/>
    <w:rsid w:val="00441D3B"/>
    <w:rsid w:val="00441D42"/>
    <w:rsid w:val="00441D48"/>
    <w:rsid w:val="00442185"/>
    <w:rsid w:val="0044219E"/>
    <w:rsid w:val="0044227F"/>
    <w:rsid w:val="00442327"/>
    <w:rsid w:val="004423D9"/>
    <w:rsid w:val="004424B4"/>
    <w:rsid w:val="004425B3"/>
    <w:rsid w:val="0044264A"/>
    <w:rsid w:val="0044266C"/>
    <w:rsid w:val="004426FE"/>
    <w:rsid w:val="00442769"/>
    <w:rsid w:val="00442776"/>
    <w:rsid w:val="00442823"/>
    <w:rsid w:val="0044282C"/>
    <w:rsid w:val="00442842"/>
    <w:rsid w:val="004428D3"/>
    <w:rsid w:val="004428F2"/>
    <w:rsid w:val="00442A2F"/>
    <w:rsid w:val="00442ABC"/>
    <w:rsid w:val="00442AFD"/>
    <w:rsid w:val="00442BC3"/>
    <w:rsid w:val="00442BD1"/>
    <w:rsid w:val="00442BE8"/>
    <w:rsid w:val="00442BFB"/>
    <w:rsid w:val="00442CCB"/>
    <w:rsid w:val="00442D5A"/>
    <w:rsid w:val="00442E7F"/>
    <w:rsid w:val="00442F98"/>
    <w:rsid w:val="00442FD1"/>
    <w:rsid w:val="00442FD4"/>
    <w:rsid w:val="00443082"/>
    <w:rsid w:val="004430C4"/>
    <w:rsid w:val="00443111"/>
    <w:rsid w:val="00443158"/>
    <w:rsid w:val="00443178"/>
    <w:rsid w:val="004431B8"/>
    <w:rsid w:val="0044324C"/>
    <w:rsid w:val="00443288"/>
    <w:rsid w:val="00443307"/>
    <w:rsid w:val="0044331C"/>
    <w:rsid w:val="00443339"/>
    <w:rsid w:val="00443396"/>
    <w:rsid w:val="004433B9"/>
    <w:rsid w:val="0044340F"/>
    <w:rsid w:val="0044347F"/>
    <w:rsid w:val="00443532"/>
    <w:rsid w:val="00443559"/>
    <w:rsid w:val="004435DA"/>
    <w:rsid w:val="00443632"/>
    <w:rsid w:val="0044385E"/>
    <w:rsid w:val="00443902"/>
    <w:rsid w:val="00443930"/>
    <w:rsid w:val="004439A3"/>
    <w:rsid w:val="004439CB"/>
    <w:rsid w:val="00443A16"/>
    <w:rsid w:val="00443BAC"/>
    <w:rsid w:val="00443BBC"/>
    <w:rsid w:val="00443BEA"/>
    <w:rsid w:val="00443C21"/>
    <w:rsid w:val="00443D07"/>
    <w:rsid w:val="00443D78"/>
    <w:rsid w:val="00443E0F"/>
    <w:rsid w:val="00443E21"/>
    <w:rsid w:val="00443EA7"/>
    <w:rsid w:val="00443F6C"/>
    <w:rsid w:val="00443FA0"/>
    <w:rsid w:val="00443FCF"/>
    <w:rsid w:val="00443FE6"/>
    <w:rsid w:val="00444058"/>
    <w:rsid w:val="004440D1"/>
    <w:rsid w:val="0044414C"/>
    <w:rsid w:val="0044415D"/>
    <w:rsid w:val="00444197"/>
    <w:rsid w:val="004441A6"/>
    <w:rsid w:val="004441FD"/>
    <w:rsid w:val="0044422B"/>
    <w:rsid w:val="00444264"/>
    <w:rsid w:val="004442AB"/>
    <w:rsid w:val="004442D8"/>
    <w:rsid w:val="00444340"/>
    <w:rsid w:val="0044455F"/>
    <w:rsid w:val="00444573"/>
    <w:rsid w:val="0044458B"/>
    <w:rsid w:val="004445FC"/>
    <w:rsid w:val="0044467A"/>
    <w:rsid w:val="0044495A"/>
    <w:rsid w:val="004449D9"/>
    <w:rsid w:val="00444A7C"/>
    <w:rsid w:val="00444A9D"/>
    <w:rsid w:val="00444B0F"/>
    <w:rsid w:val="00444B10"/>
    <w:rsid w:val="00444B7D"/>
    <w:rsid w:val="00444B99"/>
    <w:rsid w:val="00444BBD"/>
    <w:rsid w:val="00444BD8"/>
    <w:rsid w:val="00444C01"/>
    <w:rsid w:val="00444C54"/>
    <w:rsid w:val="00444DDF"/>
    <w:rsid w:val="00444E35"/>
    <w:rsid w:val="00444E43"/>
    <w:rsid w:val="00444EE2"/>
    <w:rsid w:val="00444F4C"/>
    <w:rsid w:val="00444F77"/>
    <w:rsid w:val="00444FEF"/>
    <w:rsid w:val="00445001"/>
    <w:rsid w:val="00445112"/>
    <w:rsid w:val="00445294"/>
    <w:rsid w:val="004452D1"/>
    <w:rsid w:val="00445329"/>
    <w:rsid w:val="004453E6"/>
    <w:rsid w:val="00445415"/>
    <w:rsid w:val="00445478"/>
    <w:rsid w:val="004454A0"/>
    <w:rsid w:val="004454B9"/>
    <w:rsid w:val="004454CF"/>
    <w:rsid w:val="0044555D"/>
    <w:rsid w:val="004455D0"/>
    <w:rsid w:val="00445723"/>
    <w:rsid w:val="0044576A"/>
    <w:rsid w:val="00445791"/>
    <w:rsid w:val="00445936"/>
    <w:rsid w:val="0044599A"/>
    <w:rsid w:val="00445A48"/>
    <w:rsid w:val="00445AFA"/>
    <w:rsid w:val="00445B7A"/>
    <w:rsid w:val="00445BF2"/>
    <w:rsid w:val="00445C49"/>
    <w:rsid w:val="00445D11"/>
    <w:rsid w:val="00445D72"/>
    <w:rsid w:val="00445E22"/>
    <w:rsid w:val="00445F58"/>
    <w:rsid w:val="00445F6A"/>
    <w:rsid w:val="00445FD8"/>
    <w:rsid w:val="00446088"/>
    <w:rsid w:val="00446138"/>
    <w:rsid w:val="00446198"/>
    <w:rsid w:val="004461AB"/>
    <w:rsid w:val="00446294"/>
    <w:rsid w:val="00446344"/>
    <w:rsid w:val="0044637D"/>
    <w:rsid w:val="0044640D"/>
    <w:rsid w:val="00446462"/>
    <w:rsid w:val="0044658F"/>
    <w:rsid w:val="0044664C"/>
    <w:rsid w:val="0044669A"/>
    <w:rsid w:val="00446738"/>
    <w:rsid w:val="0044677B"/>
    <w:rsid w:val="0044680C"/>
    <w:rsid w:val="00446812"/>
    <w:rsid w:val="00446848"/>
    <w:rsid w:val="0044685C"/>
    <w:rsid w:val="00446932"/>
    <w:rsid w:val="00446947"/>
    <w:rsid w:val="0044699F"/>
    <w:rsid w:val="004469A8"/>
    <w:rsid w:val="00446A5B"/>
    <w:rsid w:val="00446B12"/>
    <w:rsid w:val="00446B85"/>
    <w:rsid w:val="00446B9B"/>
    <w:rsid w:val="00446BC5"/>
    <w:rsid w:val="00446BE5"/>
    <w:rsid w:val="00446D47"/>
    <w:rsid w:val="00446EE2"/>
    <w:rsid w:val="00446FD0"/>
    <w:rsid w:val="00446FE0"/>
    <w:rsid w:val="0044720A"/>
    <w:rsid w:val="00447222"/>
    <w:rsid w:val="00447239"/>
    <w:rsid w:val="00447299"/>
    <w:rsid w:val="0044729C"/>
    <w:rsid w:val="004472E2"/>
    <w:rsid w:val="0044732D"/>
    <w:rsid w:val="00447371"/>
    <w:rsid w:val="00447455"/>
    <w:rsid w:val="00447563"/>
    <w:rsid w:val="00447614"/>
    <w:rsid w:val="00447657"/>
    <w:rsid w:val="0044770F"/>
    <w:rsid w:val="00447740"/>
    <w:rsid w:val="00447761"/>
    <w:rsid w:val="0044779C"/>
    <w:rsid w:val="00447854"/>
    <w:rsid w:val="00447891"/>
    <w:rsid w:val="004478BD"/>
    <w:rsid w:val="004478D2"/>
    <w:rsid w:val="00447A61"/>
    <w:rsid w:val="00447B0F"/>
    <w:rsid w:val="00447B3F"/>
    <w:rsid w:val="00447C64"/>
    <w:rsid w:val="00447D4C"/>
    <w:rsid w:val="00447DAD"/>
    <w:rsid w:val="00447E52"/>
    <w:rsid w:val="00447F09"/>
    <w:rsid w:val="00447F72"/>
    <w:rsid w:val="00450088"/>
    <w:rsid w:val="004500F1"/>
    <w:rsid w:val="00450204"/>
    <w:rsid w:val="00450265"/>
    <w:rsid w:val="004503AC"/>
    <w:rsid w:val="0045041A"/>
    <w:rsid w:val="00450516"/>
    <w:rsid w:val="00450550"/>
    <w:rsid w:val="004505A7"/>
    <w:rsid w:val="004505B3"/>
    <w:rsid w:val="00450700"/>
    <w:rsid w:val="004507B8"/>
    <w:rsid w:val="00450813"/>
    <w:rsid w:val="0045085D"/>
    <w:rsid w:val="0045086D"/>
    <w:rsid w:val="004508CA"/>
    <w:rsid w:val="004508CC"/>
    <w:rsid w:val="004508D4"/>
    <w:rsid w:val="00450904"/>
    <w:rsid w:val="00450A61"/>
    <w:rsid w:val="00450BD8"/>
    <w:rsid w:val="00450CCC"/>
    <w:rsid w:val="00450CE1"/>
    <w:rsid w:val="00450DDF"/>
    <w:rsid w:val="00450DE8"/>
    <w:rsid w:val="00450E26"/>
    <w:rsid w:val="00450EC9"/>
    <w:rsid w:val="00450ECC"/>
    <w:rsid w:val="00450EDA"/>
    <w:rsid w:val="00450F10"/>
    <w:rsid w:val="00450F8F"/>
    <w:rsid w:val="00450FF7"/>
    <w:rsid w:val="0045112A"/>
    <w:rsid w:val="0045115B"/>
    <w:rsid w:val="00451170"/>
    <w:rsid w:val="004511A2"/>
    <w:rsid w:val="00451247"/>
    <w:rsid w:val="00451329"/>
    <w:rsid w:val="00451355"/>
    <w:rsid w:val="00451367"/>
    <w:rsid w:val="004513B9"/>
    <w:rsid w:val="00451419"/>
    <w:rsid w:val="0045143D"/>
    <w:rsid w:val="00451458"/>
    <w:rsid w:val="0045148C"/>
    <w:rsid w:val="00451548"/>
    <w:rsid w:val="004515FD"/>
    <w:rsid w:val="00451639"/>
    <w:rsid w:val="004516A5"/>
    <w:rsid w:val="00451751"/>
    <w:rsid w:val="00451900"/>
    <w:rsid w:val="00451938"/>
    <w:rsid w:val="0045194C"/>
    <w:rsid w:val="00451959"/>
    <w:rsid w:val="00451B9E"/>
    <w:rsid w:val="00451CC5"/>
    <w:rsid w:val="00451CD3"/>
    <w:rsid w:val="00451D14"/>
    <w:rsid w:val="00451D4C"/>
    <w:rsid w:val="00451D4F"/>
    <w:rsid w:val="00451D51"/>
    <w:rsid w:val="00451F93"/>
    <w:rsid w:val="00451FFE"/>
    <w:rsid w:val="004520AD"/>
    <w:rsid w:val="00452227"/>
    <w:rsid w:val="0045228D"/>
    <w:rsid w:val="0045236F"/>
    <w:rsid w:val="004523CB"/>
    <w:rsid w:val="004526A5"/>
    <w:rsid w:val="00452702"/>
    <w:rsid w:val="00452823"/>
    <w:rsid w:val="004528B1"/>
    <w:rsid w:val="004528C8"/>
    <w:rsid w:val="004528D0"/>
    <w:rsid w:val="00452907"/>
    <w:rsid w:val="0045296A"/>
    <w:rsid w:val="00452A6C"/>
    <w:rsid w:val="00452B6D"/>
    <w:rsid w:val="00452C89"/>
    <w:rsid w:val="00452D5B"/>
    <w:rsid w:val="00452D67"/>
    <w:rsid w:val="00452EA6"/>
    <w:rsid w:val="00452F91"/>
    <w:rsid w:val="00452FEB"/>
    <w:rsid w:val="00453024"/>
    <w:rsid w:val="004530C9"/>
    <w:rsid w:val="00453104"/>
    <w:rsid w:val="00453140"/>
    <w:rsid w:val="00453156"/>
    <w:rsid w:val="0045322D"/>
    <w:rsid w:val="0045332F"/>
    <w:rsid w:val="00453394"/>
    <w:rsid w:val="00453423"/>
    <w:rsid w:val="0045346E"/>
    <w:rsid w:val="004534FC"/>
    <w:rsid w:val="004535BE"/>
    <w:rsid w:val="004535F0"/>
    <w:rsid w:val="0045360A"/>
    <w:rsid w:val="00453635"/>
    <w:rsid w:val="0045368E"/>
    <w:rsid w:val="0045369F"/>
    <w:rsid w:val="004536D5"/>
    <w:rsid w:val="004537A0"/>
    <w:rsid w:val="00453882"/>
    <w:rsid w:val="004538BF"/>
    <w:rsid w:val="004538D0"/>
    <w:rsid w:val="0045391D"/>
    <w:rsid w:val="00453925"/>
    <w:rsid w:val="00453984"/>
    <w:rsid w:val="00453A40"/>
    <w:rsid w:val="00453A53"/>
    <w:rsid w:val="00453B3E"/>
    <w:rsid w:val="00453D67"/>
    <w:rsid w:val="00453D6C"/>
    <w:rsid w:val="00453DDD"/>
    <w:rsid w:val="00453E50"/>
    <w:rsid w:val="00453F99"/>
    <w:rsid w:val="00453FAB"/>
    <w:rsid w:val="004540B9"/>
    <w:rsid w:val="004540D9"/>
    <w:rsid w:val="00454142"/>
    <w:rsid w:val="004541ED"/>
    <w:rsid w:val="0045421A"/>
    <w:rsid w:val="004542B4"/>
    <w:rsid w:val="004543D2"/>
    <w:rsid w:val="00454427"/>
    <w:rsid w:val="00454441"/>
    <w:rsid w:val="00454464"/>
    <w:rsid w:val="0045450A"/>
    <w:rsid w:val="004545C2"/>
    <w:rsid w:val="0045470B"/>
    <w:rsid w:val="00454747"/>
    <w:rsid w:val="00454748"/>
    <w:rsid w:val="0045474F"/>
    <w:rsid w:val="004547A8"/>
    <w:rsid w:val="004547FA"/>
    <w:rsid w:val="0045481A"/>
    <w:rsid w:val="0045482D"/>
    <w:rsid w:val="00454889"/>
    <w:rsid w:val="00454915"/>
    <w:rsid w:val="00454A8A"/>
    <w:rsid w:val="00454AFA"/>
    <w:rsid w:val="00454B09"/>
    <w:rsid w:val="00454B8A"/>
    <w:rsid w:val="00454C0D"/>
    <w:rsid w:val="00454C4E"/>
    <w:rsid w:val="00454D3A"/>
    <w:rsid w:val="00454DFA"/>
    <w:rsid w:val="00454E30"/>
    <w:rsid w:val="00454E67"/>
    <w:rsid w:val="00454EB9"/>
    <w:rsid w:val="00454EC1"/>
    <w:rsid w:val="00454EC2"/>
    <w:rsid w:val="00454FBD"/>
    <w:rsid w:val="00454FCD"/>
    <w:rsid w:val="00455006"/>
    <w:rsid w:val="0045501C"/>
    <w:rsid w:val="00455066"/>
    <w:rsid w:val="004550A6"/>
    <w:rsid w:val="004550C4"/>
    <w:rsid w:val="004550DF"/>
    <w:rsid w:val="00455126"/>
    <w:rsid w:val="00455183"/>
    <w:rsid w:val="00455242"/>
    <w:rsid w:val="00455359"/>
    <w:rsid w:val="00455391"/>
    <w:rsid w:val="00455401"/>
    <w:rsid w:val="00455464"/>
    <w:rsid w:val="004554D0"/>
    <w:rsid w:val="00455507"/>
    <w:rsid w:val="004555C9"/>
    <w:rsid w:val="004555D6"/>
    <w:rsid w:val="0045567B"/>
    <w:rsid w:val="004556EC"/>
    <w:rsid w:val="00455760"/>
    <w:rsid w:val="0045577C"/>
    <w:rsid w:val="00455968"/>
    <w:rsid w:val="0045598E"/>
    <w:rsid w:val="004559A5"/>
    <w:rsid w:val="00455A44"/>
    <w:rsid w:val="00455A9F"/>
    <w:rsid w:val="00455B6C"/>
    <w:rsid w:val="00455B76"/>
    <w:rsid w:val="00455B80"/>
    <w:rsid w:val="00455CB9"/>
    <w:rsid w:val="00455E41"/>
    <w:rsid w:val="00455F54"/>
    <w:rsid w:val="00455F79"/>
    <w:rsid w:val="00455FE6"/>
    <w:rsid w:val="00456034"/>
    <w:rsid w:val="00456056"/>
    <w:rsid w:val="0045605E"/>
    <w:rsid w:val="00456123"/>
    <w:rsid w:val="004561D2"/>
    <w:rsid w:val="004561D8"/>
    <w:rsid w:val="004561FA"/>
    <w:rsid w:val="00456233"/>
    <w:rsid w:val="00456274"/>
    <w:rsid w:val="004562EA"/>
    <w:rsid w:val="00456317"/>
    <w:rsid w:val="0045638D"/>
    <w:rsid w:val="004563E9"/>
    <w:rsid w:val="004563FF"/>
    <w:rsid w:val="00456499"/>
    <w:rsid w:val="004564C1"/>
    <w:rsid w:val="00456567"/>
    <w:rsid w:val="00456580"/>
    <w:rsid w:val="004565CF"/>
    <w:rsid w:val="004566D7"/>
    <w:rsid w:val="00456803"/>
    <w:rsid w:val="00456913"/>
    <w:rsid w:val="004569E5"/>
    <w:rsid w:val="00456B60"/>
    <w:rsid w:val="00456B7F"/>
    <w:rsid w:val="00456B9C"/>
    <w:rsid w:val="00456BDE"/>
    <w:rsid w:val="00456BE9"/>
    <w:rsid w:val="00456BF3"/>
    <w:rsid w:val="00456C48"/>
    <w:rsid w:val="00456C95"/>
    <w:rsid w:val="00456D76"/>
    <w:rsid w:val="00456E7F"/>
    <w:rsid w:val="00456E81"/>
    <w:rsid w:val="00456EE8"/>
    <w:rsid w:val="00456F23"/>
    <w:rsid w:val="00456F69"/>
    <w:rsid w:val="00457040"/>
    <w:rsid w:val="00457117"/>
    <w:rsid w:val="00457235"/>
    <w:rsid w:val="00457243"/>
    <w:rsid w:val="00457290"/>
    <w:rsid w:val="00457335"/>
    <w:rsid w:val="00457376"/>
    <w:rsid w:val="0045738A"/>
    <w:rsid w:val="0045741A"/>
    <w:rsid w:val="0045749A"/>
    <w:rsid w:val="0045749C"/>
    <w:rsid w:val="00457666"/>
    <w:rsid w:val="0045767C"/>
    <w:rsid w:val="00457701"/>
    <w:rsid w:val="0045770B"/>
    <w:rsid w:val="00457755"/>
    <w:rsid w:val="004577BC"/>
    <w:rsid w:val="004577C8"/>
    <w:rsid w:val="004577D4"/>
    <w:rsid w:val="00457892"/>
    <w:rsid w:val="00457963"/>
    <w:rsid w:val="004579F8"/>
    <w:rsid w:val="00457A1B"/>
    <w:rsid w:val="00457A6B"/>
    <w:rsid w:val="00457B4A"/>
    <w:rsid w:val="00457BE5"/>
    <w:rsid w:val="00457C16"/>
    <w:rsid w:val="00457C35"/>
    <w:rsid w:val="00457CB2"/>
    <w:rsid w:val="00457D51"/>
    <w:rsid w:val="00457D58"/>
    <w:rsid w:val="00457DDA"/>
    <w:rsid w:val="00457DE8"/>
    <w:rsid w:val="00457E16"/>
    <w:rsid w:val="00457F95"/>
    <w:rsid w:val="004600B9"/>
    <w:rsid w:val="004600D9"/>
    <w:rsid w:val="004600FA"/>
    <w:rsid w:val="004601E9"/>
    <w:rsid w:val="00460232"/>
    <w:rsid w:val="00460351"/>
    <w:rsid w:val="00460358"/>
    <w:rsid w:val="00460389"/>
    <w:rsid w:val="004603FD"/>
    <w:rsid w:val="00460419"/>
    <w:rsid w:val="0046042F"/>
    <w:rsid w:val="00460509"/>
    <w:rsid w:val="00460569"/>
    <w:rsid w:val="00460623"/>
    <w:rsid w:val="00460665"/>
    <w:rsid w:val="00460672"/>
    <w:rsid w:val="00460729"/>
    <w:rsid w:val="00460732"/>
    <w:rsid w:val="00460826"/>
    <w:rsid w:val="004608A7"/>
    <w:rsid w:val="004608AA"/>
    <w:rsid w:val="0046095B"/>
    <w:rsid w:val="004609D0"/>
    <w:rsid w:val="00460B70"/>
    <w:rsid w:val="00460C0E"/>
    <w:rsid w:val="00460D3B"/>
    <w:rsid w:val="00460E02"/>
    <w:rsid w:val="00460EA7"/>
    <w:rsid w:val="00460EAA"/>
    <w:rsid w:val="00460ED2"/>
    <w:rsid w:val="0046103B"/>
    <w:rsid w:val="00461040"/>
    <w:rsid w:val="00461083"/>
    <w:rsid w:val="0046111B"/>
    <w:rsid w:val="00461138"/>
    <w:rsid w:val="0046124C"/>
    <w:rsid w:val="004612CD"/>
    <w:rsid w:val="0046138B"/>
    <w:rsid w:val="0046142A"/>
    <w:rsid w:val="004614AC"/>
    <w:rsid w:val="00461546"/>
    <w:rsid w:val="004615FF"/>
    <w:rsid w:val="0046167C"/>
    <w:rsid w:val="00461691"/>
    <w:rsid w:val="0046169A"/>
    <w:rsid w:val="004616B2"/>
    <w:rsid w:val="0046179D"/>
    <w:rsid w:val="004617F0"/>
    <w:rsid w:val="004617F5"/>
    <w:rsid w:val="00461824"/>
    <w:rsid w:val="00461829"/>
    <w:rsid w:val="0046194C"/>
    <w:rsid w:val="004619A3"/>
    <w:rsid w:val="004619C6"/>
    <w:rsid w:val="00461A25"/>
    <w:rsid w:val="00461A7B"/>
    <w:rsid w:val="00461A86"/>
    <w:rsid w:val="00461B44"/>
    <w:rsid w:val="00461C42"/>
    <w:rsid w:val="00461CA6"/>
    <w:rsid w:val="00461CAD"/>
    <w:rsid w:val="00461CF2"/>
    <w:rsid w:val="00461D52"/>
    <w:rsid w:val="00461D79"/>
    <w:rsid w:val="00461E67"/>
    <w:rsid w:val="00461E8F"/>
    <w:rsid w:val="00461F95"/>
    <w:rsid w:val="00462052"/>
    <w:rsid w:val="00462070"/>
    <w:rsid w:val="00462108"/>
    <w:rsid w:val="0046210A"/>
    <w:rsid w:val="0046213F"/>
    <w:rsid w:val="004621F6"/>
    <w:rsid w:val="00462203"/>
    <w:rsid w:val="00462211"/>
    <w:rsid w:val="0046222A"/>
    <w:rsid w:val="0046230F"/>
    <w:rsid w:val="004623D3"/>
    <w:rsid w:val="004623EB"/>
    <w:rsid w:val="004623FD"/>
    <w:rsid w:val="004624B3"/>
    <w:rsid w:val="00462517"/>
    <w:rsid w:val="00462557"/>
    <w:rsid w:val="004625A0"/>
    <w:rsid w:val="004625D4"/>
    <w:rsid w:val="004625DF"/>
    <w:rsid w:val="004625F5"/>
    <w:rsid w:val="00462611"/>
    <w:rsid w:val="00462690"/>
    <w:rsid w:val="0046276E"/>
    <w:rsid w:val="0046282D"/>
    <w:rsid w:val="004628C4"/>
    <w:rsid w:val="0046293E"/>
    <w:rsid w:val="00462978"/>
    <w:rsid w:val="004629D2"/>
    <w:rsid w:val="00462A3C"/>
    <w:rsid w:val="00462B3B"/>
    <w:rsid w:val="00462B90"/>
    <w:rsid w:val="00462BA1"/>
    <w:rsid w:val="00462C21"/>
    <w:rsid w:val="00462C43"/>
    <w:rsid w:val="00462CAC"/>
    <w:rsid w:val="00462CB0"/>
    <w:rsid w:val="00462CCD"/>
    <w:rsid w:val="00462D8C"/>
    <w:rsid w:val="00462E14"/>
    <w:rsid w:val="00462E98"/>
    <w:rsid w:val="00462EAB"/>
    <w:rsid w:val="00462FBE"/>
    <w:rsid w:val="00463000"/>
    <w:rsid w:val="004630CE"/>
    <w:rsid w:val="0046312E"/>
    <w:rsid w:val="00463162"/>
    <w:rsid w:val="004631AA"/>
    <w:rsid w:val="00463273"/>
    <w:rsid w:val="004632C3"/>
    <w:rsid w:val="004632D7"/>
    <w:rsid w:val="00463357"/>
    <w:rsid w:val="0046336A"/>
    <w:rsid w:val="004633A6"/>
    <w:rsid w:val="004633B4"/>
    <w:rsid w:val="004633D7"/>
    <w:rsid w:val="004633FA"/>
    <w:rsid w:val="00463424"/>
    <w:rsid w:val="00463455"/>
    <w:rsid w:val="004634EF"/>
    <w:rsid w:val="004635EA"/>
    <w:rsid w:val="00463756"/>
    <w:rsid w:val="00463831"/>
    <w:rsid w:val="0046397B"/>
    <w:rsid w:val="004639AC"/>
    <w:rsid w:val="004639E7"/>
    <w:rsid w:val="00463A0D"/>
    <w:rsid w:val="00463A39"/>
    <w:rsid w:val="00463B73"/>
    <w:rsid w:val="00463BC7"/>
    <w:rsid w:val="00463C35"/>
    <w:rsid w:val="00463C8D"/>
    <w:rsid w:val="00463CF5"/>
    <w:rsid w:val="00463D58"/>
    <w:rsid w:val="00463D66"/>
    <w:rsid w:val="00463F3A"/>
    <w:rsid w:val="00463F7E"/>
    <w:rsid w:val="00464018"/>
    <w:rsid w:val="00464041"/>
    <w:rsid w:val="00464100"/>
    <w:rsid w:val="00464105"/>
    <w:rsid w:val="0046413E"/>
    <w:rsid w:val="00464175"/>
    <w:rsid w:val="00464230"/>
    <w:rsid w:val="0046426E"/>
    <w:rsid w:val="00464293"/>
    <w:rsid w:val="00464306"/>
    <w:rsid w:val="00464343"/>
    <w:rsid w:val="004643CA"/>
    <w:rsid w:val="004644B2"/>
    <w:rsid w:val="00464559"/>
    <w:rsid w:val="0046455C"/>
    <w:rsid w:val="0046470B"/>
    <w:rsid w:val="0046471B"/>
    <w:rsid w:val="00464739"/>
    <w:rsid w:val="0046478C"/>
    <w:rsid w:val="00464812"/>
    <w:rsid w:val="00464829"/>
    <w:rsid w:val="004648A7"/>
    <w:rsid w:val="004648A8"/>
    <w:rsid w:val="004648DE"/>
    <w:rsid w:val="00464997"/>
    <w:rsid w:val="00464A17"/>
    <w:rsid w:val="00464AB4"/>
    <w:rsid w:val="00464B11"/>
    <w:rsid w:val="00464C26"/>
    <w:rsid w:val="00464C27"/>
    <w:rsid w:val="00464C41"/>
    <w:rsid w:val="00464C79"/>
    <w:rsid w:val="00464D26"/>
    <w:rsid w:val="00464D9D"/>
    <w:rsid w:val="00464DB3"/>
    <w:rsid w:val="00464DDC"/>
    <w:rsid w:val="00464F19"/>
    <w:rsid w:val="00464FA3"/>
    <w:rsid w:val="004650CB"/>
    <w:rsid w:val="004651C9"/>
    <w:rsid w:val="00465217"/>
    <w:rsid w:val="00465220"/>
    <w:rsid w:val="0046529F"/>
    <w:rsid w:val="00465330"/>
    <w:rsid w:val="0046536F"/>
    <w:rsid w:val="00465374"/>
    <w:rsid w:val="004654FE"/>
    <w:rsid w:val="0046550A"/>
    <w:rsid w:val="0046551C"/>
    <w:rsid w:val="004655B3"/>
    <w:rsid w:val="0046564C"/>
    <w:rsid w:val="00465816"/>
    <w:rsid w:val="00465835"/>
    <w:rsid w:val="0046586E"/>
    <w:rsid w:val="00465885"/>
    <w:rsid w:val="0046589E"/>
    <w:rsid w:val="004658DB"/>
    <w:rsid w:val="004659DF"/>
    <w:rsid w:val="00465A95"/>
    <w:rsid w:val="00465B69"/>
    <w:rsid w:val="00465C47"/>
    <w:rsid w:val="00465CEE"/>
    <w:rsid w:val="00465D46"/>
    <w:rsid w:val="00465E67"/>
    <w:rsid w:val="00465E72"/>
    <w:rsid w:val="00465EA1"/>
    <w:rsid w:val="00465EB2"/>
    <w:rsid w:val="00465EE5"/>
    <w:rsid w:val="00465F82"/>
    <w:rsid w:val="00465FB3"/>
    <w:rsid w:val="0046601A"/>
    <w:rsid w:val="0046605C"/>
    <w:rsid w:val="0046609C"/>
    <w:rsid w:val="004660AD"/>
    <w:rsid w:val="004660F6"/>
    <w:rsid w:val="004661A0"/>
    <w:rsid w:val="004661BF"/>
    <w:rsid w:val="004661D2"/>
    <w:rsid w:val="0046621C"/>
    <w:rsid w:val="00466240"/>
    <w:rsid w:val="0046625C"/>
    <w:rsid w:val="004662DE"/>
    <w:rsid w:val="004662F2"/>
    <w:rsid w:val="00466339"/>
    <w:rsid w:val="00466540"/>
    <w:rsid w:val="00466621"/>
    <w:rsid w:val="0046665C"/>
    <w:rsid w:val="0046668E"/>
    <w:rsid w:val="0046670A"/>
    <w:rsid w:val="004667DE"/>
    <w:rsid w:val="00466952"/>
    <w:rsid w:val="00466A43"/>
    <w:rsid w:val="00466A5D"/>
    <w:rsid w:val="00466B57"/>
    <w:rsid w:val="00466BCD"/>
    <w:rsid w:val="00466C7E"/>
    <w:rsid w:val="00466D14"/>
    <w:rsid w:val="00466D43"/>
    <w:rsid w:val="00466D7D"/>
    <w:rsid w:val="00466DA5"/>
    <w:rsid w:val="00466E2C"/>
    <w:rsid w:val="00466E32"/>
    <w:rsid w:val="00466E46"/>
    <w:rsid w:val="00466EC7"/>
    <w:rsid w:val="00466FA8"/>
    <w:rsid w:val="00466FBF"/>
    <w:rsid w:val="00467034"/>
    <w:rsid w:val="00467093"/>
    <w:rsid w:val="004670A8"/>
    <w:rsid w:val="004670AA"/>
    <w:rsid w:val="0046714E"/>
    <w:rsid w:val="00467376"/>
    <w:rsid w:val="004674CB"/>
    <w:rsid w:val="0046750D"/>
    <w:rsid w:val="00467563"/>
    <w:rsid w:val="004675EA"/>
    <w:rsid w:val="00467625"/>
    <w:rsid w:val="004676E2"/>
    <w:rsid w:val="004676E9"/>
    <w:rsid w:val="00467755"/>
    <w:rsid w:val="004677BA"/>
    <w:rsid w:val="004677FC"/>
    <w:rsid w:val="00467825"/>
    <w:rsid w:val="00467834"/>
    <w:rsid w:val="004678E9"/>
    <w:rsid w:val="00467912"/>
    <w:rsid w:val="00467917"/>
    <w:rsid w:val="0046794D"/>
    <w:rsid w:val="00467989"/>
    <w:rsid w:val="004679C7"/>
    <w:rsid w:val="00467A46"/>
    <w:rsid w:val="00467A5C"/>
    <w:rsid w:val="00467ADA"/>
    <w:rsid w:val="00467B14"/>
    <w:rsid w:val="00467B3E"/>
    <w:rsid w:val="00467C8F"/>
    <w:rsid w:val="00467E41"/>
    <w:rsid w:val="00467E53"/>
    <w:rsid w:val="00467E64"/>
    <w:rsid w:val="00467F07"/>
    <w:rsid w:val="00467F3E"/>
    <w:rsid w:val="00467F8A"/>
    <w:rsid w:val="00467F8B"/>
    <w:rsid w:val="00467FAE"/>
    <w:rsid w:val="00470017"/>
    <w:rsid w:val="0047003E"/>
    <w:rsid w:val="0047012E"/>
    <w:rsid w:val="00470242"/>
    <w:rsid w:val="00470261"/>
    <w:rsid w:val="00470267"/>
    <w:rsid w:val="004702BD"/>
    <w:rsid w:val="004702DE"/>
    <w:rsid w:val="004702EB"/>
    <w:rsid w:val="00470347"/>
    <w:rsid w:val="004704A7"/>
    <w:rsid w:val="00470621"/>
    <w:rsid w:val="0047062E"/>
    <w:rsid w:val="00470680"/>
    <w:rsid w:val="004706D2"/>
    <w:rsid w:val="0047070E"/>
    <w:rsid w:val="004707BC"/>
    <w:rsid w:val="004707DA"/>
    <w:rsid w:val="0047091C"/>
    <w:rsid w:val="00470938"/>
    <w:rsid w:val="004709E1"/>
    <w:rsid w:val="00470A51"/>
    <w:rsid w:val="00470A9D"/>
    <w:rsid w:val="00470AAA"/>
    <w:rsid w:val="00470C89"/>
    <w:rsid w:val="00470CAD"/>
    <w:rsid w:val="00470CE4"/>
    <w:rsid w:val="00470DDE"/>
    <w:rsid w:val="00470E6A"/>
    <w:rsid w:val="00470F76"/>
    <w:rsid w:val="00470F7C"/>
    <w:rsid w:val="00470FE1"/>
    <w:rsid w:val="00470FFF"/>
    <w:rsid w:val="0047103B"/>
    <w:rsid w:val="0047108B"/>
    <w:rsid w:val="00471111"/>
    <w:rsid w:val="00471188"/>
    <w:rsid w:val="004711F9"/>
    <w:rsid w:val="00471390"/>
    <w:rsid w:val="00471407"/>
    <w:rsid w:val="00471409"/>
    <w:rsid w:val="00471418"/>
    <w:rsid w:val="0047141D"/>
    <w:rsid w:val="00471430"/>
    <w:rsid w:val="0047144B"/>
    <w:rsid w:val="0047147B"/>
    <w:rsid w:val="00471527"/>
    <w:rsid w:val="004716DE"/>
    <w:rsid w:val="004716FE"/>
    <w:rsid w:val="00471721"/>
    <w:rsid w:val="004717AC"/>
    <w:rsid w:val="004717FF"/>
    <w:rsid w:val="00471816"/>
    <w:rsid w:val="00471939"/>
    <w:rsid w:val="00471981"/>
    <w:rsid w:val="004719C2"/>
    <w:rsid w:val="004719F8"/>
    <w:rsid w:val="00471A2A"/>
    <w:rsid w:val="00471A2B"/>
    <w:rsid w:val="00471AD4"/>
    <w:rsid w:val="00471AF7"/>
    <w:rsid w:val="00471AFE"/>
    <w:rsid w:val="00471B16"/>
    <w:rsid w:val="00471B6F"/>
    <w:rsid w:val="00471B83"/>
    <w:rsid w:val="00471B94"/>
    <w:rsid w:val="00471C40"/>
    <w:rsid w:val="00471C6C"/>
    <w:rsid w:val="00471CD8"/>
    <w:rsid w:val="00471D8A"/>
    <w:rsid w:val="00471E2B"/>
    <w:rsid w:val="00471EBF"/>
    <w:rsid w:val="00471ED0"/>
    <w:rsid w:val="00472019"/>
    <w:rsid w:val="00472060"/>
    <w:rsid w:val="0047208C"/>
    <w:rsid w:val="004720F9"/>
    <w:rsid w:val="00472114"/>
    <w:rsid w:val="0047211C"/>
    <w:rsid w:val="00472140"/>
    <w:rsid w:val="00472211"/>
    <w:rsid w:val="00472245"/>
    <w:rsid w:val="004722C2"/>
    <w:rsid w:val="00472365"/>
    <w:rsid w:val="0047236E"/>
    <w:rsid w:val="004723B9"/>
    <w:rsid w:val="004724A6"/>
    <w:rsid w:val="00472556"/>
    <w:rsid w:val="004725FF"/>
    <w:rsid w:val="00472617"/>
    <w:rsid w:val="0047276E"/>
    <w:rsid w:val="0047277A"/>
    <w:rsid w:val="0047277D"/>
    <w:rsid w:val="00472803"/>
    <w:rsid w:val="004728C4"/>
    <w:rsid w:val="004728C5"/>
    <w:rsid w:val="004728F1"/>
    <w:rsid w:val="00472A1A"/>
    <w:rsid w:val="00472AB3"/>
    <w:rsid w:val="00472ABE"/>
    <w:rsid w:val="00472AC9"/>
    <w:rsid w:val="00472B52"/>
    <w:rsid w:val="00472B71"/>
    <w:rsid w:val="00472B98"/>
    <w:rsid w:val="00472BAA"/>
    <w:rsid w:val="00472C2B"/>
    <w:rsid w:val="00472C77"/>
    <w:rsid w:val="00472D99"/>
    <w:rsid w:val="00472DA3"/>
    <w:rsid w:val="00472F12"/>
    <w:rsid w:val="00472FB5"/>
    <w:rsid w:val="00473024"/>
    <w:rsid w:val="00473054"/>
    <w:rsid w:val="004730AE"/>
    <w:rsid w:val="004730F4"/>
    <w:rsid w:val="0047314B"/>
    <w:rsid w:val="0047322A"/>
    <w:rsid w:val="00473265"/>
    <w:rsid w:val="00473290"/>
    <w:rsid w:val="004733FE"/>
    <w:rsid w:val="00473432"/>
    <w:rsid w:val="00473443"/>
    <w:rsid w:val="004734BC"/>
    <w:rsid w:val="0047352B"/>
    <w:rsid w:val="004735CA"/>
    <w:rsid w:val="004736E2"/>
    <w:rsid w:val="00473794"/>
    <w:rsid w:val="00473796"/>
    <w:rsid w:val="0047383A"/>
    <w:rsid w:val="0047387A"/>
    <w:rsid w:val="0047388F"/>
    <w:rsid w:val="00473936"/>
    <w:rsid w:val="004739E7"/>
    <w:rsid w:val="00473A10"/>
    <w:rsid w:val="00473A14"/>
    <w:rsid w:val="00473A1C"/>
    <w:rsid w:val="00473AA6"/>
    <w:rsid w:val="00473B27"/>
    <w:rsid w:val="00473C46"/>
    <w:rsid w:val="00473D4E"/>
    <w:rsid w:val="00473D78"/>
    <w:rsid w:val="00473DBC"/>
    <w:rsid w:val="00473DF7"/>
    <w:rsid w:val="00473E2A"/>
    <w:rsid w:val="00473E6A"/>
    <w:rsid w:val="00473E86"/>
    <w:rsid w:val="00473E96"/>
    <w:rsid w:val="00473EE4"/>
    <w:rsid w:val="00473EFF"/>
    <w:rsid w:val="00473F27"/>
    <w:rsid w:val="00473F53"/>
    <w:rsid w:val="00473FAD"/>
    <w:rsid w:val="00474107"/>
    <w:rsid w:val="00474124"/>
    <w:rsid w:val="004741A6"/>
    <w:rsid w:val="004741A9"/>
    <w:rsid w:val="004741AC"/>
    <w:rsid w:val="004741BD"/>
    <w:rsid w:val="004741D5"/>
    <w:rsid w:val="0047422C"/>
    <w:rsid w:val="004742A2"/>
    <w:rsid w:val="0047436E"/>
    <w:rsid w:val="004743A4"/>
    <w:rsid w:val="004743F4"/>
    <w:rsid w:val="00474608"/>
    <w:rsid w:val="00474641"/>
    <w:rsid w:val="004746B6"/>
    <w:rsid w:val="004746D1"/>
    <w:rsid w:val="00474736"/>
    <w:rsid w:val="0047473A"/>
    <w:rsid w:val="0047473C"/>
    <w:rsid w:val="0047478F"/>
    <w:rsid w:val="004747FA"/>
    <w:rsid w:val="0047486D"/>
    <w:rsid w:val="00474922"/>
    <w:rsid w:val="00474943"/>
    <w:rsid w:val="00474A28"/>
    <w:rsid w:val="00474A4D"/>
    <w:rsid w:val="00474B98"/>
    <w:rsid w:val="00474BA7"/>
    <w:rsid w:val="00474BB0"/>
    <w:rsid w:val="00474BD8"/>
    <w:rsid w:val="00474BF5"/>
    <w:rsid w:val="00474C38"/>
    <w:rsid w:val="00474D0E"/>
    <w:rsid w:val="00474DC6"/>
    <w:rsid w:val="00474E38"/>
    <w:rsid w:val="00474E5A"/>
    <w:rsid w:val="00474ECD"/>
    <w:rsid w:val="00474EF9"/>
    <w:rsid w:val="00474FA2"/>
    <w:rsid w:val="00474FE3"/>
    <w:rsid w:val="00475009"/>
    <w:rsid w:val="0047500F"/>
    <w:rsid w:val="004750B3"/>
    <w:rsid w:val="004750C9"/>
    <w:rsid w:val="004750E3"/>
    <w:rsid w:val="00475116"/>
    <w:rsid w:val="00475159"/>
    <w:rsid w:val="004751B1"/>
    <w:rsid w:val="004751BA"/>
    <w:rsid w:val="004751DC"/>
    <w:rsid w:val="0047522F"/>
    <w:rsid w:val="004752B4"/>
    <w:rsid w:val="004752C0"/>
    <w:rsid w:val="004752E8"/>
    <w:rsid w:val="004753EE"/>
    <w:rsid w:val="00475469"/>
    <w:rsid w:val="00475470"/>
    <w:rsid w:val="00475531"/>
    <w:rsid w:val="004755A5"/>
    <w:rsid w:val="0047563A"/>
    <w:rsid w:val="00475678"/>
    <w:rsid w:val="004756B2"/>
    <w:rsid w:val="0047572E"/>
    <w:rsid w:val="00475791"/>
    <w:rsid w:val="004757BE"/>
    <w:rsid w:val="00475816"/>
    <w:rsid w:val="00475825"/>
    <w:rsid w:val="0047587E"/>
    <w:rsid w:val="00475881"/>
    <w:rsid w:val="00475891"/>
    <w:rsid w:val="004758A7"/>
    <w:rsid w:val="004758D7"/>
    <w:rsid w:val="00475912"/>
    <w:rsid w:val="00475974"/>
    <w:rsid w:val="004759C6"/>
    <w:rsid w:val="004759DF"/>
    <w:rsid w:val="00475B02"/>
    <w:rsid w:val="00475C71"/>
    <w:rsid w:val="00475CB0"/>
    <w:rsid w:val="00475CE9"/>
    <w:rsid w:val="00475D70"/>
    <w:rsid w:val="00475E70"/>
    <w:rsid w:val="00475E78"/>
    <w:rsid w:val="00475E90"/>
    <w:rsid w:val="00475E96"/>
    <w:rsid w:val="00475F3E"/>
    <w:rsid w:val="00475FE5"/>
    <w:rsid w:val="00475FF7"/>
    <w:rsid w:val="0047601F"/>
    <w:rsid w:val="00476040"/>
    <w:rsid w:val="0047604B"/>
    <w:rsid w:val="004760D4"/>
    <w:rsid w:val="004762C7"/>
    <w:rsid w:val="00476350"/>
    <w:rsid w:val="004763EA"/>
    <w:rsid w:val="004764CC"/>
    <w:rsid w:val="004764F6"/>
    <w:rsid w:val="0047654A"/>
    <w:rsid w:val="0047654D"/>
    <w:rsid w:val="00476606"/>
    <w:rsid w:val="0047666F"/>
    <w:rsid w:val="00476729"/>
    <w:rsid w:val="00476862"/>
    <w:rsid w:val="00476863"/>
    <w:rsid w:val="004768A6"/>
    <w:rsid w:val="004768B7"/>
    <w:rsid w:val="004768C0"/>
    <w:rsid w:val="00476923"/>
    <w:rsid w:val="004769CF"/>
    <w:rsid w:val="004769ED"/>
    <w:rsid w:val="00476AE0"/>
    <w:rsid w:val="00476AE4"/>
    <w:rsid w:val="00476AF5"/>
    <w:rsid w:val="00476B03"/>
    <w:rsid w:val="00476BA0"/>
    <w:rsid w:val="00476BBC"/>
    <w:rsid w:val="00476BFD"/>
    <w:rsid w:val="00476C3F"/>
    <w:rsid w:val="00476CB2"/>
    <w:rsid w:val="00476CB5"/>
    <w:rsid w:val="00476CB7"/>
    <w:rsid w:val="00476CB8"/>
    <w:rsid w:val="00476CD2"/>
    <w:rsid w:val="00476E4D"/>
    <w:rsid w:val="00476E85"/>
    <w:rsid w:val="00476E93"/>
    <w:rsid w:val="00476EF4"/>
    <w:rsid w:val="00476EFB"/>
    <w:rsid w:val="00476F55"/>
    <w:rsid w:val="00476FBE"/>
    <w:rsid w:val="00477025"/>
    <w:rsid w:val="00477040"/>
    <w:rsid w:val="00477063"/>
    <w:rsid w:val="00477076"/>
    <w:rsid w:val="004770C9"/>
    <w:rsid w:val="004770E2"/>
    <w:rsid w:val="00477118"/>
    <w:rsid w:val="00477155"/>
    <w:rsid w:val="004771DA"/>
    <w:rsid w:val="0047727E"/>
    <w:rsid w:val="004772BA"/>
    <w:rsid w:val="004772D4"/>
    <w:rsid w:val="00477376"/>
    <w:rsid w:val="00477386"/>
    <w:rsid w:val="004773EA"/>
    <w:rsid w:val="004773F8"/>
    <w:rsid w:val="004774AF"/>
    <w:rsid w:val="00477518"/>
    <w:rsid w:val="0047754C"/>
    <w:rsid w:val="00477580"/>
    <w:rsid w:val="004775A0"/>
    <w:rsid w:val="004775D5"/>
    <w:rsid w:val="00477632"/>
    <w:rsid w:val="0047768D"/>
    <w:rsid w:val="00477707"/>
    <w:rsid w:val="00477717"/>
    <w:rsid w:val="00477845"/>
    <w:rsid w:val="00477884"/>
    <w:rsid w:val="00477893"/>
    <w:rsid w:val="00477928"/>
    <w:rsid w:val="00477977"/>
    <w:rsid w:val="004779CB"/>
    <w:rsid w:val="00477B95"/>
    <w:rsid w:val="00477BB7"/>
    <w:rsid w:val="00477C5A"/>
    <w:rsid w:val="00477E39"/>
    <w:rsid w:val="00477F5E"/>
    <w:rsid w:val="00477FCA"/>
    <w:rsid w:val="00480071"/>
    <w:rsid w:val="0048008C"/>
    <w:rsid w:val="00480125"/>
    <w:rsid w:val="00480207"/>
    <w:rsid w:val="0048023A"/>
    <w:rsid w:val="00480341"/>
    <w:rsid w:val="0048034E"/>
    <w:rsid w:val="0048037A"/>
    <w:rsid w:val="004803F3"/>
    <w:rsid w:val="004804C6"/>
    <w:rsid w:val="004804E3"/>
    <w:rsid w:val="00480526"/>
    <w:rsid w:val="004805DB"/>
    <w:rsid w:val="0048064D"/>
    <w:rsid w:val="004806A9"/>
    <w:rsid w:val="004806BC"/>
    <w:rsid w:val="004806D2"/>
    <w:rsid w:val="00480715"/>
    <w:rsid w:val="0048078A"/>
    <w:rsid w:val="004808F1"/>
    <w:rsid w:val="004809AE"/>
    <w:rsid w:val="004809CC"/>
    <w:rsid w:val="004809D6"/>
    <w:rsid w:val="004809E0"/>
    <w:rsid w:val="00480B53"/>
    <w:rsid w:val="00480C31"/>
    <w:rsid w:val="00480C5A"/>
    <w:rsid w:val="00480CAB"/>
    <w:rsid w:val="00480CB0"/>
    <w:rsid w:val="00480CE9"/>
    <w:rsid w:val="00480D33"/>
    <w:rsid w:val="00480E4A"/>
    <w:rsid w:val="00480EE0"/>
    <w:rsid w:val="00480F8B"/>
    <w:rsid w:val="00480FB2"/>
    <w:rsid w:val="00480FE1"/>
    <w:rsid w:val="00481000"/>
    <w:rsid w:val="0048106B"/>
    <w:rsid w:val="004810BE"/>
    <w:rsid w:val="004810D0"/>
    <w:rsid w:val="00481149"/>
    <w:rsid w:val="00481215"/>
    <w:rsid w:val="0048127B"/>
    <w:rsid w:val="004812E8"/>
    <w:rsid w:val="004812ED"/>
    <w:rsid w:val="004813D0"/>
    <w:rsid w:val="00481495"/>
    <w:rsid w:val="004814A6"/>
    <w:rsid w:val="00481540"/>
    <w:rsid w:val="004815E7"/>
    <w:rsid w:val="00481626"/>
    <w:rsid w:val="00481805"/>
    <w:rsid w:val="00481873"/>
    <w:rsid w:val="004818BC"/>
    <w:rsid w:val="0048194E"/>
    <w:rsid w:val="004819FD"/>
    <w:rsid w:val="00481A3E"/>
    <w:rsid w:val="00481A5F"/>
    <w:rsid w:val="00481AD4"/>
    <w:rsid w:val="00481B17"/>
    <w:rsid w:val="00481B1F"/>
    <w:rsid w:val="00481C41"/>
    <w:rsid w:val="00481C4E"/>
    <w:rsid w:val="00481DA0"/>
    <w:rsid w:val="00481DE1"/>
    <w:rsid w:val="00481EA0"/>
    <w:rsid w:val="00481F7D"/>
    <w:rsid w:val="00481F81"/>
    <w:rsid w:val="00482062"/>
    <w:rsid w:val="00482154"/>
    <w:rsid w:val="004822E0"/>
    <w:rsid w:val="00482319"/>
    <w:rsid w:val="00482325"/>
    <w:rsid w:val="00482369"/>
    <w:rsid w:val="00482374"/>
    <w:rsid w:val="0048237B"/>
    <w:rsid w:val="004823C3"/>
    <w:rsid w:val="004823F1"/>
    <w:rsid w:val="00482409"/>
    <w:rsid w:val="00482413"/>
    <w:rsid w:val="0048248B"/>
    <w:rsid w:val="004824DE"/>
    <w:rsid w:val="00482592"/>
    <w:rsid w:val="004825F5"/>
    <w:rsid w:val="00482763"/>
    <w:rsid w:val="004827DA"/>
    <w:rsid w:val="004827EE"/>
    <w:rsid w:val="0048285E"/>
    <w:rsid w:val="004828EF"/>
    <w:rsid w:val="00482921"/>
    <w:rsid w:val="004829A7"/>
    <w:rsid w:val="004829BC"/>
    <w:rsid w:val="00482B00"/>
    <w:rsid w:val="00482C15"/>
    <w:rsid w:val="00482C76"/>
    <w:rsid w:val="00482D15"/>
    <w:rsid w:val="00482D7D"/>
    <w:rsid w:val="00482DAE"/>
    <w:rsid w:val="00482DC8"/>
    <w:rsid w:val="00482F01"/>
    <w:rsid w:val="00482F6F"/>
    <w:rsid w:val="00482FB0"/>
    <w:rsid w:val="00482FEE"/>
    <w:rsid w:val="00482FF6"/>
    <w:rsid w:val="00483029"/>
    <w:rsid w:val="00483073"/>
    <w:rsid w:val="004830FF"/>
    <w:rsid w:val="00483157"/>
    <w:rsid w:val="004831AA"/>
    <w:rsid w:val="004832F9"/>
    <w:rsid w:val="00483308"/>
    <w:rsid w:val="00483447"/>
    <w:rsid w:val="00483448"/>
    <w:rsid w:val="004835FE"/>
    <w:rsid w:val="0048361A"/>
    <w:rsid w:val="00483642"/>
    <w:rsid w:val="00483645"/>
    <w:rsid w:val="0048367B"/>
    <w:rsid w:val="00483705"/>
    <w:rsid w:val="00483722"/>
    <w:rsid w:val="00483762"/>
    <w:rsid w:val="004837A1"/>
    <w:rsid w:val="00483838"/>
    <w:rsid w:val="00483878"/>
    <w:rsid w:val="004838ED"/>
    <w:rsid w:val="00483914"/>
    <w:rsid w:val="0048391C"/>
    <w:rsid w:val="00483A3B"/>
    <w:rsid w:val="00483A9E"/>
    <w:rsid w:val="00483BBF"/>
    <w:rsid w:val="00483C84"/>
    <w:rsid w:val="00483CB1"/>
    <w:rsid w:val="00483CEA"/>
    <w:rsid w:val="00483DBD"/>
    <w:rsid w:val="00483F22"/>
    <w:rsid w:val="00484056"/>
    <w:rsid w:val="00484087"/>
    <w:rsid w:val="00484160"/>
    <w:rsid w:val="00484275"/>
    <w:rsid w:val="004842EB"/>
    <w:rsid w:val="004842FF"/>
    <w:rsid w:val="00484365"/>
    <w:rsid w:val="0048438A"/>
    <w:rsid w:val="0048441F"/>
    <w:rsid w:val="00484512"/>
    <w:rsid w:val="00484541"/>
    <w:rsid w:val="00484560"/>
    <w:rsid w:val="004845E0"/>
    <w:rsid w:val="0048464F"/>
    <w:rsid w:val="004846C5"/>
    <w:rsid w:val="004846E5"/>
    <w:rsid w:val="00484722"/>
    <w:rsid w:val="0048477D"/>
    <w:rsid w:val="00484785"/>
    <w:rsid w:val="00484921"/>
    <w:rsid w:val="004849B4"/>
    <w:rsid w:val="00484A05"/>
    <w:rsid w:val="00484A14"/>
    <w:rsid w:val="00484A23"/>
    <w:rsid w:val="00484A98"/>
    <w:rsid w:val="00484BB2"/>
    <w:rsid w:val="00484BBD"/>
    <w:rsid w:val="00484C32"/>
    <w:rsid w:val="00484C7B"/>
    <w:rsid w:val="00484C9C"/>
    <w:rsid w:val="00484CE7"/>
    <w:rsid w:val="00484CE9"/>
    <w:rsid w:val="00484D83"/>
    <w:rsid w:val="00484DC6"/>
    <w:rsid w:val="00484DE8"/>
    <w:rsid w:val="00484F46"/>
    <w:rsid w:val="00484F8B"/>
    <w:rsid w:val="00484FD5"/>
    <w:rsid w:val="00484FE8"/>
    <w:rsid w:val="00485138"/>
    <w:rsid w:val="0048513F"/>
    <w:rsid w:val="00485167"/>
    <w:rsid w:val="004851AE"/>
    <w:rsid w:val="004851E2"/>
    <w:rsid w:val="0048522A"/>
    <w:rsid w:val="00485299"/>
    <w:rsid w:val="004852BB"/>
    <w:rsid w:val="00485300"/>
    <w:rsid w:val="00485358"/>
    <w:rsid w:val="0048540D"/>
    <w:rsid w:val="00485482"/>
    <w:rsid w:val="00485580"/>
    <w:rsid w:val="004855E4"/>
    <w:rsid w:val="00485670"/>
    <w:rsid w:val="00485677"/>
    <w:rsid w:val="00485710"/>
    <w:rsid w:val="0048589E"/>
    <w:rsid w:val="004858A5"/>
    <w:rsid w:val="00485A61"/>
    <w:rsid w:val="00485AE0"/>
    <w:rsid w:val="00485BAA"/>
    <w:rsid w:val="00485BB7"/>
    <w:rsid w:val="00485BC3"/>
    <w:rsid w:val="00485C1D"/>
    <w:rsid w:val="00485D2F"/>
    <w:rsid w:val="00485DE4"/>
    <w:rsid w:val="00485E42"/>
    <w:rsid w:val="00485F92"/>
    <w:rsid w:val="00485FBA"/>
    <w:rsid w:val="00485FE4"/>
    <w:rsid w:val="00486012"/>
    <w:rsid w:val="00486066"/>
    <w:rsid w:val="0048617C"/>
    <w:rsid w:val="0048618F"/>
    <w:rsid w:val="004861E8"/>
    <w:rsid w:val="00486235"/>
    <w:rsid w:val="00486448"/>
    <w:rsid w:val="00486453"/>
    <w:rsid w:val="0048646A"/>
    <w:rsid w:val="00486470"/>
    <w:rsid w:val="0048648D"/>
    <w:rsid w:val="004864EF"/>
    <w:rsid w:val="0048658B"/>
    <w:rsid w:val="0048659D"/>
    <w:rsid w:val="0048659F"/>
    <w:rsid w:val="004865B5"/>
    <w:rsid w:val="004865ED"/>
    <w:rsid w:val="00486600"/>
    <w:rsid w:val="00486611"/>
    <w:rsid w:val="00486691"/>
    <w:rsid w:val="00486692"/>
    <w:rsid w:val="00486744"/>
    <w:rsid w:val="004867A5"/>
    <w:rsid w:val="004867C2"/>
    <w:rsid w:val="004867E9"/>
    <w:rsid w:val="004867FD"/>
    <w:rsid w:val="00486840"/>
    <w:rsid w:val="004868B9"/>
    <w:rsid w:val="004868BE"/>
    <w:rsid w:val="0048698B"/>
    <w:rsid w:val="0048699A"/>
    <w:rsid w:val="004869D2"/>
    <w:rsid w:val="00486A13"/>
    <w:rsid w:val="00486A7D"/>
    <w:rsid w:val="00486AA3"/>
    <w:rsid w:val="00486B9A"/>
    <w:rsid w:val="00486BF6"/>
    <w:rsid w:val="00486C18"/>
    <w:rsid w:val="00486C7C"/>
    <w:rsid w:val="00486E05"/>
    <w:rsid w:val="00486E3B"/>
    <w:rsid w:val="00486E89"/>
    <w:rsid w:val="00486F61"/>
    <w:rsid w:val="00487001"/>
    <w:rsid w:val="004870A7"/>
    <w:rsid w:val="004870F5"/>
    <w:rsid w:val="004871E4"/>
    <w:rsid w:val="00487285"/>
    <w:rsid w:val="0048728C"/>
    <w:rsid w:val="004872D7"/>
    <w:rsid w:val="00487318"/>
    <w:rsid w:val="004873C8"/>
    <w:rsid w:val="00487452"/>
    <w:rsid w:val="0048747B"/>
    <w:rsid w:val="004874DF"/>
    <w:rsid w:val="00487696"/>
    <w:rsid w:val="004877A9"/>
    <w:rsid w:val="0048784B"/>
    <w:rsid w:val="00487893"/>
    <w:rsid w:val="0048793A"/>
    <w:rsid w:val="0048794D"/>
    <w:rsid w:val="00487A3F"/>
    <w:rsid w:val="00487A5B"/>
    <w:rsid w:val="00487C0F"/>
    <w:rsid w:val="00487C2D"/>
    <w:rsid w:val="00487E7C"/>
    <w:rsid w:val="00487F10"/>
    <w:rsid w:val="00487F13"/>
    <w:rsid w:val="00490067"/>
    <w:rsid w:val="004900C7"/>
    <w:rsid w:val="0049010B"/>
    <w:rsid w:val="004901C1"/>
    <w:rsid w:val="00490345"/>
    <w:rsid w:val="0049051B"/>
    <w:rsid w:val="00490575"/>
    <w:rsid w:val="0049060E"/>
    <w:rsid w:val="00490711"/>
    <w:rsid w:val="00490759"/>
    <w:rsid w:val="0049078F"/>
    <w:rsid w:val="004907A1"/>
    <w:rsid w:val="004907A7"/>
    <w:rsid w:val="004908B0"/>
    <w:rsid w:val="00490937"/>
    <w:rsid w:val="004909B3"/>
    <w:rsid w:val="00490A5F"/>
    <w:rsid w:val="00490AA4"/>
    <w:rsid w:val="00490AA5"/>
    <w:rsid w:val="00490B21"/>
    <w:rsid w:val="00490B2A"/>
    <w:rsid w:val="00490B8A"/>
    <w:rsid w:val="00490BCA"/>
    <w:rsid w:val="00490BD7"/>
    <w:rsid w:val="00490C49"/>
    <w:rsid w:val="00490CF3"/>
    <w:rsid w:val="00490D49"/>
    <w:rsid w:val="00490D5C"/>
    <w:rsid w:val="00490F2D"/>
    <w:rsid w:val="00490F2E"/>
    <w:rsid w:val="00490FAD"/>
    <w:rsid w:val="00490FC2"/>
    <w:rsid w:val="00490FD5"/>
    <w:rsid w:val="0049116F"/>
    <w:rsid w:val="00491193"/>
    <w:rsid w:val="004911D8"/>
    <w:rsid w:val="004911F7"/>
    <w:rsid w:val="00491215"/>
    <w:rsid w:val="0049121F"/>
    <w:rsid w:val="00491251"/>
    <w:rsid w:val="004912E3"/>
    <w:rsid w:val="004912FD"/>
    <w:rsid w:val="0049142D"/>
    <w:rsid w:val="00491440"/>
    <w:rsid w:val="004914A3"/>
    <w:rsid w:val="004914E9"/>
    <w:rsid w:val="00491567"/>
    <w:rsid w:val="0049156E"/>
    <w:rsid w:val="00491780"/>
    <w:rsid w:val="004917EB"/>
    <w:rsid w:val="0049184A"/>
    <w:rsid w:val="0049195E"/>
    <w:rsid w:val="00491B0E"/>
    <w:rsid w:val="00491B49"/>
    <w:rsid w:val="00491BAD"/>
    <w:rsid w:val="00491BC3"/>
    <w:rsid w:val="00491C3C"/>
    <w:rsid w:val="00491C4B"/>
    <w:rsid w:val="00491CAB"/>
    <w:rsid w:val="00491E01"/>
    <w:rsid w:val="00491EA6"/>
    <w:rsid w:val="00491F06"/>
    <w:rsid w:val="00491F23"/>
    <w:rsid w:val="00491FB6"/>
    <w:rsid w:val="00491FE9"/>
    <w:rsid w:val="00492042"/>
    <w:rsid w:val="00492054"/>
    <w:rsid w:val="004920AF"/>
    <w:rsid w:val="00492179"/>
    <w:rsid w:val="0049222D"/>
    <w:rsid w:val="00492357"/>
    <w:rsid w:val="0049237F"/>
    <w:rsid w:val="00492396"/>
    <w:rsid w:val="004923E2"/>
    <w:rsid w:val="00492474"/>
    <w:rsid w:val="00492482"/>
    <w:rsid w:val="004924AD"/>
    <w:rsid w:val="004924BB"/>
    <w:rsid w:val="0049259A"/>
    <w:rsid w:val="004925F9"/>
    <w:rsid w:val="00492701"/>
    <w:rsid w:val="0049274C"/>
    <w:rsid w:val="0049277D"/>
    <w:rsid w:val="004928B3"/>
    <w:rsid w:val="004928E1"/>
    <w:rsid w:val="0049290A"/>
    <w:rsid w:val="00492926"/>
    <w:rsid w:val="00492941"/>
    <w:rsid w:val="00492992"/>
    <w:rsid w:val="00492A15"/>
    <w:rsid w:val="00492B26"/>
    <w:rsid w:val="00492BA9"/>
    <w:rsid w:val="00492BF0"/>
    <w:rsid w:val="00492C91"/>
    <w:rsid w:val="00492CC7"/>
    <w:rsid w:val="00492CC8"/>
    <w:rsid w:val="00492D07"/>
    <w:rsid w:val="00492D68"/>
    <w:rsid w:val="00492DF9"/>
    <w:rsid w:val="00492ECE"/>
    <w:rsid w:val="00492F01"/>
    <w:rsid w:val="00492F30"/>
    <w:rsid w:val="00492F67"/>
    <w:rsid w:val="00492FE1"/>
    <w:rsid w:val="0049302C"/>
    <w:rsid w:val="00493092"/>
    <w:rsid w:val="004930B5"/>
    <w:rsid w:val="004930F0"/>
    <w:rsid w:val="0049319B"/>
    <w:rsid w:val="004931AB"/>
    <w:rsid w:val="004931D2"/>
    <w:rsid w:val="004931E8"/>
    <w:rsid w:val="00493305"/>
    <w:rsid w:val="00493324"/>
    <w:rsid w:val="004933CF"/>
    <w:rsid w:val="004934F8"/>
    <w:rsid w:val="0049350A"/>
    <w:rsid w:val="0049352F"/>
    <w:rsid w:val="00493535"/>
    <w:rsid w:val="0049356A"/>
    <w:rsid w:val="0049357F"/>
    <w:rsid w:val="00493592"/>
    <w:rsid w:val="004935E3"/>
    <w:rsid w:val="00493630"/>
    <w:rsid w:val="00493651"/>
    <w:rsid w:val="004936D0"/>
    <w:rsid w:val="004936DE"/>
    <w:rsid w:val="00493804"/>
    <w:rsid w:val="0049396F"/>
    <w:rsid w:val="004939D8"/>
    <w:rsid w:val="00493AA1"/>
    <w:rsid w:val="00493AD0"/>
    <w:rsid w:val="00493AED"/>
    <w:rsid w:val="00493B4F"/>
    <w:rsid w:val="00493B52"/>
    <w:rsid w:val="00493BF6"/>
    <w:rsid w:val="00493D29"/>
    <w:rsid w:val="00493D3A"/>
    <w:rsid w:val="00493DE8"/>
    <w:rsid w:val="00493E4D"/>
    <w:rsid w:val="00493F0C"/>
    <w:rsid w:val="00493F84"/>
    <w:rsid w:val="00493F88"/>
    <w:rsid w:val="00493FD4"/>
    <w:rsid w:val="00494003"/>
    <w:rsid w:val="00494007"/>
    <w:rsid w:val="0049404C"/>
    <w:rsid w:val="00494127"/>
    <w:rsid w:val="00494195"/>
    <w:rsid w:val="00494196"/>
    <w:rsid w:val="004941BE"/>
    <w:rsid w:val="004941C0"/>
    <w:rsid w:val="004941E7"/>
    <w:rsid w:val="00494261"/>
    <w:rsid w:val="00494262"/>
    <w:rsid w:val="00494363"/>
    <w:rsid w:val="00494383"/>
    <w:rsid w:val="004943E9"/>
    <w:rsid w:val="00494420"/>
    <w:rsid w:val="00494538"/>
    <w:rsid w:val="0049453A"/>
    <w:rsid w:val="004945DA"/>
    <w:rsid w:val="0049467D"/>
    <w:rsid w:val="004946BD"/>
    <w:rsid w:val="004946D9"/>
    <w:rsid w:val="004946DF"/>
    <w:rsid w:val="004946F4"/>
    <w:rsid w:val="0049470F"/>
    <w:rsid w:val="0049473F"/>
    <w:rsid w:val="004947C0"/>
    <w:rsid w:val="004947F6"/>
    <w:rsid w:val="0049482D"/>
    <w:rsid w:val="0049484A"/>
    <w:rsid w:val="0049488F"/>
    <w:rsid w:val="004948A1"/>
    <w:rsid w:val="004948D2"/>
    <w:rsid w:val="004948D9"/>
    <w:rsid w:val="00494A03"/>
    <w:rsid w:val="00494A19"/>
    <w:rsid w:val="00494AC5"/>
    <w:rsid w:val="00494B24"/>
    <w:rsid w:val="00494BAC"/>
    <w:rsid w:val="00494C03"/>
    <w:rsid w:val="00494C14"/>
    <w:rsid w:val="00494C5F"/>
    <w:rsid w:val="00494C9C"/>
    <w:rsid w:val="00494D0C"/>
    <w:rsid w:val="00494D52"/>
    <w:rsid w:val="00494D5C"/>
    <w:rsid w:val="00494E10"/>
    <w:rsid w:val="00494F09"/>
    <w:rsid w:val="00494F3D"/>
    <w:rsid w:val="00494FB3"/>
    <w:rsid w:val="00494FCE"/>
    <w:rsid w:val="00495001"/>
    <w:rsid w:val="0049508F"/>
    <w:rsid w:val="0049512B"/>
    <w:rsid w:val="00495277"/>
    <w:rsid w:val="00495337"/>
    <w:rsid w:val="004953D5"/>
    <w:rsid w:val="00495409"/>
    <w:rsid w:val="00495434"/>
    <w:rsid w:val="0049547C"/>
    <w:rsid w:val="00495563"/>
    <w:rsid w:val="004956A5"/>
    <w:rsid w:val="004956B6"/>
    <w:rsid w:val="004956C2"/>
    <w:rsid w:val="00495715"/>
    <w:rsid w:val="00495727"/>
    <w:rsid w:val="0049576E"/>
    <w:rsid w:val="0049578E"/>
    <w:rsid w:val="0049579D"/>
    <w:rsid w:val="004957A8"/>
    <w:rsid w:val="004957DC"/>
    <w:rsid w:val="004957FD"/>
    <w:rsid w:val="0049581D"/>
    <w:rsid w:val="0049588C"/>
    <w:rsid w:val="00495939"/>
    <w:rsid w:val="00495992"/>
    <w:rsid w:val="00495A2E"/>
    <w:rsid w:val="00495AC9"/>
    <w:rsid w:val="00495AFC"/>
    <w:rsid w:val="00495CC7"/>
    <w:rsid w:val="00495CCA"/>
    <w:rsid w:val="00495D14"/>
    <w:rsid w:val="00495DEC"/>
    <w:rsid w:val="00495E3E"/>
    <w:rsid w:val="00495F28"/>
    <w:rsid w:val="00495F78"/>
    <w:rsid w:val="00495F95"/>
    <w:rsid w:val="00496011"/>
    <w:rsid w:val="00496088"/>
    <w:rsid w:val="00496123"/>
    <w:rsid w:val="0049618B"/>
    <w:rsid w:val="004961F9"/>
    <w:rsid w:val="004961FD"/>
    <w:rsid w:val="0049625B"/>
    <w:rsid w:val="00496287"/>
    <w:rsid w:val="00496309"/>
    <w:rsid w:val="004963F9"/>
    <w:rsid w:val="0049644F"/>
    <w:rsid w:val="0049648A"/>
    <w:rsid w:val="004964CD"/>
    <w:rsid w:val="004964F6"/>
    <w:rsid w:val="00496513"/>
    <w:rsid w:val="0049654B"/>
    <w:rsid w:val="00496683"/>
    <w:rsid w:val="0049673D"/>
    <w:rsid w:val="0049675B"/>
    <w:rsid w:val="00496784"/>
    <w:rsid w:val="004967D3"/>
    <w:rsid w:val="00496804"/>
    <w:rsid w:val="0049683A"/>
    <w:rsid w:val="0049685A"/>
    <w:rsid w:val="00496895"/>
    <w:rsid w:val="004969D7"/>
    <w:rsid w:val="00496ABE"/>
    <w:rsid w:val="00496B0B"/>
    <w:rsid w:val="00496D08"/>
    <w:rsid w:val="00496D16"/>
    <w:rsid w:val="00496E1F"/>
    <w:rsid w:val="00496E2A"/>
    <w:rsid w:val="00496E7C"/>
    <w:rsid w:val="00496F1B"/>
    <w:rsid w:val="00496F76"/>
    <w:rsid w:val="00496FB9"/>
    <w:rsid w:val="00497080"/>
    <w:rsid w:val="004970AC"/>
    <w:rsid w:val="00497180"/>
    <w:rsid w:val="00497240"/>
    <w:rsid w:val="0049725D"/>
    <w:rsid w:val="0049733F"/>
    <w:rsid w:val="0049736D"/>
    <w:rsid w:val="00497416"/>
    <w:rsid w:val="004974C5"/>
    <w:rsid w:val="00497543"/>
    <w:rsid w:val="0049757F"/>
    <w:rsid w:val="00497727"/>
    <w:rsid w:val="0049778B"/>
    <w:rsid w:val="00497802"/>
    <w:rsid w:val="00497A21"/>
    <w:rsid w:val="00497ADC"/>
    <w:rsid w:val="00497B6E"/>
    <w:rsid w:val="00497BA8"/>
    <w:rsid w:val="00497D0F"/>
    <w:rsid w:val="00497D81"/>
    <w:rsid w:val="00497E79"/>
    <w:rsid w:val="00497E98"/>
    <w:rsid w:val="00497EF7"/>
    <w:rsid w:val="00497FDF"/>
    <w:rsid w:val="004A0049"/>
    <w:rsid w:val="004A0055"/>
    <w:rsid w:val="004A00E3"/>
    <w:rsid w:val="004A0151"/>
    <w:rsid w:val="004A015F"/>
    <w:rsid w:val="004A016D"/>
    <w:rsid w:val="004A0262"/>
    <w:rsid w:val="004A0276"/>
    <w:rsid w:val="004A03FF"/>
    <w:rsid w:val="004A040C"/>
    <w:rsid w:val="004A05A5"/>
    <w:rsid w:val="004A05B2"/>
    <w:rsid w:val="004A068F"/>
    <w:rsid w:val="004A0693"/>
    <w:rsid w:val="004A0719"/>
    <w:rsid w:val="004A0741"/>
    <w:rsid w:val="004A0749"/>
    <w:rsid w:val="004A07F2"/>
    <w:rsid w:val="004A0804"/>
    <w:rsid w:val="004A084A"/>
    <w:rsid w:val="004A089A"/>
    <w:rsid w:val="004A08C4"/>
    <w:rsid w:val="004A0927"/>
    <w:rsid w:val="004A0A23"/>
    <w:rsid w:val="004A0A42"/>
    <w:rsid w:val="004A0A6B"/>
    <w:rsid w:val="004A0B5F"/>
    <w:rsid w:val="004A0B76"/>
    <w:rsid w:val="004A0BCA"/>
    <w:rsid w:val="004A0BCD"/>
    <w:rsid w:val="004A0CD2"/>
    <w:rsid w:val="004A0CF5"/>
    <w:rsid w:val="004A0D11"/>
    <w:rsid w:val="004A0D1E"/>
    <w:rsid w:val="004A0D36"/>
    <w:rsid w:val="004A0D41"/>
    <w:rsid w:val="004A0E1C"/>
    <w:rsid w:val="004A0E2F"/>
    <w:rsid w:val="004A0EBE"/>
    <w:rsid w:val="004A0F0E"/>
    <w:rsid w:val="004A0F2D"/>
    <w:rsid w:val="004A0F38"/>
    <w:rsid w:val="004A0FF1"/>
    <w:rsid w:val="004A1018"/>
    <w:rsid w:val="004A1126"/>
    <w:rsid w:val="004A1137"/>
    <w:rsid w:val="004A13BF"/>
    <w:rsid w:val="004A13E8"/>
    <w:rsid w:val="004A1584"/>
    <w:rsid w:val="004A15F7"/>
    <w:rsid w:val="004A15FE"/>
    <w:rsid w:val="004A172D"/>
    <w:rsid w:val="004A1912"/>
    <w:rsid w:val="004A1952"/>
    <w:rsid w:val="004A1974"/>
    <w:rsid w:val="004A1976"/>
    <w:rsid w:val="004A1AC9"/>
    <w:rsid w:val="004A1B65"/>
    <w:rsid w:val="004A1B70"/>
    <w:rsid w:val="004A1B82"/>
    <w:rsid w:val="004A1B95"/>
    <w:rsid w:val="004A1BCB"/>
    <w:rsid w:val="004A1C1F"/>
    <w:rsid w:val="004A1DC0"/>
    <w:rsid w:val="004A1DD3"/>
    <w:rsid w:val="004A1E0B"/>
    <w:rsid w:val="004A1E7E"/>
    <w:rsid w:val="004A1F44"/>
    <w:rsid w:val="004A1FD0"/>
    <w:rsid w:val="004A201A"/>
    <w:rsid w:val="004A2044"/>
    <w:rsid w:val="004A2062"/>
    <w:rsid w:val="004A2087"/>
    <w:rsid w:val="004A2105"/>
    <w:rsid w:val="004A2136"/>
    <w:rsid w:val="004A21A7"/>
    <w:rsid w:val="004A2207"/>
    <w:rsid w:val="004A225C"/>
    <w:rsid w:val="004A2399"/>
    <w:rsid w:val="004A2498"/>
    <w:rsid w:val="004A2587"/>
    <w:rsid w:val="004A2596"/>
    <w:rsid w:val="004A259B"/>
    <w:rsid w:val="004A2688"/>
    <w:rsid w:val="004A269D"/>
    <w:rsid w:val="004A27F5"/>
    <w:rsid w:val="004A2805"/>
    <w:rsid w:val="004A2825"/>
    <w:rsid w:val="004A2878"/>
    <w:rsid w:val="004A2961"/>
    <w:rsid w:val="004A2AB4"/>
    <w:rsid w:val="004A2ACD"/>
    <w:rsid w:val="004A2B15"/>
    <w:rsid w:val="004A2B16"/>
    <w:rsid w:val="004A2C25"/>
    <w:rsid w:val="004A2C3A"/>
    <w:rsid w:val="004A2CEF"/>
    <w:rsid w:val="004A2D3D"/>
    <w:rsid w:val="004A2D8C"/>
    <w:rsid w:val="004A2DAD"/>
    <w:rsid w:val="004A2DB8"/>
    <w:rsid w:val="004A2DEA"/>
    <w:rsid w:val="004A2E6F"/>
    <w:rsid w:val="004A2ED1"/>
    <w:rsid w:val="004A2F61"/>
    <w:rsid w:val="004A2F66"/>
    <w:rsid w:val="004A2F6A"/>
    <w:rsid w:val="004A3016"/>
    <w:rsid w:val="004A30E5"/>
    <w:rsid w:val="004A310C"/>
    <w:rsid w:val="004A3154"/>
    <w:rsid w:val="004A3158"/>
    <w:rsid w:val="004A3169"/>
    <w:rsid w:val="004A31B4"/>
    <w:rsid w:val="004A3275"/>
    <w:rsid w:val="004A33B4"/>
    <w:rsid w:val="004A33CD"/>
    <w:rsid w:val="004A33E7"/>
    <w:rsid w:val="004A348E"/>
    <w:rsid w:val="004A34DC"/>
    <w:rsid w:val="004A34F0"/>
    <w:rsid w:val="004A3540"/>
    <w:rsid w:val="004A3551"/>
    <w:rsid w:val="004A357D"/>
    <w:rsid w:val="004A36D8"/>
    <w:rsid w:val="004A36DA"/>
    <w:rsid w:val="004A36E6"/>
    <w:rsid w:val="004A3745"/>
    <w:rsid w:val="004A3801"/>
    <w:rsid w:val="004A3869"/>
    <w:rsid w:val="004A386C"/>
    <w:rsid w:val="004A3980"/>
    <w:rsid w:val="004A3A38"/>
    <w:rsid w:val="004A3BFC"/>
    <w:rsid w:val="004A3C99"/>
    <w:rsid w:val="004A3CA8"/>
    <w:rsid w:val="004A3CE7"/>
    <w:rsid w:val="004A3D69"/>
    <w:rsid w:val="004A3D9F"/>
    <w:rsid w:val="004A3E03"/>
    <w:rsid w:val="004A3E39"/>
    <w:rsid w:val="004A3E5D"/>
    <w:rsid w:val="004A3FC9"/>
    <w:rsid w:val="004A4000"/>
    <w:rsid w:val="004A4064"/>
    <w:rsid w:val="004A4082"/>
    <w:rsid w:val="004A40AA"/>
    <w:rsid w:val="004A41F9"/>
    <w:rsid w:val="004A426F"/>
    <w:rsid w:val="004A42A5"/>
    <w:rsid w:val="004A42AE"/>
    <w:rsid w:val="004A432D"/>
    <w:rsid w:val="004A433C"/>
    <w:rsid w:val="004A438C"/>
    <w:rsid w:val="004A43FD"/>
    <w:rsid w:val="004A450E"/>
    <w:rsid w:val="004A454D"/>
    <w:rsid w:val="004A4666"/>
    <w:rsid w:val="004A467E"/>
    <w:rsid w:val="004A4688"/>
    <w:rsid w:val="004A4843"/>
    <w:rsid w:val="004A4964"/>
    <w:rsid w:val="004A4A6B"/>
    <w:rsid w:val="004A4A97"/>
    <w:rsid w:val="004A4ABC"/>
    <w:rsid w:val="004A4C34"/>
    <w:rsid w:val="004A4C6E"/>
    <w:rsid w:val="004A4CDC"/>
    <w:rsid w:val="004A4D48"/>
    <w:rsid w:val="004A4D7F"/>
    <w:rsid w:val="004A4D92"/>
    <w:rsid w:val="004A4DD9"/>
    <w:rsid w:val="004A4E15"/>
    <w:rsid w:val="004A4E35"/>
    <w:rsid w:val="004A4EA3"/>
    <w:rsid w:val="004A4FC4"/>
    <w:rsid w:val="004A5124"/>
    <w:rsid w:val="004A5163"/>
    <w:rsid w:val="004A518E"/>
    <w:rsid w:val="004A51FD"/>
    <w:rsid w:val="004A5215"/>
    <w:rsid w:val="004A5225"/>
    <w:rsid w:val="004A538D"/>
    <w:rsid w:val="004A53EC"/>
    <w:rsid w:val="004A543B"/>
    <w:rsid w:val="004A54B7"/>
    <w:rsid w:val="004A54CC"/>
    <w:rsid w:val="004A54D3"/>
    <w:rsid w:val="004A560D"/>
    <w:rsid w:val="004A56D6"/>
    <w:rsid w:val="004A576C"/>
    <w:rsid w:val="004A578B"/>
    <w:rsid w:val="004A57FC"/>
    <w:rsid w:val="004A5895"/>
    <w:rsid w:val="004A5930"/>
    <w:rsid w:val="004A5969"/>
    <w:rsid w:val="004A5A3E"/>
    <w:rsid w:val="004A5A6D"/>
    <w:rsid w:val="004A5A7D"/>
    <w:rsid w:val="004A5C26"/>
    <w:rsid w:val="004A5CCC"/>
    <w:rsid w:val="004A5CD2"/>
    <w:rsid w:val="004A5DAE"/>
    <w:rsid w:val="004A5E2B"/>
    <w:rsid w:val="004A5E9D"/>
    <w:rsid w:val="004A5ECA"/>
    <w:rsid w:val="004A5FF9"/>
    <w:rsid w:val="004A6130"/>
    <w:rsid w:val="004A6229"/>
    <w:rsid w:val="004A62CE"/>
    <w:rsid w:val="004A631E"/>
    <w:rsid w:val="004A6367"/>
    <w:rsid w:val="004A64E5"/>
    <w:rsid w:val="004A6517"/>
    <w:rsid w:val="004A6668"/>
    <w:rsid w:val="004A66EE"/>
    <w:rsid w:val="004A6713"/>
    <w:rsid w:val="004A6751"/>
    <w:rsid w:val="004A680B"/>
    <w:rsid w:val="004A69B6"/>
    <w:rsid w:val="004A6A70"/>
    <w:rsid w:val="004A6B1E"/>
    <w:rsid w:val="004A6C4B"/>
    <w:rsid w:val="004A6C60"/>
    <w:rsid w:val="004A6D73"/>
    <w:rsid w:val="004A6DAE"/>
    <w:rsid w:val="004A6E92"/>
    <w:rsid w:val="004A6E94"/>
    <w:rsid w:val="004A6EF9"/>
    <w:rsid w:val="004A6FB5"/>
    <w:rsid w:val="004A6FF4"/>
    <w:rsid w:val="004A7092"/>
    <w:rsid w:val="004A70BA"/>
    <w:rsid w:val="004A7118"/>
    <w:rsid w:val="004A718D"/>
    <w:rsid w:val="004A71FB"/>
    <w:rsid w:val="004A7257"/>
    <w:rsid w:val="004A7311"/>
    <w:rsid w:val="004A74C9"/>
    <w:rsid w:val="004A752B"/>
    <w:rsid w:val="004A753B"/>
    <w:rsid w:val="004A75EE"/>
    <w:rsid w:val="004A760F"/>
    <w:rsid w:val="004A7654"/>
    <w:rsid w:val="004A767A"/>
    <w:rsid w:val="004A768F"/>
    <w:rsid w:val="004A76A5"/>
    <w:rsid w:val="004A76AC"/>
    <w:rsid w:val="004A76FA"/>
    <w:rsid w:val="004A7717"/>
    <w:rsid w:val="004A781D"/>
    <w:rsid w:val="004A7835"/>
    <w:rsid w:val="004A78F2"/>
    <w:rsid w:val="004A78FB"/>
    <w:rsid w:val="004A7968"/>
    <w:rsid w:val="004A7A03"/>
    <w:rsid w:val="004A7A15"/>
    <w:rsid w:val="004A7A1D"/>
    <w:rsid w:val="004A7A28"/>
    <w:rsid w:val="004A7A61"/>
    <w:rsid w:val="004A7A79"/>
    <w:rsid w:val="004A7B32"/>
    <w:rsid w:val="004A7BA5"/>
    <w:rsid w:val="004A7C9D"/>
    <w:rsid w:val="004A7D16"/>
    <w:rsid w:val="004A7DD1"/>
    <w:rsid w:val="004A7EAB"/>
    <w:rsid w:val="004A7EB6"/>
    <w:rsid w:val="004B0019"/>
    <w:rsid w:val="004B0075"/>
    <w:rsid w:val="004B015C"/>
    <w:rsid w:val="004B016D"/>
    <w:rsid w:val="004B018E"/>
    <w:rsid w:val="004B01AE"/>
    <w:rsid w:val="004B0345"/>
    <w:rsid w:val="004B0389"/>
    <w:rsid w:val="004B0462"/>
    <w:rsid w:val="004B04B2"/>
    <w:rsid w:val="004B0532"/>
    <w:rsid w:val="004B0575"/>
    <w:rsid w:val="004B05F4"/>
    <w:rsid w:val="004B06A4"/>
    <w:rsid w:val="004B06D6"/>
    <w:rsid w:val="004B073E"/>
    <w:rsid w:val="004B074F"/>
    <w:rsid w:val="004B075B"/>
    <w:rsid w:val="004B0772"/>
    <w:rsid w:val="004B07E0"/>
    <w:rsid w:val="004B07F8"/>
    <w:rsid w:val="004B08D8"/>
    <w:rsid w:val="004B0904"/>
    <w:rsid w:val="004B09B5"/>
    <w:rsid w:val="004B09EB"/>
    <w:rsid w:val="004B0AE0"/>
    <w:rsid w:val="004B0AF3"/>
    <w:rsid w:val="004B0B36"/>
    <w:rsid w:val="004B0B6F"/>
    <w:rsid w:val="004B0C52"/>
    <w:rsid w:val="004B0E4F"/>
    <w:rsid w:val="004B0E91"/>
    <w:rsid w:val="004B0ED4"/>
    <w:rsid w:val="004B0F04"/>
    <w:rsid w:val="004B0F29"/>
    <w:rsid w:val="004B0FCE"/>
    <w:rsid w:val="004B1049"/>
    <w:rsid w:val="004B10A1"/>
    <w:rsid w:val="004B10F4"/>
    <w:rsid w:val="004B118C"/>
    <w:rsid w:val="004B11CA"/>
    <w:rsid w:val="004B1328"/>
    <w:rsid w:val="004B1361"/>
    <w:rsid w:val="004B138C"/>
    <w:rsid w:val="004B1504"/>
    <w:rsid w:val="004B1526"/>
    <w:rsid w:val="004B1546"/>
    <w:rsid w:val="004B15B5"/>
    <w:rsid w:val="004B16EB"/>
    <w:rsid w:val="004B1770"/>
    <w:rsid w:val="004B17F8"/>
    <w:rsid w:val="004B1847"/>
    <w:rsid w:val="004B18FC"/>
    <w:rsid w:val="004B19C0"/>
    <w:rsid w:val="004B1A29"/>
    <w:rsid w:val="004B1A3A"/>
    <w:rsid w:val="004B1A40"/>
    <w:rsid w:val="004B1A9A"/>
    <w:rsid w:val="004B1AA1"/>
    <w:rsid w:val="004B1B74"/>
    <w:rsid w:val="004B1BB1"/>
    <w:rsid w:val="004B1BB3"/>
    <w:rsid w:val="004B1CD3"/>
    <w:rsid w:val="004B1E07"/>
    <w:rsid w:val="004B1EB0"/>
    <w:rsid w:val="004B1FAA"/>
    <w:rsid w:val="004B2066"/>
    <w:rsid w:val="004B20B8"/>
    <w:rsid w:val="004B2172"/>
    <w:rsid w:val="004B2227"/>
    <w:rsid w:val="004B22A7"/>
    <w:rsid w:val="004B22D7"/>
    <w:rsid w:val="004B2368"/>
    <w:rsid w:val="004B239C"/>
    <w:rsid w:val="004B2415"/>
    <w:rsid w:val="004B2457"/>
    <w:rsid w:val="004B2471"/>
    <w:rsid w:val="004B2525"/>
    <w:rsid w:val="004B2544"/>
    <w:rsid w:val="004B254C"/>
    <w:rsid w:val="004B2589"/>
    <w:rsid w:val="004B258A"/>
    <w:rsid w:val="004B2645"/>
    <w:rsid w:val="004B264E"/>
    <w:rsid w:val="004B26AF"/>
    <w:rsid w:val="004B26B9"/>
    <w:rsid w:val="004B26FA"/>
    <w:rsid w:val="004B273F"/>
    <w:rsid w:val="004B27B1"/>
    <w:rsid w:val="004B27C6"/>
    <w:rsid w:val="004B27DE"/>
    <w:rsid w:val="004B282D"/>
    <w:rsid w:val="004B2887"/>
    <w:rsid w:val="004B2931"/>
    <w:rsid w:val="004B294E"/>
    <w:rsid w:val="004B2A39"/>
    <w:rsid w:val="004B2A51"/>
    <w:rsid w:val="004B2B38"/>
    <w:rsid w:val="004B2BF3"/>
    <w:rsid w:val="004B2C6A"/>
    <w:rsid w:val="004B2CF7"/>
    <w:rsid w:val="004B2D40"/>
    <w:rsid w:val="004B2E58"/>
    <w:rsid w:val="004B2EB8"/>
    <w:rsid w:val="004B2ED2"/>
    <w:rsid w:val="004B2EE1"/>
    <w:rsid w:val="004B2F47"/>
    <w:rsid w:val="004B2FDA"/>
    <w:rsid w:val="004B30A0"/>
    <w:rsid w:val="004B30A2"/>
    <w:rsid w:val="004B30C2"/>
    <w:rsid w:val="004B30C6"/>
    <w:rsid w:val="004B30E2"/>
    <w:rsid w:val="004B3115"/>
    <w:rsid w:val="004B312A"/>
    <w:rsid w:val="004B313D"/>
    <w:rsid w:val="004B3163"/>
    <w:rsid w:val="004B3186"/>
    <w:rsid w:val="004B31B0"/>
    <w:rsid w:val="004B3450"/>
    <w:rsid w:val="004B34C3"/>
    <w:rsid w:val="004B3563"/>
    <w:rsid w:val="004B35DC"/>
    <w:rsid w:val="004B363C"/>
    <w:rsid w:val="004B36E2"/>
    <w:rsid w:val="004B374A"/>
    <w:rsid w:val="004B385B"/>
    <w:rsid w:val="004B3949"/>
    <w:rsid w:val="004B398D"/>
    <w:rsid w:val="004B39C9"/>
    <w:rsid w:val="004B3A38"/>
    <w:rsid w:val="004B3A70"/>
    <w:rsid w:val="004B3A96"/>
    <w:rsid w:val="004B3AC7"/>
    <w:rsid w:val="004B3B57"/>
    <w:rsid w:val="004B3B66"/>
    <w:rsid w:val="004B3D4B"/>
    <w:rsid w:val="004B3DAB"/>
    <w:rsid w:val="004B3EA1"/>
    <w:rsid w:val="004B3F1A"/>
    <w:rsid w:val="004B3F72"/>
    <w:rsid w:val="004B402E"/>
    <w:rsid w:val="004B4051"/>
    <w:rsid w:val="004B4162"/>
    <w:rsid w:val="004B4296"/>
    <w:rsid w:val="004B4311"/>
    <w:rsid w:val="004B4371"/>
    <w:rsid w:val="004B43EA"/>
    <w:rsid w:val="004B4452"/>
    <w:rsid w:val="004B4454"/>
    <w:rsid w:val="004B4526"/>
    <w:rsid w:val="004B4662"/>
    <w:rsid w:val="004B4698"/>
    <w:rsid w:val="004B46DF"/>
    <w:rsid w:val="004B474A"/>
    <w:rsid w:val="004B4798"/>
    <w:rsid w:val="004B4811"/>
    <w:rsid w:val="004B482D"/>
    <w:rsid w:val="004B48F1"/>
    <w:rsid w:val="004B4919"/>
    <w:rsid w:val="004B49FE"/>
    <w:rsid w:val="004B4A28"/>
    <w:rsid w:val="004B4AA8"/>
    <w:rsid w:val="004B4AD0"/>
    <w:rsid w:val="004B4B07"/>
    <w:rsid w:val="004B4C25"/>
    <w:rsid w:val="004B4C6E"/>
    <w:rsid w:val="004B4CF4"/>
    <w:rsid w:val="004B4D47"/>
    <w:rsid w:val="004B4E1D"/>
    <w:rsid w:val="004B4E27"/>
    <w:rsid w:val="004B4F0C"/>
    <w:rsid w:val="004B4F30"/>
    <w:rsid w:val="004B4FDC"/>
    <w:rsid w:val="004B500F"/>
    <w:rsid w:val="004B502C"/>
    <w:rsid w:val="004B5047"/>
    <w:rsid w:val="004B5089"/>
    <w:rsid w:val="004B5099"/>
    <w:rsid w:val="004B5119"/>
    <w:rsid w:val="004B514E"/>
    <w:rsid w:val="004B519C"/>
    <w:rsid w:val="004B52A8"/>
    <w:rsid w:val="004B52EF"/>
    <w:rsid w:val="004B541C"/>
    <w:rsid w:val="004B546B"/>
    <w:rsid w:val="004B5478"/>
    <w:rsid w:val="004B557B"/>
    <w:rsid w:val="004B55D7"/>
    <w:rsid w:val="004B55F5"/>
    <w:rsid w:val="004B5623"/>
    <w:rsid w:val="004B5712"/>
    <w:rsid w:val="004B5782"/>
    <w:rsid w:val="004B58AA"/>
    <w:rsid w:val="004B58CB"/>
    <w:rsid w:val="004B58F4"/>
    <w:rsid w:val="004B5906"/>
    <w:rsid w:val="004B592D"/>
    <w:rsid w:val="004B5A37"/>
    <w:rsid w:val="004B5B42"/>
    <w:rsid w:val="004B5B61"/>
    <w:rsid w:val="004B5B74"/>
    <w:rsid w:val="004B5B91"/>
    <w:rsid w:val="004B5C11"/>
    <w:rsid w:val="004B5C1C"/>
    <w:rsid w:val="004B5C27"/>
    <w:rsid w:val="004B5C6E"/>
    <w:rsid w:val="004B5C97"/>
    <w:rsid w:val="004B5DAD"/>
    <w:rsid w:val="004B5DBE"/>
    <w:rsid w:val="004B5DDC"/>
    <w:rsid w:val="004B5EF4"/>
    <w:rsid w:val="004B5FB4"/>
    <w:rsid w:val="004B5FD7"/>
    <w:rsid w:val="004B602D"/>
    <w:rsid w:val="004B603E"/>
    <w:rsid w:val="004B606E"/>
    <w:rsid w:val="004B6212"/>
    <w:rsid w:val="004B6259"/>
    <w:rsid w:val="004B62D8"/>
    <w:rsid w:val="004B635C"/>
    <w:rsid w:val="004B639C"/>
    <w:rsid w:val="004B63E0"/>
    <w:rsid w:val="004B6415"/>
    <w:rsid w:val="004B6442"/>
    <w:rsid w:val="004B6473"/>
    <w:rsid w:val="004B64F6"/>
    <w:rsid w:val="004B6509"/>
    <w:rsid w:val="004B6646"/>
    <w:rsid w:val="004B66D4"/>
    <w:rsid w:val="004B66E1"/>
    <w:rsid w:val="004B6784"/>
    <w:rsid w:val="004B6789"/>
    <w:rsid w:val="004B6796"/>
    <w:rsid w:val="004B67A0"/>
    <w:rsid w:val="004B6820"/>
    <w:rsid w:val="004B6826"/>
    <w:rsid w:val="004B68D9"/>
    <w:rsid w:val="004B6A45"/>
    <w:rsid w:val="004B6C28"/>
    <w:rsid w:val="004B6C2E"/>
    <w:rsid w:val="004B6C7C"/>
    <w:rsid w:val="004B6C93"/>
    <w:rsid w:val="004B6D22"/>
    <w:rsid w:val="004B6D41"/>
    <w:rsid w:val="004B6D80"/>
    <w:rsid w:val="004B6D85"/>
    <w:rsid w:val="004B6D88"/>
    <w:rsid w:val="004B6D96"/>
    <w:rsid w:val="004B6DA1"/>
    <w:rsid w:val="004B6DB0"/>
    <w:rsid w:val="004B6E48"/>
    <w:rsid w:val="004B7079"/>
    <w:rsid w:val="004B7105"/>
    <w:rsid w:val="004B712C"/>
    <w:rsid w:val="004B718F"/>
    <w:rsid w:val="004B7235"/>
    <w:rsid w:val="004B7336"/>
    <w:rsid w:val="004B7374"/>
    <w:rsid w:val="004B74A5"/>
    <w:rsid w:val="004B74B6"/>
    <w:rsid w:val="004B74E0"/>
    <w:rsid w:val="004B75A1"/>
    <w:rsid w:val="004B7783"/>
    <w:rsid w:val="004B7785"/>
    <w:rsid w:val="004B77B7"/>
    <w:rsid w:val="004B77E8"/>
    <w:rsid w:val="004B783D"/>
    <w:rsid w:val="004B7911"/>
    <w:rsid w:val="004B7991"/>
    <w:rsid w:val="004B7A8E"/>
    <w:rsid w:val="004B7AC8"/>
    <w:rsid w:val="004B7B37"/>
    <w:rsid w:val="004B7B62"/>
    <w:rsid w:val="004B7B66"/>
    <w:rsid w:val="004B7C56"/>
    <w:rsid w:val="004B7CA2"/>
    <w:rsid w:val="004B7CD5"/>
    <w:rsid w:val="004B7CDD"/>
    <w:rsid w:val="004B7D08"/>
    <w:rsid w:val="004B7D34"/>
    <w:rsid w:val="004B7D42"/>
    <w:rsid w:val="004B7EB9"/>
    <w:rsid w:val="004B7EE2"/>
    <w:rsid w:val="004B7F8F"/>
    <w:rsid w:val="004C0043"/>
    <w:rsid w:val="004C00A6"/>
    <w:rsid w:val="004C0143"/>
    <w:rsid w:val="004C023B"/>
    <w:rsid w:val="004C03F2"/>
    <w:rsid w:val="004C0487"/>
    <w:rsid w:val="004C0528"/>
    <w:rsid w:val="004C05C8"/>
    <w:rsid w:val="004C05E4"/>
    <w:rsid w:val="004C0689"/>
    <w:rsid w:val="004C06B8"/>
    <w:rsid w:val="004C07A7"/>
    <w:rsid w:val="004C07F0"/>
    <w:rsid w:val="004C0886"/>
    <w:rsid w:val="004C088D"/>
    <w:rsid w:val="004C08EE"/>
    <w:rsid w:val="004C0A15"/>
    <w:rsid w:val="004C0A7D"/>
    <w:rsid w:val="004C0B4A"/>
    <w:rsid w:val="004C0CA0"/>
    <w:rsid w:val="004C0CE0"/>
    <w:rsid w:val="004C0D65"/>
    <w:rsid w:val="004C0F0F"/>
    <w:rsid w:val="004C0F4B"/>
    <w:rsid w:val="004C0F59"/>
    <w:rsid w:val="004C0F5E"/>
    <w:rsid w:val="004C1006"/>
    <w:rsid w:val="004C1033"/>
    <w:rsid w:val="004C10F1"/>
    <w:rsid w:val="004C1104"/>
    <w:rsid w:val="004C11A1"/>
    <w:rsid w:val="004C1249"/>
    <w:rsid w:val="004C125F"/>
    <w:rsid w:val="004C12B8"/>
    <w:rsid w:val="004C12EA"/>
    <w:rsid w:val="004C133A"/>
    <w:rsid w:val="004C139E"/>
    <w:rsid w:val="004C13A5"/>
    <w:rsid w:val="004C14B1"/>
    <w:rsid w:val="004C1534"/>
    <w:rsid w:val="004C157C"/>
    <w:rsid w:val="004C1582"/>
    <w:rsid w:val="004C16A9"/>
    <w:rsid w:val="004C16E7"/>
    <w:rsid w:val="004C17F2"/>
    <w:rsid w:val="004C185F"/>
    <w:rsid w:val="004C18B0"/>
    <w:rsid w:val="004C1905"/>
    <w:rsid w:val="004C1962"/>
    <w:rsid w:val="004C197A"/>
    <w:rsid w:val="004C19A0"/>
    <w:rsid w:val="004C19B7"/>
    <w:rsid w:val="004C19D3"/>
    <w:rsid w:val="004C1A93"/>
    <w:rsid w:val="004C1B0E"/>
    <w:rsid w:val="004C1B47"/>
    <w:rsid w:val="004C1C9F"/>
    <w:rsid w:val="004C1D34"/>
    <w:rsid w:val="004C1DF5"/>
    <w:rsid w:val="004C1E18"/>
    <w:rsid w:val="004C1E2D"/>
    <w:rsid w:val="004C1E89"/>
    <w:rsid w:val="004C1E9E"/>
    <w:rsid w:val="004C1F83"/>
    <w:rsid w:val="004C1F89"/>
    <w:rsid w:val="004C1FBB"/>
    <w:rsid w:val="004C2016"/>
    <w:rsid w:val="004C215F"/>
    <w:rsid w:val="004C21BE"/>
    <w:rsid w:val="004C21E9"/>
    <w:rsid w:val="004C2246"/>
    <w:rsid w:val="004C22EE"/>
    <w:rsid w:val="004C230E"/>
    <w:rsid w:val="004C251F"/>
    <w:rsid w:val="004C26E2"/>
    <w:rsid w:val="004C26FF"/>
    <w:rsid w:val="004C2710"/>
    <w:rsid w:val="004C27EF"/>
    <w:rsid w:val="004C281A"/>
    <w:rsid w:val="004C2959"/>
    <w:rsid w:val="004C29CA"/>
    <w:rsid w:val="004C29DB"/>
    <w:rsid w:val="004C29DE"/>
    <w:rsid w:val="004C2B1B"/>
    <w:rsid w:val="004C2B8F"/>
    <w:rsid w:val="004C2C48"/>
    <w:rsid w:val="004C2C74"/>
    <w:rsid w:val="004C2D1F"/>
    <w:rsid w:val="004C2D34"/>
    <w:rsid w:val="004C2DA7"/>
    <w:rsid w:val="004C2DBA"/>
    <w:rsid w:val="004C2E03"/>
    <w:rsid w:val="004C2E2D"/>
    <w:rsid w:val="004C2F77"/>
    <w:rsid w:val="004C2F8F"/>
    <w:rsid w:val="004C3015"/>
    <w:rsid w:val="004C3043"/>
    <w:rsid w:val="004C308B"/>
    <w:rsid w:val="004C30E4"/>
    <w:rsid w:val="004C321B"/>
    <w:rsid w:val="004C327F"/>
    <w:rsid w:val="004C3341"/>
    <w:rsid w:val="004C3360"/>
    <w:rsid w:val="004C33DA"/>
    <w:rsid w:val="004C3459"/>
    <w:rsid w:val="004C34F8"/>
    <w:rsid w:val="004C354E"/>
    <w:rsid w:val="004C3579"/>
    <w:rsid w:val="004C35F4"/>
    <w:rsid w:val="004C3644"/>
    <w:rsid w:val="004C3680"/>
    <w:rsid w:val="004C3715"/>
    <w:rsid w:val="004C3789"/>
    <w:rsid w:val="004C3807"/>
    <w:rsid w:val="004C386C"/>
    <w:rsid w:val="004C3B29"/>
    <w:rsid w:val="004C3B9B"/>
    <w:rsid w:val="004C3BEA"/>
    <w:rsid w:val="004C3C11"/>
    <w:rsid w:val="004C3C6C"/>
    <w:rsid w:val="004C3CBE"/>
    <w:rsid w:val="004C3CE2"/>
    <w:rsid w:val="004C3E28"/>
    <w:rsid w:val="004C3E62"/>
    <w:rsid w:val="004C3F60"/>
    <w:rsid w:val="004C4010"/>
    <w:rsid w:val="004C401E"/>
    <w:rsid w:val="004C407B"/>
    <w:rsid w:val="004C4107"/>
    <w:rsid w:val="004C427C"/>
    <w:rsid w:val="004C429B"/>
    <w:rsid w:val="004C42CC"/>
    <w:rsid w:val="004C4503"/>
    <w:rsid w:val="004C469E"/>
    <w:rsid w:val="004C46D4"/>
    <w:rsid w:val="004C4712"/>
    <w:rsid w:val="004C4724"/>
    <w:rsid w:val="004C4756"/>
    <w:rsid w:val="004C47D4"/>
    <w:rsid w:val="004C480A"/>
    <w:rsid w:val="004C48F1"/>
    <w:rsid w:val="004C4906"/>
    <w:rsid w:val="004C4992"/>
    <w:rsid w:val="004C499B"/>
    <w:rsid w:val="004C49CF"/>
    <w:rsid w:val="004C4A2D"/>
    <w:rsid w:val="004C4B99"/>
    <w:rsid w:val="004C4B9E"/>
    <w:rsid w:val="004C4BD0"/>
    <w:rsid w:val="004C4D27"/>
    <w:rsid w:val="004C4D83"/>
    <w:rsid w:val="004C4DE5"/>
    <w:rsid w:val="004C4E7F"/>
    <w:rsid w:val="004C4EC6"/>
    <w:rsid w:val="004C4F63"/>
    <w:rsid w:val="004C4F9C"/>
    <w:rsid w:val="004C4FCA"/>
    <w:rsid w:val="004C508F"/>
    <w:rsid w:val="004C513F"/>
    <w:rsid w:val="004C5186"/>
    <w:rsid w:val="004C52BC"/>
    <w:rsid w:val="004C530E"/>
    <w:rsid w:val="004C5430"/>
    <w:rsid w:val="004C5580"/>
    <w:rsid w:val="004C5581"/>
    <w:rsid w:val="004C5582"/>
    <w:rsid w:val="004C55E3"/>
    <w:rsid w:val="004C55F1"/>
    <w:rsid w:val="004C56DA"/>
    <w:rsid w:val="004C5724"/>
    <w:rsid w:val="004C57B8"/>
    <w:rsid w:val="004C57F1"/>
    <w:rsid w:val="004C58B9"/>
    <w:rsid w:val="004C591A"/>
    <w:rsid w:val="004C59B6"/>
    <w:rsid w:val="004C5A1C"/>
    <w:rsid w:val="004C5A84"/>
    <w:rsid w:val="004C5BB4"/>
    <w:rsid w:val="004C5D83"/>
    <w:rsid w:val="004C5DCE"/>
    <w:rsid w:val="004C607A"/>
    <w:rsid w:val="004C60C9"/>
    <w:rsid w:val="004C60CE"/>
    <w:rsid w:val="004C6127"/>
    <w:rsid w:val="004C61A5"/>
    <w:rsid w:val="004C6241"/>
    <w:rsid w:val="004C6246"/>
    <w:rsid w:val="004C6249"/>
    <w:rsid w:val="004C6261"/>
    <w:rsid w:val="004C6366"/>
    <w:rsid w:val="004C6487"/>
    <w:rsid w:val="004C64BC"/>
    <w:rsid w:val="004C64C1"/>
    <w:rsid w:val="004C64FA"/>
    <w:rsid w:val="004C6678"/>
    <w:rsid w:val="004C675F"/>
    <w:rsid w:val="004C6819"/>
    <w:rsid w:val="004C685E"/>
    <w:rsid w:val="004C68A8"/>
    <w:rsid w:val="004C6932"/>
    <w:rsid w:val="004C6B97"/>
    <w:rsid w:val="004C6BC3"/>
    <w:rsid w:val="004C6D42"/>
    <w:rsid w:val="004C6E3F"/>
    <w:rsid w:val="004C6E7E"/>
    <w:rsid w:val="004C6E97"/>
    <w:rsid w:val="004C6EA3"/>
    <w:rsid w:val="004C6EDE"/>
    <w:rsid w:val="004C6F18"/>
    <w:rsid w:val="004C6F4F"/>
    <w:rsid w:val="004C708E"/>
    <w:rsid w:val="004C70F5"/>
    <w:rsid w:val="004C72B2"/>
    <w:rsid w:val="004C7443"/>
    <w:rsid w:val="004C74D9"/>
    <w:rsid w:val="004C755A"/>
    <w:rsid w:val="004C75C1"/>
    <w:rsid w:val="004C75DB"/>
    <w:rsid w:val="004C7605"/>
    <w:rsid w:val="004C7697"/>
    <w:rsid w:val="004C76BA"/>
    <w:rsid w:val="004C787C"/>
    <w:rsid w:val="004C7C03"/>
    <w:rsid w:val="004C7C36"/>
    <w:rsid w:val="004C7CE3"/>
    <w:rsid w:val="004C7D18"/>
    <w:rsid w:val="004C7D2B"/>
    <w:rsid w:val="004C7D2F"/>
    <w:rsid w:val="004C7D3A"/>
    <w:rsid w:val="004C7DD5"/>
    <w:rsid w:val="004C7DDE"/>
    <w:rsid w:val="004C7EF7"/>
    <w:rsid w:val="004C7F00"/>
    <w:rsid w:val="004C7F4B"/>
    <w:rsid w:val="004C7F98"/>
    <w:rsid w:val="004C7FAE"/>
    <w:rsid w:val="004D0003"/>
    <w:rsid w:val="004D0034"/>
    <w:rsid w:val="004D0065"/>
    <w:rsid w:val="004D009A"/>
    <w:rsid w:val="004D00D0"/>
    <w:rsid w:val="004D00EF"/>
    <w:rsid w:val="004D025E"/>
    <w:rsid w:val="004D02A1"/>
    <w:rsid w:val="004D0366"/>
    <w:rsid w:val="004D0374"/>
    <w:rsid w:val="004D037A"/>
    <w:rsid w:val="004D03EA"/>
    <w:rsid w:val="004D03F0"/>
    <w:rsid w:val="004D0480"/>
    <w:rsid w:val="004D0493"/>
    <w:rsid w:val="004D04AE"/>
    <w:rsid w:val="004D054C"/>
    <w:rsid w:val="004D058F"/>
    <w:rsid w:val="004D05BE"/>
    <w:rsid w:val="004D0639"/>
    <w:rsid w:val="004D0766"/>
    <w:rsid w:val="004D082A"/>
    <w:rsid w:val="004D086D"/>
    <w:rsid w:val="004D08F4"/>
    <w:rsid w:val="004D0A57"/>
    <w:rsid w:val="004D0A98"/>
    <w:rsid w:val="004D0B75"/>
    <w:rsid w:val="004D0C1D"/>
    <w:rsid w:val="004D0D72"/>
    <w:rsid w:val="004D0DCB"/>
    <w:rsid w:val="004D0DFC"/>
    <w:rsid w:val="004D0E49"/>
    <w:rsid w:val="004D0E7E"/>
    <w:rsid w:val="004D0F53"/>
    <w:rsid w:val="004D0F90"/>
    <w:rsid w:val="004D1116"/>
    <w:rsid w:val="004D11B0"/>
    <w:rsid w:val="004D1286"/>
    <w:rsid w:val="004D1287"/>
    <w:rsid w:val="004D1290"/>
    <w:rsid w:val="004D12C2"/>
    <w:rsid w:val="004D1316"/>
    <w:rsid w:val="004D132C"/>
    <w:rsid w:val="004D1334"/>
    <w:rsid w:val="004D1341"/>
    <w:rsid w:val="004D1381"/>
    <w:rsid w:val="004D14A3"/>
    <w:rsid w:val="004D14F6"/>
    <w:rsid w:val="004D15A8"/>
    <w:rsid w:val="004D166F"/>
    <w:rsid w:val="004D16EB"/>
    <w:rsid w:val="004D1714"/>
    <w:rsid w:val="004D1751"/>
    <w:rsid w:val="004D17C0"/>
    <w:rsid w:val="004D184F"/>
    <w:rsid w:val="004D1856"/>
    <w:rsid w:val="004D185B"/>
    <w:rsid w:val="004D18B5"/>
    <w:rsid w:val="004D18C5"/>
    <w:rsid w:val="004D1970"/>
    <w:rsid w:val="004D1993"/>
    <w:rsid w:val="004D19AA"/>
    <w:rsid w:val="004D19F3"/>
    <w:rsid w:val="004D1A5D"/>
    <w:rsid w:val="004D1AE1"/>
    <w:rsid w:val="004D1AE5"/>
    <w:rsid w:val="004D1B5A"/>
    <w:rsid w:val="004D1BB9"/>
    <w:rsid w:val="004D1C43"/>
    <w:rsid w:val="004D1C85"/>
    <w:rsid w:val="004D1CAE"/>
    <w:rsid w:val="004D1CFD"/>
    <w:rsid w:val="004D1D49"/>
    <w:rsid w:val="004D1DC8"/>
    <w:rsid w:val="004D1DD1"/>
    <w:rsid w:val="004D1E6D"/>
    <w:rsid w:val="004D1EB5"/>
    <w:rsid w:val="004D1EB6"/>
    <w:rsid w:val="004D1F1E"/>
    <w:rsid w:val="004D1F61"/>
    <w:rsid w:val="004D20CB"/>
    <w:rsid w:val="004D20D0"/>
    <w:rsid w:val="004D21E7"/>
    <w:rsid w:val="004D2345"/>
    <w:rsid w:val="004D23C2"/>
    <w:rsid w:val="004D23C6"/>
    <w:rsid w:val="004D24A0"/>
    <w:rsid w:val="004D24D3"/>
    <w:rsid w:val="004D2557"/>
    <w:rsid w:val="004D261F"/>
    <w:rsid w:val="004D2637"/>
    <w:rsid w:val="004D264C"/>
    <w:rsid w:val="004D28EA"/>
    <w:rsid w:val="004D2960"/>
    <w:rsid w:val="004D29D5"/>
    <w:rsid w:val="004D29E3"/>
    <w:rsid w:val="004D2A50"/>
    <w:rsid w:val="004D2B33"/>
    <w:rsid w:val="004D2B40"/>
    <w:rsid w:val="004D2C7C"/>
    <w:rsid w:val="004D2CE5"/>
    <w:rsid w:val="004D2E65"/>
    <w:rsid w:val="004D2FF8"/>
    <w:rsid w:val="004D3092"/>
    <w:rsid w:val="004D3130"/>
    <w:rsid w:val="004D31C4"/>
    <w:rsid w:val="004D32E9"/>
    <w:rsid w:val="004D3370"/>
    <w:rsid w:val="004D33E5"/>
    <w:rsid w:val="004D34DA"/>
    <w:rsid w:val="004D351B"/>
    <w:rsid w:val="004D3538"/>
    <w:rsid w:val="004D3592"/>
    <w:rsid w:val="004D35CD"/>
    <w:rsid w:val="004D360D"/>
    <w:rsid w:val="004D3633"/>
    <w:rsid w:val="004D367E"/>
    <w:rsid w:val="004D36A3"/>
    <w:rsid w:val="004D3721"/>
    <w:rsid w:val="004D382E"/>
    <w:rsid w:val="004D38B9"/>
    <w:rsid w:val="004D396A"/>
    <w:rsid w:val="004D3A36"/>
    <w:rsid w:val="004D3A3A"/>
    <w:rsid w:val="004D3E15"/>
    <w:rsid w:val="004D3E20"/>
    <w:rsid w:val="004D3E42"/>
    <w:rsid w:val="004D3EAF"/>
    <w:rsid w:val="004D3F5D"/>
    <w:rsid w:val="004D3F5F"/>
    <w:rsid w:val="004D3FC1"/>
    <w:rsid w:val="004D3FE7"/>
    <w:rsid w:val="004D4114"/>
    <w:rsid w:val="004D417D"/>
    <w:rsid w:val="004D41C0"/>
    <w:rsid w:val="004D41E9"/>
    <w:rsid w:val="004D4294"/>
    <w:rsid w:val="004D4295"/>
    <w:rsid w:val="004D443E"/>
    <w:rsid w:val="004D4452"/>
    <w:rsid w:val="004D44E5"/>
    <w:rsid w:val="004D4504"/>
    <w:rsid w:val="004D45D5"/>
    <w:rsid w:val="004D46F5"/>
    <w:rsid w:val="004D4752"/>
    <w:rsid w:val="004D480E"/>
    <w:rsid w:val="004D480F"/>
    <w:rsid w:val="004D48AE"/>
    <w:rsid w:val="004D4944"/>
    <w:rsid w:val="004D495E"/>
    <w:rsid w:val="004D4A4B"/>
    <w:rsid w:val="004D4A6F"/>
    <w:rsid w:val="004D4D38"/>
    <w:rsid w:val="004D4D47"/>
    <w:rsid w:val="004D4E1A"/>
    <w:rsid w:val="004D4E6D"/>
    <w:rsid w:val="004D4F75"/>
    <w:rsid w:val="004D50B9"/>
    <w:rsid w:val="004D51C8"/>
    <w:rsid w:val="004D51E1"/>
    <w:rsid w:val="004D526F"/>
    <w:rsid w:val="004D5290"/>
    <w:rsid w:val="004D52DF"/>
    <w:rsid w:val="004D52E0"/>
    <w:rsid w:val="004D53DC"/>
    <w:rsid w:val="004D541C"/>
    <w:rsid w:val="004D547B"/>
    <w:rsid w:val="004D5565"/>
    <w:rsid w:val="004D5566"/>
    <w:rsid w:val="004D566B"/>
    <w:rsid w:val="004D578B"/>
    <w:rsid w:val="004D579E"/>
    <w:rsid w:val="004D58C5"/>
    <w:rsid w:val="004D58FC"/>
    <w:rsid w:val="004D593A"/>
    <w:rsid w:val="004D5A19"/>
    <w:rsid w:val="004D5A44"/>
    <w:rsid w:val="004D5B42"/>
    <w:rsid w:val="004D5B4F"/>
    <w:rsid w:val="004D5B64"/>
    <w:rsid w:val="004D5C0A"/>
    <w:rsid w:val="004D5C17"/>
    <w:rsid w:val="004D5C2C"/>
    <w:rsid w:val="004D5CC8"/>
    <w:rsid w:val="004D5CE8"/>
    <w:rsid w:val="004D5D1E"/>
    <w:rsid w:val="004D5E8E"/>
    <w:rsid w:val="004D5ED3"/>
    <w:rsid w:val="004D5F39"/>
    <w:rsid w:val="004D609B"/>
    <w:rsid w:val="004D613B"/>
    <w:rsid w:val="004D61D1"/>
    <w:rsid w:val="004D623D"/>
    <w:rsid w:val="004D627C"/>
    <w:rsid w:val="004D62E6"/>
    <w:rsid w:val="004D643D"/>
    <w:rsid w:val="004D64D3"/>
    <w:rsid w:val="004D655B"/>
    <w:rsid w:val="004D6575"/>
    <w:rsid w:val="004D657A"/>
    <w:rsid w:val="004D657B"/>
    <w:rsid w:val="004D65E4"/>
    <w:rsid w:val="004D6680"/>
    <w:rsid w:val="004D66D5"/>
    <w:rsid w:val="004D6731"/>
    <w:rsid w:val="004D6799"/>
    <w:rsid w:val="004D67B8"/>
    <w:rsid w:val="004D67D1"/>
    <w:rsid w:val="004D6850"/>
    <w:rsid w:val="004D6896"/>
    <w:rsid w:val="004D6913"/>
    <w:rsid w:val="004D6984"/>
    <w:rsid w:val="004D6AD0"/>
    <w:rsid w:val="004D6AF4"/>
    <w:rsid w:val="004D6B75"/>
    <w:rsid w:val="004D6BAE"/>
    <w:rsid w:val="004D6BC4"/>
    <w:rsid w:val="004D6C50"/>
    <w:rsid w:val="004D6CD2"/>
    <w:rsid w:val="004D6CD4"/>
    <w:rsid w:val="004D6D3C"/>
    <w:rsid w:val="004D6DE9"/>
    <w:rsid w:val="004D6E00"/>
    <w:rsid w:val="004D6ECC"/>
    <w:rsid w:val="004D6FEF"/>
    <w:rsid w:val="004D70B6"/>
    <w:rsid w:val="004D70E9"/>
    <w:rsid w:val="004D7199"/>
    <w:rsid w:val="004D719D"/>
    <w:rsid w:val="004D71BD"/>
    <w:rsid w:val="004D71CC"/>
    <w:rsid w:val="004D73A0"/>
    <w:rsid w:val="004D7468"/>
    <w:rsid w:val="004D75AE"/>
    <w:rsid w:val="004D75F7"/>
    <w:rsid w:val="004D7608"/>
    <w:rsid w:val="004D7632"/>
    <w:rsid w:val="004D7636"/>
    <w:rsid w:val="004D7694"/>
    <w:rsid w:val="004D76BE"/>
    <w:rsid w:val="004D7775"/>
    <w:rsid w:val="004D77CC"/>
    <w:rsid w:val="004D77E6"/>
    <w:rsid w:val="004D781D"/>
    <w:rsid w:val="004D7862"/>
    <w:rsid w:val="004D789C"/>
    <w:rsid w:val="004D78FD"/>
    <w:rsid w:val="004D796B"/>
    <w:rsid w:val="004D79A0"/>
    <w:rsid w:val="004D79AE"/>
    <w:rsid w:val="004D7BDE"/>
    <w:rsid w:val="004D7C7F"/>
    <w:rsid w:val="004D7CFC"/>
    <w:rsid w:val="004D7D83"/>
    <w:rsid w:val="004D7D9B"/>
    <w:rsid w:val="004D7DA3"/>
    <w:rsid w:val="004D7ED6"/>
    <w:rsid w:val="004D7F1B"/>
    <w:rsid w:val="004D7F85"/>
    <w:rsid w:val="004D7FD4"/>
    <w:rsid w:val="004E0041"/>
    <w:rsid w:val="004E022D"/>
    <w:rsid w:val="004E02AD"/>
    <w:rsid w:val="004E0304"/>
    <w:rsid w:val="004E030C"/>
    <w:rsid w:val="004E0335"/>
    <w:rsid w:val="004E0355"/>
    <w:rsid w:val="004E0390"/>
    <w:rsid w:val="004E03C5"/>
    <w:rsid w:val="004E05B6"/>
    <w:rsid w:val="004E05C7"/>
    <w:rsid w:val="004E05FA"/>
    <w:rsid w:val="004E06A0"/>
    <w:rsid w:val="004E06A2"/>
    <w:rsid w:val="004E06FE"/>
    <w:rsid w:val="004E07BD"/>
    <w:rsid w:val="004E07C3"/>
    <w:rsid w:val="004E0815"/>
    <w:rsid w:val="004E084B"/>
    <w:rsid w:val="004E086E"/>
    <w:rsid w:val="004E0923"/>
    <w:rsid w:val="004E09AB"/>
    <w:rsid w:val="004E09FF"/>
    <w:rsid w:val="004E0A7E"/>
    <w:rsid w:val="004E0ABD"/>
    <w:rsid w:val="004E0AE6"/>
    <w:rsid w:val="004E0B2B"/>
    <w:rsid w:val="004E0B74"/>
    <w:rsid w:val="004E0BC9"/>
    <w:rsid w:val="004E0BCD"/>
    <w:rsid w:val="004E0C11"/>
    <w:rsid w:val="004E0C31"/>
    <w:rsid w:val="004E0D0E"/>
    <w:rsid w:val="004E0D71"/>
    <w:rsid w:val="004E0D74"/>
    <w:rsid w:val="004E0D8D"/>
    <w:rsid w:val="004E0DA9"/>
    <w:rsid w:val="004E0F2C"/>
    <w:rsid w:val="004E0F5A"/>
    <w:rsid w:val="004E1040"/>
    <w:rsid w:val="004E1046"/>
    <w:rsid w:val="004E10CD"/>
    <w:rsid w:val="004E1216"/>
    <w:rsid w:val="004E1230"/>
    <w:rsid w:val="004E12E8"/>
    <w:rsid w:val="004E1383"/>
    <w:rsid w:val="004E1425"/>
    <w:rsid w:val="004E147B"/>
    <w:rsid w:val="004E1583"/>
    <w:rsid w:val="004E158B"/>
    <w:rsid w:val="004E15C7"/>
    <w:rsid w:val="004E15C9"/>
    <w:rsid w:val="004E173A"/>
    <w:rsid w:val="004E174C"/>
    <w:rsid w:val="004E17E0"/>
    <w:rsid w:val="004E17F9"/>
    <w:rsid w:val="004E1872"/>
    <w:rsid w:val="004E18D8"/>
    <w:rsid w:val="004E190D"/>
    <w:rsid w:val="004E1997"/>
    <w:rsid w:val="004E1A24"/>
    <w:rsid w:val="004E1A38"/>
    <w:rsid w:val="004E1A55"/>
    <w:rsid w:val="004E1A9B"/>
    <w:rsid w:val="004E1BE5"/>
    <w:rsid w:val="004E1C2E"/>
    <w:rsid w:val="004E1D4A"/>
    <w:rsid w:val="004E1D99"/>
    <w:rsid w:val="004E1F43"/>
    <w:rsid w:val="004E1F98"/>
    <w:rsid w:val="004E200E"/>
    <w:rsid w:val="004E2020"/>
    <w:rsid w:val="004E2073"/>
    <w:rsid w:val="004E20A8"/>
    <w:rsid w:val="004E20CD"/>
    <w:rsid w:val="004E21B1"/>
    <w:rsid w:val="004E2237"/>
    <w:rsid w:val="004E22CA"/>
    <w:rsid w:val="004E2350"/>
    <w:rsid w:val="004E23C0"/>
    <w:rsid w:val="004E2442"/>
    <w:rsid w:val="004E24A5"/>
    <w:rsid w:val="004E24AD"/>
    <w:rsid w:val="004E2523"/>
    <w:rsid w:val="004E25B3"/>
    <w:rsid w:val="004E2692"/>
    <w:rsid w:val="004E26C9"/>
    <w:rsid w:val="004E2753"/>
    <w:rsid w:val="004E284D"/>
    <w:rsid w:val="004E28C3"/>
    <w:rsid w:val="004E2ADE"/>
    <w:rsid w:val="004E2B51"/>
    <w:rsid w:val="004E2B65"/>
    <w:rsid w:val="004E2BA7"/>
    <w:rsid w:val="004E2BBB"/>
    <w:rsid w:val="004E2C42"/>
    <w:rsid w:val="004E2C80"/>
    <w:rsid w:val="004E2C9B"/>
    <w:rsid w:val="004E2E9C"/>
    <w:rsid w:val="004E2EFF"/>
    <w:rsid w:val="004E3030"/>
    <w:rsid w:val="004E30B2"/>
    <w:rsid w:val="004E30CB"/>
    <w:rsid w:val="004E3132"/>
    <w:rsid w:val="004E3182"/>
    <w:rsid w:val="004E31A5"/>
    <w:rsid w:val="004E31E8"/>
    <w:rsid w:val="004E3300"/>
    <w:rsid w:val="004E33AC"/>
    <w:rsid w:val="004E34C5"/>
    <w:rsid w:val="004E3554"/>
    <w:rsid w:val="004E35D7"/>
    <w:rsid w:val="004E37FD"/>
    <w:rsid w:val="004E39C6"/>
    <w:rsid w:val="004E39DE"/>
    <w:rsid w:val="004E3A9D"/>
    <w:rsid w:val="004E3AEE"/>
    <w:rsid w:val="004E3B2F"/>
    <w:rsid w:val="004E3B6F"/>
    <w:rsid w:val="004E3B97"/>
    <w:rsid w:val="004E3C2E"/>
    <w:rsid w:val="004E3D1E"/>
    <w:rsid w:val="004E3DCD"/>
    <w:rsid w:val="004E3DF4"/>
    <w:rsid w:val="004E3E02"/>
    <w:rsid w:val="004E3E6A"/>
    <w:rsid w:val="004E3E79"/>
    <w:rsid w:val="004E3E96"/>
    <w:rsid w:val="004E3FBB"/>
    <w:rsid w:val="004E4079"/>
    <w:rsid w:val="004E409A"/>
    <w:rsid w:val="004E409E"/>
    <w:rsid w:val="004E4285"/>
    <w:rsid w:val="004E431C"/>
    <w:rsid w:val="004E4367"/>
    <w:rsid w:val="004E436C"/>
    <w:rsid w:val="004E441C"/>
    <w:rsid w:val="004E44CF"/>
    <w:rsid w:val="004E4506"/>
    <w:rsid w:val="004E455B"/>
    <w:rsid w:val="004E4575"/>
    <w:rsid w:val="004E46C0"/>
    <w:rsid w:val="004E474E"/>
    <w:rsid w:val="004E475C"/>
    <w:rsid w:val="004E47A8"/>
    <w:rsid w:val="004E4806"/>
    <w:rsid w:val="004E49A0"/>
    <w:rsid w:val="004E4A6A"/>
    <w:rsid w:val="004E4BA5"/>
    <w:rsid w:val="004E4C33"/>
    <w:rsid w:val="004E4C46"/>
    <w:rsid w:val="004E4C9B"/>
    <w:rsid w:val="004E4CA2"/>
    <w:rsid w:val="004E4CA5"/>
    <w:rsid w:val="004E4CC3"/>
    <w:rsid w:val="004E4D32"/>
    <w:rsid w:val="004E4D4A"/>
    <w:rsid w:val="004E4D4C"/>
    <w:rsid w:val="004E4D81"/>
    <w:rsid w:val="004E4D94"/>
    <w:rsid w:val="004E4EA0"/>
    <w:rsid w:val="004E4EFA"/>
    <w:rsid w:val="004E4FC4"/>
    <w:rsid w:val="004E4FE8"/>
    <w:rsid w:val="004E503F"/>
    <w:rsid w:val="004E5084"/>
    <w:rsid w:val="004E520A"/>
    <w:rsid w:val="004E521F"/>
    <w:rsid w:val="004E5258"/>
    <w:rsid w:val="004E5259"/>
    <w:rsid w:val="004E52A8"/>
    <w:rsid w:val="004E538C"/>
    <w:rsid w:val="004E53B1"/>
    <w:rsid w:val="004E53DE"/>
    <w:rsid w:val="004E53FC"/>
    <w:rsid w:val="004E5429"/>
    <w:rsid w:val="004E5459"/>
    <w:rsid w:val="004E545E"/>
    <w:rsid w:val="004E547E"/>
    <w:rsid w:val="004E549D"/>
    <w:rsid w:val="004E5583"/>
    <w:rsid w:val="004E55AC"/>
    <w:rsid w:val="004E5615"/>
    <w:rsid w:val="004E56BE"/>
    <w:rsid w:val="004E56E0"/>
    <w:rsid w:val="004E56E5"/>
    <w:rsid w:val="004E5700"/>
    <w:rsid w:val="004E5790"/>
    <w:rsid w:val="004E589B"/>
    <w:rsid w:val="004E593C"/>
    <w:rsid w:val="004E5983"/>
    <w:rsid w:val="004E5A5E"/>
    <w:rsid w:val="004E5A64"/>
    <w:rsid w:val="004E5A71"/>
    <w:rsid w:val="004E5A7A"/>
    <w:rsid w:val="004E5ADB"/>
    <w:rsid w:val="004E5B65"/>
    <w:rsid w:val="004E5CCE"/>
    <w:rsid w:val="004E5CDB"/>
    <w:rsid w:val="004E5DD9"/>
    <w:rsid w:val="004E5DDF"/>
    <w:rsid w:val="004E5EC1"/>
    <w:rsid w:val="004E5EC7"/>
    <w:rsid w:val="004E5F2C"/>
    <w:rsid w:val="004E5F79"/>
    <w:rsid w:val="004E5FDC"/>
    <w:rsid w:val="004E6173"/>
    <w:rsid w:val="004E6187"/>
    <w:rsid w:val="004E61E8"/>
    <w:rsid w:val="004E6276"/>
    <w:rsid w:val="004E6283"/>
    <w:rsid w:val="004E629B"/>
    <w:rsid w:val="004E62F5"/>
    <w:rsid w:val="004E6316"/>
    <w:rsid w:val="004E6328"/>
    <w:rsid w:val="004E6369"/>
    <w:rsid w:val="004E637B"/>
    <w:rsid w:val="004E638F"/>
    <w:rsid w:val="004E648B"/>
    <w:rsid w:val="004E660E"/>
    <w:rsid w:val="004E662A"/>
    <w:rsid w:val="004E66F6"/>
    <w:rsid w:val="004E674A"/>
    <w:rsid w:val="004E674D"/>
    <w:rsid w:val="004E6764"/>
    <w:rsid w:val="004E67C1"/>
    <w:rsid w:val="004E67E9"/>
    <w:rsid w:val="004E68A9"/>
    <w:rsid w:val="004E68F8"/>
    <w:rsid w:val="004E6920"/>
    <w:rsid w:val="004E6A6D"/>
    <w:rsid w:val="004E6B84"/>
    <w:rsid w:val="004E6BC5"/>
    <w:rsid w:val="004E6BC7"/>
    <w:rsid w:val="004E6BF3"/>
    <w:rsid w:val="004E6C31"/>
    <w:rsid w:val="004E6C79"/>
    <w:rsid w:val="004E6CDA"/>
    <w:rsid w:val="004E6CE8"/>
    <w:rsid w:val="004E6D65"/>
    <w:rsid w:val="004E6E01"/>
    <w:rsid w:val="004E6E31"/>
    <w:rsid w:val="004E6ED0"/>
    <w:rsid w:val="004E6F28"/>
    <w:rsid w:val="004E6F6A"/>
    <w:rsid w:val="004E6F6F"/>
    <w:rsid w:val="004E6FB8"/>
    <w:rsid w:val="004E6FBF"/>
    <w:rsid w:val="004E7059"/>
    <w:rsid w:val="004E7078"/>
    <w:rsid w:val="004E7193"/>
    <w:rsid w:val="004E71B8"/>
    <w:rsid w:val="004E722A"/>
    <w:rsid w:val="004E7263"/>
    <w:rsid w:val="004E72DB"/>
    <w:rsid w:val="004E73CC"/>
    <w:rsid w:val="004E740E"/>
    <w:rsid w:val="004E7532"/>
    <w:rsid w:val="004E76EE"/>
    <w:rsid w:val="004E771D"/>
    <w:rsid w:val="004E7742"/>
    <w:rsid w:val="004E77AF"/>
    <w:rsid w:val="004E7819"/>
    <w:rsid w:val="004E7876"/>
    <w:rsid w:val="004E78F8"/>
    <w:rsid w:val="004E79E6"/>
    <w:rsid w:val="004E7A38"/>
    <w:rsid w:val="004E7ACB"/>
    <w:rsid w:val="004E7B03"/>
    <w:rsid w:val="004E7B09"/>
    <w:rsid w:val="004E7BF5"/>
    <w:rsid w:val="004E7C25"/>
    <w:rsid w:val="004E7C75"/>
    <w:rsid w:val="004E7D26"/>
    <w:rsid w:val="004E7D2E"/>
    <w:rsid w:val="004E7D33"/>
    <w:rsid w:val="004E7D8B"/>
    <w:rsid w:val="004E7D90"/>
    <w:rsid w:val="004E7DA1"/>
    <w:rsid w:val="004E7DE7"/>
    <w:rsid w:val="004E7E41"/>
    <w:rsid w:val="004E7FE6"/>
    <w:rsid w:val="004F0020"/>
    <w:rsid w:val="004F007F"/>
    <w:rsid w:val="004F00D4"/>
    <w:rsid w:val="004F011B"/>
    <w:rsid w:val="004F017B"/>
    <w:rsid w:val="004F017E"/>
    <w:rsid w:val="004F0182"/>
    <w:rsid w:val="004F01D1"/>
    <w:rsid w:val="004F020E"/>
    <w:rsid w:val="004F022D"/>
    <w:rsid w:val="004F024E"/>
    <w:rsid w:val="004F0256"/>
    <w:rsid w:val="004F02A5"/>
    <w:rsid w:val="004F03B4"/>
    <w:rsid w:val="004F03E6"/>
    <w:rsid w:val="004F0467"/>
    <w:rsid w:val="004F048B"/>
    <w:rsid w:val="004F04AA"/>
    <w:rsid w:val="004F04F0"/>
    <w:rsid w:val="004F05F1"/>
    <w:rsid w:val="004F0681"/>
    <w:rsid w:val="004F06D4"/>
    <w:rsid w:val="004F06D8"/>
    <w:rsid w:val="004F06E8"/>
    <w:rsid w:val="004F0744"/>
    <w:rsid w:val="004F0778"/>
    <w:rsid w:val="004F07AB"/>
    <w:rsid w:val="004F0958"/>
    <w:rsid w:val="004F0A2D"/>
    <w:rsid w:val="004F0A60"/>
    <w:rsid w:val="004F0A9B"/>
    <w:rsid w:val="004F0AB8"/>
    <w:rsid w:val="004F0AE6"/>
    <w:rsid w:val="004F0C70"/>
    <w:rsid w:val="004F0C8A"/>
    <w:rsid w:val="004F0C94"/>
    <w:rsid w:val="004F0CFD"/>
    <w:rsid w:val="004F0D61"/>
    <w:rsid w:val="004F0D6A"/>
    <w:rsid w:val="004F0D9C"/>
    <w:rsid w:val="004F0DAD"/>
    <w:rsid w:val="004F0E01"/>
    <w:rsid w:val="004F0F01"/>
    <w:rsid w:val="004F0F0B"/>
    <w:rsid w:val="004F0FD0"/>
    <w:rsid w:val="004F1036"/>
    <w:rsid w:val="004F10A4"/>
    <w:rsid w:val="004F11B2"/>
    <w:rsid w:val="004F11FD"/>
    <w:rsid w:val="004F120E"/>
    <w:rsid w:val="004F1213"/>
    <w:rsid w:val="004F1269"/>
    <w:rsid w:val="004F127C"/>
    <w:rsid w:val="004F128C"/>
    <w:rsid w:val="004F12BF"/>
    <w:rsid w:val="004F1371"/>
    <w:rsid w:val="004F1483"/>
    <w:rsid w:val="004F1499"/>
    <w:rsid w:val="004F14BC"/>
    <w:rsid w:val="004F1613"/>
    <w:rsid w:val="004F170E"/>
    <w:rsid w:val="004F1720"/>
    <w:rsid w:val="004F1865"/>
    <w:rsid w:val="004F187D"/>
    <w:rsid w:val="004F18AB"/>
    <w:rsid w:val="004F1957"/>
    <w:rsid w:val="004F196D"/>
    <w:rsid w:val="004F1984"/>
    <w:rsid w:val="004F1A78"/>
    <w:rsid w:val="004F1BA5"/>
    <w:rsid w:val="004F1C58"/>
    <w:rsid w:val="004F1C95"/>
    <w:rsid w:val="004F1CDC"/>
    <w:rsid w:val="004F1D5C"/>
    <w:rsid w:val="004F1E33"/>
    <w:rsid w:val="004F1E41"/>
    <w:rsid w:val="004F1E8D"/>
    <w:rsid w:val="004F1E91"/>
    <w:rsid w:val="004F1E96"/>
    <w:rsid w:val="004F1F0F"/>
    <w:rsid w:val="004F1FFC"/>
    <w:rsid w:val="004F2103"/>
    <w:rsid w:val="004F2230"/>
    <w:rsid w:val="004F2282"/>
    <w:rsid w:val="004F229B"/>
    <w:rsid w:val="004F22D6"/>
    <w:rsid w:val="004F22E2"/>
    <w:rsid w:val="004F23CD"/>
    <w:rsid w:val="004F23E4"/>
    <w:rsid w:val="004F23EE"/>
    <w:rsid w:val="004F24AD"/>
    <w:rsid w:val="004F2512"/>
    <w:rsid w:val="004F252B"/>
    <w:rsid w:val="004F2585"/>
    <w:rsid w:val="004F25B5"/>
    <w:rsid w:val="004F25D2"/>
    <w:rsid w:val="004F25DB"/>
    <w:rsid w:val="004F26D2"/>
    <w:rsid w:val="004F2770"/>
    <w:rsid w:val="004F2902"/>
    <w:rsid w:val="004F295B"/>
    <w:rsid w:val="004F29DB"/>
    <w:rsid w:val="004F2AD8"/>
    <w:rsid w:val="004F2B43"/>
    <w:rsid w:val="004F2B7E"/>
    <w:rsid w:val="004F2C49"/>
    <w:rsid w:val="004F2C84"/>
    <w:rsid w:val="004F2C8A"/>
    <w:rsid w:val="004F2CFD"/>
    <w:rsid w:val="004F2D07"/>
    <w:rsid w:val="004F2D2E"/>
    <w:rsid w:val="004F2D65"/>
    <w:rsid w:val="004F2D66"/>
    <w:rsid w:val="004F2DB7"/>
    <w:rsid w:val="004F2E34"/>
    <w:rsid w:val="004F2FFD"/>
    <w:rsid w:val="004F300E"/>
    <w:rsid w:val="004F3072"/>
    <w:rsid w:val="004F30BB"/>
    <w:rsid w:val="004F30C0"/>
    <w:rsid w:val="004F31EF"/>
    <w:rsid w:val="004F31F0"/>
    <w:rsid w:val="004F31F5"/>
    <w:rsid w:val="004F33F0"/>
    <w:rsid w:val="004F3407"/>
    <w:rsid w:val="004F3424"/>
    <w:rsid w:val="004F35E8"/>
    <w:rsid w:val="004F3679"/>
    <w:rsid w:val="004F36B9"/>
    <w:rsid w:val="004F36E0"/>
    <w:rsid w:val="004F37E8"/>
    <w:rsid w:val="004F386D"/>
    <w:rsid w:val="004F38BA"/>
    <w:rsid w:val="004F38FB"/>
    <w:rsid w:val="004F3959"/>
    <w:rsid w:val="004F3972"/>
    <w:rsid w:val="004F3A0F"/>
    <w:rsid w:val="004F3B1A"/>
    <w:rsid w:val="004F3B52"/>
    <w:rsid w:val="004F3BD0"/>
    <w:rsid w:val="004F3C2F"/>
    <w:rsid w:val="004F3C9F"/>
    <w:rsid w:val="004F3CF9"/>
    <w:rsid w:val="004F3D87"/>
    <w:rsid w:val="004F3E10"/>
    <w:rsid w:val="004F3E31"/>
    <w:rsid w:val="004F3E48"/>
    <w:rsid w:val="004F3E52"/>
    <w:rsid w:val="004F3FB8"/>
    <w:rsid w:val="004F3FD6"/>
    <w:rsid w:val="004F4075"/>
    <w:rsid w:val="004F40D3"/>
    <w:rsid w:val="004F41E9"/>
    <w:rsid w:val="004F433C"/>
    <w:rsid w:val="004F43F4"/>
    <w:rsid w:val="004F43F8"/>
    <w:rsid w:val="004F4423"/>
    <w:rsid w:val="004F4484"/>
    <w:rsid w:val="004F449E"/>
    <w:rsid w:val="004F44CB"/>
    <w:rsid w:val="004F45B5"/>
    <w:rsid w:val="004F462F"/>
    <w:rsid w:val="004F4663"/>
    <w:rsid w:val="004F468C"/>
    <w:rsid w:val="004F46AE"/>
    <w:rsid w:val="004F46C0"/>
    <w:rsid w:val="004F477D"/>
    <w:rsid w:val="004F4787"/>
    <w:rsid w:val="004F47A1"/>
    <w:rsid w:val="004F47BB"/>
    <w:rsid w:val="004F4829"/>
    <w:rsid w:val="004F485B"/>
    <w:rsid w:val="004F48E4"/>
    <w:rsid w:val="004F48FB"/>
    <w:rsid w:val="004F4935"/>
    <w:rsid w:val="004F4961"/>
    <w:rsid w:val="004F4A31"/>
    <w:rsid w:val="004F4A86"/>
    <w:rsid w:val="004F4A90"/>
    <w:rsid w:val="004F4A9B"/>
    <w:rsid w:val="004F4ADD"/>
    <w:rsid w:val="004F4B59"/>
    <w:rsid w:val="004F4CFF"/>
    <w:rsid w:val="004F4E03"/>
    <w:rsid w:val="004F4E0D"/>
    <w:rsid w:val="004F4F5D"/>
    <w:rsid w:val="004F4F67"/>
    <w:rsid w:val="004F4F89"/>
    <w:rsid w:val="004F4F90"/>
    <w:rsid w:val="004F5072"/>
    <w:rsid w:val="004F50AB"/>
    <w:rsid w:val="004F5169"/>
    <w:rsid w:val="004F51BC"/>
    <w:rsid w:val="004F524A"/>
    <w:rsid w:val="004F524F"/>
    <w:rsid w:val="004F52B5"/>
    <w:rsid w:val="004F52FD"/>
    <w:rsid w:val="004F53A6"/>
    <w:rsid w:val="004F544A"/>
    <w:rsid w:val="004F5470"/>
    <w:rsid w:val="004F54BB"/>
    <w:rsid w:val="004F54C5"/>
    <w:rsid w:val="004F54DD"/>
    <w:rsid w:val="004F5506"/>
    <w:rsid w:val="004F553B"/>
    <w:rsid w:val="004F5615"/>
    <w:rsid w:val="004F56D6"/>
    <w:rsid w:val="004F56DF"/>
    <w:rsid w:val="004F573D"/>
    <w:rsid w:val="004F57A1"/>
    <w:rsid w:val="004F57B9"/>
    <w:rsid w:val="004F57C2"/>
    <w:rsid w:val="004F581D"/>
    <w:rsid w:val="004F5846"/>
    <w:rsid w:val="004F58A7"/>
    <w:rsid w:val="004F58D2"/>
    <w:rsid w:val="004F58EB"/>
    <w:rsid w:val="004F5909"/>
    <w:rsid w:val="004F5983"/>
    <w:rsid w:val="004F59B4"/>
    <w:rsid w:val="004F5A50"/>
    <w:rsid w:val="004F5AB0"/>
    <w:rsid w:val="004F5B5A"/>
    <w:rsid w:val="004F5B8E"/>
    <w:rsid w:val="004F5BE2"/>
    <w:rsid w:val="004F5C12"/>
    <w:rsid w:val="004F5C84"/>
    <w:rsid w:val="004F5D37"/>
    <w:rsid w:val="004F5D77"/>
    <w:rsid w:val="004F5ED0"/>
    <w:rsid w:val="004F5F08"/>
    <w:rsid w:val="004F5FCB"/>
    <w:rsid w:val="004F6076"/>
    <w:rsid w:val="004F60F3"/>
    <w:rsid w:val="004F616A"/>
    <w:rsid w:val="004F61D2"/>
    <w:rsid w:val="004F6381"/>
    <w:rsid w:val="004F63C5"/>
    <w:rsid w:val="004F63C7"/>
    <w:rsid w:val="004F6465"/>
    <w:rsid w:val="004F64D0"/>
    <w:rsid w:val="004F6513"/>
    <w:rsid w:val="004F6540"/>
    <w:rsid w:val="004F65C2"/>
    <w:rsid w:val="004F66FC"/>
    <w:rsid w:val="004F6787"/>
    <w:rsid w:val="004F678B"/>
    <w:rsid w:val="004F67D0"/>
    <w:rsid w:val="004F683C"/>
    <w:rsid w:val="004F684E"/>
    <w:rsid w:val="004F68CC"/>
    <w:rsid w:val="004F6969"/>
    <w:rsid w:val="004F6983"/>
    <w:rsid w:val="004F6A11"/>
    <w:rsid w:val="004F6B05"/>
    <w:rsid w:val="004F6C0E"/>
    <w:rsid w:val="004F6C15"/>
    <w:rsid w:val="004F6C8B"/>
    <w:rsid w:val="004F6CB2"/>
    <w:rsid w:val="004F6E37"/>
    <w:rsid w:val="004F6E39"/>
    <w:rsid w:val="004F6EF8"/>
    <w:rsid w:val="004F6F25"/>
    <w:rsid w:val="004F6F6C"/>
    <w:rsid w:val="004F6FB0"/>
    <w:rsid w:val="004F6FD7"/>
    <w:rsid w:val="004F6FFE"/>
    <w:rsid w:val="004F70B4"/>
    <w:rsid w:val="004F7123"/>
    <w:rsid w:val="004F7174"/>
    <w:rsid w:val="004F71AC"/>
    <w:rsid w:val="004F71CC"/>
    <w:rsid w:val="004F71CD"/>
    <w:rsid w:val="004F72BD"/>
    <w:rsid w:val="004F72E6"/>
    <w:rsid w:val="004F7307"/>
    <w:rsid w:val="004F733D"/>
    <w:rsid w:val="004F734D"/>
    <w:rsid w:val="004F738D"/>
    <w:rsid w:val="004F7436"/>
    <w:rsid w:val="004F75BA"/>
    <w:rsid w:val="004F7636"/>
    <w:rsid w:val="004F7638"/>
    <w:rsid w:val="004F7678"/>
    <w:rsid w:val="004F7686"/>
    <w:rsid w:val="004F7724"/>
    <w:rsid w:val="004F77D1"/>
    <w:rsid w:val="004F77DB"/>
    <w:rsid w:val="004F782F"/>
    <w:rsid w:val="004F78B1"/>
    <w:rsid w:val="004F798A"/>
    <w:rsid w:val="004F79CD"/>
    <w:rsid w:val="004F7ABE"/>
    <w:rsid w:val="004F7B8C"/>
    <w:rsid w:val="004F7C09"/>
    <w:rsid w:val="004F7CA9"/>
    <w:rsid w:val="004F7CE2"/>
    <w:rsid w:val="004F7E2A"/>
    <w:rsid w:val="004F7E40"/>
    <w:rsid w:val="004F7ED9"/>
    <w:rsid w:val="004F7F06"/>
    <w:rsid w:val="004F7F82"/>
    <w:rsid w:val="004F7FE4"/>
    <w:rsid w:val="00500030"/>
    <w:rsid w:val="0050003A"/>
    <w:rsid w:val="0050017E"/>
    <w:rsid w:val="005001E2"/>
    <w:rsid w:val="005001F9"/>
    <w:rsid w:val="00500341"/>
    <w:rsid w:val="00500385"/>
    <w:rsid w:val="005003B9"/>
    <w:rsid w:val="005003C1"/>
    <w:rsid w:val="00500419"/>
    <w:rsid w:val="00500420"/>
    <w:rsid w:val="00500459"/>
    <w:rsid w:val="0050045A"/>
    <w:rsid w:val="005005AF"/>
    <w:rsid w:val="005005BD"/>
    <w:rsid w:val="005005C8"/>
    <w:rsid w:val="0050060C"/>
    <w:rsid w:val="00500654"/>
    <w:rsid w:val="005006B2"/>
    <w:rsid w:val="005006EA"/>
    <w:rsid w:val="00500753"/>
    <w:rsid w:val="005007B5"/>
    <w:rsid w:val="00500864"/>
    <w:rsid w:val="00500926"/>
    <w:rsid w:val="00500A2F"/>
    <w:rsid w:val="00500A8E"/>
    <w:rsid w:val="00500AA0"/>
    <w:rsid w:val="00500B1F"/>
    <w:rsid w:val="00500D17"/>
    <w:rsid w:val="00500D67"/>
    <w:rsid w:val="00500D74"/>
    <w:rsid w:val="00500E79"/>
    <w:rsid w:val="00500F01"/>
    <w:rsid w:val="00500F1D"/>
    <w:rsid w:val="00500F27"/>
    <w:rsid w:val="00501112"/>
    <w:rsid w:val="0050116B"/>
    <w:rsid w:val="0050118E"/>
    <w:rsid w:val="00501279"/>
    <w:rsid w:val="0050127C"/>
    <w:rsid w:val="005012A7"/>
    <w:rsid w:val="005012DE"/>
    <w:rsid w:val="0050131A"/>
    <w:rsid w:val="00501397"/>
    <w:rsid w:val="00501451"/>
    <w:rsid w:val="00501471"/>
    <w:rsid w:val="005014D0"/>
    <w:rsid w:val="00501595"/>
    <w:rsid w:val="005015DC"/>
    <w:rsid w:val="00501606"/>
    <w:rsid w:val="00501770"/>
    <w:rsid w:val="00501803"/>
    <w:rsid w:val="00501853"/>
    <w:rsid w:val="00501920"/>
    <w:rsid w:val="0050197B"/>
    <w:rsid w:val="0050198F"/>
    <w:rsid w:val="005019BE"/>
    <w:rsid w:val="00501A31"/>
    <w:rsid w:val="00501AD5"/>
    <w:rsid w:val="00501AF0"/>
    <w:rsid w:val="00501B52"/>
    <w:rsid w:val="00501B66"/>
    <w:rsid w:val="00501C05"/>
    <w:rsid w:val="00501C56"/>
    <w:rsid w:val="00501CB5"/>
    <w:rsid w:val="00501CE6"/>
    <w:rsid w:val="00501D05"/>
    <w:rsid w:val="00501D51"/>
    <w:rsid w:val="00501D54"/>
    <w:rsid w:val="00501E1C"/>
    <w:rsid w:val="00501F6C"/>
    <w:rsid w:val="00501F73"/>
    <w:rsid w:val="00501FB9"/>
    <w:rsid w:val="005020B3"/>
    <w:rsid w:val="00502111"/>
    <w:rsid w:val="0050213E"/>
    <w:rsid w:val="00502157"/>
    <w:rsid w:val="005021F4"/>
    <w:rsid w:val="00502275"/>
    <w:rsid w:val="00502281"/>
    <w:rsid w:val="005022E3"/>
    <w:rsid w:val="0050234A"/>
    <w:rsid w:val="00502451"/>
    <w:rsid w:val="0050257E"/>
    <w:rsid w:val="005025E0"/>
    <w:rsid w:val="0050265B"/>
    <w:rsid w:val="0050271B"/>
    <w:rsid w:val="005027B4"/>
    <w:rsid w:val="005027DE"/>
    <w:rsid w:val="0050282C"/>
    <w:rsid w:val="00502844"/>
    <w:rsid w:val="00502853"/>
    <w:rsid w:val="005028AC"/>
    <w:rsid w:val="005028C0"/>
    <w:rsid w:val="00502938"/>
    <w:rsid w:val="005029B6"/>
    <w:rsid w:val="00502A45"/>
    <w:rsid w:val="00502AC7"/>
    <w:rsid w:val="00502ADA"/>
    <w:rsid w:val="00502AF3"/>
    <w:rsid w:val="00502B5D"/>
    <w:rsid w:val="00502C3E"/>
    <w:rsid w:val="00502C48"/>
    <w:rsid w:val="00502D1D"/>
    <w:rsid w:val="00502D3D"/>
    <w:rsid w:val="00502DB4"/>
    <w:rsid w:val="00502E27"/>
    <w:rsid w:val="00502EE3"/>
    <w:rsid w:val="00502EFC"/>
    <w:rsid w:val="00502FB1"/>
    <w:rsid w:val="00502FE8"/>
    <w:rsid w:val="0050310F"/>
    <w:rsid w:val="005031C0"/>
    <w:rsid w:val="00503237"/>
    <w:rsid w:val="00503286"/>
    <w:rsid w:val="00503293"/>
    <w:rsid w:val="0050335D"/>
    <w:rsid w:val="005033E5"/>
    <w:rsid w:val="0050344C"/>
    <w:rsid w:val="005034FF"/>
    <w:rsid w:val="005035F6"/>
    <w:rsid w:val="00503650"/>
    <w:rsid w:val="0050366E"/>
    <w:rsid w:val="00503684"/>
    <w:rsid w:val="005036D9"/>
    <w:rsid w:val="0050385C"/>
    <w:rsid w:val="005038AF"/>
    <w:rsid w:val="005038FF"/>
    <w:rsid w:val="005039C3"/>
    <w:rsid w:val="005039E1"/>
    <w:rsid w:val="00503A8F"/>
    <w:rsid w:val="00503ABC"/>
    <w:rsid w:val="00503B1B"/>
    <w:rsid w:val="00503BDF"/>
    <w:rsid w:val="00503C57"/>
    <w:rsid w:val="00503C73"/>
    <w:rsid w:val="00503CB0"/>
    <w:rsid w:val="00503CB7"/>
    <w:rsid w:val="00503CDC"/>
    <w:rsid w:val="00503CDD"/>
    <w:rsid w:val="00503CDE"/>
    <w:rsid w:val="00503CF6"/>
    <w:rsid w:val="00503D08"/>
    <w:rsid w:val="00503DB1"/>
    <w:rsid w:val="00503DEF"/>
    <w:rsid w:val="00503E08"/>
    <w:rsid w:val="00503F1A"/>
    <w:rsid w:val="00503F62"/>
    <w:rsid w:val="00503F72"/>
    <w:rsid w:val="00504002"/>
    <w:rsid w:val="0050403E"/>
    <w:rsid w:val="00504107"/>
    <w:rsid w:val="005041DD"/>
    <w:rsid w:val="00504236"/>
    <w:rsid w:val="00504300"/>
    <w:rsid w:val="00504307"/>
    <w:rsid w:val="0050431D"/>
    <w:rsid w:val="005043AD"/>
    <w:rsid w:val="00504442"/>
    <w:rsid w:val="005044BD"/>
    <w:rsid w:val="0050450A"/>
    <w:rsid w:val="0050456D"/>
    <w:rsid w:val="0050456E"/>
    <w:rsid w:val="005046A2"/>
    <w:rsid w:val="00504731"/>
    <w:rsid w:val="005047ED"/>
    <w:rsid w:val="00504853"/>
    <w:rsid w:val="005048BA"/>
    <w:rsid w:val="005048DF"/>
    <w:rsid w:val="00504964"/>
    <w:rsid w:val="00504A45"/>
    <w:rsid w:val="00504ABC"/>
    <w:rsid w:val="00504AED"/>
    <w:rsid w:val="00504B1D"/>
    <w:rsid w:val="00504B4F"/>
    <w:rsid w:val="00504BB3"/>
    <w:rsid w:val="00504C9C"/>
    <w:rsid w:val="00504CD2"/>
    <w:rsid w:val="00504D0A"/>
    <w:rsid w:val="00504E9E"/>
    <w:rsid w:val="00504FE2"/>
    <w:rsid w:val="005050AB"/>
    <w:rsid w:val="00505103"/>
    <w:rsid w:val="005051B5"/>
    <w:rsid w:val="005051D3"/>
    <w:rsid w:val="00505261"/>
    <w:rsid w:val="0050531D"/>
    <w:rsid w:val="00505399"/>
    <w:rsid w:val="005053B3"/>
    <w:rsid w:val="005053BB"/>
    <w:rsid w:val="00505451"/>
    <w:rsid w:val="00505460"/>
    <w:rsid w:val="0050547A"/>
    <w:rsid w:val="00505584"/>
    <w:rsid w:val="005055E7"/>
    <w:rsid w:val="005055FA"/>
    <w:rsid w:val="00505697"/>
    <w:rsid w:val="00505874"/>
    <w:rsid w:val="00505937"/>
    <w:rsid w:val="00505A73"/>
    <w:rsid w:val="00505ADE"/>
    <w:rsid w:val="00505B60"/>
    <w:rsid w:val="00505B76"/>
    <w:rsid w:val="00505C19"/>
    <w:rsid w:val="00505C1E"/>
    <w:rsid w:val="00505C29"/>
    <w:rsid w:val="00505C6A"/>
    <w:rsid w:val="00505C75"/>
    <w:rsid w:val="00505CE5"/>
    <w:rsid w:val="00505D69"/>
    <w:rsid w:val="00505DB9"/>
    <w:rsid w:val="00505E29"/>
    <w:rsid w:val="00505EE0"/>
    <w:rsid w:val="00505FF3"/>
    <w:rsid w:val="00505FF9"/>
    <w:rsid w:val="005060F1"/>
    <w:rsid w:val="00506151"/>
    <w:rsid w:val="0050626D"/>
    <w:rsid w:val="005062B2"/>
    <w:rsid w:val="005062FF"/>
    <w:rsid w:val="0050630B"/>
    <w:rsid w:val="00506388"/>
    <w:rsid w:val="00506443"/>
    <w:rsid w:val="0050646F"/>
    <w:rsid w:val="005064B6"/>
    <w:rsid w:val="005064B7"/>
    <w:rsid w:val="0050654C"/>
    <w:rsid w:val="005065AB"/>
    <w:rsid w:val="005065AC"/>
    <w:rsid w:val="00506610"/>
    <w:rsid w:val="0050666B"/>
    <w:rsid w:val="005066BE"/>
    <w:rsid w:val="00506714"/>
    <w:rsid w:val="005069A8"/>
    <w:rsid w:val="005069F0"/>
    <w:rsid w:val="00506A0B"/>
    <w:rsid w:val="00506A3B"/>
    <w:rsid w:val="00506AA5"/>
    <w:rsid w:val="00506AE6"/>
    <w:rsid w:val="00506B4C"/>
    <w:rsid w:val="00506BBE"/>
    <w:rsid w:val="00506C5A"/>
    <w:rsid w:val="00506CC5"/>
    <w:rsid w:val="00506D19"/>
    <w:rsid w:val="00506D2A"/>
    <w:rsid w:val="00506D33"/>
    <w:rsid w:val="00506D5F"/>
    <w:rsid w:val="00506D78"/>
    <w:rsid w:val="00506D9E"/>
    <w:rsid w:val="00506E17"/>
    <w:rsid w:val="00506E81"/>
    <w:rsid w:val="00506E92"/>
    <w:rsid w:val="00506EFC"/>
    <w:rsid w:val="00506F5E"/>
    <w:rsid w:val="00507007"/>
    <w:rsid w:val="00507079"/>
    <w:rsid w:val="005070B8"/>
    <w:rsid w:val="005070C3"/>
    <w:rsid w:val="0050720C"/>
    <w:rsid w:val="00507226"/>
    <w:rsid w:val="0050732D"/>
    <w:rsid w:val="00507376"/>
    <w:rsid w:val="00507409"/>
    <w:rsid w:val="005074FC"/>
    <w:rsid w:val="0050750F"/>
    <w:rsid w:val="0050752E"/>
    <w:rsid w:val="005075A0"/>
    <w:rsid w:val="005075B4"/>
    <w:rsid w:val="0050769F"/>
    <w:rsid w:val="005076C4"/>
    <w:rsid w:val="005076DB"/>
    <w:rsid w:val="00507741"/>
    <w:rsid w:val="005077C5"/>
    <w:rsid w:val="00507805"/>
    <w:rsid w:val="0050785A"/>
    <w:rsid w:val="005078C6"/>
    <w:rsid w:val="005078D4"/>
    <w:rsid w:val="00507938"/>
    <w:rsid w:val="005079C5"/>
    <w:rsid w:val="00507A0F"/>
    <w:rsid w:val="00507A56"/>
    <w:rsid w:val="00507B34"/>
    <w:rsid w:val="00507B83"/>
    <w:rsid w:val="00507BE1"/>
    <w:rsid w:val="00507C12"/>
    <w:rsid w:val="00507C96"/>
    <w:rsid w:val="00507D1A"/>
    <w:rsid w:val="00507D86"/>
    <w:rsid w:val="00507DD2"/>
    <w:rsid w:val="00507DF8"/>
    <w:rsid w:val="00507F2A"/>
    <w:rsid w:val="00507F5D"/>
    <w:rsid w:val="00507F7C"/>
    <w:rsid w:val="00507FA5"/>
    <w:rsid w:val="00510040"/>
    <w:rsid w:val="00510043"/>
    <w:rsid w:val="00510122"/>
    <w:rsid w:val="00510130"/>
    <w:rsid w:val="00510182"/>
    <w:rsid w:val="00510218"/>
    <w:rsid w:val="00510294"/>
    <w:rsid w:val="005102F6"/>
    <w:rsid w:val="0051044D"/>
    <w:rsid w:val="005104EE"/>
    <w:rsid w:val="00510500"/>
    <w:rsid w:val="005105DD"/>
    <w:rsid w:val="00510676"/>
    <w:rsid w:val="00510729"/>
    <w:rsid w:val="00510735"/>
    <w:rsid w:val="00510770"/>
    <w:rsid w:val="00510817"/>
    <w:rsid w:val="005108DD"/>
    <w:rsid w:val="005108EB"/>
    <w:rsid w:val="0051094A"/>
    <w:rsid w:val="005109EB"/>
    <w:rsid w:val="00510A1C"/>
    <w:rsid w:val="00510A73"/>
    <w:rsid w:val="00510B89"/>
    <w:rsid w:val="00510B90"/>
    <w:rsid w:val="00510B9E"/>
    <w:rsid w:val="00510C6A"/>
    <w:rsid w:val="00510C9A"/>
    <w:rsid w:val="00510C9C"/>
    <w:rsid w:val="00510CD3"/>
    <w:rsid w:val="00510E3D"/>
    <w:rsid w:val="00511043"/>
    <w:rsid w:val="00511135"/>
    <w:rsid w:val="00511136"/>
    <w:rsid w:val="00511235"/>
    <w:rsid w:val="00511344"/>
    <w:rsid w:val="0051138C"/>
    <w:rsid w:val="005113A0"/>
    <w:rsid w:val="0051142A"/>
    <w:rsid w:val="00511457"/>
    <w:rsid w:val="005114B6"/>
    <w:rsid w:val="0051150B"/>
    <w:rsid w:val="0051152F"/>
    <w:rsid w:val="00511560"/>
    <w:rsid w:val="005117CC"/>
    <w:rsid w:val="0051181B"/>
    <w:rsid w:val="0051187A"/>
    <w:rsid w:val="00511898"/>
    <w:rsid w:val="00511950"/>
    <w:rsid w:val="0051195E"/>
    <w:rsid w:val="00511986"/>
    <w:rsid w:val="005119A0"/>
    <w:rsid w:val="005119A5"/>
    <w:rsid w:val="00511A68"/>
    <w:rsid w:val="00511A6A"/>
    <w:rsid w:val="00511B47"/>
    <w:rsid w:val="00511C32"/>
    <w:rsid w:val="00511CBA"/>
    <w:rsid w:val="00511D50"/>
    <w:rsid w:val="00511DB6"/>
    <w:rsid w:val="00511DBD"/>
    <w:rsid w:val="00511EB4"/>
    <w:rsid w:val="00511F52"/>
    <w:rsid w:val="00511F9D"/>
    <w:rsid w:val="00511FF5"/>
    <w:rsid w:val="0051201B"/>
    <w:rsid w:val="00512030"/>
    <w:rsid w:val="005120E1"/>
    <w:rsid w:val="00512276"/>
    <w:rsid w:val="00512351"/>
    <w:rsid w:val="005123A4"/>
    <w:rsid w:val="0051248B"/>
    <w:rsid w:val="00512513"/>
    <w:rsid w:val="0051254C"/>
    <w:rsid w:val="005126F3"/>
    <w:rsid w:val="00512719"/>
    <w:rsid w:val="00512775"/>
    <w:rsid w:val="0051284D"/>
    <w:rsid w:val="005128FD"/>
    <w:rsid w:val="00512984"/>
    <w:rsid w:val="005129A3"/>
    <w:rsid w:val="005129B2"/>
    <w:rsid w:val="005129F2"/>
    <w:rsid w:val="00512A57"/>
    <w:rsid w:val="00512B32"/>
    <w:rsid w:val="00512B70"/>
    <w:rsid w:val="00512C01"/>
    <w:rsid w:val="00512EA5"/>
    <w:rsid w:val="00512EB7"/>
    <w:rsid w:val="00512F4F"/>
    <w:rsid w:val="00512F72"/>
    <w:rsid w:val="00513035"/>
    <w:rsid w:val="005130F2"/>
    <w:rsid w:val="0051316D"/>
    <w:rsid w:val="00513187"/>
    <w:rsid w:val="0051319A"/>
    <w:rsid w:val="00513225"/>
    <w:rsid w:val="0051324C"/>
    <w:rsid w:val="00513259"/>
    <w:rsid w:val="00513315"/>
    <w:rsid w:val="005133B8"/>
    <w:rsid w:val="0051344D"/>
    <w:rsid w:val="00513551"/>
    <w:rsid w:val="00513605"/>
    <w:rsid w:val="005136CE"/>
    <w:rsid w:val="00513756"/>
    <w:rsid w:val="00513767"/>
    <w:rsid w:val="00513775"/>
    <w:rsid w:val="005138CC"/>
    <w:rsid w:val="00513907"/>
    <w:rsid w:val="005139E8"/>
    <w:rsid w:val="00513A84"/>
    <w:rsid w:val="00513B1A"/>
    <w:rsid w:val="00513B66"/>
    <w:rsid w:val="00513C3F"/>
    <w:rsid w:val="00513C9B"/>
    <w:rsid w:val="00513CA0"/>
    <w:rsid w:val="00513CAF"/>
    <w:rsid w:val="00513E08"/>
    <w:rsid w:val="00513E13"/>
    <w:rsid w:val="00513E62"/>
    <w:rsid w:val="00513EBC"/>
    <w:rsid w:val="00513F27"/>
    <w:rsid w:val="00513F2D"/>
    <w:rsid w:val="00513F2E"/>
    <w:rsid w:val="0051400A"/>
    <w:rsid w:val="005140A1"/>
    <w:rsid w:val="00514119"/>
    <w:rsid w:val="00514160"/>
    <w:rsid w:val="005141A9"/>
    <w:rsid w:val="005141DA"/>
    <w:rsid w:val="0051421A"/>
    <w:rsid w:val="00514247"/>
    <w:rsid w:val="005142B3"/>
    <w:rsid w:val="00514377"/>
    <w:rsid w:val="00514443"/>
    <w:rsid w:val="00514444"/>
    <w:rsid w:val="00514595"/>
    <w:rsid w:val="005145AC"/>
    <w:rsid w:val="00514634"/>
    <w:rsid w:val="00514665"/>
    <w:rsid w:val="0051471E"/>
    <w:rsid w:val="00514755"/>
    <w:rsid w:val="00514761"/>
    <w:rsid w:val="005147D6"/>
    <w:rsid w:val="005147E0"/>
    <w:rsid w:val="005149D2"/>
    <w:rsid w:val="005149EE"/>
    <w:rsid w:val="00514AE6"/>
    <w:rsid w:val="00514C3F"/>
    <w:rsid w:val="00514C53"/>
    <w:rsid w:val="00514C54"/>
    <w:rsid w:val="00514C8F"/>
    <w:rsid w:val="00514C99"/>
    <w:rsid w:val="00514CA9"/>
    <w:rsid w:val="00514D4D"/>
    <w:rsid w:val="00514DCC"/>
    <w:rsid w:val="00514E07"/>
    <w:rsid w:val="00514E30"/>
    <w:rsid w:val="00514E98"/>
    <w:rsid w:val="00514ED8"/>
    <w:rsid w:val="00514F2B"/>
    <w:rsid w:val="00514F5B"/>
    <w:rsid w:val="0051503E"/>
    <w:rsid w:val="00515069"/>
    <w:rsid w:val="005150D1"/>
    <w:rsid w:val="005151A7"/>
    <w:rsid w:val="005151C2"/>
    <w:rsid w:val="005151C7"/>
    <w:rsid w:val="005151C8"/>
    <w:rsid w:val="00515203"/>
    <w:rsid w:val="00515267"/>
    <w:rsid w:val="005152BF"/>
    <w:rsid w:val="005152EA"/>
    <w:rsid w:val="00515329"/>
    <w:rsid w:val="00515332"/>
    <w:rsid w:val="00515373"/>
    <w:rsid w:val="005153E9"/>
    <w:rsid w:val="00515410"/>
    <w:rsid w:val="00515443"/>
    <w:rsid w:val="00515463"/>
    <w:rsid w:val="005154DB"/>
    <w:rsid w:val="00515522"/>
    <w:rsid w:val="00515541"/>
    <w:rsid w:val="005155A6"/>
    <w:rsid w:val="005155FF"/>
    <w:rsid w:val="0051561A"/>
    <w:rsid w:val="0051562D"/>
    <w:rsid w:val="005156D4"/>
    <w:rsid w:val="005156DD"/>
    <w:rsid w:val="00515738"/>
    <w:rsid w:val="00515797"/>
    <w:rsid w:val="00515811"/>
    <w:rsid w:val="00515828"/>
    <w:rsid w:val="0051591E"/>
    <w:rsid w:val="00515930"/>
    <w:rsid w:val="0051595D"/>
    <w:rsid w:val="005159E0"/>
    <w:rsid w:val="005159F8"/>
    <w:rsid w:val="00515A37"/>
    <w:rsid w:val="00515AD3"/>
    <w:rsid w:val="00515B87"/>
    <w:rsid w:val="00515B93"/>
    <w:rsid w:val="00515B9B"/>
    <w:rsid w:val="00515C1D"/>
    <w:rsid w:val="00515C1F"/>
    <w:rsid w:val="00515C21"/>
    <w:rsid w:val="00515C6E"/>
    <w:rsid w:val="00515D61"/>
    <w:rsid w:val="00515DD1"/>
    <w:rsid w:val="00515DEC"/>
    <w:rsid w:val="00515E3A"/>
    <w:rsid w:val="00515E8C"/>
    <w:rsid w:val="00515F43"/>
    <w:rsid w:val="0051608B"/>
    <w:rsid w:val="005160A0"/>
    <w:rsid w:val="005160A5"/>
    <w:rsid w:val="00516133"/>
    <w:rsid w:val="00516159"/>
    <w:rsid w:val="00516177"/>
    <w:rsid w:val="0051628B"/>
    <w:rsid w:val="005162A7"/>
    <w:rsid w:val="005162AF"/>
    <w:rsid w:val="005162C6"/>
    <w:rsid w:val="005162D2"/>
    <w:rsid w:val="00516333"/>
    <w:rsid w:val="005164C7"/>
    <w:rsid w:val="00516546"/>
    <w:rsid w:val="005165DC"/>
    <w:rsid w:val="00516634"/>
    <w:rsid w:val="00516650"/>
    <w:rsid w:val="0051665E"/>
    <w:rsid w:val="005166FD"/>
    <w:rsid w:val="005167A7"/>
    <w:rsid w:val="005167E9"/>
    <w:rsid w:val="00516855"/>
    <w:rsid w:val="005168FC"/>
    <w:rsid w:val="00516926"/>
    <w:rsid w:val="00516932"/>
    <w:rsid w:val="00516962"/>
    <w:rsid w:val="00516A6B"/>
    <w:rsid w:val="00516ABE"/>
    <w:rsid w:val="00516AC6"/>
    <w:rsid w:val="00516AE1"/>
    <w:rsid w:val="00516C42"/>
    <w:rsid w:val="00516CA1"/>
    <w:rsid w:val="00516CBC"/>
    <w:rsid w:val="00516DD9"/>
    <w:rsid w:val="00516E55"/>
    <w:rsid w:val="00516E5B"/>
    <w:rsid w:val="00516EEA"/>
    <w:rsid w:val="00516F5B"/>
    <w:rsid w:val="00517013"/>
    <w:rsid w:val="00517048"/>
    <w:rsid w:val="0051709F"/>
    <w:rsid w:val="00517169"/>
    <w:rsid w:val="0051718E"/>
    <w:rsid w:val="00517191"/>
    <w:rsid w:val="005172F5"/>
    <w:rsid w:val="00517337"/>
    <w:rsid w:val="0051734C"/>
    <w:rsid w:val="005173B7"/>
    <w:rsid w:val="005173C8"/>
    <w:rsid w:val="005173E4"/>
    <w:rsid w:val="00517480"/>
    <w:rsid w:val="0051751B"/>
    <w:rsid w:val="0051754E"/>
    <w:rsid w:val="005175AB"/>
    <w:rsid w:val="0051762C"/>
    <w:rsid w:val="00517633"/>
    <w:rsid w:val="005178A9"/>
    <w:rsid w:val="005178C4"/>
    <w:rsid w:val="005178C8"/>
    <w:rsid w:val="005178D2"/>
    <w:rsid w:val="0051796C"/>
    <w:rsid w:val="00517A2A"/>
    <w:rsid w:val="00517A3B"/>
    <w:rsid w:val="00517A51"/>
    <w:rsid w:val="00517B06"/>
    <w:rsid w:val="00517B38"/>
    <w:rsid w:val="00517BE1"/>
    <w:rsid w:val="00517C34"/>
    <w:rsid w:val="00517C83"/>
    <w:rsid w:val="00517D5A"/>
    <w:rsid w:val="00517DAB"/>
    <w:rsid w:val="00517E75"/>
    <w:rsid w:val="00517EC9"/>
    <w:rsid w:val="00517F3D"/>
    <w:rsid w:val="00520025"/>
    <w:rsid w:val="0052006F"/>
    <w:rsid w:val="00520073"/>
    <w:rsid w:val="005201C2"/>
    <w:rsid w:val="0052020F"/>
    <w:rsid w:val="0052021C"/>
    <w:rsid w:val="00520366"/>
    <w:rsid w:val="0052038A"/>
    <w:rsid w:val="00520444"/>
    <w:rsid w:val="005204A6"/>
    <w:rsid w:val="005204EF"/>
    <w:rsid w:val="00520522"/>
    <w:rsid w:val="00520536"/>
    <w:rsid w:val="005206B9"/>
    <w:rsid w:val="005208A6"/>
    <w:rsid w:val="005208BC"/>
    <w:rsid w:val="0052092A"/>
    <w:rsid w:val="005209AA"/>
    <w:rsid w:val="005209EC"/>
    <w:rsid w:val="00520A09"/>
    <w:rsid w:val="00520AA3"/>
    <w:rsid w:val="00520AE9"/>
    <w:rsid w:val="00520AF3"/>
    <w:rsid w:val="00520BC1"/>
    <w:rsid w:val="00520BF2"/>
    <w:rsid w:val="00520C2C"/>
    <w:rsid w:val="00520C9B"/>
    <w:rsid w:val="00520CAD"/>
    <w:rsid w:val="00520CD1"/>
    <w:rsid w:val="00520CE4"/>
    <w:rsid w:val="00520D00"/>
    <w:rsid w:val="00520D17"/>
    <w:rsid w:val="00520D31"/>
    <w:rsid w:val="00520D6A"/>
    <w:rsid w:val="00520DE9"/>
    <w:rsid w:val="00520DF4"/>
    <w:rsid w:val="00520E60"/>
    <w:rsid w:val="00520E7E"/>
    <w:rsid w:val="00520EA6"/>
    <w:rsid w:val="00520F8C"/>
    <w:rsid w:val="00521175"/>
    <w:rsid w:val="00521224"/>
    <w:rsid w:val="00521225"/>
    <w:rsid w:val="005213DB"/>
    <w:rsid w:val="005213EC"/>
    <w:rsid w:val="0052141D"/>
    <w:rsid w:val="005214B7"/>
    <w:rsid w:val="005214F4"/>
    <w:rsid w:val="0052155F"/>
    <w:rsid w:val="0052156B"/>
    <w:rsid w:val="005215B6"/>
    <w:rsid w:val="005215C8"/>
    <w:rsid w:val="005215CC"/>
    <w:rsid w:val="005215D7"/>
    <w:rsid w:val="005216E4"/>
    <w:rsid w:val="005217B5"/>
    <w:rsid w:val="0052180F"/>
    <w:rsid w:val="00521840"/>
    <w:rsid w:val="00521889"/>
    <w:rsid w:val="0052198E"/>
    <w:rsid w:val="005219B6"/>
    <w:rsid w:val="005219CA"/>
    <w:rsid w:val="005219FC"/>
    <w:rsid w:val="00521ABD"/>
    <w:rsid w:val="00521AC8"/>
    <w:rsid w:val="00521C0B"/>
    <w:rsid w:val="00521CCE"/>
    <w:rsid w:val="00521CD2"/>
    <w:rsid w:val="00521CE2"/>
    <w:rsid w:val="00521D45"/>
    <w:rsid w:val="00521D7B"/>
    <w:rsid w:val="00521E0B"/>
    <w:rsid w:val="00521E1F"/>
    <w:rsid w:val="00521E46"/>
    <w:rsid w:val="00521ED9"/>
    <w:rsid w:val="00521F69"/>
    <w:rsid w:val="00521F9D"/>
    <w:rsid w:val="00522015"/>
    <w:rsid w:val="0052204E"/>
    <w:rsid w:val="0052214E"/>
    <w:rsid w:val="005221CA"/>
    <w:rsid w:val="00522201"/>
    <w:rsid w:val="0052221D"/>
    <w:rsid w:val="0052227A"/>
    <w:rsid w:val="005222F6"/>
    <w:rsid w:val="005222FA"/>
    <w:rsid w:val="00522303"/>
    <w:rsid w:val="00522426"/>
    <w:rsid w:val="0052242F"/>
    <w:rsid w:val="005224EA"/>
    <w:rsid w:val="0052259F"/>
    <w:rsid w:val="005225E4"/>
    <w:rsid w:val="00522635"/>
    <w:rsid w:val="00522675"/>
    <w:rsid w:val="0052273B"/>
    <w:rsid w:val="0052276A"/>
    <w:rsid w:val="00522794"/>
    <w:rsid w:val="005227A1"/>
    <w:rsid w:val="00522814"/>
    <w:rsid w:val="00522872"/>
    <w:rsid w:val="005228B3"/>
    <w:rsid w:val="005228C3"/>
    <w:rsid w:val="005228DB"/>
    <w:rsid w:val="0052296B"/>
    <w:rsid w:val="0052296E"/>
    <w:rsid w:val="00522A39"/>
    <w:rsid w:val="00522A90"/>
    <w:rsid w:val="00522B2A"/>
    <w:rsid w:val="00522B68"/>
    <w:rsid w:val="00522B9F"/>
    <w:rsid w:val="00522BCC"/>
    <w:rsid w:val="00522E58"/>
    <w:rsid w:val="00522F85"/>
    <w:rsid w:val="00522FAA"/>
    <w:rsid w:val="00522FE0"/>
    <w:rsid w:val="00523179"/>
    <w:rsid w:val="00523223"/>
    <w:rsid w:val="0052322A"/>
    <w:rsid w:val="00523245"/>
    <w:rsid w:val="005232B6"/>
    <w:rsid w:val="005233CF"/>
    <w:rsid w:val="005234FD"/>
    <w:rsid w:val="00523502"/>
    <w:rsid w:val="00523576"/>
    <w:rsid w:val="00523633"/>
    <w:rsid w:val="005236F8"/>
    <w:rsid w:val="00523711"/>
    <w:rsid w:val="0052375E"/>
    <w:rsid w:val="00523797"/>
    <w:rsid w:val="00523834"/>
    <w:rsid w:val="005239A4"/>
    <w:rsid w:val="00523A2E"/>
    <w:rsid w:val="00523AB6"/>
    <w:rsid w:val="00523B24"/>
    <w:rsid w:val="00523B29"/>
    <w:rsid w:val="00523BF4"/>
    <w:rsid w:val="00523C2A"/>
    <w:rsid w:val="00523C62"/>
    <w:rsid w:val="00523C95"/>
    <w:rsid w:val="00523CC3"/>
    <w:rsid w:val="00523CF4"/>
    <w:rsid w:val="00523DC0"/>
    <w:rsid w:val="00523DF9"/>
    <w:rsid w:val="00523EA2"/>
    <w:rsid w:val="00523ED9"/>
    <w:rsid w:val="00523F9F"/>
    <w:rsid w:val="00523FA3"/>
    <w:rsid w:val="00524034"/>
    <w:rsid w:val="005240A0"/>
    <w:rsid w:val="0052412A"/>
    <w:rsid w:val="0052414F"/>
    <w:rsid w:val="005241C3"/>
    <w:rsid w:val="005241D4"/>
    <w:rsid w:val="005241E0"/>
    <w:rsid w:val="005241FC"/>
    <w:rsid w:val="0052426F"/>
    <w:rsid w:val="005242A3"/>
    <w:rsid w:val="0052430D"/>
    <w:rsid w:val="0052454C"/>
    <w:rsid w:val="005245EE"/>
    <w:rsid w:val="00524631"/>
    <w:rsid w:val="0052475A"/>
    <w:rsid w:val="00524802"/>
    <w:rsid w:val="0052486A"/>
    <w:rsid w:val="00524944"/>
    <w:rsid w:val="0052495D"/>
    <w:rsid w:val="00524993"/>
    <w:rsid w:val="005249D0"/>
    <w:rsid w:val="005249D5"/>
    <w:rsid w:val="00524AC1"/>
    <w:rsid w:val="00524AC2"/>
    <w:rsid w:val="00524B27"/>
    <w:rsid w:val="00524BB0"/>
    <w:rsid w:val="00524CD9"/>
    <w:rsid w:val="00524D76"/>
    <w:rsid w:val="00524E35"/>
    <w:rsid w:val="00524EA1"/>
    <w:rsid w:val="00524F33"/>
    <w:rsid w:val="00524F3F"/>
    <w:rsid w:val="00524F6B"/>
    <w:rsid w:val="00524F8C"/>
    <w:rsid w:val="00524FE9"/>
    <w:rsid w:val="0052507C"/>
    <w:rsid w:val="005250DC"/>
    <w:rsid w:val="00525140"/>
    <w:rsid w:val="005252F1"/>
    <w:rsid w:val="00525319"/>
    <w:rsid w:val="0052541C"/>
    <w:rsid w:val="005254BA"/>
    <w:rsid w:val="005254F4"/>
    <w:rsid w:val="00525552"/>
    <w:rsid w:val="00525626"/>
    <w:rsid w:val="0052564B"/>
    <w:rsid w:val="00525704"/>
    <w:rsid w:val="00525735"/>
    <w:rsid w:val="00525880"/>
    <w:rsid w:val="005258C5"/>
    <w:rsid w:val="005258EA"/>
    <w:rsid w:val="00525A20"/>
    <w:rsid w:val="00525AE0"/>
    <w:rsid w:val="00525B58"/>
    <w:rsid w:val="00525BF4"/>
    <w:rsid w:val="00525C47"/>
    <w:rsid w:val="00525CED"/>
    <w:rsid w:val="00525DEE"/>
    <w:rsid w:val="00525E69"/>
    <w:rsid w:val="00525E9C"/>
    <w:rsid w:val="00525ECB"/>
    <w:rsid w:val="00525FF3"/>
    <w:rsid w:val="00526101"/>
    <w:rsid w:val="00526146"/>
    <w:rsid w:val="00526350"/>
    <w:rsid w:val="00526399"/>
    <w:rsid w:val="005263B9"/>
    <w:rsid w:val="0052656C"/>
    <w:rsid w:val="005266E7"/>
    <w:rsid w:val="005266FE"/>
    <w:rsid w:val="005268D9"/>
    <w:rsid w:val="00526908"/>
    <w:rsid w:val="0052691B"/>
    <w:rsid w:val="0052692C"/>
    <w:rsid w:val="005269BC"/>
    <w:rsid w:val="005269BD"/>
    <w:rsid w:val="005269D8"/>
    <w:rsid w:val="00526A0A"/>
    <w:rsid w:val="00526A38"/>
    <w:rsid w:val="00526A91"/>
    <w:rsid w:val="00526B1F"/>
    <w:rsid w:val="00526B9E"/>
    <w:rsid w:val="00526BCB"/>
    <w:rsid w:val="00526C04"/>
    <w:rsid w:val="00526CA2"/>
    <w:rsid w:val="00526D05"/>
    <w:rsid w:val="00526E0B"/>
    <w:rsid w:val="00526E42"/>
    <w:rsid w:val="00526E8F"/>
    <w:rsid w:val="00526EA4"/>
    <w:rsid w:val="00526F5C"/>
    <w:rsid w:val="00526FB8"/>
    <w:rsid w:val="00527033"/>
    <w:rsid w:val="005270B5"/>
    <w:rsid w:val="005270BD"/>
    <w:rsid w:val="0052712F"/>
    <w:rsid w:val="005271B2"/>
    <w:rsid w:val="005272A6"/>
    <w:rsid w:val="00527390"/>
    <w:rsid w:val="005273EB"/>
    <w:rsid w:val="00527435"/>
    <w:rsid w:val="00527444"/>
    <w:rsid w:val="005274B0"/>
    <w:rsid w:val="005274B8"/>
    <w:rsid w:val="0052753D"/>
    <w:rsid w:val="00527717"/>
    <w:rsid w:val="00527755"/>
    <w:rsid w:val="005277B0"/>
    <w:rsid w:val="005277C1"/>
    <w:rsid w:val="00527805"/>
    <w:rsid w:val="0052785E"/>
    <w:rsid w:val="00527873"/>
    <w:rsid w:val="0052793D"/>
    <w:rsid w:val="00527B2F"/>
    <w:rsid w:val="00527B93"/>
    <w:rsid w:val="00527BA7"/>
    <w:rsid w:val="00527C93"/>
    <w:rsid w:val="00527D0A"/>
    <w:rsid w:val="00527D2F"/>
    <w:rsid w:val="00527D80"/>
    <w:rsid w:val="00527D98"/>
    <w:rsid w:val="00527DD1"/>
    <w:rsid w:val="00527DE0"/>
    <w:rsid w:val="00527EB7"/>
    <w:rsid w:val="00527F2F"/>
    <w:rsid w:val="00527FF2"/>
    <w:rsid w:val="005300D2"/>
    <w:rsid w:val="00530141"/>
    <w:rsid w:val="005302EA"/>
    <w:rsid w:val="00530311"/>
    <w:rsid w:val="005303DB"/>
    <w:rsid w:val="005303E5"/>
    <w:rsid w:val="00530470"/>
    <w:rsid w:val="005306B3"/>
    <w:rsid w:val="005306BB"/>
    <w:rsid w:val="0053071B"/>
    <w:rsid w:val="0053090A"/>
    <w:rsid w:val="00530910"/>
    <w:rsid w:val="00530954"/>
    <w:rsid w:val="00530960"/>
    <w:rsid w:val="00530962"/>
    <w:rsid w:val="005309FA"/>
    <w:rsid w:val="00530A1D"/>
    <w:rsid w:val="00530A7C"/>
    <w:rsid w:val="00530AA6"/>
    <w:rsid w:val="00530ABC"/>
    <w:rsid w:val="00530B13"/>
    <w:rsid w:val="00530B85"/>
    <w:rsid w:val="00530BA3"/>
    <w:rsid w:val="00530BA7"/>
    <w:rsid w:val="00530BC8"/>
    <w:rsid w:val="00530C1F"/>
    <w:rsid w:val="00530C8F"/>
    <w:rsid w:val="00530D40"/>
    <w:rsid w:val="00530D5A"/>
    <w:rsid w:val="00530D81"/>
    <w:rsid w:val="00530D96"/>
    <w:rsid w:val="00530DB4"/>
    <w:rsid w:val="00530DD9"/>
    <w:rsid w:val="00530E60"/>
    <w:rsid w:val="00530FD2"/>
    <w:rsid w:val="0053102D"/>
    <w:rsid w:val="00531092"/>
    <w:rsid w:val="00531124"/>
    <w:rsid w:val="0053119A"/>
    <w:rsid w:val="00531204"/>
    <w:rsid w:val="0053123E"/>
    <w:rsid w:val="005312B5"/>
    <w:rsid w:val="005314ED"/>
    <w:rsid w:val="005315C2"/>
    <w:rsid w:val="00531700"/>
    <w:rsid w:val="00531748"/>
    <w:rsid w:val="00531827"/>
    <w:rsid w:val="00531891"/>
    <w:rsid w:val="00531898"/>
    <w:rsid w:val="005318AA"/>
    <w:rsid w:val="005318B3"/>
    <w:rsid w:val="00531936"/>
    <w:rsid w:val="005319D9"/>
    <w:rsid w:val="00531A0E"/>
    <w:rsid w:val="00531B58"/>
    <w:rsid w:val="00531B73"/>
    <w:rsid w:val="00531CFB"/>
    <w:rsid w:val="00531D37"/>
    <w:rsid w:val="00531DEB"/>
    <w:rsid w:val="00531DFD"/>
    <w:rsid w:val="00531E0B"/>
    <w:rsid w:val="00531E34"/>
    <w:rsid w:val="00531E9F"/>
    <w:rsid w:val="00531F86"/>
    <w:rsid w:val="00531FAF"/>
    <w:rsid w:val="00532013"/>
    <w:rsid w:val="0053203A"/>
    <w:rsid w:val="00532142"/>
    <w:rsid w:val="00532160"/>
    <w:rsid w:val="00532293"/>
    <w:rsid w:val="005322F1"/>
    <w:rsid w:val="00532332"/>
    <w:rsid w:val="0053233C"/>
    <w:rsid w:val="0053236A"/>
    <w:rsid w:val="0053237E"/>
    <w:rsid w:val="0053238F"/>
    <w:rsid w:val="005323DA"/>
    <w:rsid w:val="005323EF"/>
    <w:rsid w:val="0053250D"/>
    <w:rsid w:val="0053250F"/>
    <w:rsid w:val="0053259D"/>
    <w:rsid w:val="005325D1"/>
    <w:rsid w:val="00532690"/>
    <w:rsid w:val="005326D2"/>
    <w:rsid w:val="00532779"/>
    <w:rsid w:val="005327DC"/>
    <w:rsid w:val="005327DE"/>
    <w:rsid w:val="005327FC"/>
    <w:rsid w:val="00532850"/>
    <w:rsid w:val="0053286F"/>
    <w:rsid w:val="005328A4"/>
    <w:rsid w:val="005329AE"/>
    <w:rsid w:val="00532A53"/>
    <w:rsid w:val="00532B46"/>
    <w:rsid w:val="00532C0F"/>
    <w:rsid w:val="00532C2B"/>
    <w:rsid w:val="00532CCF"/>
    <w:rsid w:val="00532D7F"/>
    <w:rsid w:val="00532D83"/>
    <w:rsid w:val="00532DA5"/>
    <w:rsid w:val="00532DE2"/>
    <w:rsid w:val="00532E58"/>
    <w:rsid w:val="00532FEF"/>
    <w:rsid w:val="00533018"/>
    <w:rsid w:val="00533032"/>
    <w:rsid w:val="0053305E"/>
    <w:rsid w:val="005330A9"/>
    <w:rsid w:val="005331A5"/>
    <w:rsid w:val="005331AB"/>
    <w:rsid w:val="005331C8"/>
    <w:rsid w:val="005331D5"/>
    <w:rsid w:val="005331F9"/>
    <w:rsid w:val="00533243"/>
    <w:rsid w:val="005333E4"/>
    <w:rsid w:val="00533468"/>
    <w:rsid w:val="00533595"/>
    <w:rsid w:val="00533677"/>
    <w:rsid w:val="005336B8"/>
    <w:rsid w:val="0053372F"/>
    <w:rsid w:val="0053379F"/>
    <w:rsid w:val="005337DA"/>
    <w:rsid w:val="00533833"/>
    <w:rsid w:val="00533843"/>
    <w:rsid w:val="005339C4"/>
    <w:rsid w:val="00533B09"/>
    <w:rsid w:val="00533B1E"/>
    <w:rsid w:val="00533B22"/>
    <w:rsid w:val="00533C5F"/>
    <w:rsid w:val="00533C65"/>
    <w:rsid w:val="00533CDC"/>
    <w:rsid w:val="00533CFE"/>
    <w:rsid w:val="00533CFF"/>
    <w:rsid w:val="00533D8F"/>
    <w:rsid w:val="00533DA0"/>
    <w:rsid w:val="00533DAA"/>
    <w:rsid w:val="00533FF2"/>
    <w:rsid w:val="00534021"/>
    <w:rsid w:val="00534096"/>
    <w:rsid w:val="005340A1"/>
    <w:rsid w:val="005341B2"/>
    <w:rsid w:val="00534276"/>
    <w:rsid w:val="005342BF"/>
    <w:rsid w:val="005342F3"/>
    <w:rsid w:val="00534347"/>
    <w:rsid w:val="0053438B"/>
    <w:rsid w:val="0053447C"/>
    <w:rsid w:val="00534529"/>
    <w:rsid w:val="0053452E"/>
    <w:rsid w:val="005346CC"/>
    <w:rsid w:val="005347C2"/>
    <w:rsid w:val="005347FD"/>
    <w:rsid w:val="005348C1"/>
    <w:rsid w:val="00534932"/>
    <w:rsid w:val="00534960"/>
    <w:rsid w:val="00534A59"/>
    <w:rsid w:val="00534A9A"/>
    <w:rsid w:val="00534AAD"/>
    <w:rsid w:val="00534ADA"/>
    <w:rsid w:val="00534AFF"/>
    <w:rsid w:val="00534B3C"/>
    <w:rsid w:val="00534BAC"/>
    <w:rsid w:val="00534BC5"/>
    <w:rsid w:val="00534C7D"/>
    <w:rsid w:val="00534CA7"/>
    <w:rsid w:val="00534CA9"/>
    <w:rsid w:val="00534D1C"/>
    <w:rsid w:val="00534D20"/>
    <w:rsid w:val="00534D86"/>
    <w:rsid w:val="00534D9C"/>
    <w:rsid w:val="00534E22"/>
    <w:rsid w:val="00534E74"/>
    <w:rsid w:val="00534E92"/>
    <w:rsid w:val="00534E93"/>
    <w:rsid w:val="00534ECC"/>
    <w:rsid w:val="00534EDA"/>
    <w:rsid w:val="00534F32"/>
    <w:rsid w:val="00534F3D"/>
    <w:rsid w:val="00534FFD"/>
    <w:rsid w:val="00535008"/>
    <w:rsid w:val="005350FD"/>
    <w:rsid w:val="00535151"/>
    <w:rsid w:val="00535155"/>
    <w:rsid w:val="0053515F"/>
    <w:rsid w:val="005351A6"/>
    <w:rsid w:val="005351F0"/>
    <w:rsid w:val="0053522B"/>
    <w:rsid w:val="00535278"/>
    <w:rsid w:val="00535349"/>
    <w:rsid w:val="0053538E"/>
    <w:rsid w:val="00535481"/>
    <w:rsid w:val="005354DB"/>
    <w:rsid w:val="0053553B"/>
    <w:rsid w:val="00535555"/>
    <w:rsid w:val="005355F5"/>
    <w:rsid w:val="005356FB"/>
    <w:rsid w:val="0053571C"/>
    <w:rsid w:val="0053573A"/>
    <w:rsid w:val="00535805"/>
    <w:rsid w:val="0053589D"/>
    <w:rsid w:val="00535907"/>
    <w:rsid w:val="005359C0"/>
    <w:rsid w:val="00535A48"/>
    <w:rsid w:val="00535B28"/>
    <w:rsid w:val="00535B2B"/>
    <w:rsid w:val="00535BC0"/>
    <w:rsid w:val="00535BED"/>
    <w:rsid w:val="00535CB6"/>
    <w:rsid w:val="00535D6B"/>
    <w:rsid w:val="00535E24"/>
    <w:rsid w:val="00535F1B"/>
    <w:rsid w:val="00535FA7"/>
    <w:rsid w:val="0053606D"/>
    <w:rsid w:val="00536074"/>
    <w:rsid w:val="005360BC"/>
    <w:rsid w:val="005360F8"/>
    <w:rsid w:val="005360FA"/>
    <w:rsid w:val="00536156"/>
    <w:rsid w:val="00536190"/>
    <w:rsid w:val="005361A8"/>
    <w:rsid w:val="005361CF"/>
    <w:rsid w:val="0053621C"/>
    <w:rsid w:val="0053621E"/>
    <w:rsid w:val="00536289"/>
    <w:rsid w:val="005362F2"/>
    <w:rsid w:val="00536320"/>
    <w:rsid w:val="005363C0"/>
    <w:rsid w:val="005363CA"/>
    <w:rsid w:val="00536485"/>
    <w:rsid w:val="00536622"/>
    <w:rsid w:val="0053664B"/>
    <w:rsid w:val="00536651"/>
    <w:rsid w:val="005366B1"/>
    <w:rsid w:val="005366DC"/>
    <w:rsid w:val="00536738"/>
    <w:rsid w:val="00536760"/>
    <w:rsid w:val="005367F4"/>
    <w:rsid w:val="00536807"/>
    <w:rsid w:val="005369A7"/>
    <w:rsid w:val="005369B6"/>
    <w:rsid w:val="005369B9"/>
    <w:rsid w:val="005369C1"/>
    <w:rsid w:val="005369FF"/>
    <w:rsid w:val="00536A16"/>
    <w:rsid w:val="00536ABC"/>
    <w:rsid w:val="00536B30"/>
    <w:rsid w:val="00536BC7"/>
    <w:rsid w:val="00536D69"/>
    <w:rsid w:val="00536DAB"/>
    <w:rsid w:val="00536E37"/>
    <w:rsid w:val="00537084"/>
    <w:rsid w:val="005370C1"/>
    <w:rsid w:val="0053720C"/>
    <w:rsid w:val="005372C5"/>
    <w:rsid w:val="005373AB"/>
    <w:rsid w:val="005373C1"/>
    <w:rsid w:val="00537553"/>
    <w:rsid w:val="005375E7"/>
    <w:rsid w:val="005375EA"/>
    <w:rsid w:val="005376A5"/>
    <w:rsid w:val="005376B9"/>
    <w:rsid w:val="0053776F"/>
    <w:rsid w:val="00537808"/>
    <w:rsid w:val="00537809"/>
    <w:rsid w:val="0053782A"/>
    <w:rsid w:val="00537872"/>
    <w:rsid w:val="005378D8"/>
    <w:rsid w:val="005378F6"/>
    <w:rsid w:val="005379C5"/>
    <w:rsid w:val="00537A7A"/>
    <w:rsid w:val="00537A90"/>
    <w:rsid w:val="00537ACA"/>
    <w:rsid w:val="00537AF4"/>
    <w:rsid w:val="00537B27"/>
    <w:rsid w:val="00537C0F"/>
    <w:rsid w:val="00537C9F"/>
    <w:rsid w:val="00537E69"/>
    <w:rsid w:val="00537EB0"/>
    <w:rsid w:val="00537F13"/>
    <w:rsid w:val="005400E1"/>
    <w:rsid w:val="0054010B"/>
    <w:rsid w:val="00540140"/>
    <w:rsid w:val="00540154"/>
    <w:rsid w:val="005401B4"/>
    <w:rsid w:val="00540250"/>
    <w:rsid w:val="00540260"/>
    <w:rsid w:val="005402B2"/>
    <w:rsid w:val="0054047B"/>
    <w:rsid w:val="00540506"/>
    <w:rsid w:val="005405F6"/>
    <w:rsid w:val="0054067D"/>
    <w:rsid w:val="005409A0"/>
    <w:rsid w:val="005409D7"/>
    <w:rsid w:val="00540A01"/>
    <w:rsid w:val="00540A80"/>
    <w:rsid w:val="00540B29"/>
    <w:rsid w:val="00540B32"/>
    <w:rsid w:val="00540CC5"/>
    <w:rsid w:val="00540DC8"/>
    <w:rsid w:val="00540DCF"/>
    <w:rsid w:val="00540DFD"/>
    <w:rsid w:val="00540E28"/>
    <w:rsid w:val="00540E9C"/>
    <w:rsid w:val="00540EEE"/>
    <w:rsid w:val="00540F84"/>
    <w:rsid w:val="0054100E"/>
    <w:rsid w:val="00541112"/>
    <w:rsid w:val="00541309"/>
    <w:rsid w:val="00541346"/>
    <w:rsid w:val="0054142D"/>
    <w:rsid w:val="00541445"/>
    <w:rsid w:val="00541483"/>
    <w:rsid w:val="0054148A"/>
    <w:rsid w:val="00541493"/>
    <w:rsid w:val="005414F7"/>
    <w:rsid w:val="005415CE"/>
    <w:rsid w:val="0054179E"/>
    <w:rsid w:val="005417D9"/>
    <w:rsid w:val="00541868"/>
    <w:rsid w:val="00541945"/>
    <w:rsid w:val="00541A95"/>
    <w:rsid w:val="00541ACE"/>
    <w:rsid w:val="00541C0C"/>
    <w:rsid w:val="00541C4B"/>
    <w:rsid w:val="00541C68"/>
    <w:rsid w:val="00541D53"/>
    <w:rsid w:val="00541D82"/>
    <w:rsid w:val="00541DAA"/>
    <w:rsid w:val="00541DB1"/>
    <w:rsid w:val="00541E0E"/>
    <w:rsid w:val="00541E14"/>
    <w:rsid w:val="00541E78"/>
    <w:rsid w:val="00541E95"/>
    <w:rsid w:val="00541F2F"/>
    <w:rsid w:val="00542021"/>
    <w:rsid w:val="0054207B"/>
    <w:rsid w:val="0054225B"/>
    <w:rsid w:val="00542335"/>
    <w:rsid w:val="00542377"/>
    <w:rsid w:val="005423A4"/>
    <w:rsid w:val="005423E4"/>
    <w:rsid w:val="0054243A"/>
    <w:rsid w:val="00542479"/>
    <w:rsid w:val="00542590"/>
    <w:rsid w:val="00542733"/>
    <w:rsid w:val="005429D2"/>
    <w:rsid w:val="00542A53"/>
    <w:rsid w:val="00542C2A"/>
    <w:rsid w:val="00542C46"/>
    <w:rsid w:val="00542D1D"/>
    <w:rsid w:val="00542EC8"/>
    <w:rsid w:val="00542F82"/>
    <w:rsid w:val="00542FD1"/>
    <w:rsid w:val="00542FEA"/>
    <w:rsid w:val="00543100"/>
    <w:rsid w:val="00543247"/>
    <w:rsid w:val="00543273"/>
    <w:rsid w:val="00543377"/>
    <w:rsid w:val="0054339D"/>
    <w:rsid w:val="0054341D"/>
    <w:rsid w:val="00543472"/>
    <w:rsid w:val="00543536"/>
    <w:rsid w:val="005435F8"/>
    <w:rsid w:val="00543625"/>
    <w:rsid w:val="00543698"/>
    <w:rsid w:val="0054376E"/>
    <w:rsid w:val="00543783"/>
    <w:rsid w:val="005438EC"/>
    <w:rsid w:val="0054398B"/>
    <w:rsid w:val="005439B3"/>
    <w:rsid w:val="005439C7"/>
    <w:rsid w:val="00543B28"/>
    <w:rsid w:val="00543B92"/>
    <w:rsid w:val="00543BC3"/>
    <w:rsid w:val="00543C69"/>
    <w:rsid w:val="00543CDD"/>
    <w:rsid w:val="00543D21"/>
    <w:rsid w:val="00543D7D"/>
    <w:rsid w:val="00543E1A"/>
    <w:rsid w:val="00543E75"/>
    <w:rsid w:val="00543E89"/>
    <w:rsid w:val="00543F18"/>
    <w:rsid w:val="00543F26"/>
    <w:rsid w:val="00543F36"/>
    <w:rsid w:val="00543FE8"/>
    <w:rsid w:val="005440B2"/>
    <w:rsid w:val="005440F3"/>
    <w:rsid w:val="00544138"/>
    <w:rsid w:val="00544170"/>
    <w:rsid w:val="00544171"/>
    <w:rsid w:val="00544255"/>
    <w:rsid w:val="0054425E"/>
    <w:rsid w:val="00544277"/>
    <w:rsid w:val="00544294"/>
    <w:rsid w:val="005442BC"/>
    <w:rsid w:val="00544339"/>
    <w:rsid w:val="00544354"/>
    <w:rsid w:val="0054435B"/>
    <w:rsid w:val="00544567"/>
    <w:rsid w:val="0054458E"/>
    <w:rsid w:val="005445ED"/>
    <w:rsid w:val="00544690"/>
    <w:rsid w:val="005446F0"/>
    <w:rsid w:val="00544725"/>
    <w:rsid w:val="005447CF"/>
    <w:rsid w:val="005447F0"/>
    <w:rsid w:val="0054485C"/>
    <w:rsid w:val="005448BE"/>
    <w:rsid w:val="005448E3"/>
    <w:rsid w:val="00544973"/>
    <w:rsid w:val="005449A5"/>
    <w:rsid w:val="005449EA"/>
    <w:rsid w:val="00544A8A"/>
    <w:rsid w:val="00544AD1"/>
    <w:rsid w:val="00544BAA"/>
    <w:rsid w:val="00544BB6"/>
    <w:rsid w:val="00544CF0"/>
    <w:rsid w:val="00544D01"/>
    <w:rsid w:val="00544E16"/>
    <w:rsid w:val="00544ED7"/>
    <w:rsid w:val="00544F9D"/>
    <w:rsid w:val="0054502D"/>
    <w:rsid w:val="00545039"/>
    <w:rsid w:val="00545081"/>
    <w:rsid w:val="005451C5"/>
    <w:rsid w:val="005451CC"/>
    <w:rsid w:val="005451FF"/>
    <w:rsid w:val="00545244"/>
    <w:rsid w:val="005452D5"/>
    <w:rsid w:val="005453E4"/>
    <w:rsid w:val="00545506"/>
    <w:rsid w:val="0054563A"/>
    <w:rsid w:val="0054565D"/>
    <w:rsid w:val="0054566B"/>
    <w:rsid w:val="00545670"/>
    <w:rsid w:val="00545717"/>
    <w:rsid w:val="0054574E"/>
    <w:rsid w:val="0054579F"/>
    <w:rsid w:val="005457B1"/>
    <w:rsid w:val="00545993"/>
    <w:rsid w:val="0054599C"/>
    <w:rsid w:val="005459A1"/>
    <w:rsid w:val="005459C5"/>
    <w:rsid w:val="00545A46"/>
    <w:rsid w:val="00545A64"/>
    <w:rsid w:val="00545AB9"/>
    <w:rsid w:val="00545BA7"/>
    <w:rsid w:val="00545CBE"/>
    <w:rsid w:val="00545D67"/>
    <w:rsid w:val="00545D88"/>
    <w:rsid w:val="00545E0C"/>
    <w:rsid w:val="00545E29"/>
    <w:rsid w:val="00545E5C"/>
    <w:rsid w:val="00545E95"/>
    <w:rsid w:val="00545E9E"/>
    <w:rsid w:val="00545EB8"/>
    <w:rsid w:val="00545F13"/>
    <w:rsid w:val="0054604B"/>
    <w:rsid w:val="005460F2"/>
    <w:rsid w:val="00546147"/>
    <w:rsid w:val="005461D0"/>
    <w:rsid w:val="0054637B"/>
    <w:rsid w:val="0054642A"/>
    <w:rsid w:val="00546469"/>
    <w:rsid w:val="005464FF"/>
    <w:rsid w:val="0054654E"/>
    <w:rsid w:val="00546577"/>
    <w:rsid w:val="005465BB"/>
    <w:rsid w:val="00546636"/>
    <w:rsid w:val="0054673A"/>
    <w:rsid w:val="00546742"/>
    <w:rsid w:val="00546795"/>
    <w:rsid w:val="00546838"/>
    <w:rsid w:val="00546848"/>
    <w:rsid w:val="005468CD"/>
    <w:rsid w:val="005468ED"/>
    <w:rsid w:val="00546924"/>
    <w:rsid w:val="00546978"/>
    <w:rsid w:val="005469A1"/>
    <w:rsid w:val="005469E7"/>
    <w:rsid w:val="00546A6C"/>
    <w:rsid w:val="00546AC3"/>
    <w:rsid w:val="00546B05"/>
    <w:rsid w:val="00546BA9"/>
    <w:rsid w:val="00546BAF"/>
    <w:rsid w:val="00546C6F"/>
    <w:rsid w:val="00546C7A"/>
    <w:rsid w:val="00546CDA"/>
    <w:rsid w:val="00546D28"/>
    <w:rsid w:val="00546D4F"/>
    <w:rsid w:val="00546D73"/>
    <w:rsid w:val="00546E25"/>
    <w:rsid w:val="00546EFE"/>
    <w:rsid w:val="00546F1A"/>
    <w:rsid w:val="00546F4F"/>
    <w:rsid w:val="00546F98"/>
    <w:rsid w:val="0054706F"/>
    <w:rsid w:val="0054716B"/>
    <w:rsid w:val="00547204"/>
    <w:rsid w:val="005472DA"/>
    <w:rsid w:val="0054731D"/>
    <w:rsid w:val="005474B3"/>
    <w:rsid w:val="005474BF"/>
    <w:rsid w:val="00547513"/>
    <w:rsid w:val="00547520"/>
    <w:rsid w:val="00547532"/>
    <w:rsid w:val="00547595"/>
    <w:rsid w:val="005476A1"/>
    <w:rsid w:val="00547808"/>
    <w:rsid w:val="005478D4"/>
    <w:rsid w:val="00547A44"/>
    <w:rsid w:val="00547AAA"/>
    <w:rsid w:val="00547AF9"/>
    <w:rsid w:val="00547B3C"/>
    <w:rsid w:val="00547B69"/>
    <w:rsid w:val="00547C64"/>
    <w:rsid w:val="00547D09"/>
    <w:rsid w:val="00547DFA"/>
    <w:rsid w:val="00547E06"/>
    <w:rsid w:val="00547E5B"/>
    <w:rsid w:val="00547EF5"/>
    <w:rsid w:val="00547F95"/>
    <w:rsid w:val="00547FB7"/>
    <w:rsid w:val="00547FED"/>
    <w:rsid w:val="0055004C"/>
    <w:rsid w:val="0055009C"/>
    <w:rsid w:val="00550147"/>
    <w:rsid w:val="005502F0"/>
    <w:rsid w:val="0055038A"/>
    <w:rsid w:val="00550432"/>
    <w:rsid w:val="005505C1"/>
    <w:rsid w:val="00550697"/>
    <w:rsid w:val="005506DA"/>
    <w:rsid w:val="00550790"/>
    <w:rsid w:val="00550855"/>
    <w:rsid w:val="0055098F"/>
    <w:rsid w:val="005509EE"/>
    <w:rsid w:val="00550A67"/>
    <w:rsid w:val="00550AA1"/>
    <w:rsid w:val="00550AEE"/>
    <w:rsid w:val="00550AFE"/>
    <w:rsid w:val="00550B26"/>
    <w:rsid w:val="00550B47"/>
    <w:rsid w:val="00550CFB"/>
    <w:rsid w:val="00550D6E"/>
    <w:rsid w:val="00550D92"/>
    <w:rsid w:val="00550DAB"/>
    <w:rsid w:val="00550E3F"/>
    <w:rsid w:val="00550E40"/>
    <w:rsid w:val="00550EE2"/>
    <w:rsid w:val="00550FBA"/>
    <w:rsid w:val="00551022"/>
    <w:rsid w:val="005510B6"/>
    <w:rsid w:val="005510DC"/>
    <w:rsid w:val="0055128E"/>
    <w:rsid w:val="005512B4"/>
    <w:rsid w:val="005512D2"/>
    <w:rsid w:val="00551635"/>
    <w:rsid w:val="00551689"/>
    <w:rsid w:val="0055176D"/>
    <w:rsid w:val="0055189D"/>
    <w:rsid w:val="005518BE"/>
    <w:rsid w:val="005518FE"/>
    <w:rsid w:val="0055198F"/>
    <w:rsid w:val="00551B57"/>
    <w:rsid w:val="00551B64"/>
    <w:rsid w:val="00551CD8"/>
    <w:rsid w:val="00551DEF"/>
    <w:rsid w:val="00551E90"/>
    <w:rsid w:val="00551ECF"/>
    <w:rsid w:val="00551F21"/>
    <w:rsid w:val="00551F2F"/>
    <w:rsid w:val="00551F5A"/>
    <w:rsid w:val="00551F90"/>
    <w:rsid w:val="00551FD2"/>
    <w:rsid w:val="005520C9"/>
    <w:rsid w:val="00552114"/>
    <w:rsid w:val="00552154"/>
    <w:rsid w:val="00552157"/>
    <w:rsid w:val="00552187"/>
    <w:rsid w:val="00552190"/>
    <w:rsid w:val="0055219F"/>
    <w:rsid w:val="00552211"/>
    <w:rsid w:val="00552244"/>
    <w:rsid w:val="0055231B"/>
    <w:rsid w:val="00552416"/>
    <w:rsid w:val="00552473"/>
    <w:rsid w:val="005525AF"/>
    <w:rsid w:val="00552632"/>
    <w:rsid w:val="00552668"/>
    <w:rsid w:val="0055270D"/>
    <w:rsid w:val="00552751"/>
    <w:rsid w:val="005527DE"/>
    <w:rsid w:val="0055287A"/>
    <w:rsid w:val="00552987"/>
    <w:rsid w:val="005529F5"/>
    <w:rsid w:val="00552A6D"/>
    <w:rsid w:val="00552B08"/>
    <w:rsid w:val="00552B55"/>
    <w:rsid w:val="00552C86"/>
    <w:rsid w:val="00552D79"/>
    <w:rsid w:val="00552D93"/>
    <w:rsid w:val="00552DA1"/>
    <w:rsid w:val="00552E07"/>
    <w:rsid w:val="00552E19"/>
    <w:rsid w:val="00552F59"/>
    <w:rsid w:val="00552FA5"/>
    <w:rsid w:val="00552FB8"/>
    <w:rsid w:val="00553027"/>
    <w:rsid w:val="005531EB"/>
    <w:rsid w:val="005533AD"/>
    <w:rsid w:val="005534C3"/>
    <w:rsid w:val="005534E4"/>
    <w:rsid w:val="00553508"/>
    <w:rsid w:val="005535BC"/>
    <w:rsid w:val="005535D0"/>
    <w:rsid w:val="00553628"/>
    <w:rsid w:val="005536A0"/>
    <w:rsid w:val="005536D6"/>
    <w:rsid w:val="00553734"/>
    <w:rsid w:val="005537D9"/>
    <w:rsid w:val="005537ED"/>
    <w:rsid w:val="00553822"/>
    <w:rsid w:val="005538F8"/>
    <w:rsid w:val="005539F3"/>
    <w:rsid w:val="00553B80"/>
    <w:rsid w:val="00553BB2"/>
    <w:rsid w:val="00553C76"/>
    <w:rsid w:val="00553DA0"/>
    <w:rsid w:val="00553DA6"/>
    <w:rsid w:val="00553DE9"/>
    <w:rsid w:val="00553E50"/>
    <w:rsid w:val="00553EB7"/>
    <w:rsid w:val="00553EC3"/>
    <w:rsid w:val="00553F0C"/>
    <w:rsid w:val="00553F25"/>
    <w:rsid w:val="00553F59"/>
    <w:rsid w:val="00553F63"/>
    <w:rsid w:val="00553FAE"/>
    <w:rsid w:val="00553FB4"/>
    <w:rsid w:val="00553FE2"/>
    <w:rsid w:val="00554056"/>
    <w:rsid w:val="00554073"/>
    <w:rsid w:val="005541ED"/>
    <w:rsid w:val="005542AF"/>
    <w:rsid w:val="00554306"/>
    <w:rsid w:val="005543D8"/>
    <w:rsid w:val="00554436"/>
    <w:rsid w:val="00554495"/>
    <w:rsid w:val="0055459E"/>
    <w:rsid w:val="005545C4"/>
    <w:rsid w:val="0055471E"/>
    <w:rsid w:val="00554742"/>
    <w:rsid w:val="0055475D"/>
    <w:rsid w:val="0055478D"/>
    <w:rsid w:val="005548BF"/>
    <w:rsid w:val="00554914"/>
    <w:rsid w:val="005549B9"/>
    <w:rsid w:val="00554A58"/>
    <w:rsid w:val="00554BB0"/>
    <w:rsid w:val="00554BF3"/>
    <w:rsid w:val="00554C2D"/>
    <w:rsid w:val="00554D3B"/>
    <w:rsid w:val="00554D8F"/>
    <w:rsid w:val="00554DB3"/>
    <w:rsid w:val="00554E3A"/>
    <w:rsid w:val="00554E82"/>
    <w:rsid w:val="00554F9D"/>
    <w:rsid w:val="00554FC7"/>
    <w:rsid w:val="0055500F"/>
    <w:rsid w:val="00555088"/>
    <w:rsid w:val="00555177"/>
    <w:rsid w:val="0055520B"/>
    <w:rsid w:val="0055522F"/>
    <w:rsid w:val="00555259"/>
    <w:rsid w:val="00555264"/>
    <w:rsid w:val="00555273"/>
    <w:rsid w:val="00555336"/>
    <w:rsid w:val="00555346"/>
    <w:rsid w:val="0055536C"/>
    <w:rsid w:val="00555379"/>
    <w:rsid w:val="005553D0"/>
    <w:rsid w:val="00555483"/>
    <w:rsid w:val="005555B8"/>
    <w:rsid w:val="00555609"/>
    <w:rsid w:val="005556AF"/>
    <w:rsid w:val="005556D4"/>
    <w:rsid w:val="00555716"/>
    <w:rsid w:val="00555817"/>
    <w:rsid w:val="005558E5"/>
    <w:rsid w:val="005559F0"/>
    <w:rsid w:val="00555A33"/>
    <w:rsid w:val="00555A71"/>
    <w:rsid w:val="00555AD9"/>
    <w:rsid w:val="00555B50"/>
    <w:rsid w:val="00555BBB"/>
    <w:rsid w:val="00555C22"/>
    <w:rsid w:val="00555C31"/>
    <w:rsid w:val="00555C39"/>
    <w:rsid w:val="00555C9E"/>
    <w:rsid w:val="00555CFE"/>
    <w:rsid w:val="00555CFF"/>
    <w:rsid w:val="00555D26"/>
    <w:rsid w:val="00555F64"/>
    <w:rsid w:val="00556047"/>
    <w:rsid w:val="00556098"/>
    <w:rsid w:val="005560ED"/>
    <w:rsid w:val="00556171"/>
    <w:rsid w:val="00556191"/>
    <w:rsid w:val="0055622B"/>
    <w:rsid w:val="005562C4"/>
    <w:rsid w:val="00556364"/>
    <w:rsid w:val="0055637E"/>
    <w:rsid w:val="0055639D"/>
    <w:rsid w:val="005563F4"/>
    <w:rsid w:val="0055646C"/>
    <w:rsid w:val="005564B1"/>
    <w:rsid w:val="005564B2"/>
    <w:rsid w:val="00556501"/>
    <w:rsid w:val="00556544"/>
    <w:rsid w:val="005565EB"/>
    <w:rsid w:val="00556688"/>
    <w:rsid w:val="005566AA"/>
    <w:rsid w:val="005566E5"/>
    <w:rsid w:val="005566F5"/>
    <w:rsid w:val="0055677C"/>
    <w:rsid w:val="00556794"/>
    <w:rsid w:val="00556810"/>
    <w:rsid w:val="00556826"/>
    <w:rsid w:val="00556839"/>
    <w:rsid w:val="0055684D"/>
    <w:rsid w:val="00556884"/>
    <w:rsid w:val="00556924"/>
    <w:rsid w:val="00556927"/>
    <w:rsid w:val="00556947"/>
    <w:rsid w:val="0055699D"/>
    <w:rsid w:val="00556B06"/>
    <w:rsid w:val="00556B6B"/>
    <w:rsid w:val="00556B75"/>
    <w:rsid w:val="00556C8D"/>
    <w:rsid w:val="00556CB0"/>
    <w:rsid w:val="00556CBE"/>
    <w:rsid w:val="00556CF6"/>
    <w:rsid w:val="00556DD8"/>
    <w:rsid w:val="00556E11"/>
    <w:rsid w:val="00556F4C"/>
    <w:rsid w:val="00556FE8"/>
    <w:rsid w:val="00557045"/>
    <w:rsid w:val="00557119"/>
    <w:rsid w:val="00557122"/>
    <w:rsid w:val="00557223"/>
    <w:rsid w:val="00557241"/>
    <w:rsid w:val="00557278"/>
    <w:rsid w:val="0055728F"/>
    <w:rsid w:val="005573BD"/>
    <w:rsid w:val="005573D1"/>
    <w:rsid w:val="005573EA"/>
    <w:rsid w:val="00557422"/>
    <w:rsid w:val="00557520"/>
    <w:rsid w:val="005576CB"/>
    <w:rsid w:val="005576DC"/>
    <w:rsid w:val="005576E5"/>
    <w:rsid w:val="00557743"/>
    <w:rsid w:val="00557763"/>
    <w:rsid w:val="005577DA"/>
    <w:rsid w:val="005577F3"/>
    <w:rsid w:val="0055783E"/>
    <w:rsid w:val="00557856"/>
    <w:rsid w:val="0055789D"/>
    <w:rsid w:val="005578F2"/>
    <w:rsid w:val="00557988"/>
    <w:rsid w:val="00557AF4"/>
    <w:rsid w:val="00557AFC"/>
    <w:rsid w:val="00557B1B"/>
    <w:rsid w:val="00557B87"/>
    <w:rsid w:val="00557EEB"/>
    <w:rsid w:val="0056009F"/>
    <w:rsid w:val="0056016D"/>
    <w:rsid w:val="0056018D"/>
    <w:rsid w:val="00560193"/>
    <w:rsid w:val="005601E5"/>
    <w:rsid w:val="005601E9"/>
    <w:rsid w:val="00560390"/>
    <w:rsid w:val="0056043F"/>
    <w:rsid w:val="005604B4"/>
    <w:rsid w:val="005605E9"/>
    <w:rsid w:val="00560677"/>
    <w:rsid w:val="005606BB"/>
    <w:rsid w:val="00560739"/>
    <w:rsid w:val="00560746"/>
    <w:rsid w:val="0056076C"/>
    <w:rsid w:val="0056082F"/>
    <w:rsid w:val="00560855"/>
    <w:rsid w:val="0056085A"/>
    <w:rsid w:val="0056086B"/>
    <w:rsid w:val="005608F8"/>
    <w:rsid w:val="005608F9"/>
    <w:rsid w:val="00560908"/>
    <w:rsid w:val="0056098C"/>
    <w:rsid w:val="0056099E"/>
    <w:rsid w:val="005609E5"/>
    <w:rsid w:val="00560A58"/>
    <w:rsid w:val="00560A85"/>
    <w:rsid w:val="00560AE7"/>
    <w:rsid w:val="00560B55"/>
    <w:rsid w:val="00560B89"/>
    <w:rsid w:val="00560C3A"/>
    <w:rsid w:val="00560CAD"/>
    <w:rsid w:val="00560D2C"/>
    <w:rsid w:val="00560D57"/>
    <w:rsid w:val="00560DF3"/>
    <w:rsid w:val="00561024"/>
    <w:rsid w:val="00561169"/>
    <w:rsid w:val="005611E0"/>
    <w:rsid w:val="00561289"/>
    <w:rsid w:val="005612EE"/>
    <w:rsid w:val="005613CC"/>
    <w:rsid w:val="0056149F"/>
    <w:rsid w:val="005614E4"/>
    <w:rsid w:val="0056152B"/>
    <w:rsid w:val="00561552"/>
    <w:rsid w:val="00561578"/>
    <w:rsid w:val="005615D5"/>
    <w:rsid w:val="00561734"/>
    <w:rsid w:val="00561737"/>
    <w:rsid w:val="00561751"/>
    <w:rsid w:val="00561776"/>
    <w:rsid w:val="005617BA"/>
    <w:rsid w:val="005617F3"/>
    <w:rsid w:val="00561821"/>
    <w:rsid w:val="00561949"/>
    <w:rsid w:val="00561988"/>
    <w:rsid w:val="00561B49"/>
    <w:rsid w:val="00561B60"/>
    <w:rsid w:val="00561B98"/>
    <w:rsid w:val="00561BA5"/>
    <w:rsid w:val="00561BDA"/>
    <w:rsid w:val="00561BEE"/>
    <w:rsid w:val="00561C4C"/>
    <w:rsid w:val="00561D10"/>
    <w:rsid w:val="00561E0E"/>
    <w:rsid w:val="00561E79"/>
    <w:rsid w:val="00561ECB"/>
    <w:rsid w:val="00561EDD"/>
    <w:rsid w:val="00561F78"/>
    <w:rsid w:val="00562022"/>
    <w:rsid w:val="00562065"/>
    <w:rsid w:val="005621CC"/>
    <w:rsid w:val="00562227"/>
    <w:rsid w:val="00562355"/>
    <w:rsid w:val="0056235A"/>
    <w:rsid w:val="00562388"/>
    <w:rsid w:val="0056242C"/>
    <w:rsid w:val="00562483"/>
    <w:rsid w:val="0056258F"/>
    <w:rsid w:val="005625AC"/>
    <w:rsid w:val="005625B2"/>
    <w:rsid w:val="00562632"/>
    <w:rsid w:val="005626E9"/>
    <w:rsid w:val="005626F3"/>
    <w:rsid w:val="005627AA"/>
    <w:rsid w:val="005627BA"/>
    <w:rsid w:val="00562818"/>
    <w:rsid w:val="00562833"/>
    <w:rsid w:val="00562924"/>
    <w:rsid w:val="005629DD"/>
    <w:rsid w:val="00562A19"/>
    <w:rsid w:val="00562B17"/>
    <w:rsid w:val="00562C2D"/>
    <w:rsid w:val="00562C66"/>
    <w:rsid w:val="00562DA7"/>
    <w:rsid w:val="00562DC6"/>
    <w:rsid w:val="00562DE2"/>
    <w:rsid w:val="00562E1A"/>
    <w:rsid w:val="00562F70"/>
    <w:rsid w:val="00563129"/>
    <w:rsid w:val="005631B0"/>
    <w:rsid w:val="005631D0"/>
    <w:rsid w:val="005631EA"/>
    <w:rsid w:val="00563206"/>
    <w:rsid w:val="0056326D"/>
    <w:rsid w:val="005632A9"/>
    <w:rsid w:val="005632DA"/>
    <w:rsid w:val="005632F6"/>
    <w:rsid w:val="00563327"/>
    <w:rsid w:val="00563400"/>
    <w:rsid w:val="0056341F"/>
    <w:rsid w:val="0056348F"/>
    <w:rsid w:val="005634ED"/>
    <w:rsid w:val="0056351C"/>
    <w:rsid w:val="0056352E"/>
    <w:rsid w:val="0056363B"/>
    <w:rsid w:val="00563654"/>
    <w:rsid w:val="00563680"/>
    <w:rsid w:val="005636D8"/>
    <w:rsid w:val="00563735"/>
    <w:rsid w:val="005637B7"/>
    <w:rsid w:val="005638A0"/>
    <w:rsid w:val="00563940"/>
    <w:rsid w:val="005639CD"/>
    <w:rsid w:val="00563A17"/>
    <w:rsid w:val="00563B5C"/>
    <w:rsid w:val="00563B7E"/>
    <w:rsid w:val="00563BA8"/>
    <w:rsid w:val="00563D59"/>
    <w:rsid w:val="00563DA5"/>
    <w:rsid w:val="00563DBD"/>
    <w:rsid w:val="00563DFA"/>
    <w:rsid w:val="00563E0A"/>
    <w:rsid w:val="00563E1C"/>
    <w:rsid w:val="00563E1F"/>
    <w:rsid w:val="00563EA6"/>
    <w:rsid w:val="00563F0E"/>
    <w:rsid w:val="00563F2F"/>
    <w:rsid w:val="00563FFB"/>
    <w:rsid w:val="0056402C"/>
    <w:rsid w:val="00564122"/>
    <w:rsid w:val="005641B8"/>
    <w:rsid w:val="005642F1"/>
    <w:rsid w:val="00564300"/>
    <w:rsid w:val="00564345"/>
    <w:rsid w:val="005643E7"/>
    <w:rsid w:val="0056443E"/>
    <w:rsid w:val="00564493"/>
    <w:rsid w:val="005644CE"/>
    <w:rsid w:val="005644E5"/>
    <w:rsid w:val="005644E6"/>
    <w:rsid w:val="00564535"/>
    <w:rsid w:val="0056454D"/>
    <w:rsid w:val="0056464F"/>
    <w:rsid w:val="00564668"/>
    <w:rsid w:val="0056475E"/>
    <w:rsid w:val="00564773"/>
    <w:rsid w:val="0056478E"/>
    <w:rsid w:val="00564792"/>
    <w:rsid w:val="005647A8"/>
    <w:rsid w:val="005647D7"/>
    <w:rsid w:val="005647E0"/>
    <w:rsid w:val="00564885"/>
    <w:rsid w:val="0056488C"/>
    <w:rsid w:val="00564919"/>
    <w:rsid w:val="00564A2B"/>
    <w:rsid w:val="00564A59"/>
    <w:rsid w:val="00564A87"/>
    <w:rsid w:val="00564ABF"/>
    <w:rsid w:val="00564AE2"/>
    <w:rsid w:val="00564BDF"/>
    <w:rsid w:val="00564C50"/>
    <w:rsid w:val="00564C5A"/>
    <w:rsid w:val="00564CFD"/>
    <w:rsid w:val="00564DC8"/>
    <w:rsid w:val="00564DCA"/>
    <w:rsid w:val="00564DEF"/>
    <w:rsid w:val="00564DF3"/>
    <w:rsid w:val="00564E79"/>
    <w:rsid w:val="00564E7E"/>
    <w:rsid w:val="00564F00"/>
    <w:rsid w:val="00564FA6"/>
    <w:rsid w:val="00565017"/>
    <w:rsid w:val="00565070"/>
    <w:rsid w:val="00565087"/>
    <w:rsid w:val="005650EC"/>
    <w:rsid w:val="00565164"/>
    <w:rsid w:val="005651D4"/>
    <w:rsid w:val="00565257"/>
    <w:rsid w:val="00565271"/>
    <w:rsid w:val="00565295"/>
    <w:rsid w:val="005652A2"/>
    <w:rsid w:val="005652B5"/>
    <w:rsid w:val="005653A1"/>
    <w:rsid w:val="005653AB"/>
    <w:rsid w:val="005653B0"/>
    <w:rsid w:val="005653FD"/>
    <w:rsid w:val="00565412"/>
    <w:rsid w:val="00565430"/>
    <w:rsid w:val="00565459"/>
    <w:rsid w:val="00565707"/>
    <w:rsid w:val="00565733"/>
    <w:rsid w:val="00565737"/>
    <w:rsid w:val="00565801"/>
    <w:rsid w:val="00565809"/>
    <w:rsid w:val="00565856"/>
    <w:rsid w:val="00565897"/>
    <w:rsid w:val="005658C4"/>
    <w:rsid w:val="005658E5"/>
    <w:rsid w:val="005658F7"/>
    <w:rsid w:val="00565959"/>
    <w:rsid w:val="00565A0A"/>
    <w:rsid w:val="00565B14"/>
    <w:rsid w:val="00565B1C"/>
    <w:rsid w:val="00565B43"/>
    <w:rsid w:val="00565BC4"/>
    <w:rsid w:val="00565D0C"/>
    <w:rsid w:val="00565D19"/>
    <w:rsid w:val="00565DBF"/>
    <w:rsid w:val="00565E31"/>
    <w:rsid w:val="00565E6B"/>
    <w:rsid w:val="00565E8B"/>
    <w:rsid w:val="00565EC9"/>
    <w:rsid w:val="00565F02"/>
    <w:rsid w:val="00565F20"/>
    <w:rsid w:val="00565F50"/>
    <w:rsid w:val="00565F81"/>
    <w:rsid w:val="0056601C"/>
    <w:rsid w:val="00566030"/>
    <w:rsid w:val="00566034"/>
    <w:rsid w:val="0056605A"/>
    <w:rsid w:val="005661A2"/>
    <w:rsid w:val="00566244"/>
    <w:rsid w:val="0056626C"/>
    <w:rsid w:val="00566294"/>
    <w:rsid w:val="0056630E"/>
    <w:rsid w:val="0056634D"/>
    <w:rsid w:val="00566374"/>
    <w:rsid w:val="005663A1"/>
    <w:rsid w:val="005663CB"/>
    <w:rsid w:val="005663D1"/>
    <w:rsid w:val="0056645E"/>
    <w:rsid w:val="005664C3"/>
    <w:rsid w:val="00566585"/>
    <w:rsid w:val="0056658B"/>
    <w:rsid w:val="0056661F"/>
    <w:rsid w:val="005666A5"/>
    <w:rsid w:val="0056678D"/>
    <w:rsid w:val="00566814"/>
    <w:rsid w:val="00566852"/>
    <w:rsid w:val="005668BC"/>
    <w:rsid w:val="005668BD"/>
    <w:rsid w:val="005668EA"/>
    <w:rsid w:val="00566A1B"/>
    <w:rsid w:val="00566A29"/>
    <w:rsid w:val="00566A68"/>
    <w:rsid w:val="00566A74"/>
    <w:rsid w:val="00566A89"/>
    <w:rsid w:val="00566B02"/>
    <w:rsid w:val="00566C74"/>
    <w:rsid w:val="00566E07"/>
    <w:rsid w:val="00566E47"/>
    <w:rsid w:val="00566EBA"/>
    <w:rsid w:val="00566F66"/>
    <w:rsid w:val="00566FE2"/>
    <w:rsid w:val="005670F2"/>
    <w:rsid w:val="00567263"/>
    <w:rsid w:val="00567280"/>
    <w:rsid w:val="0056747C"/>
    <w:rsid w:val="005674D9"/>
    <w:rsid w:val="00567618"/>
    <w:rsid w:val="00567695"/>
    <w:rsid w:val="0056778F"/>
    <w:rsid w:val="005678D8"/>
    <w:rsid w:val="005678E7"/>
    <w:rsid w:val="00567908"/>
    <w:rsid w:val="00567A35"/>
    <w:rsid w:val="00567B2F"/>
    <w:rsid w:val="00567B3B"/>
    <w:rsid w:val="00567BC4"/>
    <w:rsid w:val="00567D80"/>
    <w:rsid w:val="00567D8C"/>
    <w:rsid w:val="00567D95"/>
    <w:rsid w:val="00567E91"/>
    <w:rsid w:val="00567ECE"/>
    <w:rsid w:val="00567F37"/>
    <w:rsid w:val="00567F4D"/>
    <w:rsid w:val="00567F54"/>
    <w:rsid w:val="00567FDD"/>
    <w:rsid w:val="0057006C"/>
    <w:rsid w:val="005700B5"/>
    <w:rsid w:val="005700D6"/>
    <w:rsid w:val="005700FD"/>
    <w:rsid w:val="00570121"/>
    <w:rsid w:val="00570125"/>
    <w:rsid w:val="00570135"/>
    <w:rsid w:val="005701CB"/>
    <w:rsid w:val="0057022E"/>
    <w:rsid w:val="00570237"/>
    <w:rsid w:val="0057027A"/>
    <w:rsid w:val="005702EA"/>
    <w:rsid w:val="005702FA"/>
    <w:rsid w:val="0057032F"/>
    <w:rsid w:val="00570367"/>
    <w:rsid w:val="005703BE"/>
    <w:rsid w:val="0057042F"/>
    <w:rsid w:val="0057047C"/>
    <w:rsid w:val="005704A9"/>
    <w:rsid w:val="005704AF"/>
    <w:rsid w:val="005704FD"/>
    <w:rsid w:val="00570529"/>
    <w:rsid w:val="005706A6"/>
    <w:rsid w:val="005706CB"/>
    <w:rsid w:val="005707BC"/>
    <w:rsid w:val="0057088E"/>
    <w:rsid w:val="005708BC"/>
    <w:rsid w:val="005708BD"/>
    <w:rsid w:val="00570940"/>
    <w:rsid w:val="00570966"/>
    <w:rsid w:val="005709A3"/>
    <w:rsid w:val="005709E8"/>
    <w:rsid w:val="00570A13"/>
    <w:rsid w:val="00570A8E"/>
    <w:rsid w:val="00570ADD"/>
    <w:rsid w:val="00570B11"/>
    <w:rsid w:val="00570B4D"/>
    <w:rsid w:val="00570B58"/>
    <w:rsid w:val="00570BB8"/>
    <w:rsid w:val="00570BFE"/>
    <w:rsid w:val="00570CF7"/>
    <w:rsid w:val="00570D0B"/>
    <w:rsid w:val="00570D3B"/>
    <w:rsid w:val="00570DF9"/>
    <w:rsid w:val="00570EB1"/>
    <w:rsid w:val="00570EC9"/>
    <w:rsid w:val="00570F28"/>
    <w:rsid w:val="00570F4C"/>
    <w:rsid w:val="00571031"/>
    <w:rsid w:val="00571063"/>
    <w:rsid w:val="00571081"/>
    <w:rsid w:val="00571084"/>
    <w:rsid w:val="005711CA"/>
    <w:rsid w:val="005711CC"/>
    <w:rsid w:val="005711D3"/>
    <w:rsid w:val="00571206"/>
    <w:rsid w:val="00571222"/>
    <w:rsid w:val="0057124E"/>
    <w:rsid w:val="005712CC"/>
    <w:rsid w:val="005712EF"/>
    <w:rsid w:val="00571460"/>
    <w:rsid w:val="00571487"/>
    <w:rsid w:val="00571516"/>
    <w:rsid w:val="005715F2"/>
    <w:rsid w:val="00571645"/>
    <w:rsid w:val="005716B8"/>
    <w:rsid w:val="005716BD"/>
    <w:rsid w:val="00571788"/>
    <w:rsid w:val="0057178A"/>
    <w:rsid w:val="005717A4"/>
    <w:rsid w:val="005717FE"/>
    <w:rsid w:val="00571814"/>
    <w:rsid w:val="00571892"/>
    <w:rsid w:val="005718FD"/>
    <w:rsid w:val="005718FF"/>
    <w:rsid w:val="00571961"/>
    <w:rsid w:val="00571972"/>
    <w:rsid w:val="00571AB7"/>
    <w:rsid w:val="00571C02"/>
    <w:rsid w:val="00571C49"/>
    <w:rsid w:val="00571CA9"/>
    <w:rsid w:val="00571CF2"/>
    <w:rsid w:val="00571D06"/>
    <w:rsid w:val="00571DFF"/>
    <w:rsid w:val="00571E14"/>
    <w:rsid w:val="00571EF2"/>
    <w:rsid w:val="00571F12"/>
    <w:rsid w:val="005720DC"/>
    <w:rsid w:val="00572180"/>
    <w:rsid w:val="0057218E"/>
    <w:rsid w:val="00572190"/>
    <w:rsid w:val="0057220C"/>
    <w:rsid w:val="00572261"/>
    <w:rsid w:val="00572270"/>
    <w:rsid w:val="005722EE"/>
    <w:rsid w:val="005723D4"/>
    <w:rsid w:val="00572468"/>
    <w:rsid w:val="00572484"/>
    <w:rsid w:val="005725E9"/>
    <w:rsid w:val="0057260A"/>
    <w:rsid w:val="005726DD"/>
    <w:rsid w:val="00572743"/>
    <w:rsid w:val="00572748"/>
    <w:rsid w:val="00572792"/>
    <w:rsid w:val="005727CE"/>
    <w:rsid w:val="00572834"/>
    <w:rsid w:val="00572848"/>
    <w:rsid w:val="00572A91"/>
    <w:rsid w:val="00572BF8"/>
    <w:rsid w:val="00572C39"/>
    <w:rsid w:val="00572C5E"/>
    <w:rsid w:val="00572CB0"/>
    <w:rsid w:val="00572D0C"/>
    <w:rsid w:val="00572D19"/>
    <w:rsid w:val="00572D4D"/>
    <w:rsid w:val="00572E20"/>
    <w:rsid w:val="00572E93"/>
    <w:rsid w:val="00572EC8"/>
    <w:rsid w:val="00573010"/>
    <w:rsid w:val="00573040"/>
    <w:rsid w:val="00573075"/>
    <w:rsid w:val="00573108"/>
    <w:rsid w:val="0057318B"/>
    <w:rsid w:val="005731B9"/>
    <w:rsid w:val="005731BC"/>
    <w:rsid w:val="005732C4"/>
    <w:rsid w:val="0057337F"/>
    <w:rsid w:val="0057338F"/>
    <w:rsid w:val="005733C1"/>
    <w:rsid w:val="0057341D"/>
    <w:rsid w:val="00573459"/>
    <w:rsid w:val="00573594"/>
    <w:rsid w:val="00573685"/>
    <w:rsid w:val="00573732"/>
    <w:rsid w:val="00573785"/>
    <w:rsid w:val="005737F0"/>
    <w:rsid w:val="00573865"/>
    <w:rsid w:val="005738CF"/>
    <w:rsid w:val="005738F8"/>
    <w:rsid w:val="0057398F"/>
    <w:rsid w:val="00573C3E"/>
    <w:rsid w:val="00573CB4"/>
    <w:rsid w:val="00573D20"/>
    <w:rsid w:val="00573D55"/>
    <w:rsid w:val="00573DCF"/>
    <w:rsid w:val="00573DDE"/>
    <w:rsid w:val="00573DFC"/>
    <w:rsid w:val="00573E3C"/>
    <w:rsid w:val="00573EA9"/>
    <w:rsid w:val="00573ECD"/>
    <w:rsid w:val="00573F5E"/>
    <w:rsid w:val="00574025"/>
    <w:rsid w:val="00574097"/>
    <w:rsid w:val="00574148"/>
    <w:rsid w:val="00574220"/>
    <w:rsid w:val="00574284"/>
    <w:rsid w:val="005742A8"/>
    <w:rsid w:val="00574321"/>
    <w:rsid w:val="00574347"/>
    <w:rsid w:val="005743D8"/>
    <w:rsid w:val="00574530"/>
    <w:rsid w:val="00574557"/>
    <w:rsid w:val="0057456F"/>
    <w:rsid w:val="00574581"/>
    <w:rsid w:val="005745A7"/>
    <w:rsid w:val="00574759"/>
    <w:rsid w:val="005748ED"/>
    <w:rsid w:val="005749D4"/>
    <w:rsid w:val="00574A4D"/>
    <w:rsid w:val="00574B18"/>
    <w:rsid w:val="00574B37"/>
    <w:rsid w:val="00574C37"/>
    <w:rsid w:val="00574D22"/>
    <w:rsid w:val="00574DE7"/>
    <w:rsid w:val="00574DF1"/>
    <w:rsid w:val="00574E03"/>
    <w:rsid w:val="00574E47"/>
    <w:rsid w:val="00574E5D"/>
    <w:rsid w:val="00574E8D"/>
    <w:rsid w:val="0057502B"/>
    <w:rsid w:val="0057503E"/>
    <w:rsid w:val="00575041"/>
    <w:rsid w:val="00575055"/>
    <w:rsid w:val="0057512B"/>
    <w:rsid w:val="0057514E"/>
    <w:rsid w:val="0057517B"/>
    <w:rsid w:val="005751C2"/>
    <w:rsid w:val="00575279"/>
    <w:rsid w:val="005752DA"/>
    <w:rsid w:val="00575360"/>
    <w:rsid w:val="00575450"/>
    <w:rsid w:val="0057553E"/>
    <w:rsid w:val="00575595"/>
    <w:rsid w:val="005755AB"/>
    <w:rsid w:val="00575607"/>
    <w:rsid w:val="00575616"/>
    <w:rsid w:val="0057561D"/>
    <w:rsid w:val="005756DC"/>
    <w:rsid w:val="005756F8"/>
    <w:rsid w:val="00575769"/>
    <w:rsid w:val="00575802"/>
    <w:rsid w:val="00575957"/>
    <w:rsid w:val="00575994"/>
    <w:rsid w:val="00575A26"/>
    <w:rsid w:val="00575A45"/>
    <w:rsid w:val="00575A71"/>
    <w:rsid w:val="00575C35"/>
    <w:rsid w:val="00575C87"/>
    <w:rsid w:val="00575CB6"/>
    <w:rsid w:val="00575ECF"/>
    <w:rsid w:val="00575F35"/>
    <w:rsid w:val="00576018"/>
    <w:rsid w:val="00576044"/>
    <w:rsid w:val="005761C8"/>
    <w:rsid w:val="0057626E"/>
    <w:rsid w:val="00576306"/>
    <w:rsid w:val="0057654C"/>
    <w:rsid w:val="0057656B"/>
    <w:rsid w:val="0057657A"/>
    <w:rsid w:val="005766B1"/>
    <w:rsid w:val="005766B7"/>
    <w:rsid w:val="005766C6"/>
    <w:rsid w:val="00576807"/>
    <w:rsid w:val="0057681D"/>
    <w:rsid w:val="0057683A"/>
    <w:rsid w:val="005768B8"/>
    <w:rsid w:val="005768BF"/>
    <w:rsid w:val="005768CC"/>
    <w:rsid w:val="0057694F"/>
    <w:rsid w:val="005769EC"/>
    <w:rsid w:val="005769F0"/>
    <w:rsid w:val="005769F7"/>
    <w:rsid w:val="00576A1B"/>
    <w:rsid w:val="00576AC4"/>
    <w:rsid w:val="00576B40"/>
    <w:rsid w:val="00576B55"/>
    <w:rsid w:val="00576C7C"/>
    <w:rsid w:val="00576D22"/>
    <w:rsid w:val="00576D5A"/>
    <w:rsid w:val="00576DCB"/>
    <w:rsid w:val="00576E02"/>
    <w:rsid w:val="00576ECD"/>
    <w:rsid w:val="00576F60"/>
    <w:rsid w:val="00576FDD"/>
    <w:rsid w:val="005770C6"/>
    <w:rsid w:val="005771EE"/>
    <w:rsid w:val="005773F3"/>
    <w:rsid w:val="005776B0"/>
    <w:rsid w:val="00577783"/>
    <w:rsid w:val="0057779A"/>
    <w:rsid w:val="00577862"/>
    <w:rsid w:val="00577881"/>
    <w:rsid w:val="00577885"/>
    <w:rsid w:val="005778A2"/>
    <w:rsid w:val="005778B7"/>
    <w:rsid w:val="005778D5"/>
    <w:rsid w:val="0057791B"/>
    <w:rsid w:val="005779C6"/>
    <w:rsid w:val="00577A04"/>
    <w:rsid w:val="00577A82"/>
    <w:rsid w:val="00577B0B"/>
    <w:rsid w:val="00577BE2"/>
    <w:rsid w:val="00577C81"/>
    <w:rsid w:val="00577CA9"/>
    <w:rsid w:val="00577CDB"/>
    <w:rsid w:val="00577D55"/>
    <w:rsid w:val="00577D90"/>
    <w:rsid w:val="00577EB0"/>
    <w:rsid w:val="00577EB5"/>
    <w:rsid w:val="00577F9D"/>
    <w:rsid w:val="0057B0DB"/>
    <w:rsid w:val="00580013"/>
    <w:rsid w:val="005800A0"/>
    <w:rsid w:val="0058012F"/>
    <w:rsid w:val="0058015C"/>
    <w:rsid w:val="005801C2"/>
    <w:rsid w:val="00580212"/>
    <w:rsid w:val="005802BD"/>
    <w:rsid w:val="00580335"/>
    <w:rsid w:val="0058038C"/>
    <w:rsid w:val="005803CB"/>
    <w:rsid w:val="00580493"/>
    <w:rsid w:val="00580519"/>
    <w:rsid w:val="005808A8"/>
    <w:rsid w:val="00580B2B"/>
    <w:rsid w:val="00580B66"/>
    <w:rsid w:val="00580BBA"/>
    <w:rsid w:val="00580BBD"/>
    <w:rsid w:val="00580BC4"/>
    <w:rsid w:val="00580D65"/>
    <w:rsid w:val="00580DED"/>
    <w:rsid w:val="00580F44"/>
    <w:rsid w:val="00580F63"/>
    <w:rsid w:val="00580F6F"/>
    <w:rsid w:val="00581097"/>
    <w:rsid w:val="005810E1"/>
    <w:rsid w:val="0058126C"/>
    <w:rsid w:val="00581279"/>
    <w:rsid w:val="005812A3"/>
    <w:rsid w:val="00581315"/>
    <w:rsid w:val="00581403"/>
    <w:rsid w:val="00581442"/>
    <w:rsid w:val="00581448"/>
    <w:rsid w:val="0058149D"/>
    <w:rsid w:val="005814A1"/>
    <w:rsid w:val="005814C8"/>
    <w:rsid w:val="005814E1"/>
    <w:rsid w:val="005814F1"/>
    <w:rsid w:val="005815C2"/>
    <w:rsid w:val="0058161D"/>
    <w:rsid w:val="0058162B"/>
    <w:rsid w:val="005817F7"/>
    <w:rsid w:val="0058189C"/>
    <w:rsid w:val="0058189F"/>
    <w:rsid w:val="005819C6"/>
    <w:rsid w:val="005819D0"/>
    <w:rsid w:val="00581A06"/>
    <w:rsid w:val="00581ABD"/>
    <w:rsid w:val="00581B21"/>
    <w:rsid w:val="00581B26"/>
    <w:rsid w:val="00581BFC"/>
    <w:rsid w:val="00581C55"/>
    <w:rsid w:val="00581D72"/>
    <w:rsid w:val="00581E1F"/>
    <w:rsid w:val="00581E24"/>
    <w:rsid w:val="00581E3A"/>
    <w:rsid w:val="00581E98"/>
    <w:rsid w:val="00581F7A"/>
    <w:rsid w:val="00582049"/>
    <w:rsid w:val="00582057"/>
    <w:rsid w:val="0058206B"/>
    <w:rsid w:val="00582201"/>
    <w:rsid w:val="0058220C"/>
    <w:rsid w:val="005822FC"/>
    <w:rsid w:val="00582329"/>
    <w:rsid w:val="0058234E"/>
    <w:rsid w:val="005823F4"/>
    <w:rsid w:val="0058241A"/>
    <w:rsid w:val="005824E9"/>
    <w:rsid w:val="0058250F"/>
    <w:rsid w:val="0058252C"/>
    <w:rsid w:val="00582566"/>
    <w:rsid w:val="00582621"/>
    <w:rsid w:val="00582640"/>
    <w:rsid w:val="005826A8"/>
    <w:rsid w:val="00582784"/>
    <w:rsid w:val="005827CC"/>
    <w:rsid w:val="00582840"/>
    <w:rsid w:val="0058297B"/>
    <w:rsid w:val="00582982"/>
    <w:rsid w:val="005829F5"/>
    <w:rsid w:val="00582A48"/>
    <w:rsid w:val="00582A9A"/>
    <w:rsid w:val="00582AE0"/>
    <w:rsid w:val="00582B1E"/>
    <w:rsid w:val="00582BC3"/>
    <w:rsid w:val="00582BD8"/>
    <w:rsid w:val="00582C85"/>
    <w:rsid w:val="00582CB0"/>
    <w:rsid w:val="00582CE9"/>
    <w:rsid w:val="00582D2A"/>
    <w:rsid w:val="00582D41"/>
    <w:rsid w:val="00582D45"/>
    <w:rsid w:val="00582E70"/>
    <w:rsid w:val="00582E89"/>
    <w:rsid w:val="00582E8A"/>
    <w:rsid w:val="00582EBE"/>
    <w:rsid w:val="00582ED4"/>
    <w:rsid w:val="00582EDA"/>
    <w:rsid w:val="00582F74"/>
    <w:rsid w:val="00582F79"/>
    <w:rsid w:val="00582FF9"/>
    <w:rsid w:val="00583068"/>
    <w:rsid w:val="00583098"/>
    <w:rsid w:val="00583126"/>
    <w:rsid w:val="0058319B"/>
    <w:rsid w:val="00583298"/>
    <w:rsid w:val="005832A3"/>
    <w:rsid w:val="005832BD"/>
    <w:rsid w:val="00583354"/>
    <w:rsid w:val="005833C3"/>
    <w:rsid w:val="00583400"/>
    <w:rsid w:val="0058349E"/>
    <w:rsid w:val="005835DE"/>
    <w:rsid w:val="00583645"/>
    <w:rsid w:val="0058367D"/>
    <w:rsid w:val="00583713"/>
    <w:rsid w:val="00583732"/>
    <w:rsid w:val="0058375E"/>
    <w:rsid w:val="0058380A"/>
    <w:rsid w:val="0058393C"/>
    <w:rsid w:val="00583A1B"/>
    <w:rsid w:val="00583A5B"/>
    <w:rsid w:val="00583AD4"/>
    <w:rsid w:val="00583AF8"/>
    <w:rsid w:val="00583C44"/>
    <w:rsid w:val="00583C7F"/>
    <w:rsid w:val="00583C89"/>
    <w:rsid w:val="00583D79"/>
    <w:rsid w:val="00583E21"/>
    <w:rsid w:val="00583E30"/>
    <w:rsid w:val="00583E5E"/>
    <w:rsid w:val="00583E6B"/>
    <w:rsid w:val="00583F05"/>
    <w:rsid w:val="00583FC5"/>
    <w:rsid w:val="00583FC9"/>
    <w:rsid w:val="00584037"/>
    <w:rsid w:val="005840A2"/>
    <w:rsid w:val="005840F3"/>
    <w:rsid w:val="00584147"/>
    <w:rsid w:val="00584187"/>
    <w:rsid w:val="005841AC"/>
    <w:rsid w:val="005841AE"/>
    <w:rsid w:val="005841BE"/>
    <w:rsid w:val="005841E7"/>
    <w:rsid w:val="005843EE"/>
    <w:rsid w:val="0058443E"/>
    <w:rsid w:val="005844BB"/>
    <w:rsid w:val="00584605"/>
    <w:rsid w:val="00584694"/>
    <w:rsid w:val="005846A4"/>
    <w:rsid w:val="005846C8"/>
    <w:rsid w:val="0058471E"/>
    <w:rsid w:val="00584773"/>
    <w:rsid w:val="0058477B"/>
    <w:rsid w:val="00584816"/>
    <w:rsid w:val="0058483D"/>
    <w:rsid w:val="0058485A"/>
    <w:rsid w:val="00584880"/>
    <w:rsid w:val="0058488F"/>
    <w:rsid w:val="00584895"/>
    <w:rsid w:val="005848C7"/>
    <w:rsid w:val="005848F6"/>
    <w:rsid w:val="00584A2B"/>
    <w:rsid w:val="00584A7A"/>
    <w:rsid w:val="00584ACB"/>
    <w:rsid w:val="00584AF5"/>
    <w:rsid w:val="00584B42"/>
    <w:rsid w:val="00584B82"/>
    <w:rsid w:val="00584BAE"/>
    <w:rsid w:val="00584C47"/>
    <w:rsid w:val="00584C82"/>
    <w:rsid w:val="00584CA6"/>
    <w:rsid w:val="00584D9F"/>
    <w:rsid w:val="00584E68"/>
    <w:rsid w:val="00584EA5"/>
    <w:rsid w:val="00584EB5"/>
    <w:rsid w:val="00584F42"/>
    <w:rsid w:val="00584F53"/>
    <w:rsid w:val="00584F79"/>
    <w:rsid w:val="00585098"/>
    <w:rsid w:val="0058509E"/>
    <w:rsid w:val="005850EE"/>
    <w:rsid w:val="00585101"/>
    <w:rsid w:val="00585371"/>
    <w:rsid w:val="005853A7"/>
    <w:rsid w:val="00585459"/>
    <w:rsid w:val="005854D9"/>
    <w:rsid w:val="00585541"/>
    <w:rsid w:val="005855AD"/>
    <w:rsid w:val="005855B1"/>
    <w:rsid w:val="005855C5"/>
    <w:rsid w:val="0058581E"/>
    <w:rsid w:val="00585839"/>
    <w:rsid w:val="005858FD"/>
    <w:rsid w:val="0058592C"/>
    <w:rsid w:val="0058596C"/>
    <w:rsid w:val="00585A10"/>
    <w:rsid w:val="00585A16"/>
    <w:rsid w:val="00585A18"/>
    <w:rsid w:val="00585A9B"/>
    <w:rsid w:val="00585AB5"/>
    <w:rsid w:val="00585BDF"/>
    <w:rsid w:val="00585D60"/>
    <w:rsid w:val="00585DF0"/>
    <w:rsid w:val="00585FB3"/>
    <w:rsid w:val="00585FFF"/>
    <w:rsid w:val="00586050"/>
    <w:rsid w:val="00586086"/>
    <w:rsid w:val="005860D3"/>
    <w:rsid w:val="00586117"/>
    <w:rsid w:val="00586259"/>
    <w:rsid w:val="0058655D"/>
    <w:rsid w:val="00586642"/>
    <w:rsid w:val="005866B2"/>
    <w:rsid w:val="005866D7"/>
    <w:rsid w:val="005866DD"/>
    <w:rsid w:val="00586857"/>
    <w:rsid w:val="0058688E"/>
    <w:rsid w:val="0058689B"/>
    <w:rsid w:val="005868DB"/>
    <w:rsid w:val="005869B3"/>
    <w:rsid w:val="00586AA0"/>
    <w:rsid w:val="00586AB5"/>
    <w:rsid w:val="00586B01"/>
    <w:rsid w:val="00586B0C"/>
    <w:rsid w:val="00586B64"/>
    <w:rsid w:val="00586B6E"/>
    <w:rsid w:val="00586B9A"/>
    <w:rsid w:val="00586C9B"/>
    <w:rsid w:val="00586CDE"/>
    <w:rsid w:val="00586D3A"/>
    <w:rsid w:val="00586DBE"/>
    <w:rsid w:val="00586DC5"/>
    <w:rsid w:val="00586EBC"/>
    <w:rsid w:val="00586F60"/>
    <w:rsid w:val="0058700B"/>
    <w:rsid w:val="00587067"/>
    <w:rsid w:val="005870C5"/>
    <w:rsid w:val="005870D5"/>
    <w:rsid w:val="005870F2"/>
    <w:rsid w:val="00587125"/>
    <w:rsid w:val="00587189"/>
    <w:rsid w:val="005871B5"/>
    <w:rsid w:val="005872E1"/>
    <w:rsid w:val="0058730C"/>
    <w:rsid w:val="00587340"/>
    <w:rsid w:val="005873AA"/>
    <w:rsid w:val="005874A3"/>
    <w:rsid w:val="005874C3"/>
    <w:rsid w:val="0058750C"/>
    <w:rsid w:val="0058756E"/>
    <w:rsid w:val="0058762A"/>
    <w:rsid w:val="0058763B"/>
    <w:rsid w:val="00587679"/>
    <w:rsid w:val="005876D1"/>
    <w:rsid w:val="00587748"/>
    <w:rsid w:val="0058777B"/>
    <w:rsid w:val="005877F5"/>
    <w:rsid w:val="00587849"/>
    <w:rsid w:val="0058784F"/>
    <w:rsid w:val="0058788A"/>
    <w:rsid w:val="00587897"/>
    <w:rsid w:val="00587956"/>
    <w:rsid w:val="005879D6"/>
    <w:rsid w:val="005879DB"/>
    <w:rsid w:val="00587A7D"/>
    <w:rsid w:val="00587A86"/>
    <w:rsid w:val="00587B42"/>
    <w:rsid w:val="00587B65"/>
    <w:rsid w:val="00587B6B"/>
    <w:rsid w:val="00587BF6"/>
    <w:rsid w:val="00587CF0"/>
    <w:rsid w:val="00587CF1"/>
    <w:rsid w:val="00587DFB"/>
    <w:rsid w:val="00587E44"/>
    <w:rsid w:val="00587E8C"/>
    <w:rsid w:val="00587EA9"/>
    <w:rsid w:val="00587EE9"/>
    <w:rsid w:val="00587F26"/>
    <w:rsid w:val="00587F8A"/>
    <w:rsid w:val="00587FAC"/>
    <w:rsid w:val="00587FFB"/>
    <w:rsid w:val="005901FC"/>
    <w:rsid w:val="005902A1"/>
    <w:rsid w:val="0059031E"/>
    <w:rsid w:val="00590353"/>
    <w:rsid w:val="005903D3"/>
    <w:rsid w:val="005904A1"/>
    <w:rsid w:val="005904CD"/>
    <w:rsid w:val="005904FE"/>
    <w:rsid w:val="0059050A"/>
    <w:rsid w:val="00590568"/>
    <w:rsid w:val="00590752"/>
    <w:rsid w:val="0059087A"/>
    <w:rsid w:val="0059088B"/>
    <w:rsid w:val="00590945"/>
    <w:rsid w:val="005909AF"/>
    <w:rsid w:val="005909E1"/>
    <w:rsid w:val="00590A27"/>
    <w:rsid w:val="00590A43"/>
    <w:rsid w:val="00590AE9"/>
    <w:rsid w:val="00590BF1"/>
    <w:rsid w:val="00590CA7"/>
    <w:rsid w:val="00590DFC"/>
    <w:rsid w:val="00590E3A"/>
    <w:rsid w:val="00590E46"/>
    <w:rsid w:val="00590E51"/>
    <w:rsid w:val="00590EE4"/>
    <w:rsid w:val="00590F08"/>
    <w:rsid w:val="00590F8A"/>
    <w:rsid w:val="00590F9F"/>
    <w:rsid w:val="005910FD"/>
    <w:rsid w:val="00591102"/>
    <w:rsid w:val="00591272"/>
    <w:rsid w:val="005913AC"/>
    <w:rsid w:val="00591454"/>
    <w:rsid w:val="005914FF"/>
    <w:rsid w:val="00591597"/>
    <w:rsid w:val="005915CC"/>
    <w:rsid w:val="005915D3"/>
    <w:rsid w:val="005915E2"/>
    <w:rsid w:val="005915EA"/>
    <w:rsid w:val="0059160F"/>
    <w:rsid w:val="00591714"/>
    <w:rsid w:val="005917C8"/>
    <w:rsid w:val="00591826"/>
    <w:rsid w:val="0059187B"/>
    <w:rsid w:val="005919DD"/>
    <w:rsid w:val="005919E5"/>
    <w:rsid w:val="00591A58"/>
    <w:rsid w:val="00591BD9"/>
    <w:rsid w:val="00591C0D"/>
    <w:rsid w:val="00591D86"/>
    <w:rsid w:val="00591EB0"/>
    <w:rsid w:val="00591EE1"/>
    <w:rsid w:val="00591F4F"/>
    <w:rsid w:val="00591FD2"/>
    <w:rsid w:val="00591FDC"/>
    <w:rsid w:val="0059203B"/>
    <w:rsid w:val="00592076"/>
    <w:rsid w:val="0059212D"/>
    <w:rsid w:val="0059213F"/>
    <w:rsid w:val="0059219F"/>
    <w:rsid w:val="00592230"/>
    <w:rsid w:val="005922F4"/>
    <w:rsid w:val="0059236C"/>
    <w:rsid w:val="00592534"/>
    <w:rsid w:val="0059263E"/>
    <w:rsid w:val="0059290B"/>
    <w:rsid w:val="00592969"/>
    <w:rsid w:val="00592A10"/>
    <w:rsid w:val="00592AC6"/>
    <w:rsid w:val="00592AF8"/>
    <w:rsid w:val="00592D01"/>
    <w:rsid w:val="00592D3F"/>
    <w:rsid w:val="00592DC4"/>
    <w:rsid w:val="00592DF1"/>
    <w:rsid w:val="00592E2D"/>
    <w:rsid w:val="00592EBC"/>
    <w:rsid w:val="00592EC4"/>
    <w:rsid w:val="00593082"/>
    <w:rsid w:val="0059310E"/>
    <w:rsid w:val="00593154"/>
    <w:rsid w:val="00593211"/>
    <w:rsid w:val="005933B9"/>
    <w:rsid w:val="00593438"/>
    <w:rsid w:val="00593493"/>
    <w:rsid w:val="0059364B"/>
    <w:rsid w:val="005937FB"/>
    <w:rsid w:val="00593849"/>
    <w:rsid w:val="005938B9"/>
    <w:rsid w:val="005938D9"/>
    <w:rsid w:val="0059397D"/>
    <w:rsid w:val="005939E0"/>
    <w:rsid w:val="00593A4B"/>
    <w:rsid w:val="00593A53"/>
    <w:rsid w:val="00593AE0"/>
    <w:rsid w:val="00593B88"/>
    <w:rsid w:val="00593B9A"/>
    <w:rsid w:val="00593C46"/>
    <w:rsid w:val="00593CCF"/>
    <w:rsid w:val="00593CD7"/>
    <w:rsid w:val="00593CF6"/>
    <w:rsid w:val="00593D1D"/>
    <w:rsid w:val="00593E36"/>
    <w:rsid w:val="00593E7A"/>
    <w:rsid w:val="00593EE4"/>
    <w:rsid w:val="005940B1"/>
    <w:rsid w:val="00594110"/>
    <w:rsid w:val="00594126"/>
    <w:rsid w:val="00594135"/>
    <w:rsid w:val="00594150"/>
    <w:rsid w:val="00594194"/>
    <w:rsid w:val="005941A3"/>
    <w:rsid w:val="005941BA"/>
    <w:rsid w:val="005941E1"/>
    <w:rsid w:val="005941FF"/>
    <w:rsid w:val="00594260"/>
    <w:rsid w:val="005942D5"/>
    <w:rsid w:val="00594304"/>
    <w:rsid w:val="005943B5"/>
    <w:rsid w:val="00594430"/>
    <w:rsid w:val="005944BA"/>
    <w:rsid w:val="005944F4"/>
    <w:rsid w:val="005945CA"/>
    <w:rsid w:val="0059460E"/>
    <w:rsid w:val="00594625"/>
    <w:rsid w:val="00594646"/>
    <w:rsid w:val="00594707"/>
    <w:rsid w:val="00594761"/>
    <w:rsid w:val="00594776"/>
    <w:rsid w:val="005947B1"/>
    <w:rsid w:val="005947EB"/>
    <w:rsid w:val="00594860"/>
    <w:rsid w:val="00594878"/>
    <w:rsid w:val="0059487E"/>
    <w:rsid w:val="00594886"/>
    <w:rsid w:val="0059492A"/>
    <w:rsid w:val="005949CE"/>
    <w:rsid w:val="005949D2"/>
    <w:rsid w:val="005949DF"/>
    <w:rsid w:val="00594A22"/>
    <w:rsid w:val="00594A97"/>
    <w:rsid w:val="00594B38"/>
    <w:rsid w:val="00594BAB"/>
    <w:rsid w:val="00594CCB"/>
    <w:rsid w:val="00594CE1"/>
    <w:rsid w:val="00594CE6"/>
    <w:rsid w:val="00594D0B"/>
    <w:rsid w:val="00594DF8"/>
    <w:rsid w:val="00595000"/>
    <w:rsid w:val="005950C9"/>
    <w:rsid w:val="00595101"/>
    <w:rsid w:val="00595146"/>
    <w:rsid w:val="0059515C"/>
    <w:rsid w:val="005951F8"/>
    <w:rsid w:val="005951FB"/>
    <w:rsid w:val="005952A9"/>
    <w:rsid w:val="00595453"/>
    <w:rsid w:val="00595533"/>
    <w:rsid w:val="0059553B"/>
    <w:rsid w:val="00595599"/>
    <w:rsid w:val="00595614"/>
    <w:rsid w:val="00595618"/>
    <w:rsid w:val="0059574B"/>
    <w:rsid w:val="00595763"/>
    <w:rsid w:val="005958C2"/>
    <w:rsid w:val="0059590A"/>
    <w:rsid w:val="00595945"/>
    <w:rsid w:val="0059595A"/>
    <w:rsid w:val="005959AE"/>
    <w:rsid w:val="00595A32"/>
    <w:rsid w:val="00595A77"/>
    <w:rsid w:val="00595B14"/>
    <w:rsid w:val="00595B35"/>
    <w:rsid w:val="00595B58"/>
    <w:rsid w:val="00595B60"/>
    <w:rsid w:val="00595BDD"/>
    <w:rsid w:val="00595C98"/>
    <w:rsid w:val="00595CC7"/>
    <w:rsid w:val="00595CCD"/>
    <w:rsid w:val="00595F2F"/>
    <w:rsid w:val="00595F59"/>
    <w:rsid w:val="00595F67"/>
    <w:rsid w:val="00595F8C"/>
    <w:rsid w:val="00595FC0"/>
    <w:rsid w:val="0059600D"/>
    <w:rsid w:val="00596101"/>
    <w:rsid w:val="00596250"/>
    <w:rsid w:val="005963CA"/>
    <w:rsid w:val="00596448"/>
    <w:rsid w:val="00596461"/>
    <w:rsid w:val="005964D7"/>
    <w:rsid w:val="005965A9"/>
    <w:rsid w:val="0059663C"/>
    <w:rsid w:val="005966C7"/>
    <w:rsid w:val="005967EE"/>
    <w:rsid w:val="005968E1"/>
    <w:rsid w:val="0059696E"/>
    <w:rsid w:val="0059698A"/>
    <w:rsid w:val="00596A62"/>
    <w:rsid w:val="00596AA9"/>
    <w:rsid w:val="00596B2D"/>
    <w:rsid w:val="00596B8F"/>
    <w:rsid w:val="00596B9D"/>
    <w:rsid w:val="00596C9A"/>
    <w:rsid w:val="00596CAD"/>
    <w:rsid w:val="00596CE0"/>
    <w:rsid w:val="00596CFB"/>
    <w:rsid w:val="00596D00"/>
    <w:rsid w:val="00596D73"/>
    <w:rsid w:val="00596E8D"/>
    <w:rsid w:val="00596EB7"/>
    <w:rsid w:val="00596F4D"/>
    <w:rsid w:val="00596FEB"/>
    <w:rsid w:val="00596FEE"/>
    <w:rsid w:val="00596FF8"/>
    <w:rsid w:val="0059701E"/>
    <w:rsid w:val="00597076"/>
    <w:rsid w:val="00597101"/>
    <w:rsid w:val="00597166"/>
    <w:rsid w:val="00597273"/>
    <w:rsid w:val="0059735C"/>
    <w:rsid w:val="00597492"/>
    <w:rsid w:val="0059750D"/>
    <w:rsid w:val="0059765F"/>
    <w:rsid w:val="005976C8"/>
    <w:rsid w:val="00597854"/>
    <w:rsid w:val="005978C1"/>
    <w:rsid w:val="0059790C"/>
    <w:rsid w:val="00597A8C"/>
    <w:rsid w:val="00597B20"/>
    <w:rsid w:val="00597B52"/>
    <w:rsid w:val="00597B58"/>
    <w:rsid w:val="00597BBC"/>
    <w:rsid w:val="00597C10"/>
    <w:rsid w:val="00597C87"/>
    <w:rsid w:val="00597CBF"/>
    <w:rsid w:val="00597CD7"/>
    <w:rsid w:val="00597D5B"/>
    <w:rsid w:val="00597D75"/>
    <w:rsid w:val="00597D7D"/>
    <w:rsid w:val="00597D94"/>
    <w:rsid w:val="00597F19"/>
    <w:rsid w:val="00597FE2"/>
    <w:rsid w:val="005A0057"/>
    <w:rsid w:val="005A009D"/>
    <w:rsid w:val="005A00A6"/>
    <w:rsid w:val="005A0152"/>
    <w:rsid w:val="005A030C"/>
    <w:rsid w:val="005A0317"/>
    <w:rsid w:val="005A037E"/>
    <w:rsid w:val="005A0513"/>
    <w:rsid w:val="005A05A6"/>
    <w:rsid w:val="005A05B5"/>
    <w:rsid w:val="005A05F5"/>
    <w:rsid w:val="005A0686"/>
    <w:rsid w:val="005A074A"/>
    <w:rsid w:val="005A0791"/>
    <w:rsid w:val="005A07C9"/>
    <w:rsid w:val="005A0802"/>
    <w:rsid w:val="005A0830"/>
    <w:rsid w:val="005A0840"/>
    <w:rsid w:val="005A0879"/>
    <w:rsid w:val="005A093E"/>
    <w:rsid w:val="005A0940"/>
    <w:rsid w:val="005A0977"/>
    <w:rsid w:val="005A09CC"/>
    <w:rsid w:val="005A09F5"/>
    <w:rsid w:val="005A0AE2"/>
    <w:rsid w:val="005A0C47"/>
    <w:rsid w:val="005A0CFA"/>
    <w:rsid w:val="005A0DB0"/>
    <w:rsid w:val="005A0DC4"/>
    <w:rsid w:val="005A0EAE"/>
    <w:rsid w:val="005A0EF1"/>
    <w:rsid w:val="005A0F00"/>
    <w:rsid w:val="005A0F24"/>
    <w:rsid w:val="005A0FAD"/>
    <w:rsid w:val="005A10E7"/>
    <w:rsid w:val="005A1135"/>
    <w:rsid w:val="005A1249"/>
    <w:rsid w:val="005A12E6"/>
    <w:rsid w:val="005A135E"/>
    <w:rsid w:val="005A1488"/>
    <w:rsid w:val="005A14CD"/>
    <w:rsid w:val="005A14ED"/>
    <w:rsid w:val="005A17AB"/>
    <w:rsid w:val="005A17DA"/>
    <w:rsid w:val="005A180A"/>
    <w:rsid w:val="005A1926"/>
    <w:rsid w:val="005A1947"/>
    <w:rsid w:val="005A199E"/>
    <w:rsid w:val="005A1A54"/>
    <w:rsid w:val="005A1ADC"/>
    <w:rsid w:val="005A1B99"/>
    <w:rsid w:val="005A1BE9"/>
    <w:rsid w:val="005A1C1B"/>
    <w:rsid w:val="005A1C48"/>
    <w:rsid w:val="005A1C84"/>
    <w:rsid w:val="005A1D29"/>
    <w:rsid w:val="005A1E39"/>
    <w:rsid w:val="005A1F26"/>
    <w:rsid w:val="005A1F34"/>
    <w:rsid w:val="005A1F73"/>
    <w:rsid w:val="005A1FBB"/>
    <w:rsid w:val="005A1FF2"/>
    <w:rsid w:val="005A20AD"/>
    <w:rsid w:val="005A20C0"/>
    <w:rsid w:val="005A219E"/>
    <w:rsid w:val="005A2205"/>
    <w:rsid w:val="005A231C"/>
    <w:rsid w:val="005A2352"/>
    <w:rsid w:val="005A2364"/>
    <w:rsid w:val="005A23BC"/>
    <w:rsid w:val="005A23FB"/>
    <w:rsid w:val="005A2486"/>
    <w:rsid w:val="005A2522"/>
    <w:rsid w:val="005A26A2"/>
    <w:rsid w:val="005A26BB"/>
    <w:rsid w:val="005A2748"/>
    <w:rsid w:val="005A275C"/>
    <w:rsid w:val="005A279B"/>
    <w:rsid w:val="005A27E7"/>
    <w:rsid w:val="005A2871"/>
    <w:rsid w:val="005A288F"/>
    <w:rsid w:val="005A28B7"/>
    <w:rsid w:val="005A28CE"/>
    <w:rsid w:val="005A2912"/>
    <w:rsid w:val="005A2924"/>
    <w:rsid w:val="005A2971"/>
    <w:rsid w:val="005A29AD"/>
    <w:rsid w:val="005A29B3"/>
    <w:rsid w:val="005A2BF5"/>
    <w:rsid w:val="005A2C33"/>
    <w:rsid w:val="005A2C5F"/>
    <w:rsid w:val="005A2CE0"/>
    <w:rsid w:val="005A2CFB"/>
    <w:rsid w:val="005A2D2A"/>
    <w:rsid w:val="005A2E8E"/>
    <w:rsid w:val="005A2E90"/>
    <w:rsid w:val="005A2E94"/>
    <w:rsid w:val="005A2F09"/>
    <w:rsid w:val="005A2F9E"/>
    <w:rsid w:val="005A2FB8"/>
    <w:rsid w:val="005A2FBB"/>
    <w:rsid w:val="005A2FF5"/>
    <w:rsid w:val="005A305C"/>
    <w:rsid w:val="005A30BB"/>
    <w:rsid w:val="005A3117"/>
    <w:rsid w:val="005A31ED"/>
    <w:rsid w:val="005A321E"/>
    <w:rsid w:val="005A32D7"/>
    <w:rsid w:val="005A3303"/>
    <w:rsid w:val="005A3350"/>
    <w:rsid w:val="005A3396"/>
    <w:rsid w:val="005A340C"/>
    <w:rsid w:val="005A3541"/>
    <w:rsid w:val="005A3565"/>
    <w:rsid w:val="005A3587"/>
    <w:rsid w:val="005A35E7"/>
    <w:rsid w:val="005A36E5"/>
    <w:rsid w:val="005A36F2"/>
    <w:rsid w:val="005A37C5"/>
    <w:rsid w:val="005A3806"/>
    <w:rsid w:val="005A3820"/>
    <w:rsid w:val="005A3871"/>
    <w:rsid w:val="005A390B"/>
    <w:rsid w:val="005A3983"/>
    <w:rsid w:val="005A39E3"/>
    <w:rsid w:val="005A3BC2"/>
    <w:rsid w:val="005A3BE1"/>
    <w:rsid w:val="005A3BE3"/>
    <w:rsid w:val="005A3BF3"/>
    <w:rsid w:val="005A3BFA"/>
    <w:rsid w:val="005A3C4F"/>
    <w:rsid w:val="005A3CA7"/>
    <w:rsid w:val="005A3CC9"/>
    <w:rsid w:val="005A3D38"/>
    <w:rsid w:val="005A3D47"/>
    <w:rsid w:val="005A3D57"/>
    <w:rsid w:val="005A3D8F"/>
    <w:rsid w:val="005A3DB4"/>
    <w:rsid w:val="005A3DC2"/>
    <w:rsid w:val="005A3EC1"/>
    <w:rsid w:val="005A3F53"/>
    <w:rsid w:val="005A3F55"/>
    <w:rsid w:val="005A3FB6"/>
    <w:rsid w:val="005A3FE6"/>
    <w:rsid w:val="005A3FE9"/>
    <w:rsid w:val="005A4011"/>
    <w:rsid w:val="005A403F"/>
    <w:rsid w:val="005A4089"/>
    <w:rsid w:val="005A4180"/>
    <w:rsid w:val="005A41AC"/>
    <w:rsid w:val="005A41FB"/>
    <w:rsid w:val="005A4231"/>
    <w:rsid w:val="005A43C0"/>
    <w:rsid w:val="005A4446"/>
    <w:rsid w:val="005A444A"/>
    <w:rsid w:val="005A469A"/>
    <w:rsid w:val="005A4769"/>
    <w:rsid w:val="005A479E"/>
    <w:rsid w:val="005A4845"/>
    <w:rsid w:val="005A48D8"/>
    <w:rsid w:val="005A4963"/>
    <w:rsid w:val="005A49FD"/>
    <w:rsid w:val="005A4A0A"/>
    <w:rsid w:val="005A4A26"/>
    <w:rsid w:val="005A4A35"/>
    <w:rsid w:val="005A4AC1"/>
    <w:rsid w:val="005A4B66"/>
    <w:rsid w:val="005A4CD7"/>
    <w:rsid w:val="005A4D48"/>
    <w:rsid w:val="005A4D50"/>
    <w:rsid w:val="005A4D5E"/>
    <w:rsid w:val="005A4D8E"/>
    <w:rsid w:val="005A4DAC"/>
    <w:rsid w:val="005A4E59"/>
    <w:rsid w:val="005A4F30"/>
    <w:rsid w:val="005A4F6C"/>
    <w:rsid w:val="005A4FCE"/>
    <w:rsid w:val="005A5046"/>
    <w:rsid w:val="005A5092"/>
    <w:rsid w:val="005A50E5"/>
    <w:rsid w:val="005A50FA"/>
    <w:rsid w:val="005A511D"/>
    <w:rsid w:val="005A5126"/>
    <w:rsid w:val="005A5150"/>
    <w:rsid w:val="005A51E5"/>
    <w:rsid w:val="005A526A"/>
    <w:rsid w:val="005A5300"/>
    <w:rsid w:val="005A5386"/>
    <w:rsid w:val="005A539C"/>
    <w:rsid w:val="005A5421"/>
    <w:rsid w:val="005A548B"/>
    <w:rsid w:val="005A57AB"/>
    <w:rsid w:val="005A580F"/>
    <w:rsid w:val="005A584E"/>
    <w:rsid w:val="005A585D"/>
    <w:rsid w:val="005A588E"/>
    <w:rsid w:val="005A58EF"/>
    <w:rsid w:val="005A5982"/>
    <w:rsid w:val="005A59C2"/>
    <w:rsid w:val="005A5A6C"/>
    <w:rsid w:val="005A5AB0"/>
    <w:rsid w:val="005A5B61"/>
    <w:rsid w:val="005A5C44"/>
    <w:rsid w:val="005A5CC5"/>
    <w:rsid w:val="005A5CE9"/>
    <w:rsid w:val="005A5D83"/>
    <w:rsid w:val="005A5D98"/>
    <w:rsid w:val="005A5DC5"/>
    <w:rsid w:val="005A5E05"/>
    <w:rsid w:val="005A61A9"/>
    <w:rsid w:val="005A61BF"/>
    <w:rsid w:val="005A61FE"/>
    <w:rsid w:val="005A62AE"/>
    <w:rsid w:val="005A62F4"/>
    <w:rsid w:val="005A6369"/>
    <w:rsid w:val="005A64A3"/>
    <w:rsid w:val="005A6511"/>
    <w:rsid w:val="005A6560"/>
    <w:rsid w:val="005A6583"/>
    <w:rsid w:val="005A6673"/>
    <w:rsid w:val="005A66E6"/>
    <w:rsid w:val="005A66EC"/>
    <w:rsid w:val="005A6732"/>
    <w:rsid w:val="005A67C2"/>
    <w:rsid w:val="005A6810"/>
    <w:rsid w:val="005A6863"/>
    <w:rsid w:val="005A688B"/>
    <w:rsid w:val="005A68F1"/>
    <w:rsid w:val="005A6A02"/>
    <w:rsid w:val="005A6ADA"/>
    <w:rsid w:val="005A6B3D"/>
    <w:rsid w:val="005A6B66"/>
    <w:rsid w:val="005A6C18"/>
    <w:rsid w:val="005A6C87"/>
    <w:rsid w:val="005A6CDE"/>
    <w:rsid w:val="005A6D0D"/>
    <w:rsid w:val="005A6D89"/>
    <w:rsid w:val="005A6DF9"/>
    <w:rsid w:val="005A6E4B"/>
    <w:rsid w:val="005A6EEB"/>
    <w:rsid w:val="005A6F18"/>
    <w:rsid w:val="005A7026"/>
    <w:rsid w:val="005A7040"/>
    <w:rsid w:val="005A7072"/>
    <w:rsid w:val="005A707C"/>
    <w:rsid w:val="005A7148"/>
    <w:rsid w:val="005A716A"/>
    <w:rsid w:val="005A73D2"/>
    <w:rsid w:val="005A7487"/>
    <w:rsid w:val="005A74B7"/>
    <w:rsid w:val="005A75C9"/>
    <w:rsid w:val="005A7649"/>
    <w:rsid w:val="005A7654"/>
    <w:rsid w:val="005A7750"/>
    <w:rsid w:val="005A77D0"/>
    <w:rsid w:val="005A787E"/>
    <w:rsid w:val="005A793A"/>
    <w:rsid w:val="005A7984"/>
    <w:rsid w:val="005A79DE"/>
    <w:rsid w:val="005A7A1F"/>
    <w:rsid w:val="005A7A43"/>
    <w:rsid w:val="005A7A72"/>
    <w:rsid w:val="005A7C39"/>
    <w:rsid w:val="005A7CB1"/>
    <w:rsid w:val="005A7CB2"/>
    <w:rsid w:val="005A7CBE"/>
    <w:rsid w:val="005A7DB6"/>
    <w:rsid w:val="005A7DDD"/>
    <w:rsid w:val="005A7E6B"/>
    <w:rsid w:val="005A7EA6"/>
    <w:rsid w:val="005A7F01"/>
    <w:rsid w:val="005B0042"/>
    <w:rsid w:val="005B00CF"/>
    <w:rsid w:val="005B017E"/>
    <w:rsid w:val="005B0191"/>
    <w:rsid w:val="005B022F"/>
    <w:rsid w:val="005B0286"/>
    <w:rsid w:val="005B02A1"/>
    <w:rsid w:val="005B02CA"/>
    <w:rsid w:val="005B02FD"/>
    <w:rsid w:val="005B0342"/>
    <w:rsid w:val="005B0343"/>
    <w:rsid w:val="005B0353"/>
    <w:rsid w:val="005B0442"/>
    <w:rsid w:val="005B056D"/>
    <w:rsid w:val="005B05F9"/>
    <w:rsid w:val="005B06A7"/>
    <w:rsid w:val="005B071E"/>
    <w:rsid w:val="005B0758"/>
    <w:rsid w:val="005B0780"/>
    <w:rsid w:val="005B08B6"/>
    <w:rsid w:val="005B08CC"/>
    <w:rsid w:val="005B0916"/>
    <w:rsid w:val="005B0955"/>
    <w:rsid w:val="005B09E8"/>
    <w:rsid w:val="005B09F2"/>
    <w:rsid w:val="005B0A34"/>
    <w:rsid w:val="005B0AE5"/>
    <w:rsid w:val="005B0AFD"/>
    <w:rsid w:val="005B0BCE"/>
    <w:rsid w:val="005B0BE9"/>
    <w:rsid w:val="005B0CFA"/>
    <w:rsid w:val="005B0D4E"/>
    <w:rsid w:val="005B0D50"/>
    <w:rsid w:val="005B0D54"/>
    <w:rsid w:val="005B0D68"/>
    <w:rsid w:val="005B0DA6"/>
    <w:rsid w:val="005B0E28"/>
    <w:rsid w:val="005B0FC8"/>
    <w:rsid w:val="005B107A"/>
    <w:rsid w:val="005B107C"/>
    <w:rsid w:val="005B115A"/>
    <w:rsid w:val="005B1167"/>
    <w:rsid w:val="005B11B5"/>
    <w:rsid w:val="005B1231"/>
    <w:rsid w:val="005B12BF"/>
    <w:rsid w:val="005B133C"/>
    <w:rsid w:val="005B13C3"/>
    <w:rsid w:val="005B13D5"/>
    <w:rsid w:val="005B141D"/>
    <w:rsid w:val="005B1731"/>
    <w:rsid w:val="005B1769"/>
    <w:rsid w:val="005B1852"/>
    <w:rsid w:val="005B187C"/>
    <w:rsid w:val="005B18E1"/>
    <w:rsid w:val="005B192A"/>
    <w:rsid w:val="005B1950"/>
    <w:rsid w:val="005B1997"/>
    <w:rsid w:val="005B19A9"/>
    <w:rsid w:val="005B19D3"/>
    <w:rsid w:val="005B19D6"/>
    <w:rsid w:val="005B1A03"/>
    <w:rsid w:val="005B1A05"/>
    <w:rsid w:val="005B1A88"/>
    <w:rsid w:val="005B1AAE"/>
    <w:rsid w:val="005B1BFE"/>
    <w:rsid w:val="005B1C5F"/>
    <w:rsid w:val="005B1D93"/>
    <w:rsid w:val="005B1E45"/>
    <w:rsid w:val="005B1EE9"/>
    <w:rsid w:val="005B1EF9"/>
    <w:rsid w:val="005B1F2F"/>
    <w:rsid w:val="005B1FF5"/>
    <w:rsid w:val="005B206E"/>
    <w:rsid w:val="005B207E"/>
    <w:rsid w:val="005B2085"/>
    <w:rsid w:val="005B20BB"/>
    <w:rsid w:val="005B20DB"/>
    <w:rsid w:val="005B216E"/>
    <w:rsid w:val="005B22C6"/>
    <w:rsid w:val="005B22F6"/>
    <w:rsid w:val="005B23D0"/>
    <w:rsid w:val="005B2408"/>
    <w:rsid w:val="005B2516"/>
    <w:rsid w:val="005B2559"/>
    <w:rsid w:val="005B2574"/>
    <w:rsid w:val="005B2640"/>
    <w:rsid w:val="005B27BD"/>
    <w:rsid w:val="005B27E4"/>
    <w:rsid w:val="005B27F4"/>
    <w:rsid w:val="005B28A2"/>
    <w:rsid w:val="005B2A64"/>
    <w:rsid w:val="005B2A6C"/>
    <w:rsid w:val="005B2A76"/>
    <w:rsid w:val="005B2AD2"/>
    <w:rsid w:val="005B2B03"/>
    <w:rsid w:val="005B2BA0"/>
    <w:rsid w:val="005B2C2C"/>
    <w:rsid w:val="005B2CA4"/>
    <w:rsid w:val="005B2DB5"/>
    <w:rsid w:val="005B2E10"/>
    <w:rsid w:val="005B2E6B"/>
    <w:rsid w:val="005B2FEF"/>
    <w:rsid w:val="005B3004"/>
    <w:rsid w:val="005B304A"/>
    <w:rsid w:val="005B30B8"/>
    <w:rsid w:val="005B3128"/>
    <w:rsid w:val="005B3164"/>
    <w:rsid w:val="005B316C"/>
    <w:rsid w:val="005B31AD"/>
    <w:rsid w:val="005B31E7"/>
    <w:rsid w:val="005B33D3"/>
    <w:rsid w:val="005B3523"/>
    <w:rsid w:val="005B3584"/>
    <w:rsid w:val="005B358D"/>
    <w:rsid w:val="005B35A5"/>
    <w:rsid w:val="005B35D5"/>
    <w:rsid w:val="005B366A"/>
    <w:rsid w:val="005B36E9"/>
    <w:rsid w:val="005B3735"/>
    <w:rsid w:val="005B374D"/>
    <w:rsid w:val="005B3912"/>
    <w:rsid w:val="005B3A42"/>
    <w:rsid w:val="005B3A9C"/>
    <w:rsid w:val="005B3AFA"/>
    <w:rsid w:val="005B3B4C"/>
    <w:rsid w:val="005B3BB8"/>
    <w:rsid w:val="005B3BE5"/>
    <w:rsid w:val="005B3C91"/>
    <w:rsid w:val="005B3D1E"/>
    <w:rsid w:val="005B3D6D"/>
    <w:rsid w:val="005B3E71"/>
    <w:rsid w:val="005B3F90"/>
    <w:rsid w:val="005B3F97"/>
    <w:rsid w:val="005B4003"/>
    <w:rsid w:val="005B406A"/>
    <w:rsid w:val="005B40E2"/>
    <w:rsid w:val="005B40E4"/>
    <w:rsid w:val="005B4155"/>
    <w:rsid w:val="005B419D"/>
    <w:rsid w:val="005B427C"/>
    <w:rsid w:val="005B432A"/>
    <w:rsid w:val="005B4410"/>
    <w:rsid w:val="005B442A"/>
    <w:rsid w:val="005B44B4"/>
    <w:rsid w:val="005B45A8"/>
    <w:rsid w:val="005B45C4"/>
    <w:rsid w:val="005B45CC"/>
    <w:rsid w:val="005B45F6"/>
    <w:rsid w:val="005B460A"/>
    <w:rsid w:val="005B4627"/>
    <w:rsid w:val="005B4728"/>
    <w:rsid w:val="005B4731"/>
    <w:rsid w:val="005B4808"/>
    <w:rsid w:val="005B4944"/>
    <w:rsid w:val="005B4974"/>
    <w:rsid w:val="005B49AC"/>
    <w:rsid w:val="005B49ED"/>
    <w:rsid w:val="005B4A49"/>
    <w:rsid w:val="005B4BDE"/>
    <w:rsid w:val="005B4BF2"/>
    <w:rsid w:val="005B4C1E"/>
    <w:rsid w:val="005B4C24"/>
    <w:rsid w:val="005B4C70"/>
    <w:rsid w:val="005B4C86"/>
    <w:rsid w:val="005B4D53"/>
    <w:rsid w:val="005B4E42"/>
    <w:rsid w:val="005B4E77"/>
    <w:rsid w:val="005B4EA2"/>
    <w:rsid w:val="005B4EAA"/>
    <w:rsid w:val="005B4FD6"/>
    <w:rsid w:val="005B52BA"/>
    <w:rsid w:val="005B530D"/>
    <w:rsid w:val="005B532A"/>
    <w:rsid w:val="005B5388"/>
    <w:rsid w:val="005B53E4"/>
    <w:rsid w:val="005B53E7"/>
    <w:rsid w:val="005B551D"/>
    <w:rsid w:val="005B559A"/>
    <w:rsid w:val="005B55D0"/>
    <w:rsid w:val="005B5638"/>
    <w:rsid w:val="005B568F"/>
    <w:rsid w:val="005B56F8"/>
    <w:rsid w:val="005B5779"/>
    <w:rsid w:val="005B587A"/>
    <w:rsid w:val="005B59A1"/>
    <w:rsid w:val="005B59F0"/>
    <w:rsid w:val="005B59F7"/>
    <w:rsid w:val="005B59FF"/>
    <w:rsid w:val="005B5A31"/>
    <w:rsid w:val="005B5A6B"/>
    <w:rsid w:val="005B5AA1"/>
    <w:rsid w:val="005B5AD5"/>
    <w:rsid w:val="005B5B9D"/>
    <w:rsid w:val="005B5BFC"/>
    <w:rsid w:val="005B5C0F"/>
    <w:rsid w:val="005B5C46"/>
    <w:rsid w:val="005B5C49"/>
    <w:rsid w:val="005B5C60"/>
    <w:rsid w:val="005B5C7F"/>
    <w:rsid w:val="005B5D69"/>
    <w:rsid w:val="005B5E45"/>
    <w:rsid w:val="005B5EDD"/>
    <w:rsid w:val="005B60D6"/>
    <w:rsid w:val="005B61E7"/>
    <w:rsid w:val="005B6221"/>
    <w:rsid w:val="005B624E"/>
    <w:rsid w:val="005B6252"/>
    <w:rsid w:val="005B62A7"/>
    <w:rsid w:val="005B62D2"/>
    <w:rsid w:val="005B6438"/>
    <w:rsid w:val="005B64E4"/>
    <w:rsid w:val="005B659E"/>
    <w:rsid w:val="005B65B7"/>
    <w:rsid w:val="005B65BC"/>
    <w:rsid w:val="005B6771"/>
    <w:rsid w:val="005B6933"/>
    <w:rsid w:val="005B6955"/>
    <w:rsid w:val="005B69A5"/>
    <w:rsid w:val="005B6A22"/>
    <w:rsid w:val="005B6ABD"/>
    <w:rsid w:val="005B6AD1"/>
    <w:rsid w:val="005B6B15"/>
    <w:rsid w:val="005B6B29"/>
    <w:rsid w:val="005B6C36"/>
    <w:rsid w:val="005B6CDD"/>
    <w:rsid w:val="005B6D22"/>
    <w:rsid w:val="005B6D53"/>
    <w:rsid w:val="005B6E31"/>
    <w:rsid w:val="005B6E39"/>
    <w:rsid w:val="005B6E8F"/>
    <w:rsid w:val="005B6F07"/>
    <w:rsid w:val="005B6F4B"/>
    <w:rsid w:val="005B6F6E"/>
    <w:rsid w:val="005B704C"/>
    <w:rsid w:val="005B70CC"/>
    <w:rsid w:val="005B70DA"/>
    <w:rsid w:val="005B7149"/>
    <w:rsid w:val="005B7152"/>
    <w:rsid w:val="005B716A"/>
    <w:rsid w:val="005B716E"/>
    <w:rsid w:val="005B7265"/>
    <w:rsid w:val="005B727C"/>
    <w:rsid w:val="005B735D"/>
    <w:rsid w:val="005B739C"/>
    <w:rsid w:val="005B73BB"/>
    <w:rsid w:val="005B7446"/>
    <w:rsid w:val="005B7447"/>
    <w:rsid w:val="005B745E"/>
    <w:rsid w:val="005B752D"/>
    <w:rsid w:val="005B7570"/>
    <w:rsid w:val="005B75AA"/>
    <w:rsid w:val="005B75B2"/>
    <w:rsid w:val="005B75B3"/>
    <w:rsid w:val="005B763B"/>
    <w:rsid w:val="005B7692"/>
    <w:rsid w:val="005B7696"/>
    <w:rsid w:val="005B76A7"/>
    <w:rsid w:val="005B76CB"/>
    <w:rsid w:val="005B772D"/>
    <w:rsid w:val="005B785B"/>
    <w:rsid w:val="005B789B"/>
    <w:rsid w:val="005B789F"/>
    <w:rsid w:val="005B78D6"/>
    <w:rsid w:val="005B7912"/>
    <w:rsid w:val="005B7924"/>
    <w:rsid w:val="005B7925"/>
    <w:rsid w:val="005B79BE"/>
    <w:rsid w:val="005B7A52"/>
    <w:rsid w:val="005B7AC3"/>
    <w:rsid w:val="005B7B26"/>
    <w:rsid w:val="005B7B29"/>
    <w:rsid w:val="005B7B39"/>
    <w:rsid w:val="005B7C3F"/>
    <w:rsid w:val="005B7CDF"/>
    <w:rsid w:val="005B7D1F"/>
    <w:rsid w:val="005B7D29"/>
    <w:rsid w:val="005B7DC7"/>
    <w:rsid w:val="005B7F5E"/>
    <w:rsid w:val="005B7F61"/>
    <w:rsid w:val="005C0160"/>
    <w:rsid w:val="005C033F"/>
    <w:rsid w:val="005C038C"/>
    <w:rsid w:val="005C03E5"/>
    <w:rsid w:val="005C0540"/>
    <w:rsid w:val="005C0576"/>
    <w:rsid w:val="005C057D"/>
    <w:rsid w:val="005C0582"/>
    <w:rsid w:val="005C05A7"/>
    <w:rsid w:val="005C05CA"/>
    <w:rsid w:val="005C05CE"/>
    <w:rsid w:val="005C05D5"/>
    <w:rsid w:val="005C05FC"/>
    <w:rsid w:val="005C0639"/>
    <w:rsid w:val="005C0652"/>
    <w:rsid w:val="005C0758"/>
    <w:rsid w:val="005C07A6"/>
    <w:rsid w:val="005C0854"/>
    <w:rsid w:val="005C08F0"/>
    <w:rsid w:val="005C0A29"/>
    <w:rsid w:val="005C0AA4"/>
    <w:rsid w:val="005C0AF2"/>
    <w:rsid w:val="005C0B0E"/>
    <w:rsid w:val="005C0B9C"/>
    <w:rsid w:val="005C0BDE"/>
    <w:rsid w:val="005C0C91"/>
    <w:rsid w:val="005C0DB1"/>
    <w:rsid w:val="005C0DCA"/>
    <w:rsid w:val="005C0DCD"/>
    <w:rsid w:val="005C0E22"/>
    <w:rsid w:val="005C0E3B"/>
    <w:rsid w:val="005C0F89"/>
    <w:rsid w:val="005C115D"/>
    <w:rsid w:val="005C116D"/>
    <w:rsid w:val="005C11AE"/>
    <w:rsid w:val="005C11CB"/>
    <w:rsid w:val="005C120E"/>
    <w:rsid w:val="005C12E6"/>
    <w:rsid w:val="005C1338"/>
    <w:rsid w:val="005C1391"/>
    <w:rsid w:val="005C13A2"/>
    <w:rsid w:val="005C1413"/>
    <w:rsid w:val="005C1577"/>
    <w:rsid w:val="005C15CC"/>
    <w:rsid w:val="005C1738"/>
    <w:rsid w:val="005C18D2"/>
    <w:rsid w:val="005C195C"/>
    <w:rsid w:val="005C1965"/>
    <w:rsid w:val="005C1A00"/>
    <w:rsid w:val="005C1A06"/>
    <w:rsid w:val="005C1A1B"/>
    <w:rsid w:val="005C1A7F"/>
    <w:rsid w:val="005C1ABD"/>
    <w:rsid w:val="005C1ADF"/>
    <w:rsid w:val="005C1B07"/>
    <w:rsid w:val="005C1B74"/>
    <w:rsid w:val="005C1BBE"/>
    <w:rsid w:val="005C1C12"/>
    <w:rsid w:val="005C1D38"/>
    <w:rsid w:val="005C1D9A"/>
    <w:rsid w:val="005C1E24"/>
    <w:rsid w:val="005C1E83"/>
    <w:rsid w:val="005C1F52"/>
    <w:rsid w:val="005C207E"/>
    <w:rsid w:val="005C2148"/>
    <w:rsid w:val="005C2287"/>
    <w:rsid w:val="005C22FE"/>
    <w:rsid w:val="005C233F"/>
    <w:rsid w:val="005C244D"/>
    <w:rsid w:val="005C24FB"/>
    <w:rsid w:val="005C2518"/>
    <w:rsid w:val="005C25BB"/>
    <w:rsid w:val="005C26A2"/>
    <w:rsid w:val="005C2717"/>
    <w:rsid w:val="005C2805"/>
    <w:rsid w:val="005C283F"/>
    <w:rsid w:val="005C28B4"/>
    <w:rsid w:val="005C2924"/>
    <w:rsid w:val="005C293E"/>
    <w:rsid w:val="005C29D8"/>
    <w:rsid w:val="005C2AAE"/>
    <w:rsid w:val="005C2B6B"/>
    <w:rsid w:val="005C2CBC"/>
    <w:rsid w:val="005C2DCB"/>
    <w:rsid w:val="005C2EF1"/>
    <w:rsid w:val="005C2F08"/>
    <w:rsid w:val="005C3019"/>
    <w:rsid w:val="005C3072"/>
    <w:rsid w:val="005C3094"/>
    <w:rsid w:val="005C3100"/>
    <w:rsid w:val="005C3158"/>
    <w:rsid w:val="005C3160"/>
    <w:rsid w:val="005C319D"/>
    <w:rsid w:val="005C31AC"/>
    <w:rsid w:val="005C31E8"/>
    <w:rsid w:val="005C323C"/>
    <w:rsid w:val="005C3267"/>
    <w:rsid w:val="005C32C4"/>
    <w:rsid w:val="005C3372"/>
    <w:rsid w:val="005C33EC"/>
    <w:rsid w:val="005C3418"/>
    <w:rsid w:val="005C3424"/>
    <w:rsid w:val="005C3513"/>
    <w:rsid w:val="005C35BB"/>
    <w:rsid w:val="005C36A0"/>
    <w:rsid w:val="005C36A2"/>
    <w:rsid w:val="005C382F"/>
    <w:rsid w:val="005C387D"/>
    <w:rsid w:val="005C39D4"/>
    <w:rsid w:val="005C3B02"/>
    <w:rsid w:val="005C3B37"/>
    <w:rsid w:val="005C3B58"/>
    <w:rsid w:val="005C3BBA"/>
    <w:rsid w:val="005C3E27"/>
    <w:rsid w:val="005C3E63"/>
    <w:rsid w:val="005C3E7E"/>
    <w:rsid w:val="005C3FB2"/>
    <w:rsid w:val="005C4102"/>
    <w:rsid w:val="005C415D"/>
    <w:rsid w:val="005C41BE"/>
    <w:rsid w:val="005C434F"/>
    <w:rsid w:val="005C4381"/>
    <w:rsid w:val="005C43AC"/>
    <w:rsid w:val="005C44A6"/>
    <w:rsid w:val="005C44D6"/>
    <w:rsid w:val="005C44F7"/>
    <w:rsid w:val="005C4522"/>
    <w:rsid w:val="005C4590"/>
    <w:rsid w:val="005C45A2"/>
    <w:rsid w:val="005C4621"/>
    <w:rsid w:val="005C4674"/>
    <w:rsid w:val="005C468C"/>
    <w:rsid w:val="005C47D7"/>
    <w:rsid w:val="005C47FE"/>
    <w:rsid w:val="005C4863"/>
    <w:rsid w:val="005C492D"/>
    <w:rsid w:val="005C4941"/>
    <w:rsid w:val="005C494B"/>
    <w:rsid w:val="005C49F7"/>
    <w:rsid w:val="005C4AD1"/>
    <w:rsid w:val="005C4B7B"/>
    <w:rsid w:val="005C4BC3"/>
    <w:rsid w:val="005C4C34"/>
    <w:rsid w:val="005C4C5B"/>
    <w:rsid w:val="005C4C89"/>
    <w:rsid w:val="005C4D7C"/>
    <w:rsid w:val="005C4DCA"/>
    <w:rsid w:val="005C4E37"/>
    <w:rsid w:val="005C4E39"/>
    <w:rsid w:val="005C4E86"/>
    <w:rsid w:val="005C4F41"/>
    <w:rsid w:val="005C4FDB"/>
    <w:rsid w:val="005C4FDD"/>
    <w:rsid w:val="005C4FE3"/>
    <w:rsid w:val="005C4FF2"/>
    <w:rsid w:val="005C507F"/>
    <w:rsid w:val="005C5084"/>
    <w:rsid w:val="005C510A"/>
    <w:rsid w:val="005C5110"/>
    <w:rsid w:val="005C5196"/>
    <w:rsid w:val="005C525E"/>
    <w:rsid w:val="005C5272"/>
    <w:rsid w:val="005C5284"/>
    <w:rsid w:val="005C5356"/>
    <w:rsid w:val="005C542E"/>
    <w:rsid w:val="005C5529"/>
    <w:rsid w:val="005C55E7"/>
    <w:rsid w:val="005C55FE"/>
    <w:rsid w:val="005C561C"/>
    <w:rsid w:val="005C5655"/>
    <w:rsid w:val="005C56CF"/>
    <w:rsid w:val="005C586C"/>
    <w:rsid w:val="005C58B7"/>
    <w:rsid w:val="005C58FF"/>
    <w:rsid w:val="005C5925"/>
    <w:rsid w:val="005C5955"/>
    <w:rsid w:val="005C599F"/>
    <w:rsid w:val="005C5A6B"/>
    <w:rsid w:val="005C5AB3"/>
    <w:rsid w:val="005C5BEB"/>
    <w:rsid w:val="005C5C04"/>
    <w:rsid w:val="005C5C49"/>
    <w:rsid w:val="005C5C69"/>
    <w:rsid w:val="005C5C8D"/>
    <w:rsid w:val="005C5C93"/>
    <w:rsid w:val="005C5CE6"/>
    <w:rsid w:val="005C5DB4"/>
    <w:rsid w:val="005C5ED2"/>
    <w:rsid w:val="005C5F25"/>
    <w:rsid w:val="005C5F44"/>
    <w:rsid w:val="005C5FB7"/>
    <w:rsid w:val="005C5FC5"/>
    <w:rsid w:val="005C6081"/>
    <w:rsid w:val="005C60E6"/>
    <w:rsid w:val="005C6150"/>
    <w:rsid w:val="005C621A"/>
    <w:rsid w:val="005C6227"/>
    <w:rsid w:val="005C624D"/>
    <w:rsid w:val="005C6305"/>
    <w:rsid w:val="005C6316"/>
    <w:rsid w:val="005C63DB"/>
    <w:rsid w:val="005C64A3"/>
    <w:rsid w:val="005C64BC"/>
    <w:rsid w:val="005C64D3"/>
    <w:rsid w:val="005C6550"/>
    <w:rsid w:val="005C665D"/>
    <w:rsid w:val="005C66A1"/>
    <w:rsid w:val="005C66E7"/>
    <w:rsid w:val="005C67AA"/>
    <w:rsid w:val="005C67D7"/>
    <w:rsid w:val="005C688C"/>
    <w:rsid w:val="005C689B"/>
    <w:rsid w:val="005C68F3"/>
    <w:rsid w:val="005C6A25"/>
    <w:rsid w:val="005C6B8C"/>
    <w:rsid w:val="005C6BE2"/>
    <w:rsid w:val="005C6C55"/>
    <w:rsid w:val="005C6C84"/>
    <w:rsid w:val="005C6D2C"/>
    <w:rsid w:val="005C6DDB"/>
    <w:rsid w:val="005C6E12"/>
    <w:rsid w:val="005C6F4A"/>
    <w:rsid w:val="005C7015"/>
    <w:rsid w:val="005C7026"/>
    <w:rsid w:val="005C703F"/>
    <w:rsid w:val="005C7047"/>
    <w:rsid w:val="005C71B1"/>
    <w:rsid w:val="005C72EF"/>
    <w:rsid w:val="005C7310"/>
    <w:rsid w:val="005C7325"/>
    <w:rsid w:val="005C732C"/>
    <w:rsid w:val="005C744E"/>
    <w:rsid w:val="005C74F5"/>
    <w:rsid w:val="005C7631"/>
    <w:rsid w:val="005C765B"/>
    <w:rsid w:val="005C769B"/>
    <w:rsid w:val="005C76BC"/>
    <w:rsid w:val="005C76DB"/>
    <w:rsid w:val="005C7744"/>
    <w:rsid w:val="005C7773"/>
    <w:rsid w:val="005C77AE"/>
    <w:rsid w:val="005C77D5"/>
    <w:rsid w:val="005C7802"/>
    <w:rsid w:val="005C7811"/>
    <w:rsid w:val="005C78A5"/>
    <w:rsid w:val="005C7916"/>
    <w:rsid w:val="005C795D"/>
    <w:rsid w:val="005C799C"/>
    <w:rsid w:val="005C7A0A"/>
    <w:rsid w:val="005C7AAC"/>
    <w:rsid w:val="005C7ACC"/>
    <w:rsid w:val="005C7ACF"/>
    <w:rsid w:val="005C7B1A"/>
    <w:rsid w:val="005C7B80"/>
    <w:rsid w:val="005C7C56"/>
    <w:rsid w:val="005C7D56"/>
    <w:rsid w:val="005C7E18"/>
    <w:rsid w:val="005C7E23"/>
    <w:rsid w:val="005C7F82"/>
    <w:rsid w:val="005C7FE8"/>
    <w:rsid w:val="005C7FEB"/>
    <w:rsid w:val="005D016F"/>
    <w:rsid w:val="005D01A9"/>
    <w:rsid w:val="005D01CF"/>
    <w:rsid w:val="005D0249"/>
    <w:rsid w:val="005D0301"/>
    <w:rsid w:val="005D0352"/>
    <w:rsid w:val="005D0382"/>
    <w:rsid w:val="005D0415"/>
    <w:rsid w:val="005D04D6"/>
    <w:rsid w:val="005D069B"/>
    <w:rsid w:val="005D06D1"/>
    <w:rsid w:val="005D0786"/>
    <w:rsid w:val="005D07C8"/>
    <w:rsid w:val="005D0800"/>
    <w:rsid w:val="005D0808"/>
    <w:rsid w:val="005D087C"/>
    <w:rsid w:val="005D0A86"/>
    <w:rsid w:val="005D0AD6"/>
    <w:rsid w:val="005D0B42"/>
    <w:rsid w:val="005D0BE8"/>
    <w:rsid w:val="005D0C2E"/>
    <w:rsid w:val="005D0D19"/>
    <w:rsid w:val="005D0D67"/>
    <w:rsid w:val="005D0D7F"/>
    <w:rsid w:val="005D0DA1"/>
    <w:rsid w:val="005D0DAB"/>
    <w:rsid w:val="005D0E22"/>
    <w:rsid w:val="005D0E73"/>
    <w:rsid w:val="005D0E88"/>
    <w:rsid w:val="005D0F24"/>
    <w:rsid w:val="005D0FB0"/>
    <w:rsid w:val="005D1017"/>
    <w:rsid w:val="005D10A2"/>
    <w:rsid w:val="005D10EB"/>
    <w:rsid w:val="005D11C5"/>
    <w:rsid w:val="005D12A8"/>
    <w:rsid w:val="005D12C4"/>
    <w:rsid w:val="005D1368"/>
    <w:rsid w:val="005D138C"/>
    <w:rsid w:val="005D13A4"/>
    <w:rsid w:val="005D1419"/>
    <w:rsid w:val="005D145A"/>
    <w:rsid w:val="005D1469"/>
    <w:rsid w:val="005D1477"/>
    <w:rsid w:val="005D14DC"/>
    <w:rsid w:val="005D15AD"/>
    <w:rsid w:val="005D15AF"/>
    <w:rsid w:val="005D1663"/>
    <w:rsid w:val="005D1666"/>
    <w:rsid w:val="005D1778"/>
    <w:rsid w:val="005D17AF"/>
    <w:rsid w:val="005D17C4"/>
    <w:rsid w:val="005D1848"/>
    <w:rsid w:val="005D1887"/>
    <w:rsid w:val="005D18FB"/>
    <w:rsid w:val="005D1906"/>
    <w:rsid w:val="005D19B5"/>
    <w:rsid w:val="005D19D1"/>
    <w:rsid w:val="005D19FF"/>
    <w:rsid w:val="005D1A03"/>
    <w:rsid w:val="005D1A07"/>
    <w:rsid w:val="005D1A9E"/>
    <w:rsid w:val="005D1AC1"/>
    <w:rsid w:val="005D1AFA"/>
    <w:rsid w:val="005D1B22"/>
    <w:rsid w:val="005D1B37"/>
    <w:rsid w:val="005D1C0D"/>
    <w:rsid w:val="005D1C5E"/>
    <w:rsid w:val="005D1C6C"/>
    <w:rsid w:val="005D1D96"/>
    <w:rsid w:val="005D1DEE"/>
    <w:rsid w:val="005D1E29"/>
    <w:rsid w:val="005D1E70"/>
    <w:rsid w:val="005D1F11"/>
    <w:rsid w:val="005D1F7B"/>
    <w:rsid w:val="005D1FFB"/>
    <w:rsid w:val="005D202E"/>
    <w:rsid w:val="005D209D"/>
    <w:rsid w:val="005D20E7"/>
    <w:rsid w:val="005D217D"/>
    <w:rsid w:val="005D221E"/>
    <w:rsid w:val="005D2264"/>
    <w:rsid w:val="005D227B"/>
    <w:rsid w:val="005D228A"/>
    <w:rsid w:val="005D22E5"/>
    <w:rsid w:val="005D2316"/>
    <w:rsid w:val="005D237E"/>
    <w:rsid w:val="005D2396"/>
    <w:rsid w:val="005D24CA"/>
    <w:rsid w:val="005D24EA"/>
    <w:rsid w:val="005D2606"/>
    <w:rsid w:val="005D271C"/>
    <w:rsid w:val="005D2744"/>
    <w:rsid w:val="005D279E"/>
    <w:rsid w:val="005D27A2"/>
    <w:rsid w:val="005D27FC"/>
    <w:rsid w:val="005D2821"/>
    <w:rsid w:val="005D2854"/>
    <w:rsid w:val="005D295A"/>
    <w:rsid w:val="005D29CC"/>
    <w:rsid w:val="005D29E5"/>
    <w:rsid w:val="005D29F0"/>
    <w:rsid w:val="005D2AB3"/>
    <w:rsid w:val="005D2AE9"/>
    <w:rsid w:val="005D2AF3"/>
    <w:rsid w:val="005D2B1D"/>
    <w:rsid w:val="005D2B90"/>
    <w:rsid w:val="005D2BA9"/>
    <w:rsid w:val="005D2BEB"/>
    <w:rsid w:val="005D2C6F"/>
    <w:rsid w:val="005D2CE2"/>
    <w:rsid w:val="005D2D42"/>
    <w:rsid w:val="005D2DC2"/>
    <w:rsid w:val="005D2F2B"/>
    <w:rsid w:val="005D2F32"/>
    <w:rsid w:val="005D2F7A"/>
    <w:rsid w:val="005D2F87"/>
    <w:rsid w:val="005D2F8E"/>
    <w:rsid w:val="005D3021"/>
    <w:rsid w:val="005D306A"/>
    <w:rsid w:val="005D3114"/>
    <w:rsid w:val="005D3117"/>
    <w:rsid w:val="005D32B4"/>
    <w:rsid w:val="005D332A"/>
    <w:rsid w:val="005D335A"/>
    <w:rsid w:val="005D342A"/>
    <w:rsid w:val="005D3442"/>
    <w:rsid w:val="005D35E1"/>
    <w:rsid w:val="005D361C"/>
    <w:rsid w:val="005D361D"/>
    <w:rsid w:val="005D3668"/>
    <w:rsid w:val="005D3699"/>
    <w:rsid w:val="005D3708"/>
    <w:rsid w:val="005D3809"/>
    <w:rsid w:val="005D384D"/>
    <w:rsid w:val="005D388B"/>
    <w:rsid w:val="005D3960"/>
    <w:rsid w:val="005D3962"/>
    <w:rsid w:val="005D39D6"/>
    <w:rsid w:val="005D3A4A"/>
    <w:rsid w:val="005D3A90"/>
    <w:rsid w:val="005D3B13"/>
    <w:rsid w:val="005D3B2E"/>
    <w:rsid w:val="005D3BC7"/>
    <w:rsid w:val="005D3C2A"/>
    <w:rsid w:val="005D3CDF"/>
    <w:rsid w:val="005D3CF2"/>
    <w:rsid w:val="005D3D6B"/>
    <w:rsid w:val="005D3E62"/>
    <w:rsid w:val="005D3EA0"/>
    <w:rsid w:val="005D3F04"/>
    <w:rsid w:val="005D3F20"/>
    <w:rsid w:val="005D3F21"/>
    <w:rsid w:val="005D3F40"/>
    <w:rsid w:val="005D3FA0"/>
    <w:rsid w:val="005D3FF7"/>
    <w:rsid w:val="005D3FFB"/>
    <w:rsid w:val="005D41BD"/>
    <w:rsid w:val="005D41CF"/>
    <w:rsid w:val="005D422F"/>
    <w:rsid w:val="005D426D"/>
    <w:rsid w:val="005D4280"/>
    <w:rsid w:val="005D42C5"/>
    <w:rsid w:val="005D433C"/>
    <w:rsid w:val="005D4386"/>
    <w:rsid w:val="005D4388"/>
    <w:rsid w:val="005D4412"/>
    <w:rsid w:val="005D4439"/>
    <w:rsid w:val="005D4458"/>
    <w:rsid w:val="005D44C3"/>
    <w:rsid w:val="005D44CD"/>
    <w:rsid w:val="005D4539"/>
    <w:rsid w:val="005D4549"/>
    <w:rsid w:val="005D45A1"/>
    <w:rsid w:val="005D46FE"/>
    <w:rsid w:val="005D4728"/>
    <w:rsid w:val="005D4863"/>
    <w:rsid w:val="005D48B2"/>
    <w:rsid w:val="005D48C3"/>
    <w:rsid w:val="005D4918"/>
    <w:rsid w:val="005D4969"/>
    <w:rsid w:val="005D4995"/>
    <w:rsid w:val="005D49FB"/>
    <w:rsid w:val="005D4A6B"/>
    <w:rsid w:val="005D4ADE"/>
    <w:rsid w:val="005D4AF0"/>
    <w:rsid w:val="005D4B1E"/>
    <w:rsid w:val="005D4CBA"/>
    <w:rsid w:val="005D4D30"/>
    <w:rsid w:val="005D4E3B"/>
    <w:rsid w:val="005D4ECC"/>
    <w:rsid w:val="005D4F2A"/>
    <w:rsid w:val="005D4F2F"/>
    <w:rsid w:val="005D5031"/>
    <w:rsid w:val="005D50C4"/>
    <w:rsid w:val="005D5169"/>
    <w:rsid w:val="005D51D2"/>
    <w:rsid w:val="005D526E"/>
    <w:rsid w:val="005D5279"/>
    <w:rsid w:val="005D5285"/>
    <w:rsid w:val="005D529C"/>
    <w:rsid w:val="005D52D1"/>
    <w:rsid w:val="005D52D8"/>
    <w:rsid w:val="005D5329"/>
    <w:rsid w:val="005D5342"/>
    <w:rsid w:val="005D5362"/>
    <w:rsid w:val="005D5368"/>
    <w:rsid w:val="005D536D"/>
    <w:rsid w:val="005D53B6"/>
    <w:rsid w:val="005D53D1"/>
    <w:rsid w:val="005D53E3"/>
    <w:rsid w:val="005D541E"/>
    <w:rsid w:val="005D543C"/>
    <w:rsid w:val="005D54B8"/>
    <w:rsid w:val="005D551D"/>
    <w:rsid w:val="005D5576"/>
    <w:rsid w:val="005D5599"/>
    <w:rsid w:val="005D55D4"/>
    <w:rsid w:val="005D55FC"/>
    <w:rsid w:val="005D5646"/>
    <w:rsid w:val="005D56FB"/>
    <w:rsid w:val="005D5700"/>
    <w:rsid w:val="005D57C4"/>
    <w:rsid w:val="005D58DC"/>
    <w:rsid w:val="005D594E"/>
    <w:rsid w:val="005D59E2"/>
    <w:rsid w:val="005D5AD4"/>
    <w:rsid w:val="005D5AF7"/>
    <w:rsid w:val="005D5B72"/>
    <w:rsid w:val="005D5BDB"/>
    <w:rsid w:val="005D5BF3"/>
    <w:rsid w:val="005D5BFF"/>
    <w:rsid w:val="005D5C31"/>
    <w:rsid w:val="005D5CE7"/>
    <w:rsid w:val="005D5D09"/>
    <w:rsid w:val="005D5D31"/>
    <w:rsid w:val="005D5D64"/>
    <w:rsid w:val="005D5F10"/>
    <w:rsid w:val="005D5FA7"/>
    <w:rsid w:val="005D6102"/>
    <w:rsid w:val="005D6179"/>
    <w:rsid w:val="005D6207"/>
    <w:rsid w:val="005D6215"/>
    <w:rsid w:val="005D6268"/>
    <w:rsid w:val="005D62DE"/>
    <w:rsid w:val="005D62F4"/>
    <w:rsid w:val="005D635C"/>
    <w:rsid w:val="005D6491"/>
    <w:rsid w:val="005D64A1"/>
    <w:rsid w:val="005D64CB"/>
    <w:rsid w:val="005D6525"/>
    <w:rsid w:val="005D6528"/>
    <w:rsid w:val="005D6532"/>
    <w:rsid w:val="005D6563"/>
    <w:rsid w:val="005D65AD"/>
    <w:rsid w:val="005D6673"/>
    <w:rsid w:val="005D66D1"/>
    <w:rsid w:val="005D66E0"/>
    <w:rsid w:val="005D6794"/>
    <w:rsid w:val="005D682C"/>
    <w:rsid w:val="005D6954"/>
    <w:rsid w:val="005D69B2"/>
    <w:rsid w:val="005D69D3"/>
    <w:rsid w:val="005D6A23"/>
    <w:rsid w:val="005D6A62"/>
    <w:rsid w:val="005D6AB1"/>
    <w:rsid w:val="005D6B13"/>
    <w:rsid w:val="005D6C67"/>
    <w:rsid w:val="005D6CA1"/>
    <w:rsid w:val="005D6CBA"/>
    <w:rsid w:val="005D6CF8"/>
    <w:rsid w:val="005D6D20"/>
    <w:rsid w:val="005D6DE2"/>
    <w:rsid w:val="005D6ED8"/>
    <w:rsid w:val="005D6EE8"/>
    <w:rsid w:val="005D6EF4"/>
    <w:rsid w:val="005D6F2B"/>
    <w:rsid w:val="005D6FA1"/>
    <w:rsid w:val="005D7064"/>
    <w:rsid w:val="005D716B"/>
    <w:rsid w:val="005D7174"/>
    <w:rsid w:val="005D72C9"/>
    <w:rsid w:val="005D744C"/>
    <w:rsid w:val="005D746E"/>
    <w:rsid w:val="005D753C"/>
    <w:rsid w:val="005D7572"/>
    <w:rsid w:val="005D7577"/>
    <w:rsid w:val="005D7792"/>
    <w:rsid w:val="005D779A"/>
    <w:rsid w:val="005D77B4"/>
    <w:rsid w:val="005D77B9"/>
    <w:rsid w:val="005D7830"/>
    <w:rsid w:val="005D7842"/>
    <w:rsid w:val="005D78D9"/>
    <w:rsid w:val="005D7962"/>
    <w:rsid w:val="005D7ADA"/>
    <w:rsid w:val="005D7B73"/>
    <w:rsid w:val="005D7C11"/>
    <w:rsid w:val="005D7CDF"/>
    <w:rsid w:val="005D7D6B"/>
    <w:rsid w:val="005D7D88"/>
    <w:rsid w:val="005D7D98"/>
    <w:rsid w:val="005D7DE1"/>
    <w:rsid w:val="005D7EC7"/>
    <w:rsid w:val="005D7F1E"/>
    <w:rsid w:val="005D7F27"/>
    <w:rsid w:val="005D7F68"/>
    <w:rsid w:val="005D7FC6"/>
    <w:rsid w:val="005E0067"/>
    <w:rsid w:val="005E0075"/>
    <w:rsid w:val="005E0301"/>
    <w:rsid w:val="005E0306"/>
    <w:rsid w:val="005E0350"/>
    <w:rsid w:val="005E0414"/>
    <w:rsid w:val="005E0434"/>
    <w:rsid w:val="005E045A"/>
    <w:rsid w:val="005E0462"/>
    <w:rsid w:val="005E04C9"/>
    <w:rsid w:val="005E04D5"/>
    <w:rsid w:val="005E0510"/>
    <w:rsid w:val="005E05A3"/>
    <w:rsid w:val="005E05D4"/>
    <w:rsid w:val="005E063A"/>
    <w:rsid w:val="005E0643"/>
    <w:rsid w:val="005E067D"/>
    <w:rsid w:val="005E06D0"/>
    <w:rsid w:val="005E0767"/>
    <w:rsid w:val="005E07B7"/>
    <w:rsid w:val="005E08A1"/>
    <w:rsid w:val="005E08B9"/>
    <w:rsid w:val="005E092C"/>
    <w:rsid w:val="005E0B07"/>
    <w:rsid w:val="005E0B33"/>
    <w:rsid w:val="005E0B4F"/>
    <w:rsid w:val="005E0BA9"/>
    <w:rsid w:val="005E0C76"/>
    <w:rsid w:val="005E0CA0"/>
    <w:rsid w:val="005E0CB2"/>
    <w:rsid w:val="005E0E17"/>
    <w:rsid w:val="005E0E30"/>
    <w:rsid w:val="005E0E3A"/>
    <w:rsid w:val="005E0EF5"/>
    <w:rsid w:val="005E0F2A"/>
    <w:rsid w:val="005E0FC3"/>
    <w:rsid w:val="005E1008"/>
    <w:rsid w:val="005E1150"/>
    <w:rsid w:val="005E11C5"/>
    <w:rsid w:val="005E1305"/>
    <w:rsid w:val="005E131B"/>
    <w:rsid w:val="005E138E"/>
    <w:rsid w:val="005E147B"/>
    <w:rsid w:val="005E1577"/>
    <w:rsid w:val="005E16C7"/>
    <w:rsid w:val="005E1705"/>
    <w:rsid w:val="005E17E7"/>
    <w:rsid w:val="005E1805"/>
    <w:rsid w:val="005E19C0"/>
    <w:rsid w:val="005E19C2"/>
    <w:rsid w:val="005E19E2"/>
    <w:rsid w:val="005E1A2A"/>
    <w:rsid w:val="005E1A48"/>
    <w:rsid w:val="005E1AB1"/>
    <w:rsid w:val="005E1B89"/>
    <w:rsid w:val="005E1B8D"/>
    <w:rsid w:val="005E1CAD"/>
    <w:rsid w:val="005E1CC8"/>
    <w:rsid w:val="005E1D87"/>
    <w:rsid w:val="005E1DA2"/>
    <w:rsid w:val="005E1DC5"/>
    <w:rsid w:val="005E1DE4"/>
    <w:rsid w:val="005E1E29"/>
    <w:rsid w:val="005E1E98"/>
    <w:rsid w:val="005E1F29"/>
    <w:rsid w:val="005E1FB2"/>
    <w:rsid w:val="005E1FBB"/>
    <w:rsid w:val="005E204D"/>
    <w:rsid w:val="005E207C"/>
    <w:rsid w:val="005E2090"/>
    <w:rsid w:val="005E21F8"/>
    <w:rsid w:val="005E2285"/>
    <w:rsid w:val="005E2322"/>
    <w:rsid w:val="005E247B"/>
    <w:rsid w:val="005E24D5"/>
    <w:rsid w:val="005E254B"/>
    <w:rsid w:val="005E2569"/>
    <w:rsid w:val="005E256C"/>
    <w:rsid w:val="005E268E"/>
    <w:rsid w:val="005E2706"/>
    <w:rsid w:val="005E27C4"/>
    <w:rsid w:val="005E27E3"/>
    <w:rsid w:val="005E27EF"/>
    <w:rsid w:val="005E2808"/>
    <w:rsid w:val="005E28B7"/>
    <w:rsid w:val="005E28EE"/>
    <w:rsid w:val="005E2B2B"/>
    <w:rsid w:val="005E2B80"/>
    <w:rsid w:val="005E2C57"/>
    <w:rsid w:val="005E2C7E"/>
    <w:rsid w:val="005E2D02"/>
    <w:rsid w:val="005E2EE3"/>
    <w:rsid w:val="005E2EF1"/>
    <w:rsid w:val="005E2F6D"/>
    <w:rsid w:val="005E30B6"/>
    <w:rsid w:val="005E30FB"/>
    <w:rsid w:val="005E3149"/>
    <w:rsid w:val="005E3192"/>
    <w:rsid w:val="005E31FE"/>
    <w:rsid w:val="005E32D0"/>
    <w:rsid w:val="005E32FE"/>
    <w:rsid w:val="005E33E2"/>
    <w:rsid w:val="005E3468"/>
    <w:rsid w:val="005E34A9"/>
    <w:rsid w:val="005E34BC"/>
    <w:rsid w:val="005E34D6"/>
    <w:rsid w:val="005E350B"/>
    <w:rsid w:val="005E351E"/>
    <w:rsid w:val="005E352C"/>
    <w:rsid w:val="005E35CD"/>
    <w:rsid w:val="005E35D6"/>
    <w:rsid w:val="005E367B"/>
    <w:rsid w:val="005E3688"/>
    <w:rsid w:val="005E36C9"/>
    <w:rsid w:val="005E36F3"/>
    <w:rsid w:val="005E37F2"/>
    <w:rsid w:val="005E3876"/>
    <w:rsid w:val="005E38B6"/>
    <w:rsid w:val="005E3917"/>
    <w:rsid w:val="005E39D8"/>
    <w:rsid w:val="005E39E5"/>
    <w:rsid w:val="005E3A19"/>
    <w:rsid w:val="005E3A74"/>
    <w:rsid w:val="005E3B86"/>
    <w:rsid w:val="005E3C59"/>
    <w:rsid w:val="005E3C86"/>
    <w:rsid w:val="005E3CD1"/>
    <w:rsid w:val="005E3D4B"/>
    <w:rsid w:val="005E3DC4"/>
    <w:rsid w:val="005E3DFB"/>
    <w:rsid w:val="005E3E6E"/>
    <w:rsid w:val="005E3E75"/>
    <w:rsid w:val="005E3E7B"/>
    <w:rsid w:val="005E3F1C"/>
    <w:rsid w:val="005E3F1D"/>
    <w:rsid w:val="005E3FC5"/>
    <w:rsid w:val="005E3FE9"/>
    <w:rsid w:val="005E401B"/>
    <w:rsid w:val="005E4118"/>
    <w:rsid w:val="005E4184"/>
    <w:rsid w:val="005E41A3"/>
    <w:rsid w:val="005E41A4"/>
    <w:rsid w:val="005E4227"/>
    <w:rsid w:val="005E4293"/>
    <w:rsid w:val="005E439B"/>
    <w:rsid w:val="005E43F6"/>
    <w:rsid w:val="005E4403"/>
    <w:rsid w:val="005E4475"/>
    <w:rsid w:val="005E4490"/>
    <w:rsid w:val="005E451D"/>
    <w:rsid w:val="005E4560"/>
    <w:rsid w:val="005E45DE"/>
    <w:rsid w:val="005E460E"/>
    <w:rsid w:val="005E461A"/>
    <w:rsid w:val="005E467B"/>
    <w:rsid w:val="005E4695"/>
    <w:rsid w:val="005E4708"/>
    <w:rsid w:val="005E4747"/>
    <w:rsid w:val="005E4758"/>
    <w:rsid w:val="005E481F"/>
    <w:rsid w:val="005E4825"/>
    <w:rsid w:val="005E4908"/>
    <w:rsid w:val="005E4A4C"/>
    <w:rsid w:val="005E4AA2"/>
    <w:rsid w:val="005E4B10"/>
    <w:rsid w:val="005E4C55"/>
    <w:rsid w:val="005E4C9E"/>
    <w:rsid w:val="005E4CA8"/>
    <w:rsid w:val="005E4CC3"/>
    <w:rsid w:val="005E4CD5"/>
    <w:rsid w:val="005E4CED"/>
    <w:rsid w:val="005E4D11"/>
    <w:rsid w:val="005E4E60"/>
    <w:rsid w:val="005E4E9D"/>
    <w:rsid w:val="005E4F26"/>
    <w:rsid w:val="005E4FEB"/>
    <w:rsid w:val="005E5008"/>
    <w:rsid w:val="005E505D"/>
    <w:rsid w:val="005E5101"/>
    <w:rsid w:val="005E5153"/>
    <w:rsid w:val="005E51B1"/>
    <w:rsid w:val="005E51CB"/>
    <w:rsid w:val="005E51DF"/>
    <w:rsid w:val="005E5228"/>
    <w:rsid w:val="005E5238"/>
    <w:rsid w:val="005E52A5"/>
    <w:rsid w:val="005E52F1"/>
    <w:rsid w:val="005E5328"/>
    <w:rsid w:val="005E548B"/>
    <w:rsid w:val="005E54A2"/>
    <w:rsid w:val="005E5521"/>
    <w:rsid w:val="005E55B0"/>
    <w:rsid w:val="005E560D"/>
    <w:rsid w:val="005E5625"/>
    <w:rsid w:val="005E56AA"/>
    <w:rsid w:val="005E57AD"/>
    <w:rsid w:val="005E581B"/>
    <w:rsid w:val="005E586D"/>
    <w:rsid w:val="005E58A2"/>
    <w:rsid w:val="005E58C3"/>
    <w:rsid w:val="005E58D2"/>
    <w:rsid w:val="005E58EA"/>
    <w:rsid w:val="005E5905"/>
    <w:rsid w:val="005E5931"/>
    <w:rsid w:val="005E594B"/>
    <w:rsid w:val="005E5A5D"/>
    <w:rsid w:val="005E5A76"/>
    <w:rsid w:val="005E5AD7"/>
    <w:rsid w:val="005E5C39"/>
    <w:rsid w:val="005E5E8C"/>
    <w:rsid w:val="005E5EAE"/>
    <w:rsid w:val="005E5F58"/>
    <w:rsid w:val="005E6046"/>
    <w:rsid w:val="005E60FF"/>
    <w:rsid w:val="005E6226"/>
    <w:rsid w:val="005E6262"/>
    <w:rsid w:val="005E6311"/>
    <w:rsid w:val="005E6322"/>
    <w:rsid w:val="005E6350"/>
    <w:rsid w:val="005E64F6"/>
    <w:rsid w:val="005E6533"/>
    <w:rsid w:val="005E6662"/>
    <w:rsid w:val="005E6765"/>
    <w:rsid w:val="005E67B4"/>
    <w:rsid w:val="005E67D3"/>
    <w:rsid w:val="005E6841"/>
    <w:rsid w:val="005E6874"/>
    <w:rsid w:val="005E68C0"/>
    <w:rsid w:val="005E68DF"/>
    <w:rsid w:val="005E68EC"/>
    <w:rsid w:val="005E6948"/>
    <w:rsid w:val="005E696A"/>
    <w:rsid w:val="005E69C8"/>
    <w:rsid w:val="005E69E2"/>
    <w:rsid w:val="005E6B02"/>
    <w:rsid w:val="005E6B3B"/>
    <w:rsid w:val="005E6B59"/>
    <w:rsid w:val="005E6BAB"/>
    <w:rsid w:val="005E6D7B"/>
    <w:rsid w:val="005E6DAC"/>
    <w:rsid w:val="005E6DB3"/>
    <w:rsid w:val="005E6E4C"/>
    <w:rsid w:val="005E6E6A"/>
    <w:rsid w:val="005E6E6D"/>
    <w:rsid w:val="005E6E93"/>
    <w:rsid w:val="005E6F3A"/>
    <w:rsid w:val="005E6FAD"/>
    <w:rsid w:val="005E7014"/>
    <w:rsid w:val="005E7030"/>
    <w:rsid w:val="005E7184"/>
    <w:rsid w:val="005E7190"/>
    <w:rsid w:val="005E71EF"/>
    <w:rsid w:val="005E72A3"/>
    <w:rsid w:val="005E7316"/>
    <w:rsid w:val="005E732D"/>
    <w:rsid w:val="005E73AB"/>
    <w:rsid w:val="005E73EF"/>
    <w:rsid w:val="005E75A3"/>
    <w:rsid w:val="005E75C1"/>
    <w:rsid w:val="005E7601"/>
    <w:rsid w:val="005E7697"/>
    <w:rsid w:val="005E7776"/>
    <w:rsid w:val="005E777F"/>
    <w:rsid w:val="005E7798"/>
    <w:rsid w:val="005E7AA9"/>
    <w:rsid w:val="005E7B10"/>
    <w:rsid w:val="005E7B47"/>
    <w:rsid w:val="005E7D5E"/>
    <w:rsid w:val="005E7D97"/>
    <w:rsid w:val="005E7E29"/>
    <w:rsid w:val="005E7E99"/>
    <w:rsid w:val="005E7EE4"/>
    <w:rsid w:val="005E7F84"/>
    <w:rsid w:val="005E7FAC"/>
    <w:rsid w:val="005E7FC6"/>
    <w:rsid w:val="005E7FD4"/>
    <w:rsid w:val="005F000C"/>
    <w:rsid w:val="005F000F"/>
    <w:rsid w:val="005F0033"/>
    <w:rsid w:val="005F0063"/>
    <w:rsid w:val="005F0066"/>
    <w:rsid w:val="005F00A9"/>
    <w:rsid w:val="005F00DA"/>
    <w:rsid w:val="005F0149"/>
    <w:rsid w:val="005F01C3"/>
    <w:rsid w:val="005F02F3"/>
    <w:rsid w:val="005F0301"/>
    <w:rsid w:val="005F037C"/>
    <w:rsid w:val="005F03E7"/>
    <w:rsid w:val="005F0405"/>
    <w:rsid w:val="005F0407"/>
    <w:rsid w:val="005F047E"/>
    <w:rsid w:val="005F04CE"/>
    <w:rsid w:val="005F04DD"/>
    <w:rsid w:val="005F0501"/>
    <w:rsid w:val="005F0535"/>
    <w:rsid w:val="005F05C8"/>
    <w:rsid w:val="005F05F4"/>
    <w:rsid w:val="005F069E"/>
    <w:rsid w:val="005F07D1"/>
    <w:rsid w:val="005F096C"/>
    <w:rsid w:val="005F0B00"/>
    <w:rsid w:val="005F0B0A"/>
    <w:rsid w:val="005F0B53"/>
    <w:rsid w:val="005F0BA9"/>
    <w:rsid w:val="005F0BAE"/>
    <w:rsid w:val="005F0C6B"/>
    <w:rsid w:val="005F0D7A"/>
    <w:rsid w:val="005F0D8E"/>
    <w:rsid w:val="005F0DB8"/>
    <w:rsid w:val="005F0E41"/>
    <w:rsid w:val="005F0F78"/>
    <w:rsid w:val="005F0FA2"/>
    <w:rsid w:val="005F0FF2"/>
    <w:rsid w:val="005F1049"/>
    <w:rsid w:val="005F112F"/>
    <w:rsid w:val="005F128E"/>
    <w:rsid w:val="005F12B8"/>
    <w:rsid w:val="005F12D6"/>
    <w:rsid w:val="005F1397"/>
    <w:rsid w:val="005F13B0"/>
    <w:rsid w:val="005F146F"/>
    <w:rsid w:val="005F1494"/>
    <w:rsid w:val="005F14E8"/>
    <w:rsid w:val="005F14FD"/>
    <w:rsid w:val="005F1519"/>
    <w:rsid w:val="005F1566"/>
    <w:rsid w:val="005F158C"/>
    <w:rsid w:val="005F15A4"/>
    <w:rsid w:val="005F15A5"/>
    <w:rsid w:val="005F15CB"/>
    <w:rsid w:val="005F1717"/>
    <w:rsid w:val="005F17A0"/>
    <w:rsid w:val="005F17CE"/>
    <w:rsid w:val="005F17FF"/>
    <w:rsid w:val="005F1918"/>
    <w:rsid w:val="005F1949"/>
    <w:rsid w:val="005F19E5"/>
    <w:rsid w:val="005F1A52"/>
    <w:rsid w:val="005F1A6C"/>
    <w:rsid w:val="005F1ACF"/>
    <w:rsid w:val="005F1B52"/>
    <w:rsid w:val="005F1B7C"/>
    <w:rsid w:val="005F1BD2"/>
    <w:rsid w:val="005F1C03"/>
    <w:rsid w:val="005F1C50"/>
    <w:rsid w:val="005F1D33"/>
    <w:rsid w:val="005F1D6A"/>
    <w:rsid w:val="005F1EF8"/>
    <w:rsid w:val="005F1F4D"/>
    <w:rsid w:val="005F1F5F"/>
    <w:rsid w:val="005F1F6B"/>
    <w:rsid w:val="005F1FC3"/>
    <w:rsid w:val="005F1FD7"/>
    <w:rsid w:val="005F1FDF"/>
    <w:rsid w:val="005F1FE9"/>
    <w:rsid w:val="005F2105"/>
    <w:rsid w:val="005F2213"/>
    <w:rsid w:val="005F224C"/>
    <w:rsid w:val="005F22A8"/>
    <w:rsid w:val="005F22F6"/>
    <w:rsid w:val="005F2332"/>
    <w:rsid w:val="005F253F"/>
    <w:rsid w:val="005F2601"/>
    <w:rsid w:val="005F2652"/>
    <w:rsid w:val="005F2747"/>
    <w:rsid w:val="005F2779"/>
    <w:rsid w:val="005F28FF"/>
    <w:rsid w:val="005F29DB"/>
    <w:rsid w:val="005F29E6"/>
    <w:rsid w:val="005F2A3C"/>
    <w:rsid w:val="005F2A76"/>
    <w:rsid w:val="005F2A92"/>
    <w:rsid w:val="005F2C50"/>
    <w:rsid w:val="005F2CC5"/>
    <w:rsid w:val="005F2CEB"/>
    <w:rsid w:val="005F2D72"/>
    <w:rsid w:val="005F2DFF"/>
    <w:rsid w:val="005F2E2F"/>
    <w:rsid w:val="005F2E98"/>
    <w:rsid w:val="005F2FFD"/>
    <w:rsid w:val="005F3192"/>
    <w:rsid w:val="005F31DB"/>
    <w:rsid w:val="005F322B"/>
    <w:rsid w:val="005F32B5"/>
    <w:rsid w:val="005F3347"/>
    <w:rsid w:val="005F33A9"/>
    <w:rsid w:val="005F33E0"/>
    <w:rsid w:val="005F340C"/>
    <w:rsid w:val="005F341B"/>
    <w:rsid w:val="005F3524"/>
    <w:rsid w:val="005F3534"/>
    <w:rsid w:val="005F3656"/>
    <w:rsid w:val="005F36F1"/>
    <w:rsid w:val="005F3708"/>
    <w:rsid w:val="005F39E8"/>
    <w:rsid w:val="005F3A9D"/>
    <w:rsid w:val="005F3B28"/>
    <w:rsid w:val="005F3B9E"/>
    <w:rsid w:val="005F3BC6"/>
    <w:rsid w:val="005F3C16"/>
    <w:rsid w:val="005F3C49"/>
    <w:rsid w:val="005F3C4D"/>
    <w:rsid w:val="005F3C72"/>
    <w:rsid w:val="005F3CE2"/>
    <w:rsid w:val="005F3CEB"/>
    <w:rsid w:val="005F3D2F"/>
    <w:rsid w:val="005F3D69"/>
    <w:rsid w:val="005F3D89"/>
    <w:rsid w:val="005F3E14"/>
    <w:rsid w:val="005F3E40"/>
    <w:rsid w:val="005F3E64"/>
    <w:rsid w:val="005F3FCD"/>
    <w:rsid w:val="005F407D"/>
    <w:rsid w:val="005F4086"/>
    <w:rsid w:val="005F40C1"/>
    <w:rsid w:val="005F4126"/>
    <w:rsid w:val="005F4171"/>
    <w:rsid w:val="005F41A6"/>
    <w:rsid w:val="005F41DD"/>
    <w:rsid w:val="005F4212"/>
    <w:rsid w:val="005F4251"/>
    <w:rsid w:val="005F4270"/>
    <w:rsid w:val="005F42D4"/>
    <w:rsid w:val="005F431C"/>
    <w:rsid w:val="005F4401"/>
    <w:rsid w:val="005F4461"/>
    <w:rsid w:val="005F4487"/>
    <w:rsid w:val="005F44A1"/>
    <w:rsid w:val="005F44B1"/>
    <w:rsid w:val="005F44DF"/>
    <w:rsid w:val="005F4541"/>
    <w:rsid w:val="005F457A"/>
    <w:rsid w:val="005F4833"/>
    <w:rsid w:val="005F4863"/>
    <w:rsid w:val="005F487B"/>
    <w:rsid w:val="005F492D"/>
    <w:rsid w:val="005F49C4"/>
    <w:rsid w:val="005F4B55"/>
    <w:rsid w:val="005F4B62"/>
    <w:rsid w:val="005F4C34"/>
    <w:rsid w:val="005F4C38"/>
    <w:rsid w:val="005F4C45"/>
    <w:rsid w:val="005F4CF8"/>
    <w:rsid w:val="005F4D39"/>
    <w:rsid w:val="005F4D74"/>
    <w:rsid w:val="005F4D91"/>
    <w:rsid w:val="005F4DBB"/>
    <w:rsid w:val="005F5025"/>
    <w:rsid w:val="005F5073"/>
    <w:rsid w:val="005F5075"/>
    <w:rsid w:val="005F5157"/>
    <w:rsid w:val="005F51A9"/>
    <w:rsid w:val="005F5221"/>
    <w:rsid w:val="005F5257"/>
    <w:rsid w:val="005F529F"/>
    <w:rsid w:val="005F52B6"/>
    <w:rsid w:val="005F52F0"/>
    <w:rsid w:val="005F5332"/>
    <w:rsid w:val="005F54B5"/>
    <w:rsid w:val="005F55E5"/>
    <w:rsid w:val="005F561C"/>
    <w:rsid w:val="005F5625"/>
    <w:rsid w:val="005F5662"/>
    <w:rsid w:val="005F56FA"/>
    <w:rsid w:val="005F575D"/>
    <w:rsid w:val="005F57AB"/>
    <w:rsid w:val="005F57F2"/>
    <w:rsid w:val="005F5825"/>
    <w:rsid w:val="005F5835"/>
    <w:rsid w:val="005F5859"/>
    <w:rsid w:val="005F5873"/>
    <w:rsid w:val="005F595F"/>
    <w:rsid w:val="005F598D"/>
    <w:rsid w:val="005F59E6"/>
    <w:rsid w:val="005F5A28"/>
    <w:rsid w:val="005F5B1D"/>
    <w:rsid w:val="005F5B39"/>
    <w:rsid w:val="005F5BA3"/>
    <w:rsid w:val="005F5BC1"/>
    <w:rsid w:val="005F5BFA"/>
    <w:rsid w:val="005F5C4D"/>
    <w:rsid w:val="005F5CBF"/>
    <w:rsid w:val="005F5CEB"/>
    <w:rsid w:val="005F5CFA"/>
    <w:rsid w:val="005F5CFF"/>
    <w:rsid w:val="005F5D9D"/>
    <w:rsid w:val="005F5E65"/>
    <w:rsid w:val="005F5E80"/>
    <w:rsid w:val="005F5EA1"/>
    <w:rsid w:val="005F5FC8"/>
    <w:rsid w:val="005F60E4"/>
    <w:rsid w:val="005F6100"/>
    <w:rsid w:val="005F619E"/>
    <w:rsid w:val="005F6265"/>
    <w:rsid w:val="005F6301"/>
    <w:rsid w:val="005F63C7"/>
    <w:rsid w:val="005F63F4"/>
    <w:rsid w:val="005F6482"/>
    <w:rsid w:val="005F648D"/>
    <w:rsid w:val="005F64D3"/>
    <w:rsid w:val="005F6594"/>
    <w:rsid w:val="005F661B"/>
    <w:rsid w:val="005F663C"/>
    <w:rsid w:val="005F664F"/>
    <w:rsid w:val="005F66A9"/>
    <w:rsid w:val="005F66EF"/>
    <w:rsid w:val="005F67D1"/>
    <w:rsid w:val="005F67F5"/>
    <w:rsid w:val="005F67FC"/>
    <w:rsid w:val="005F6801"/>
    <w:rsid w:val="005F683E"/>
    <w:rsid w:val="005F684A"/>
    <w:rsid w:val="005F6877"/>
    <w:rsid w:val="005F69B1"/>
    <w:rsid w:val="005F69D2"/>
    <w:rsid w:val="005F69FF"/>
    <w:rsid w:val="005F6A40"/>
    <w:rsid w:val="005F6AD3"/>
    <w:rsid w:val="005F6B26"/>
    <w:rsid w:val="005F6BAB"/>
    <w:rsid w:val="005F6BAF"/>
    <w:rsid w:val="005F6BCE"/>
    <w:rsid w:val="005F6C32"/>
    <w:rsid w:val="005F6CF3"/>
    <w:rsid w:val="005F6D0A"/>
    <w:rsid w:val="005F6D32"/>
    <w:rsid w:val="005F6E07"/>
    <w:rsid w:val="005F6E49"/>
    <w:rsid w:val="005F6E94"/>
    <w:rsid w:val="005F6EBC"/>
    <w:rsid w:val="005F6F78"/>
    <w:rsid w:val="005F6FDD"/>
    <w:rsid w:val="005F6FF5"/>
    <w:rsid w:val="005F702B"/>
    <w:rsid w:val="005F70E2"/>
    <w:rsid w:val="005F7148"/>
    <w:rsid w:val="005F714C"/>
    <w:rsid w:val="005F7166"/>
    <w:rsid w:val="005F723D"/>
    <w:rsid w:val="005F72AF"/>
    <w:rsid w:val="005F730C"/>
    <w:rsid w:val="005F7385"/>
    <w:rsid w:val="005F7386"/>
    <w:rsid w:val="005F744F"/>
    <w:rsid w:val="005F751B"/>
    <w:rsid w:val="005F7549"/>
    <w:rsid w:val="005F754B"/>
    <w:rsid w:val="005F75CE"/>
    <w:rsid w:val="005F75D7"/>
    <w:rsid w:val="005F7601"/>
    <w:rsid w:val="005F760F"/>
    <w:rsid w:val="005F767B"/>
    <w:rsid w:val="005F768B"/>
    <w:rsid w:val="005F768E"/>
    <w:rsid w:val="005F76B6"/>
    <w:rsid w:val="005F76EC"/>
    <w:rsid w:val="005F7740"/>
    <w:rsid w:val="005F7896"/>
    <w:rsid w:val="005F794E"/>
    <w:rsid w:val="005F79E3"/>
    <w:rsid w:val="005F7B1E"/>
    <w:rsid w:val="005F7B30"/>
    <w:rsid w:val="005F7B6B"/>
    <w:rsid w:val="005F7B87"/>
    <w:rsid w:val="005F7BF6"/>
    <w:rsid w:val="005F7C33"/>
    <w:rsid w:val="005F7C52"/>
    <w:rsid w:val="005F7C69"/>
    <w:rsid w:val="005F7C90"/>
    <w:rsid w:val="005F7CAB"/>
    <w:rsid w:val="005F7D6C"/>
    <w:rsid w:val="005F7E2B"/>
    <w:rsid w:val="005F7E92"/>
    <w:rsid w:val="005F7F28"/>
    <w:rsid w:val="005F7F52"/>
    <w:rsid w:val="006000C7"/>
    <w:rsid w:val="0060010B"/>
    <w:rsid w:val="00600139"/>
    <w:rsid w:val="006001AE"/>
    <w:rsid w:val="006001B6"/>
    <w:rsid w:val="006001E6"/>
    <w:rsid w:val="00600279"/>
    <w:rsid w:val="00600297"/>
    <w:rsid w:val="006002A4"/>
    <w:rsid w:val="006002A9"/>
    <w:rsid w:val="006002BF"/>
    <w:rsid w:val="006002F5"/>
    <w:rsid w:val="0060033E"/>
    <w:rsid w:val="0060035C"/>
    <w:rsid w:val="006003D3"/>
    <w:rsid w:val="006003E9"/>
    <w:rsid w:val="00600428"/>
    <w:rsid w:val="00600448"/>
    <w:rsid w:val="006004AB"/>
    <w:rsid w:val="006004C8"/>
    <w:rsid w:val="0060056E"/>
    <w:rsid w:val="006005BE"/>
    <w:rsid w:val="006005EF"/>
    <w:rsid w:val="00600648"/>
    <w:rsid w:val="00600762"/>
    <w:rsid w:val="0060079A"/>
    <w:rsid w:val="006008AB"/>
    <w:rsid w:val="0060092A"/>
    <w:rsid w:val="006009BF"/>
    <w:rsid w:val="00600AAD"/>
    <w:rsid w:val="00600B2E"/>
    <w:rsid w:val="00600BDA"/>
    <w:rsid w:val="00600C3F"/>
    <w:rsid w:val="00600CC5"/>
    <w:rsid w:val="00600CD6"/>
    <w:rsid w:val="00600DA1"/>
    <w:rsid w:val="00600DD9"/>
    <w:rsid w:val="00600F37"/>
    <w:rsid w:val="00600F3A"/>
    <w:rsid w:val="00600FC0"/>
    <w:rsid w:val="00600FCE"/>
    <w:rsid w:val="00600FE5"/>
    <w:rsid w:val="00600FE7"/>
    <w:rsid w:val="00601014"/>
    <w:rsid w:val="00601085"/>
    <w:rsid w:val="00601156"/>
    <w:rsid w:val="00601173"/>
    <w:rsid w:val="006011A7"/>
    <w:rsid w:val="006011E4"/>
    <w:rsid w:val="006011F0"/>
    <w:rsid w:val="0060124A"/>
    <w:rsid w:val="0060127B"/>
    <w:rsid w:val="006012B5"/>
    <w:rsid w:val="006012DB"/>
    <w:rsid w:val="006012DD"/>
    <w:rsid w:val="006012E0"/>
    <w:rsid w:val="006012FA"/>
    <w:rsid w:val="00601429"/>
    <w:rsid w:val="00601479"/>
    <w:rsid w:val="006014CC"/>
    <w:rsid w:val="0060163C"/>
    <w:rsid w:val="006016E6"/>
    <w:rsid w:val="006016EF"/>
    <w:rsid w:val="0060172D"/>
    <w:rsid w:val="006017B7"/>
    <w:rsid w:val="006017B9"/>
    <w:rsid w:val="00601882"/>
    <w:rsid w:val="006018AE"/>
    <w:rsid w:val="006018F5"/>
    <w:rsid w:val="00601902"/>
    <w:rsid w:val="006019E6"/>
    <w:rsid w:val="00601AF0"/>
    <w:rsid w:val="00601B43"/>
    <w:rsid w:val="00601B58"/>
    <w:rsid w:val="00601C39"/>
    <w:rsid w:val="00601CF2"/>
    <w:rsid w:val="00601E83"/>
    <w:rsid w:val="00601F1E"/>
    <w:rsid w:val="00601F33"/>
    <w:rsid w:val="00601F44"/>
    <w:rsid w:val="00601FD9"/>
    <w:rsid w:val="00601FDB"/>
    <w:rsid w:val="006021B7"/>
    <w:rsid w:val="006021FF"/>
    <w:rsid w:val="00602226"/>
    <w:rsid w:val="0060224E"/>
    <w:rsid w:val="00602290"/>
    <w:rsid w:val="00602298"/>
    <w:rsid w:val="006023E3"/>
    <w:rsid w:val="0060243A"/>
    <w:rsid w:val="006024EE"/>
    <w:rsid w:val="0060251C"/>
    <w:rsid w:val="0060254E"/>
    <w:rsid w:val="0060259D"/>
    <w:rsid w:val="00602626"/>
    <w:rsid w:val="00602743"/>
    <w:rsid w:val="006027A7"/>
    <w:rsid w:val="006027E2"/>
    <w:rsid w:val="0060284B"/>
    <w:rsid w:val="00602A3B"/>
    <w:rsid w:val="00602A85"/>
    <w:rsid w:val="00602BD2"/>
    <w:rsid w:val="00602BEE"/>
    <w:rsid w:val="00602C99"/>
    <w:rsid w:val="00602EE7"/>
    <w:rsid w:val="00602F2F"/>
    <w:rsid w:val="00602F37"/>
    <w:rsid w:val="00602F46"/>
    <w:rsid w:val="00602F83"/>
    <w:rsid w:val="00602FF9"/>
    <w:rsid w:val="00603031"/>
    <w:rsid w:val="00603302"/>
    <w:rsid w:val="00603404"/>
    <w:rsid w:val="00603433"/>
    <w:rsid w:val="00603543"/>
    <w:rsid w:val="00603558"/>
    <w:rsid w:val="006035FE"/>
    <w:rsid w:val="00603622"/>
    <w:rsid w:val="00603728"/>
    <w:rsid w:val="00603751"/>
    <w:rsid w:val="0060378A"/>
    <w:rsid w:val="00603800"/>
    <w:rsid w:val="0060380B"/>
    <w:rsid w:val="00603821"/>
    <w:rsid w:val="00603862"/>
    <w:rsid w:val="0060393E"/>
    <w:rsid w:val="00603963"/>
    <w:rsid w:val="00603A31"/>
    <w:rsid w:val="00603A64"/>
    <w:rsid w:val="00603ABF"/>
    <w:rsid w:val="00603B82"/>
    <w:rsid w:val="00603BCE"/>
    <w:rsid w:val="00603BEE"/>
    <w:rsid w:val="00603C8D"/>
    <w:rsid w:val="00603D30"/>
    <w:rsid w:val="00603DA5"/>
    <w:rsid w:val="00603E4A"/>
    <w:rsid w:val="00603E99"/>
    <w:rsid w:val="00603F8B"/>
    <w:rsid w:val="00604032"/>
    <w:rsid w:val="00604098"/>
    <w:rsid w:val="006040D4"/>
    <w:rsid w:val="00604211"/>
    <w:rsid w:val="00604227"/>
    <w:rsid w:val="00604280"/>
    <w:rsid w:val="0060432C"/>
    <w:rsid w:val="0060438B"/>
    <w:rsid w:val="006043A5"/>
    <w:rsid w:val="00604471"/>
    <w:rsid w:val="0060448B"/>
    <w:rsid w:val="006044A2"/>
    <w:rsid w:val="006044CC"/>
    <w:rsid w:val="006044DD"/>
    <w:rsid w:val="0060453F"/>
    <w:rsid w:val="006045EB"/>
    <w:rsid w:val="00604652"/>
    <w:rsid w:val="00604677"/>
    <w:rsid w:val="006047E8"/>
    <w:rsid w:val="0060480E"/>
    <w:rsid w:val="00604876"/>
    <w:rsid w:val="006048D5"/>
    <w:rsid w:val="006048F8"/>
    <w:rsid w:val="00604947"/>
    <w:rsid w:val="00604989"/>
    <w:rsid w:val="0060498B"/>
    <w:rsid w:val="00604995"/>
    <w:rsid w:val="00604A4F"/>
    <w:rsid w:val="00604A71"/>
    <w:rsid w:val="00604B46"/>
    <w:rsid w:val="00604C6E"/>
    <w:rsid w:val="00604CA9"/>
    <w:rsid w:val="00604D6F"/>
    <w:rsid w:val="00604D7F"/>
    <w:rsid w:val="00604E12"/>
    <w:rsid w:val="00604E64"/>
    <w:rsid w:val="00604EC3"/>
    <w:rsid w:val="00604ED2"/>
    <w:rsid w:val="00604F7A"/>
    <w:rsid w:val="00604F90"/>
    <w:rsid w:val="0060505F"/>
    <w:rsid w:val="00605164"/>
    <w:rsid w:val="006051D2"/>
    <w:rsid w:val="00605229"/>
    <w:rsid w:val="00605286"/>
    <w:rsid w:val="00605312"/>
    <w:rsid w:val="006053B1"/>
    <w:rsid w:val="006053CE"/>
    <w:rsid w:val="0060540D"/>
    <w:rsid w:val="006054EA"/>
    <w:rsid w:val="0060554F"/>
    <w:rsid w:val="006056EC"/>
    <w:rsid w:val="006056EF"/>
    <w:rsid w:val="006058D1"/>
    <w:rsid w:val="006059AE"/>
    <w:rsid w:val="006059B1"/>
    <w:rsid w:val="00605A99"/>
    <w:rsid w:val="00605AD0"/>
    <w:rsid w:val="00605AE4"/>
    <w:rsid w:val="00605BFF"/>
    <w:rsid w:val="00605C11"/>
    <w:rsid w:val="00605EE7"/>
    <w:rsid w:val="00605F8E"/>
    <w:rsid w:val="00605FB9"/>
    <w:rsid w:val="006060BB"/>
    <w:rsid w:val="006060D1"/>
    <w:rsid w:val="006060E6"/>
    <w:rsid w:val="00606156"/>
    <w:rsid w:val="00606297"/>
    <w:rsid w:val="006062A3"/>
    <w:rsid w:val="0060632B"/>
    <w:rsid w:val="0060633A"/>
    <w:rsid w:val="006063BE"/>
    <w:rsid w:val="006063DC"/>
    <w:rsid w:val="0060658A"/>
    <w:rsid w:val="00606662"/>
    <w:rsid w:val="006066CC"/>
    <w:rsid w:val="0060672C"/>
    <w:rsid w:val="0060672E"/>
    <w:rsid w:val="00606736"/>
    <w:rsid w:val="00606748"/>
    <w:rsid w:val="00606751"/>
    <w:rsid w:val="00606763"/>
    <w:rsid w:val="00606774"/>
    <w:rsid w:val="0060677C"/>
    <w:rsid w:val="00606846"/>
    <w:rsid w:val="006068A9"/>
    <w:rsid w:val="0060693A"/>
    <w:rsid w:val="00606941"/>
    <w:rsid w:val="006069C3"/>
    <w:rsid w:val="00606AA3"/>
    <w:rsid w:val="00606B4A"/>
    <w:rsid w:val="00606B57"/>
    <w:rsid w:val="00606B5D"/>
    <w:rsid w:val="00606BE0"/>
    <w:rsid w:val="00606BFC"/>
    <w:rsid w:val="00606C54"/>
    <w:rsid w:val="00606C9A"/>
    <w:rsid w:val="00606D41"/>
    <w:rsid w:val="00606DC4"/>
    <w:rsid w:val="00606DF8"/>
    <w:rsid w:val="00606E35"/>
    <w:rsid w:val="00606E81"/>
    <w:rsid w:val="00606EBE"/>
    <w:rsid w:val="00606EDD"/>
    <w:rsid w:val="00606F3E"/>
    <w:rsid w:val="00606F44"/>
    <w:rsid w:val="00606F66"/>
    <w:rsid w:val="00606F8D"/>
    <w:rsid w:val="0060707E"/>
    <w:rsid w:val="006071F7"/>
    <w:rsid w:val="00607298"/>
    <w:rsid w:val="006072A5"/>
    <w:rsid w:val="006072A9"/>
    <w:rsid w:val="006072B4"/>
    <w:rsid w:val="00607310"/>
    <w:rsid w:val="00607341"/>
    <w:rsid w:val="006074AD"/>
    <w:rsid w:val="0060756E"/>
    <w:rsid w:val="00607591"/>
    <w:rsid w:val="006075F7"/>
    <w:rsid w:val="00607623"/>
    <w:rsid w:val="00607675"/>
    <w:rsid w:val="00607722"/>
    <w:rsid w:val="00607749"/>
    <w:rsid w:val="006077F5"/>
    <w:rsid w:val="006078A2"/>
    <w:rsid w:val="006078D6"/>
    <w:rsid w:val="00607978"/>
    <w:rsid w:val="00607983"/>
    <w:rsid w:val="00607A6A"/>
    <w:rsid w:val="00607ACD"/>
    <w:rsid w:val="00607AE5"/>
    <w:rsid w:val="00607B44"/>
    <w:rsid w:val="00607B74"/>
    <w:rsid w:val="00607B82"/>
    <w:rsid w:val="00607B91"/>
    <w:rsid w:val="00607B94"/>
    <w:rsid w:val="00607BE5"/>
    <w:rsid w:val="00607C7A"/>
    <w:rsid w:val="00607D30"/>
    <w:rsid w:val="00607D4C"/>
    <w:rsid w:val="00607D8F"/>
    <w:rsid w:val="00607DB6"/>
    <w:rsid w:val="00607F20"/>
    <w:rsid w:val="00607F23"/>
    <w:rsid w:val="00607F8D"/>
    <w:rsid w:val="00607FE2"/>
    <w:rsid w:val="00607FF2"/>
    <w:rsid w:val="00610030"/>
    <w:rsid w:val="00610085"/>
    <w:rsid w:val="00610109"/>
    <w:rsid w:val="00610114"/>
    <w:rsid w:val="00610175"/>
    <w:rsid w:val="00610247"/>
    <w:rsid w:val="00610277"/>
    <w:rsid w:val="0061027B"/>
    <w:rsid w:val="006103F7"/>
    <w:rsid w:val="0061040A"/>
    <w:rsid w:val="0061043B"/>
    <w:rsid w:val="00610447"/>
    <w:rsid w:val="0061048E"/>
    <w:rsid w:val="006104A3"/>
    <w:rsid w:val="00610510"/>
    <w:rsid w:val="00610581"/>
    <w:rsid w:val="006105C6"/>
    <w:rsid w:val="006105C8"/>
    <w:rsid w:val="006105D3"/>
    <w:rsid w:val="006105F9"/>
    <w:rsid w:val="006106A2"/>
    <w:rsid w:val="00610710"/>
    <w:rsid w:val="00610780"/>
    <w:rsid w:val="00610798"/>
    <w:rsid w:val="006107DC"/>
    <w:rsid w:val="006107F0"/>
    <w:rsid w:val="006108B1"/>
    <w:rsid w:val="006108BC"/>
    <w:rsid w:val="0061098D"/>
    <w:rsid w:val="006109BF"/>
    <w:rsid w:val="006109E6"/>
    <w:rsid w:val="006109F1"/>
    <w:rsid w:val="006109FF"/>
    <w:rsid w:val="00610B58"/>
    <w:rsid w:val="00610B63"/>
    <w:rsid w:val="00610BD5"/>
    <w:rsid w:val="00610C62"/>
    <w:rsid w:val="00610CFC"/>
    <w:rsid w:val="00610D0A"/>
    <w:rsid w:val="00610D44"/>
    <w:rsid w:val="00610EEE"/>
    <w:rsid w:val="00610FB1"/>
    <w:rsid w:val="00611040"/>
    <w:rsid w:val="006110B7"/>
    <w:rsid w:val="006110BA"/>
    <w:rsid w:val="00611133"/>
    <w:rsid w:val="0061123B"/>
    <w:rsid w:val="006112AA"/>
    <w:rsid w:val="006112F7"/>
    <w:rsid w:val="0061136D"/>
    <w:rsid w:val="006113FC"/>
    <w:rsid w:val="006114CD"/>
    <w:rsid w:val="00611509"/>
    <w:rsid w:val="0061154D"/>
    <w:rsid w:val="006115EB"/>
    <w:rsid w:val="0061173F"/>
    <w:rsid w:val="00611740"/>
    <w:rsid w:val="006117C5"/>
    <w:rsid w:val="006117E6"/>
    <w:rsid w:val="006117E8"/>
    <w:rsid w:val="00611837"/>
    <w:rsid w:val="0061184D"/>
    <w:rsid w:val="00611872"/>
    <w:rsid w:val="00611882"/>
    <w:rsid w:val="00611898"/>
    <w:rsid w:val="006118B4"/>
    <w:rsid w:val="00611A4F"/>
    <w:rsid w:val="00611B73"/>
    <w:rsid w:val="00611B7C"/>
    <w:rsid w:val="00611B8D"/>
    <w:rsid w:val="00611C17"/>
    <w:rsid w:val="00611C5A"/>
    <w:rsid w:val="00611DAE"/>
    <w:rsid w:val="00611DBF"/>
    <w:rsid w:val="00611DE1"/>
    <w:rsid w:val="00611E03"/>
    <w:rsid w:val="00611F54"/>
    <w:rsid w:val="00611FA3"/>
    <w:rsid w:val="00611FB3"/>
    <w:rsid w:val="006120A7"/>
    <w:rsid w:val="006121E5"/>
    <w:rsid w:val="00612256"/>
    <w:rsid w:val="0061229A"/>
    <w:rsid w:val="00612331"/>
    <w:rsid w:val="006123BF"/>
    <w:rsid w:val="006123D1"/>
    <w:rsid w:val="006123D5"/>
    <w:rsid w:val="00612454"/>
    <w:rsid w:val="00612456"/>
    <w:rsid w:val="0061255A"/>
    <w:rsid w:val="00612595"/>
    <w:rsid w:val="006125DB"/>
    <w:rsid w:val="0061267E"/>
    <w:rsid w:val="006126F6"/>
    <w:rsid w:val="00612709"/>
    <w:rsid w:val="00612757"/>
    <w:rsid w:val="0061275C"/>
    <w:rsid w:val="00612800"/>
    <w:rsid w:val="006128BD"/>
    <w:rsid w:val="006129BA"/>
    <w:rsid w:val="006129F5"/>
    <w:rsid w:val="00612A0A"/>
    <w:rsid w:val="00612A23"/>
    <w:rsid w:val="00612A35"/>
    <w:rsid w:val="00612B13"/>
    <w:rsid w:val="00612E55"/>
    <w:rsid w:val="00612E76"/>
    <w:rsid w:val="00612EC2"/>
    <w:rsid w:val="00612EC7"/>
    <w:rsid w:val="00612F7B"/>
    <w:rsid w:val="006130FD"/>
    <w:rsid w:val="00613130"/>
    <w:rsid w:val="006131FF"/>
    <w:rsid w:val="00613213"/>
    <w:rsid w:val="006132C3"/>
    <w:rsid w:val="0061333A"/>
    <w:rsid w:val="0061336D"/>
    <w:rsid w:val="006133A9"/>
    <w:rsid w:val="006133B3"/>
    <w:rsid w:val="00613505"/>
    <w:rsid w:val="00613519"/>
    <w:rsid w:val="00613571"/>
    <w:rsid w:val="006135DB"/>
    <w:rsid w:val="00613655"/>
    <w:rsid w:val="00613659"/>
    <w:rsid w:val="00613710"/>
    <w:rsid w:val="0061372B"/>
    <w:rsid w:val="00613740"/>
    <w:rsid w:val="00613767"/>
    <w:rsid w:val="00613882"/>
    <w:rsid w:val="006138D6"/>
    <w:rsid w:val="006139A3"/>
    <w:rsid w:val="00613B61"/>
    <w:rsid w:val="00613C02"/>
    <w:rsid w:val="00613C6F"/>
    <w:rsid w:val="00613C9E"/>
    <w:rsid w:val="00613D0A"/>
    <w:rsid w:val="00613F3A"/>
    <w:rsid w:val="00613FB6"/>
    <w:rsid w:val="00613FD1"/>
    <w:rsid w:val="00613FEC"/>
    <w:rsid w:val="006140E0"/>
    <w:rsid w:val="0061413C"/>
    <w:rsid w:val="00614167"/>
    <w:rsid w:val="0061416E"/>
    <w:rsid w:val="006141AE"/>
    <w:rsid w:val="006141D0"/>
    <w:rsid w:val="006143DC"/>
    <w:rsid w:val="006144A4"/>
    <w:rsid w:val="006144DD"/>
    <w:rsid w:val="00614531"/>
    <w:rsid w:val="00614720"/>
    <w:rsid w:val="0061472B"/>
    <w:rsid w:val="006148EB"/>
    <w:rsid w:val="00614A29"/>
    <w:rsid w:val="00614A74"/>
    <w:rsid w:val="00614A83"/>
    <w:rsid w:val="00614AA1"/>
    <w:rsid w:val="00614B12"/>
    <w:rsid w:val="00614B19"/>
    <w:rsid w:val="00614B38"/>
    <w:rsid w:val="00614B42"/>
    <w:rsid w:val="00614B51"/>
    <w:rsid w:val="00614C4B"/>
    <w:rsid w:val="00614C9E"/>
    <w:rsid w:val="00614D67"/>
    <w:rsid w:val="00614DA9"/>
    <w:rsid w:val="00614DFE"/>
    <w:rsid w:val="00614E1E"/>
    <w:rsid w:val="00614F24"/>
    <w:rsid w:val="006150DB"/>
    <w:rsid w:val="00615108"/>
    <w:rsid w:val="006151C0"/>
    <w:rsid w:val="00615305"/>
    <w:rsid w:val="0061535C"/>
    <w:rsid w:val="00615481"/>
    <w:rsid w:val="006154CC"/>
    <w:rsid w:val="00615584"/>
    <w:rsid w:val="006155C8"/>
    <w:rsid w:val="006155ED"/>
    <w:rsid w:val="0061568A"/>
    <w:rsid w:val="006156BD"/>
    <w:rsid w:val="00615704"/>
    <w:rsid w:val="00615773"/>
    <w:rsid w:val="006157A0"/>
    <w:rsid w:val="006157E0"/>
    <w:rsid w:val="006157E5"/>
    <w:rsid w:val="006157FA"/>
    <w:rsid w:val="006158B0"/>
    <w:rsid w:val="006158DB"/>
    <w:rsid w:val="006159C0"/>
    <w:rsid w:val="00615A05"/>
    <w:rsid w:val="00615A3E"/>
    <w:rsid w:val="00615B3A"/>
    <w:rsid w:val="00615BBF"/>
    <w:rsid w:val="00615C02"/>
    <w:rsid w:val="00615C88"/>
    <w:rsid w:val="00615D60"/>
    <w:rsid w:val="00615D8C"/>
    <w:rsid w:val="00615DCB"/>
    <w:rsid w:val="00615E5C"/>
    <w:rsid w:val="00615F87"/>
    <w:rsid w:val="00615FB8"/>
    <w:rsid w:val="00615FC0"/>
    <w:rsid w:val="00616001"/>
    <w:rsid w:val="006160C6"/>
    <w:rsid w:val="00616120"/>
    <w:rsid w:val="00616123"/>
    <w:rsid w:val="006161E7"/>
    <w:rsid w:val="006161F5"/>
    <w:rsid w:val="006161F9"/>
    <w:rsid w:val="006163B7"/>
    <w:rsid w:val="006163E9"/>
    <w:rsid w:val="0061649B"/>
    <w:rsid w:val="006164C6"/>
    <w:rsid w:val="00616508"/>
    <w:rsid w:val="0061658C"/>
    <w:rsid w:val="006165A3"/>
    <w:rsid w:val="00616625"/>
    <w:rsid w:val="006166E8"/>
    <w:rsid w:val="0061671B"/>
    <w:rsid w:val="00616847"/>
    <w:rsid w:val="00616866"/>
    <w:rsid w:val="006168CE"/>
    <w:rsid w:val="0061692A"/>
    <w:rsid w:val="0061694E"/>
    <w:rsid w:val="00616A36"/>
    <w:rsid w:val="00616A74"/>
    <w:rsid w:val="00616AAE"/>
    <w:rsid w:val="00616B5C"/>
    <w:rsid w:val="00616C0B"/>
    <w:rsid w:val="00616C2A"/>
    <w:rsid w:val="00616D15"/>
    <w:rsid w:val="00616D19"/>
    <w:rsid w:val="00616D8A"/>
    <w:rsid w:val="00616DA4"/>
    <w:rsid w:val="00616DC5"/>
    <w:rsid w:val="00616DDC"/>
    <w:rsid w:val="00616E15"/>
    <w:rsid w:val="00616E62"/>
    <w:rsid w:val="00616EA8"/>
    <w:rsid w:val="00616EBE"/>
    <w:rsid w:val="00616F66"/>
    <w:rsid w:val="00616F74"/>
    <w:rsid w:val="00617042"/>
    <w:rsid w:val="00617068"/>
    <w:rsid w:val="006170D0"/>
    <w:rsid w:val="0061710F"/>
    <w:rsid w:val="00617174"/>
    <w:rsid w:val="006171B9"/>
    <w:rsid w:val="0061721D"/>
    <w:rsid w:val="0061739F"/>
    <w:rsid w:val="006174BA"/>
    <w:rsid w:val="00617653"/>
    <w:rsid w:val="006176E8"/>
    <w:rsid w:val="00617704"/>
    <w:rsid w:val="0061779E"/>
    <w:rsid w:val="006177D4"/>
    <w:rsid w:val="00617881"/>
    <w:rsid w:val="006178BF"/>
    <w:rsid w:val="0061794B"/>
    <w:rsid w:val="0061798C"/>
    <w:rsid w:val="0061798D"/>
    <w:rsid w:val="00617A18"/>
    <w:rsid w:val="00617A3C"/>
    <w:rsid w:val="00617B0E"/>
    <w:rsid w:val="00617D0E"/>
    <w:rsid w:val="00617D27"/>
    <w:rsid w:val="00617D59"/>
    <w:rsid w:val="00617D6D"/>
    <w:rsid w:val="00617E1C"/>
    <w:rsid w:val="00617E75"/>
    <w:rsid w:val="00617E7A"/>
    <w:rsid w:val="00617F2C"/>
    <w:rsid w:val="00617F2D"/>
    <w:rsid w:val="00617F7E"/>
    <w:rsid w:val="00617FC8"/>
    <w:rsid w:val="00617FDE"/>
    <w:rsid w:val="00620114"/>
    <w:rsid w:val="006201D3"/>
    <w:rsid w:val="006202CE"/>
    <w:rsid w:val="006202E9"/>
    <w:rsid w:val="006202F3"/>
    <w:rsid w:val="00620353"/>
    <w:rsid w:val="00620354"/>
    <w:rsid w:val="00620389"/>
    <w:rsid w:val="006203A4"/>
    <w:rsid w:val="00620434"/>
    <w:rsid w:val="0062058B"/>
    <w:rsid w:val="006205A8"/>
    <w:rsid w:val="00620615"/>
    <w:rsid w:val="0062063D"/>
    <w:rsid w:val="0062074C"/>
    <w:rsid w:val="00620783"/>
    <w:rsid w:val="006208C6"/>
    <w:rsid w:val="006209AA"/>
    <w:rsid w:val="00620A06"/>
    <w:rsid w:val="00620AD8"/>
    <w:rsid w:val="00620ADF"/>
    <w:rsid w:val="00620B19"/>
    <w:rsid w:val="00620B49"/>
    <w:rsid w:val="00620BCE"/>
    <w:rsid w:val="00620C36"/>
    <w:rsid w:val="00620CF2"/>
    <w:rsid w:val="00620D20"/>
    <w:rsid w:val="00620D2A"/>
    <w:rsid w:val="00620E8B"/>
    <w:rsid w:val="00620EAF"/>
    <w:rsid w:val="00620EE0"/>
    <w:rsid w:val="00620F53"/>
    <w:rsid w:val="00620F93"/>
    <w:rsid w:val="00620F97"/>
    <w:rsid w:val="006210BA"/>
    <w:rsid w:val="006210CA"/>
    <w:rsid w:val="00621104"/>
    <w:rsid w:val="006211DE"/>
    <w:rsid w:val="006211F0"/>
    <w:rsid w:val="00621241"/>
    <w:rsid w:val="006212EC"/>
    <w:rsid w:val="006212EF"/>
    <w:rsid w:val="006212F9"/>
    <w:rsid w:val="00621310"/>
    <w:rsid w:val="00621329"/>
    <w:rsid w:val="00621370"/>
    <w:rsid w:val="006213E1"/>
    <w:rsid w:val="00621407"/>
    <w:rsid w:val="00621417"/>
    <w:rsid w:val="00621425"/>
    <w:rsid w:val="0062146B"/>
    <w:rsid w:val="0062155C"/>
    <w:rsid w:val="006215EF"/>
    <w:rsid w:val="00621624"/>
    <w:rsid w:val="00621659"/>
    <w:rsid w:val="006217C7"/>
    <w:rsid w:val="00621813"/>
    <w:rsid w:val="00621824"/>
    <w:rsid w:val="006218A2"/>
    <w:rsid w:val="006219A4"/>
    <w:rsid w:val="006219D5"/>
    <w:rsid w:val="00621A02"/>
    <w:rsid w:val="00621A40"/>
    <w:rsid w:val="00621B24"/>
    <w:rsid w:val="00621BA7"/>
    <w:rsid w:val="00621BDA"/>
    <w:rsid w:val="00621C39"/>
    <w:rsid w:val="00621D41"/>
    <w:rsid w:val="00621DBA"/>
    <w:rsid w:val="00621DE2"/>
    <w:rsid w:val="00621E5E"/>
    <w:rsid w:val="00621E6C"/>
    <w:rsid w:val="00621EEE"/>
    <w:rsid w:val="0062200C"/>
    <w:rsid w:val="00622112"/>
    <w:rsid w:val="006223A7"/>
    <w:rsid w:val="00622476"/>
    <w:rsid w:val="0062247A"/>
    <w:rsid w:val="0062249A"/>
    <w:rsid w:val="006224BF"/>
    <w:rsid w:val="006224F7"/>
    <w:rsid w:val="00622673"/>
    <w:rsid w:val="006226AB"/>
    <w:rsid w:val="006227D2"/>
    <w:rsid w:val="00622825"/>
    <w:rsid w:val="0062290F"/>
    <w:rsid w:val="006229E0"/>
    <w:rsid w:val="00622B63"/>
    <w:rsid w:val="00622B7E"/>
    <w:rsid w:val="00622BA0"/>
    <w:rsid w:val="00622BB7"/>
    <w:rsid w:val="00622BC5"/>
    <w:rsid w:val="00622BC9"/>
    <w:rsid w:val="00622CE8"/>
    <w:rsid w:val="00622D37"/>
    <w:rsid w:val="00622E6E"/>
    <w:rsid w:val="00622FB3"/>
    <w:rsid w:val="00622FBF"/>
    <w:rsid w:val="00623059"/>
    <w:rsid w:val="0062317B"/>
    <w:rsid w:val="00623228"/>
    <w:rsid w:val="0062332C"/>
    <w:rsid w:val="006233AD"/>
    <w:rsid w:val="006233F9"/>
    <w:rsid w:val="00623412"/>
    <w:rsid w:val="006234DB"/>
    <w:rsid w:val="006234EC"/>
    <w:rsid w:val="006234FD"/>
    <w:rsid w:val="006235E5"/>
    <w:rsid w:val="00623608"/>
    <w:rsid w:val="0062363E"/>
    <w:rsid w:val="0062365E"/>
    <w:rsid w:val="0062367C"/>
    <w:rsid w:val="006236D1"/>
    <w:rsid w:val="00623716"/>
    <w:rsid w:val="00623758"/>
    <w:rsid w:val="006237CA"/>
    <w:rsid w:val="006237F2"/>
    <w:rsid w:val="006239FE"/>
    <w:rsid w:val="00623A37"/>
    <w:rsid w:val="00623A94"/>
    <w:rsid w:val="00623B89"/>
    <w:rsid w:val="00623C0D"/>
    <w:rsid w:val="00623C81"/>
    <w:rsid w:val="00623D16"/>
    <w:rsid w:val="00623D7B"/>
    <w:rsid w:val="00623DAC"/>
    <w:rsid w:val="00623DF0"/>
    <w:rsid w:val="00623E4B"/>
    <w:rsid w:val="00623E77"/>
    <w:rsid w:val="00623E7D"/>
    <w:rsid w:val="00623F3F"/>
    <w:rsid w:val="00623F5A"/>
    <w:rsid w:val="00623F61"/>
    <w:rsid w:val="00624045"/>
    <w:rsid w:val="006240C2"/>
    <w:rsid w:val="00624128"/>
    <w:rsid w:val="00624166"/>
    <w:rsid w:val="006241BA"/>
    <w:rsid w:val="0062421C"/>
    <w:rsid w:val="0062427E"/>
    <w:rsid w:val="006242F2"/>
    <w:rsid w:val="00624380"/>
    <w:rsid w:val="0062441F"/>
    <w:rsid w:val="0062443E"/>
    <w:rsid w:val="00624474"/>
    <w:rsid w:val="00624487"/>
    <w:rsid w:val="00624645"/>
    <w:rsid w:val="0062469C"/>
    <w:rsid w:val="00624737"/>
    <w:rsid w:val="00624747"/>
    <w:rsid w:val="00624790"/>
    <w:rsid w:val="0062482E"/>
    <w:rsid w:val="006248C7"/>
    <w:rsid w:val="0062492D"/>
    <w:rsid w:val="00624A2D"/>
    <w:rsid w:val="00624A52"/>
    <w:rsid w:val="00624AED"/>
    <w:rsid w:val="00624B2B"/>
    <w:rsid w:val="00624B48"/>
    <w:rsid w:val="00624B9F"/>
    <w:rsid w:val="00624C4D"/>
    <w:rsid w:val="00624D9F"/>
    <w:rsid w:val="00624DAD"/>
    <w:rsid w:val="00624DCE"/>
    <w:rsid w:val="00624E6A"/>
    <w:rsid w:val="00624EA1"/>
    <w:rsid w:val="00624F07"/>
    <w:rsid w:val="00624FFF"/>
    <w:rsid w:val="00625090"/>
    <w:rsid w:val="006250C3"/>
    <w:rsid w:val="006251A3"/>
    <w:rsid w:val="0062545A"/>
    <w:rsid w:val="006254A2"/>
    <w:rsid w:val="006254A5"/>
    <w:rsid w:val="00625512"/>
    <w:rsid w:val="00625524"/>
    <w:rsid w:val="00625552"/>
    <w:rsid w:val="00625584"/>
    <w:rsid w:val="00625587"/>
    <w:rsid w:val="006255E5"/>
    <w:rsid w:val="006255FC"/>
    <w:rsid w:val="00625614"/>
    <w:rsid w:val="006256FB"/>
    <w:rsid w:val="006256FE"/>
    <w:rsid w:val="0062581A"/>
    <w:rsid w:val="00625889"/>
    <w:rsid w:val="006258B6"/>
    <w:rsid w:val="006258BC"/>
    <w:rsid w:val="00625908"/>
    <w:rsid w:val="0062592A"/>
    <w:rsid w:val="00625969"/>
    <w:rsid w:val="00625999"/>
    <w:rsid w:val="006259B4"/>
    <w:rsid w:val="006259D7"/>
    <w:rsid w:val="006259E6"/>
    <w:rsid w:val="00625A0F"/>
    <w:rsid w:val="00625AC4"/>
    <w:rsid w:val="00625B6F"/>
    <w:rsid w:val="00625BF0"/>
    <w:rsid w:val="00625C7C"/>
    <w:rsid w:val="00625C9F"/>
    <w:rsid w:val="00625CDB"/>
    <w:rsid w:val="00625DCB"/>
    <w:rsid w:val="00625E16"/>
    <w:rsid w:val="00625EEC"/>
    <w:rsid w:val="00625F7B"/>
    <w:rsid w:val="00625FD3"/>
    <w:rsid w:val="00626034"/>
    <w:rsid w:val="00626212"/>
    <w:rsid w:val="006262CC"/>
    <w:rsid w:val="0062643A"/>
    <w:rsid w:val="00626449"/>
    <w:rsid w:val="006264DA"/>
    <w:rsid w:val="0062661B"/>
    <w:rsid w:val="00626745"/>
    <w:rsid w:val="00626764"/>
    <w:rsid w:val="006267C9"/>
    <w:rsid w:val="00626838"/>
    <w:rsid w:val="0062684E"/>
    <w:rsid w:val="00626876"/>
    <w:rsid w:val="00626A00"/>
    <w:rsid w:val="00626A66"/>
    <w:rsid w:val="00626A6F"/>
    <w:rsid w:val="00626A8C"/>
    <w:rsid w:val="00626ADA"/>
    <w:rsid w:val="00626B32"/>
    <w:rsid w:val="00626C90"/>
    <w:rsid w:val="00626CFE"/>
    <w:rsid w:val="00626E4B"/>
    <w:rsid w:val="00626E76"/>
    <w:rsid w:val="00626EB2"/>
    <w:rsid w:val="00626EB9"/>
    <w:rsid w:val="00626EF2"/>
    <w:rsid w:val="00626F26"/>
    <w:rsid w:val="00627009"/>
    <w:rsid w:val="00627227"/>
    <w:rsid w:val="00627270"/>
    <w:rsid w:val="006272C4"/>
    <w:rsid w:val="00627628"/>
    <w:rsid w:val="00627668"/>
    <w:rsid w:val="0062776B"/>
    <w:rsid w:val="006277AB"/>
    <w:rsid w:val="006277E1"/>
    <w:rsid w:val="006278B5"/>
    <w:rsid w:val="00627979"/>
    <w:rsid w:val="006279B0"/>
    <w:rsid w:val="00627BBB"/>
    <w:rsid w:val="00627CEB"/>
    <w:rsid w:val="00627D06"/>
    <w:rsid w:val="00627D3E"/>
    <w:rsid w:val="00627D57"/>
    <w:rsid w:val="00627DB1"/>
    <w:rsid w:val="00627DD0"/>
    <w:rsid w:val="00627E4A"/>
    <w:rsid w:val="00627E6C"/>
    <w:rsid w:val="00627E89"/>
    <w:rsid w:val="00627E9F"/>
    <w:rsid w:val="00627EB9"/>
    <w:rsid w:val="00627F5C"/>
    <w:rsid w:val="00627FC8"/>
    <w:rsid w:val="00630004"/>
    <w:rsid w:val="0063006D"/>
    <w:rsid w:val="0063014F"/>
    <w:rsid w:val="006301F0"/>
    <w:rsid w:val="0063027F"/>
    <w:rsid w:val="0063037D"/>
    <w:rsid w:val="006303BD"/>
    <w:rsid w:val="0063042B"/>
    <w:rsid w:val="00630444"/>
    <w:rsid w:val="00630526"/>
    <w:rsid w:val="00630550"/>
    <w:rsid w:val="00630571"/>
    <w:rsid w:val="006305FD"/>
    <w:rsid w:val="0063061E"/>
    <w:rsid w:val="00630649"/>
    <w:rsid w:val="00630669"/>
    <w:rsid w:val="0063073B"/>
    <w:rsid w:val="00630751"/>
    <w:rsid w:val="0063076E"/>
    <w:rsid w:val="0063079A"/>
    <w:rsid w:val="00630827"/>
    <w:rsid w:val="00630894"/>
    <w:rsid w:val="006308C3"/>
    <w:rsid w:val="006308D3"/>
    <w:rsid w:val="00630938"/>
    <w:rsid w:val="006309DB"/>
    <w:rsid w:val="006309F0"/>
    <w:rsid w:val="00630A3F"/>
    <w:rsid w:val="00630B41"/>
    <w:rsid w:val="00630C29"/>
    <w:rsid w:val="00630D2C"/>
    <w:rsid w:val="00630D3C"/>
    <w:rsid w:val="00630DE8"/>
    <w:rsid w:val="00630E85"/>
    <w:rsid w:val="00630E9B"/>
    <w:rsid w:val="00630EB4"/>
    <w:rsid w:val="00630EDB"/>
    <w:rsid w:val="00630F91"/>
    <w:rsid w:val="00630F9D"/>
    <w:rsid w:val="00630FAE"/>
    <w:rsid w:val="00630FDC"/>
    <w:rsid w:val="00631019"/>
    <w:rsid w:val="00631095"/>
    <w:rsid w:val="006310B4"/>
    <w:rsid w:val="0063114B"/>
    <w:rsid w:val="0063118F"/>
    <w:rsid w:val="00631191"/>
    <w:rsid w:val="00631212"/>
    <w:rsid w:val="006312DC"/>
    <w:rsid w:val="0063148B"/>
    <w:rsid w:val="00631650"/>
    <w:rsid w:val="00631698"/>
    <w:rsid w:val="006316DF"/>
    <w:rsid w:val="006316F6"/>
    <w:rsid w:val="00631851"/>
    <w:rsid w:val="00631941"/>
    <w:rsid w:val="00631950"/>
    <w:rsid w:val="00631B32"/>
    <w:rsid w:val="00631B4A"/>
    <w:rsid w:val="00631B79"/>
    <w:rsid w:val="00631BC8"/>
    <w:rsid w:val="00631BD9"/>
    <w:rsid w:val="00631C2C"/>
    <w:rsid w:val="00631EAF"/>
    <w:rsid w:val="00631F03"/>
    <w:rsid w:val="00631F38"/>
    <w:rsid w:val="00631F3C"/>
    <w:rsid w:val="00631FA9"/>
    <w:rsid w:val="00631FAA"/>
    <w:rsid w:val="00631FC7"/>
    <w:rsid w:val="00631FF9"/>
    <w:rsid w:val="006320A3"/>
    <w:rsid w:val="006320DB"/>
    <w:rsid w:val="0063211C"/>
    <w:rsid w:val="00632227"/>
    <w:rsid w:val="00632254"/>
    <w:rsid w:val="00632478"/>
    <w:rsid w:val="00632505"/>
    <w:rsid w:val="0063256D"/>
    <w:rsid w:val="00632601"/>
    <w:rsid w:val="0063268B"/>
    <w:rsid w:val="006327D4"/>
    <w:rsid w:val="006327E7"/>
    <w:rsid w:val="006328E6"/>
    <w:rsid w:val="00632A88"/>
    <w:rsid w:val="00632A9A"/>
    <w:rsid w:val="00632BC1"/>
    <w:rsid w:val="00632D72"/>
    <w:rsid w:val="00632ECA"/>
    <w:rsid w:val="00632F1F"/>
    <w:rsid w:val="00632FA2"/>
    <w:rsid w:val="00633034"/>
    <w:rsid w:val="00633061"/>
    <w:rsid w:val="00633068"/>
    <w:rsid w:val="006330AC"/>
    <w:rsid w:val="006330C0"/>
    <w:rsid w:val="006330D0"/>
    <w:rsid w:val="0063316C"/>
    <w:rsid w:val="0063324B"/>
    <w:rsid w:val="006332B8"/>
    <w:rsid w:val="00633329"/>
    <w:rsid w:val="00633345"/>
    <w:rsid w:val="00633370"/>
    <w:rsid w:val="006334EE"/>
    <w:rsid w:val="006336D3"/>
    <w:rsid w:val="0063370C"/>
    <w:rsid w:val="00633743"/>
    <w:rsid w:val="00633800"/>
    <w:rsid w:val="00633852"/>
    <w:rsid w:val="006338C2"/>
    <w:rsid w:val="00633979"/>
    <w:rsid w:val="006339C8"/>
    <w:rsid w:val="00633A1A"/>
    <w:rsid w:val="00633ADE"/>
    <w:rsid w:val="00633AFD"/>
    <w:rsid w:val="00633C12"/>
    <w:rsid w:val="00633C3D"/>
    <w:rsid w:val="00633C66"/>
    <w:rsid w:val="00633C86"/>
    <w:rsid w:val="00633CE3"/>
    <w:rsid w:val="00633E24"/>
    <w:rsid w:val="00633E9D"/>
    <w:rsid w:val="00633EAC"/>
    <w:rsid w:val="00633F19"/>
    <w:rsid w:val="00633F31"/>
    <w:rsid w:val="00633FE2"/>
    <w:rsid w:val="00633FE7"/>
    <w:rsid w:val="0063406D"/>
    <w:rsid w:val="00634086"/>
    <w:rsid w:val="00634095"/>
    <w:rsid w:val="006340F7"/>
    <w:rsid w:val="00634195"/>
    <w:rsid w:val="006341B2"/>
    <w:rsid w:val="00634283"/>
    <w:rsid w:val="0063429E"/>
    <w:rsid w:val="006342A3"/>
    <w:rsid w:val="006342DB"/>
    <w:rsid w:val="006343D6"/>
    <w:rsid w:val="006343FD"/>
    <w:rsid w:val="00634430"/>
    <w:rsid w:val="00634450"/>
    <w:rsid w:val="006344A5"/>
    <w:rsid w:val="00634655"/>
    <w:rsid w:val="00634678"/>
    <w:rsid w:val="0063469E"/>
    <w:rsid w:val="006346C1"/>
    <w:rsid w:val="00634799"/>
    <w:rsid w:val="0063487A"/>
    <w:rsid w:val="006348B7"/>
    <w:rsid w:val="006349B6"/>
    <w:rsid w:val="00634A6F"/>
    <w:rsid w:val="00634A9A"/>
    <w:rsid w:val="00634C08"/>
    <w:rsid w:val="00634C24"/>
    <w:rsid w:val="00634D27"/>
    <w:rsid w:val="00634DDC"/>
    <w:rsid w:val="00634DE3"/>
    <w:rsid w:val="00634EE2"/>
    <w:rsid w:val="00634F4E"/>
    <w:rsid w:val="00634FD4"/>
    <w:rsid w:val="00635041"/>
    <w:rsid w:val="0063516A"/>
    <w:rsid w:val="006351C2"/>
    <w:rsid w:val="006351F3"/>
    <w:rsid w:val="00635277"/>
    <w:rsid w:val="0063531B"/>
    <w:rsid w:val="0063537C"/>
    <w:rsid w:val="00635411"/>
    <w:rsid w:val="0063541A"/>
    <w:rsid w:val="00635461"/>
    <w:rsid w:val="0063547B"/>
    <w:rsid w:val="0063547C"/>
    <w:rsid w:val="0063553D"/>
    <w:rsid w:val="00635550"/>
    <w:rsid w:val="00635621"/>
    <w:rsid w:val="00635657"/>
    <w:rsid w:val="006356F9"/>
    <w:rsid w:val="00635708"/>
    <w:rsid w:val="0063578E"/>
    <w:rsid w:val="006357A7"/>
    <w:rsid w:val="0063581A"/>
    <w:rsid w:val="0063584D"/>
    <w:rsid w:val="00635857"/>
    <w:rsid w:val="00635A80"/>
    <w:rsid w:val="00635AB9"/>
    <w:rsid w:val="00635AE9"/>
    <w:rsid w:val="00635BAA"/>
    <w:rsid w:val="00635C25"/>
    <w:rsid w:val="00635C2D"/>
    <w:rsid w:val="00635C36"/>
    <w:rsid w:val="00635C8C"/>
    <w:rsid w:val="00635D30"/>
    <w:rsid w:val="00635D69"/>
    <w:rsid w:val="00635DDC"/>
    <w:rsid w:val="00635E9A"/>
    <w:rsid w:val="00635F14"/>
    <w:rsid w:val="00635FCC"/>
    <w:rsid w:val="0063602E"/>
    <w:rsid w:val="006360C2"/>
    <w:rsid w:val="006360D2"/>
    <w:rsid w:val="0063615F"/>
    <w:rsid w:val="00636291"/>
    <w:rsid w:val="006362BD"/>
    <w:rsid w:val="0063631F"/>
    <w:rsid w:val="0063634B"/>
    <w:rsid w:val="00636379"/>
    <w:rsid w:val="00636468"/>
    <w:rsid w:val="00636469"/>
    <w:rsid w:val="00636475"/>
    <w:rsid w:val="006364C8"/>
    <w:rsid w:val="0063655A"/>
    <w:rsid w:val="00636631"/>
    <w:rsid w:val="00636644"/>
    <w:rsid w:val="0063669A"/>
    <w:rsid w:val="0063672F"/>
    <w:rsid w:val="00636902"/>
    <w:rsid w:val="00636924"/>
    <w:rsid w:val="00636992"/>
    <w:rsid w:val="00636A6B"/>
    <w:rsid w:val="00636AA4"/>
    <w:rsid w:val="00636AA5"/>
    <w:rsid w:val="00636AED"/>
    <w:rsid w:val="00636C25"/>
    <w:rsid w:val="00636CF7"/>
    <w:rsid w:val="00636D79"/>
    <w:rsid w:val="00636DDF"/>
    <w:rsid w:val="00636DFE"/>
    <w:rsid w:val="00636E32"/>
    <w:rsid w:val="00636E66"/>
    <w:rsid w:val="00637076"/>
    <w:rsid w:val="0063709D"/>
    <w:rsid w:val="00637145"/>
    <w:rsid w:val="0063714E"/>
    <w:rsid w:val="0063730E"/>
    <w:rsid w:val="0063735F"/>
    <w:rsid w:val="006373FF"/>
    <w:rsid w:val="006375A0"/>
    <w:rsid w:val="006376FE"/>
    <w:rsid w:val="0063774F"/>
    <w:rsid w:val="0063779C"/>
    <w:rsid w:val="006377E1"/>
    <w:rsid w:val="006377FF"/>
    <w:rsid w:val="00637804"/>
    <w:rsid w:val="00637845"/>
    <w:rsid w:val="006378FA"/>
    <w:rsid w:val="00637914"/>
    <w:rsid w:val="0063792D"/>
    <w:rsid w:val="0063795E"/>
    <w:rsid w:val="00637ADF"/>
    <w:rsid w:val="00637B71"/>
    <w:rsid w:val="00637BEA"/>
    <w:rsid w:val="00637C13"/>
    <w:rsid w:val="00637C1A"/>
    <w:rsid w:val="00637C53"/>
    <w:rsid w:val="00637CEC"/>
    <w:rsid w:val="00637CFD"/>
    <w:rsid w:val="00637DB3"/>
    <w:rsid w:val="00637E3F"/>
    <w:rsid w:val="00637EB3"/>
    <w:rsid w:val="00637F31"/>
    <w:rsid w:val="00637FA7"/>
    <w:rsid w:val="00637FAC"/>
    <w:rsid w:val="00637FE7"/>
    <w:rsid w:val="0064003A"/>
    <w:rsid w:val="00640065"/>
    <w:rsid w:val="006400D6"/>
    <w:rsid w:val="0064014C"/>
    <w:rsid w:val="00640251"/>
    <w:rsid w:val="00640274"/>
    <w:rsid w:val="006403CE"/>
    <w:rsid w:val="006403D1"/>
    <w:rsid w:val="0064041A"/>
    <w:rsid w:val="0064043B"/>
    <w:rsid w:val="00640441"/>
    <w:rsid w:val="006405B6"/>
    <w:rsid w:val="006405CF"/>
    <w:rsid w:val="006405EF"/>
    <w:rsid w:val="00640760"/>
    <w:rsid w:val="00640799"/>
    <w:rsid w:val="00640833"/>
    <w:rsid w:val="0064084D"/>
    <w:rsid w:val="00640865"/>
    <w:rsid w:val="00640871"/>
    <w:rsid w:val="0064087A"/>
    <w:rsid w:val="00640900"/>
    <w:rsid w:val="00640939"/>
    <w:rsid w:val="00640A5A"/>
    <w:rsid w:val="00640A78"/>
    <w:rsid w:val="00640ABC"/>
    <w:rsid w:val="00640B4D"/>
    <w:rsid w:val="00640BB1"/>
    <w:rsid w:val="00640C5E"/>
    <w:rsid w:val="00640C90"/>
    <w:rsid w:val="00640CE4"/>
    <w:rsid w:val="00640D39"/>
    <w:rsid w:val="00640E5F"/>
    <w:rsid w:val="00640E6D"/>
    <w:rsid w:val="00640F3D"/>
    <w:rsid w:val="00641003"/>
    <w:rsid w:val="0064102B"/>
    <w:rsid w:val="00641041"/>
    <w:rsid w:val="00641077"/>
    <w:rsid w:val="006410A5"/>
    <w:rsid w:val="0064110F"/>
    <w:rsid w:val="006411B8"/>
    <w:rsid w:val="006411F9"/>
    <w:rsid w:val="00641236"/>
    <w:rsid w:val="0064124B"/>
    <w:rsid w:val="00641255"/>
    <w:rsid w:val="006412EC"/>
    <w:rsid w:val="006413F5"/>
    <w:rsid w:val="0064142A"/>
    <w:rsid w:val="0064145E"/>
    <w:rsid w:val="0064147A"/>
    <w:rsid w:val="0064148A"/>
    <w:rsid w:val="00641498"/>
    <w:rsid w:val="0064152B"/>
    <w:rsid w:val="00641541"/>
    <w:rsid w:val="0064158F"/>
    <w:rsid w:val="006415D2"/>
    <w:rsid w:val="0064161A"/>
    <w:rsid w:val="00641636"/>
    <w:rsid w:val="0064164E"/>
    <w:rsid w:val="0064165C"/>
    <w:rsid w:val="00641668"/>
    <w:rsid w:val="00641789"/>
    <w:rsid w:val="00641818"/>
    <w:rsid w:val="0064185E"/>
    <w:rsid w:val="00641891"/>
    <w:rsid w:val="006418D6"/>
    <w:rsid w:val="00641945"/>
    <w:rsid w:val="00641B20"/>
    <w:rsid w:val="00641B58"/>
    <w:rsid w:val="00641B73"/>
    <w:rsid w:val="00641BD7"/>
    <w:rsid w:val="00641CDC"/>
    <w:rsid w:val="00641D0F"/>
    <w:rsid w:val="00641ED3"/>
    <w:rsid w:val="00641EE5"/>
    <w:rsid w:val="00641F33"/>
    <w:rsid w:val="00641F81"/>
    <w:rsid w:val="006420DE"/>
    <w:rsid w:val="00642158"/>
    <w:rsid w:val="00642165"/>
    <w:rsid w:val="006421A2"/>
    <w:rsid w:val="006421F2"/>
    <w:rsid w:val="006422F5"/>
    <w:rsid w:val="0064241E"/>
    <w:rsid w:val="0064251F"/>
    <w:rsid w:val="006425B0"/>
    <w:rsid w:val="006425C2"/>
    <w:rsid w:val="00642667"/>
    <w:rsid w:val="00642798"/>
    <w:rsid w:val="006427B6"/>
    <w:rsid w:val="006427C5"/>
    <w:rsid w:val="0064286B"/>
    <w:rsid w:val="00642965"/>
    <w:rsid w:val="006429EF"/>
    <w:rsid w:val="00642AE7"/>
    <w:rsid w:val="00642C0F"/>
    <w:rsid w:val="00642C39"/>
    <w:rsid w:val="00642C5D"/>
    <w:rsid w:val="00642CCE"/>
    <w:rsid w:val="00642D36"/>
    <w:rsid w:val="00642D56"/>
    <w:rsid w:val="00642EBA"/>
    <w:rsid w:val="00642F09"/>
    <w:rsid w:val="00642F45"/>
    <w:rsid w:val="00642F74"/>
    <w:rsid w:val="00642F75"/>
    <w:rsid w:val="00642FD7"/>
    <w:rsid w:val="00643012"/>
    <w:rsid w:val="006430F7"/>
    <w:rsid w:val="00643179"/>
    <w:rsid w:val="00643206"/>
    <w:rsid w:val="006432F6"/>
    <w:rsid w:val="0064347F"/>
    <w:rsid w:val="00643541"/>
    <w:rsid w:val="00643558"/>
    <w:rsid w:val="006435CE"/>
    <w:rsid w:val="0064363F"/>
    <w:rsid w:val="00643691"/>
    <w:rsid w:val="00643696"/>
    <w:rsid w:val="00643832"/>
    <w:rsid w:val="0064386A"/>
    <w:rsid w:val="00643874"/>
    <w:rsid w:val="006438A9"/>
    <w:rsid w:val="006438AB"/>
    <w:rsid w:val="0064397C"/>
    <w:rsid w:val="00643A0C"/>
    <w:rsid w:val="00643A4D"/>
    <w:rsid w:val="00643A83"/>
    <w:rsid w:val="00643AE0"/>
    <w:rsid w:val="00643B30"/>
    <w:rsid w:val="00643B90"/>
    <w:rsid w:val="00643B9A"/>
    <w:rsid w:val="00643BC8"/>
    <w:rsid w:val="00643C79"/>
    <w:rsid w:val="00643C7D"/>
    <w:rsid w:val="00643D0F"/>
    <w:rsid w:val="00643D9F"/>
    <w:rsid w:val="00643E18"/>
    <w:rsid w:val="00643E6B"/>
    <w:rsid w:val="00643EC7"/>
    <w:rsid w:val="00643F00"/>
    <w:rsid w:val="00643F5C"/>
    <w:rsid w:val="0064409B"/>
    <w:rsid w:val="006440AF"/>
    <w:rsid w:val="0064410D"/>
    <w:rsid w:val="0064412B"/>
    <w:rsid w:val="006441F4"/>
    <w:rsid w:val="00644240"/>
    <w:rsid w:val="00644281"/>
    <w:rsid w:val="006442A7"/>
    <w:rsid w:val="006442BB"/>
    <w:rsid w:val="006442DE"/>
    <w:rsid w:val="0064436E"/>
    <w:rsid w:val="006443FB"/>
    <w:rsid w:val="00644427"/>
    <w:rsid w:val="00644578"/>
    <w:rsid w:val="00644638"/>
    <w:rsid w:val="006446F2"/>
    <w:rsid w:val="0064471B"/>
    <w:rsid w:val="00644787"/>
    <w:rsid w:val="006447C8"/>
    <w:rsid w:val="006447D1"/>
    <w:rsid w:val="00644875"/>
    <w:rsid w:val="006448F5"/>
    <w:rsid w:val="00644903"/>
    <w:rsid w:val="006449A8"/>
    <w:rsid w:val="006449F0"/>
    <w:rsid w:val="00644A56"/>
    <w:rsid w:val="00644AFD"/>
    <w:rsid w:val="00644BB7"/>
    <w:rsid w:val="00644C03"/>
    <w:rsid w:val="00644C7B"/>
    <w:rsid w:val="00644CD6"/>
    <w:rsid w:val="00644D32"/>
    <w:rsid w:val="00644D56"/>
    <w:rsid w:val="00644E85"/>
    <w:rsid w:val="00644F83"/>
    <w:rsid w:val="00644FB4"/>
    <w:rsid w:val="00644FB8"/>
    <w:rsid w:val="00645071"/>
    <w:rsid w:val="00645074"/>
    <w:rsid w:val="00645155"/>
    <w:rsid w:val="006451BD"/>
    <w:rsid w:val="0064520C"/>
    <w:rsid w:val="00645229"/>
    <w:rsid w:val="00645268"/>
    <w:rsid w:val="0064528A"/>
    <w:rsid w:val="006452AC"/>
    <w:rsid w:val="00645387"/>
    <w:rsid w:val="0064546D"/>
    <w:rsid w:val="006454B4"/>
    <w:rsid w:val="006454BF"/>
    <w:rsid w:val="006454F5"/>
    <w:rsid w:val="00645506"/>
    <w:rsid w:val="00645575"/>
    <w:rsid w:val="006455D6"/>
    <w:rsid w:val="006455F9"/>
    <w:rsid w:val="006455FD"/>
    <w:rsid w:val="00645640"/>
    <w:rsid w:val="006456AD"/>
    <w:rsid w:val="006456F3"/>
    <w:rsid w:val="006456F9"/>
    <w:rsid w:val="00645761"/>
    <w:rsid w:val="00645A82"/>
    <w:rsid w:val="00645BED"/>
    <w:rsid w:val="00645C27"/>
    <w:rsid w:val="00645C4C"/>
    <w:rsid w:val="00645CBF"/>
    <w:rsid w:val="00645DED"/>
    <w:rsid w:val="0064603A"/>
    <w:rsid w:val="0064609C"/>
    <w:rsid w:val="00646162"/>
    <w:rsid w:val="00646300"/>
    <w:rsid w:val="00646331"/>
    <w:rsid w:val="0064636E"/>
    <w:rsid w:val="0064646F"/>
    <w:rsid w:val="006464FD"/>
    <w:rsid w:val="00646561"/>
    <w:rsid w:val="0064666A"/>
    <w:rsid w:val="006466C6"/>
    <w:rsid w:val="00646701"/>
    <w:rsid w:val="00646738"/>
    <w:rsid w:val="00646747"/>
    <w:rsid w:val="00646A0C"/>
    <w:rsid w:val="00646A9A"/>
    <w:rsid w:val="00646AAA"/>
    <w:rsid w:val="00646B0E"/>
    <w:rsid w:val="00646B18"/>
    <w:rsid w:val="00646C2A"/>
    <w:rsid w:val="00646D5F"/>
    <w:rsid w:val="00646E43"/>
    <w:rsid w:val="00646F8B"/>
    <w:rsid w:val="00646F9E"/>
    <w:rsid w:val="00646FA4"/>
    <w:rsid w:val="0064702E"/>
    <w:rsid w:val="00647031"/>
    <w:rsid w:val="006470CA"/>
    <w:rsid w:val="006470DE"/>
    <w:rsid w:val="00647194"/>
    <w:rsid w:val="006471DB"/>
    <w:rsid w:val="0064720A"/>
    <w:rsid w:val="0064721D"/>
    <w:rsid w:val="00647240"/>
    <w:rsid w:val="00647277"/>
    <w:rsid w:val="006472AE"/>
    <w:rsid w:val="0064740F"/>
    <w:rsid w:val="006474B6"/>
    <w:rsid w:val="00647506"/>
    <w:rsid w:val="0064755B"/>
    <w:rsid w:val="00647561"/>
    <w:rsid w:val="0064760D"/>
    <w:rsid w:val="0064760F"/>
    <w:rsid w:val="00647666"/>
    <w:rsid w:val="00647669"/>
    <w:rsid w:val="00647733"/>
    <w:rsid w:val="00647737"/>
    <w:rsid w:val="006477DC"/>
    <w:rsid w:val="006478FA"/>
    <w:rsid w:val="006478FD"/>
    <w:rsid w:val="006479DF"/>
    <w:rsid w:val="00647A5C"/>
    <w:rsid w:val="00647BDB"/>
    <w:rsid w:val="00647C2F"/>
    <w:rsid w:val="00647C8B"/>
    <w:rsid w:val="00647C9A"/>
    <w:rsid w:val="00647CDD"/>
    <w:rsid w:val="00647D1A"/>
    <w:rsid w:val="00647D58"/>
    <w:rsid w:val="00647D71"/>
    <w:rsid w:val="00647DA1"/>
    <w:rsid w:val="00647DC1"/>
    <w:rsid w:val="00647DE8"/>
    <w:rsid w:val="00647FDF"/>
    <w:rsid w:val="00647FFC"/>
    <w:rsid w:val="0065015A"/>
    <w:rsid w:val="006501E9"/>
    <w:rsid w:val="00650224"/>
    <w:rsid w:val="006502A1"/>
    <w:rsid w:val="006503A4"/>
    <w:rsid w:val="00650423"/>
    <w:rsid w:val="0065043D"/>
    <w:rsid w:val="006505F2"/>
    <w:rsid w:val="0065064B"/>
    <w:rsid w:val="00650658"/>
    <w:rsid w:val="006506DA"/>
    <w:rsid w:val="0065081A"/>
    <w:rsid w:val="00650869"/>
    <w:rsid w:val="00650921"/>
    <w:rsid w:val="00650A58"/>
    <w:rsid w:val="00650B39"/>
    <w:rsid w:val="00650B5B"/>
    <w:rsid w:val="00650B89"/>
    <w:rsid w:val="00650BBE"/>
    <w:rsid w:val="00650C57"/>
    <w:rsid w:val="00650C94"/>
    <w:rsid w:val="00650CD4"/>
    <w:rsid w:val="00650DA0"/>
    <w:rsid w:val="00650E99"/>
    <w:rsid w:val="00650F7E"/>
    <w:rsid w:val="006510A6"/>
    <w:rsid w:val="006510E6"/>
    <w:rsid w:val="0065112E"/>
    <w:rsid w:val="0065114B"/>
    <w:rsid w:val="006511B4"/>
    <w:rsid w:val="0065122A"/>
    <w:rsid w:val="0065125F"/>
    <w:rsid w:val="006512E3"/>
    <w:rsid w:val="0065138B"/>
    <w:rsid w:val="0065140D"/>
    <w:rsid w:val="0065143B"/>
    <w:rsid w:val="00651579"/>
    <w:rsid w:val="006516AC"/>
    <w:rsid w:val="006516F0"/>
    <w:rsid w:val="00651725"/>
    <w:rsid w:val="0065172D"/>
    <w:rsid w:val="00651872"/>
    <w:rsid w:val="0065192B"/>
    <w:rsid w:val="00651933"/>
    <w:rsid w:val="00651AA7"/>
    <w:rsid w:val="00651B65"/>
    <w:rsid w:val="00651C3A"/>
    <w:rsid w:val="00651CFF"/>
    <w:rsid w:val="00651D60"/>
    <w:rsid w:val="00651E27"/>
    <w:rsid w:val="00651F62"/>
    <w:rsid w:val="00651F67"/>
    <w:rsid w:val="00652135"/>
    <w:rsid w:val="00652147"/>
    <w:rsid w:val="00652154"/>
    <w:rsid w:val="0065221B"/>
    <w:rsid w:val="0065224F"/>
    <w:rsid w:val="00652273"/>
    <w:rsid w:val="006522A2"/>
    <w:rsid w:val="0065230D"/>
    <w:rsid w:val="0065250D"/>
    <w:rsid w:val="00652577"/>
    <w:rsid w:val="0065263F"/>
    <w:rsid w:val="006526B3"/>
    <w:rsid w:val="0065277B"/>
    <w:rsid w:val="00652802"/>
    <w:rsid w:val="0065287F"/>
    <w:rsid w:val="0065291C"/>
    <w:rsid w:val="006529B9"/>
    <w:rsid w:val="00652A21"/>
    <w:rsid w:val="00652A26"/>
    <w:rsid w:val="00652B29"/>
    <w:rsid w:val="00652B82"/>
    <w:rsid w:val="00652BEA"/>
    <w:rsid w:val="00652BED"/>
    <w:rsid w:val="00652C11"/>
    <w:rsid w:val="00652C1D"/>
    <w:rsid w:val="00652C5A"/>
    <w:rsid w:val="00652D3C"/>
    <w:rsid w:val="00652D8F"/>
    <w:rsid w:val="00652E52"/>
    <w:rsid w:val="00652EE3"/>
    <w:rsid w:val="00652F02"/>
    <w:rsid w:val="00652F06"/>
    <w:rsid w:val="00652F16"/>
    <w:rsid w:val="00653099"/>
    <w:rsid w:val="00653120"/>
    <w:rsid w:val="00653137"/>
    <w:rsid w:val="00653345"/>
    <w:rsid w:val="006533D2"/>
    <w:rsid w:val="0065340E"/>
    <w:rsid w:val="0065344A"/>
    <w:rsid w:val="006534A7"/>
    <w:rsid w:val="0065351B"/>
    <w:rsid w:val="0065354C"/>
    <w:rsid w:val="00653554"/>
    <w:rsid w:val="00653633"/>
    <w:rsid w:val="00653696"/>
    <w:rsid w:val="0065378B"/>
    <w:rsid w:val="0065386F"/>
    <w:rsid w:val="006538B7"/>
    <w:rsid w:val="00653976"/>
    <w:rsid w:val="00653A26"/>
    <w:rsid w:val="00653A56"/>
    <w:rsid w:val="00653B3C"/>
    <w:rsid w:val="00653B4F"/>
    <w:rsid w:val="00653BA4"/>
    <w:rsid w:val="00653BE6"/>
    <w:rsid w:val="00653BEC"/>
    <w:rsid w:val="00653BF5"/>
    <w:rsid w:val="00653CD1"/>
    <w:rsid w:val="00653CFD"/>
    <w:rsid w:val="00653D3A"/>
    <w:rsid w:val="00653D8D"/>
    <w:rsid w:val="00653E97"/>
    <w:rsid w:val="00653FA8"/>
    <w:rsid w:val="00653FDE"/>
    <w:rsid w:val="00654001"/>
    <w:rsid w:val="0065401D"/>
    <w:rsid w:val="0065404F"/>
    <w:rsid w:val="0065406E"/>
    <w:rsid w:val="0065413C"/>
    <w:rsid w:val="006541F7"/>
    <w:rsid w:val="0065423C"/>
    <w:rsid w:val="0065428D"/>
    <w:rsid w:val="006542A2"/>
    <w:rsid w:val="006542E2"/>
    <w:rsid w:val="006543C1"/>
    <w:rsid w:val="00654413"/>
    <w:rsid w:val="00654581"/>
    <w:rsid w:val="006545B9"/>
    <w:rsid w:val="00654849"/>
    <w:rsid w:val="00654884"/>
    <w:rsid w:val="006548C2"/>
    <w:rsid w:val="006548EB"/>
    <w:rsid w:val="006548F6"/>
    <w:rsid w:val="00654948"/>
    <w:rsid w:val="006549E0"/>
    <w:rsid w:val="006549FE"/>
    <w:rsid w:val="00654A11"/>
    <w:rsid w:val="00654A9F"/>
    <w:rsid w:val="00654AAA"/>
    <w:rsid w:val="00654AE8"/>
    <w:rsid w:val="00654B23"/>
    <w:rsid w:val="00654B51"/>
    <w:rsid w:val="00654BC9"/>
    <w:rsid w:val="00654BD1"/>
    <w:rsid w:val="00654BD9"/>
    <w:rsid w:val="00654D20"/>
    <w:rsid w:val="00654D43"/>
    <w:rsid w:val="00654D48"/>
    <w:rsid w:val="00654D84"/>
    <w:rsid w:val="00654E31"/>
    <w:rsid w:val="00654E4A"/>
    <w:rsid w:val="00654EC9"/>
    <w:rsid w:val="0065500F"/>
    <w:rsid w:val="00655132"/>
    <w:rsid w:val="00655162"/>
    <w:rsid w:val="00655185"/>
    <w:rsid w:val="006551C4"/>
    <w:rsid w:val="006551D0"/>
    <w:rsid w:val="00655209"/>
    <w:rsid w:val="0065520E"/>
    <w:rsid w:val="00655240"/>
    <w:rsid w:val="00655273"/>
    <w:rsid w:val="0065533C"/>
    <w:rsid w:val="0065535A"/>
    <w:rsid w:val="006553D7"/>
    <w:rsid w:val="006553F4"/>
    <w:rsid w:val="006553FE"/>
    <w:rsid w:val="00655422"/>
    <w:rsid w:val="0065542D"/>
    <w:rsid w:val="00655580"/>
    <w:rsid w:val="00655587"/>
    <w:rsid w:val="0065569F"/>
    <w:rsid w:val="006556AF"/>
    <w:rsid w:val="006556B0"/>
    <w:rsid w:val="006557B7"/>
    <w:rsid w:val="00655854"/>
    <w:rsid w:val="00655880"/>
    <w:rsid w:val="006558A7"/>
    <w:rsid w:val="0065597B"/>
    <w:rsid w:val="006559A4"/>
    <w:rsid w:val="00655CC9"/>
    <w:rsid w:val="00655CCA"/>
    <w:rsid w:val="00655DAF"/>
    <w:rsid w:val="00655E7B"/>
    <w:rsid w:val="00655F9F"/>
    <w:rsid w:val="0065604E"/>
    <w:rsid w:val="00656057"/>
    <w:rsid w:val="006560EA"/>
    <w:rsid w:val="00656106"/>
    <w:rsid w:val="00656191"/>
    <w:rsid w:val="006561A4"/>
    <w:rsid w:val="006561A6"/>
    <w:rsid w:val="00656370"/>
    <w:rsid w:val="00656382"/>
    <w:rsid w:val="00656471"/>
    <w:rsid w:val="0065662E"/>
    <w:rsid w:val="00656659"/>
    <w:rsid w:val="00656920"/>
    <w:rsid w:val="00656942"/>
    <w:rsid w:val="006569B3"/>
    <w:rsid w:val="006569C2"/>
    <w:rsid w:val="00656A31"/>
    <w:rsid w:val="00656AA5"/>
    <w:rsid w:val="00656ACD"/>
    <w:rsid w:val="00656D25"/>
    <w:rsid w:val="00656D98"/>
    <w:rsid w:val="00656E09"/>
    <w:rsid w:val="00656E85"/>
    <w:rsid w:val="00656FC1"/>
    <w:rsid w:val="0065709C"/>
    <w:rsid w:val="006570BD"/>
    <w:rsid w:val="00657157"/>
    <w:rsid w:val="00657189"/>
    <w:rsid w:val="006571CB"/>
    <w:rsid w:val="006573A1"/>
    <w:rsid w:val="0065741C"/>
    <w:rsid w:val="00657472"/>
    <w:rsid w:val="006574F5"/>
    <w:rsid w:val="006575E5"/>
    <w:rsid w:val="006575FE"/>
    <w:rsid w:val="0065762B"/>
    <w:rsid w:val="00657671"/>
    <w:rsid w:val="006576AE"/>
    <w:rsid w:val="006576F7"/>
    <w:rsid w:val="006576FE"/>
    <w:rsid w:val="0065774C"/>
    <w:rsid w:val="006577F8"/>
    <w:rsid w:val="00657896"/>
    <w:rsid w:val="00657909"/>
    <w:rsid w:val="00657999"/>
    <w:rsid w:val="006579FA"/>
    <w:rsid w:val="00657A7F"/>
    <w:rsid w:val="00657A8B"/>
    <w:rsid w:val="00657AC7"/>
    <w:rsid w:val="00657BD8"/>
    <w:rsid w:val="00657D25"/>
    <w:rsid w:val="00657DA3"/>
    <w:rsid w:val="00657E5E"/>
    <w:rsid w:val="00657F1F"/>
    <w:rsid w:val="00657F5B"/>
    <w:rsid w:val="006600D9"/>
    <w:rsid w:val="006600E5"/>
    <w:rsid w:val="006601C4"/>
    <w:rsid w:val="006601C9"/>
    <w:rsid w:val="00660200"/>
    <w:rsid w:val="0066023F"/>
    <w:rsid w:val="006602A4"/>
    <w:rsid w:val="006603CA"/>
    <w:rsid w:val="00660500"/>
    <w:rsid w:val="00660503"/>
    <w:rsid w:val="00660532"/>
    <w:rsid w:val="0066064E"/>
    <w:rsid w:val="0066066B"/>
    <w:rsid w:val="006606A5"/>
    <w:rsid w:val="00660815"/>
    <w:rsid w:val="006608CF"/>
    <w:rsid w:val="0066092D"/>
    <w:rsid w:val="0066093F"/>
    <w:rsid w:val="006609A0"/>
    <w:rsid w:val="006609DD"/>
    <w:rsid w:val="006609E2"/>
    <w:rsid w:val="00660A50"/>
    <w:rsid w:val="00660AC0"/>
    <w:rsid w:val="00660B4C"/>
    <w:rsid w:val="00660C5A"/>
    <w:rsid w:val="00660C8A"/>
    <w:rsid w:val="00660D92"/>
    <w:rsid w:val="00660E92"/>
    <w:rsid w:val="00660F14"/>
    <w:rsid w:val="00660F62"/>
    <w:rsid w:val="00660F88"/>
    <w:rsid w:val="00661022"/>
    <w:rsid w:val="00661182"/>
    <w:rsid w:val="0066118F"/>
    <w:rsid w:val="006611BB"/>
    <w:rsid w:val="00661233"/>
    <w:rsid w:val="006612FA"/>
    <w:rsid w:val="00661383"/>
    <w:rsid w:val="006613DA"/>
    <w:rsid w:val="006613E9"/>
    <w:rsid w:val="00661449"/>
    <w:rsid w:val="0066158B"/>
    <w:rsid w:val="006615C2"/>
    <w:rsid w:val="006615FF"/>
    <w:rsid w:val="0066160E"/>
    <w:rsid w:val="00661658"/>
    <w:rsid w:val="0066168D"/>
    <w:rsid w:val="006616E9"/>
    <w:rsid w:val="00661700"/>
    <w:rsid w:val="0066171C"/>
    <w:rsid w:val="006617A0"/>
    <w:rsid w:val="006617A1"/>
    <w:rsid w:val="006617DF"/>
    <w:rsid w:val="00661823"/>
    <w:rsid w:val="00661852"/>
    <w:rsid w:val="0066187F"/>
    <w:rsid w:val="00661939"/>
    <w:rsid w:val="006619C4"/>
    <w:rsid w:val="00661A37"/>
    <w:rsid w:val="00661A66"/>
    <w:rsid w:val="00661B44"/>
    <w:rsid w:val="00661C65"/>
    <w:rsid w:val="00661C8D"/>
    <w:rsid w:val="00661CEB"/>
    <w:rsid w:val="00661D0B"/>
    <w:rsid w:val="00661D6F"/>
    <w:rsid w:val="00661EDA"/>
    <w:rsid w:val="00661EE0"/>
    <w:rsid w:val="00662116"/>
    <w:rsid w:val="00662136"/>
    <w:rsid w:val="006621A7"/>
    <w:rsid w:val="006622CB"/>
    <w:rsid w:val="00662313"/>
    <w:rsid w:val="0066231D"/>
    <w:rsid w:val="0066234B"/>
    <w:rsid w:val="00662412"/>
    <w:rsid w:val="0066254D"/>
    <w:rsid w:val="0066258B"/>
    <w:rsid w:val="0066260F"/>
    <w:rsid w:val="0066261F"/>
    <w:rsid w:val="00662680"/>
    <w:rsid w:val="0066273C"/>
    <w:rsid w:val="0066274B"/>
    <w:rsid w:val="006627DE"/>
    <w:rsid w:val="00662860"/>
    <w:rsid w:val="006628E2"/>
    <w:rsid w:val="00662A2B"/>
    <w:rsid w:val="00662B6E"/>
    <w:rsid w:val="00662C31"/>
    <w:rsid w:val="00662CC7"/>
    <w:rsid w:val="00662CE2"/>
    <w:rsid w:val="00662CE9"/>
    <w:rsid w:val="00662ECD"/>
    <w:rsid w:val="00662F34"/>
    <w:rsid w:val="0066300E"/>
    <w:rsid w:val="00663078"/>
    <w:rsid w:val="0066317A"/>
    <w:rsid w:val="0066319B"/>
    <w:rsid w:val="006631FF"/>
    <w:rsid w:val="006632EC"/>
    <w:rsid w:val="00663335"/>
    <w:rsid w:val="00663485"/>
    <w:rsid w:val="00663512"/>
    <w:rsid w:val="00663554"/>
    <w:rsid w:val="00663571"/>
    <w:rsid w:val="006635D1"/>
    <w:rsid w:val="0066361A"/>
    <w:rsid w:val="00663626"/>
    <w:rsid w:val="006636B1"/>
    <w:rsid w:val="0066370F"/>
    <w:rsid w:val="00663724"/>
    <w:rsid w:val="0066372F"/>
    <w:rsid w:val="00663778"/>
    <w:rsid w:val="00663782"/>
    <w:rsid w:val="00663884"/>
    <w:rsid w:val="006638AE"/>
    <w:rsid w:val="0066398A"/>
    <w:rsid w:val="00663A27"/>
    <w:rsid w:val="00663B5F"/>
    <w:rsid w:val="00663B77"/>
    <w:rsid w:val="00663C1F"/>
    <w:rsid w:val="00663C8A"/>
    <w:rsid w:val="00663CCE"/>
    <w:rsid w:val="00663CE3"/>
    <w:rsid w:val="00663CEF"/>
    <w:rsid w:val="00663DB2"/>
    <w:rsid w:val="00663DCD"/>
    <w:rsid w:val="00663E9E"/>
    <w:rsid w:val="00663F71"/>
    <w:rsid w:val="006640B7"/>
    <w:rsid w:val="006640B8"/>
    <w:rsid w:val="00664110"/>
    <w:rsid w:val="00664160"/>
    <w:rsid w:val="006641C2"/>
    <w:rsid w:val="006641EC"/>
    <w:rsid w:val="0066426B"/>
    <w:rsid w:val="0066431A"/>
    <w:rsid w:val="00664395"/>
    <w:rsid w:val="00664446"/>
    <w:rsid w:val="00664578"/>
    <w:rsid w:val="006645DD"/>
    <w:rsid w:val="0066475B"/>
    <w:rsid w:val="006647A0"/>
    <w:rsid w:val="006647D4"/>
    <w:rsid w:val="0066487C"/>
    <w:rsid w:val="006648C1"/>
    <w:rsid w:val="0066495B"/>
    <w:rsid w:val="0066495D"/>
    <w:rsid w:val="006649A7"/>
    <w:rsid w:val="006649E0"/>
    <w:rsid w:val="00664A40"/>
    <w:rsid w:val="00664AA7"/>
    <w:rsid w:val="00664C41"/>
    <w:rsid w:val="00664D6E"/>
    <w:rsid w:val="00664E3D"/>
    <w:rsid w:val="00664EBF"/>
    <w:rsid w:val="00664EED"/>
    <w:rsid w:val="00664FC8"/>
    <w:rsid w:val="006650F1"/>
    <w:rsid w:val="006651AA"/>
    <w:rsid w:val="006652C8"/>
    <w:rsid w:val="006653E7"/>
    <w:rsid w:val="006653FB"/>
    <w:rsid w:val="00665413"/>
    <w:rsid w:val="00665437"/>
    <w:rsid w:val="0066543E"/>
    <w:rsid w:val="00665446"/>
    <w:rsid w:val="00665513"/>
    <w:rsid w:val="00665547"/>
    <w:rsid w:val="0066554A"/>
    <w:rsid w:val="0066561E"/>
    <w:rsid w:val="0066566B"/>
    <w:rsid w:val="006656F4"/>
    <w:rsid w:val="006656FA"/>
    <w:rsid w:val="006658C5"/>
    <w:rsid w:val="006658E9"/>
    <w:rsid w:val="0066593C"/>
    <w:rsid w:val="0066597D"/>
    <w:rsid w:val="006659B4"/>
    <w:rsid w:val="006659F0"/>
    <w:rsid w:val="006659F1"/>
    <w:rsid w:val="00665A9F"/>
    <w:rsid w:val="00665B78"/>
    <w:rsid w:val="00665C62"/>
    <w:rsid w:val="00665CC1"/>
    <w:rsid w:val="00665E1C"/>
    <w:rsid w:val="00665EC3"/>
    <w:rsid w:val="00665EFD"/>
    <w:rsid w:val="00665F4E"/>
    <w:rsid w:val="00665F50"/>
    <w:rsid w:val="00665F54"/>
    <w:rsid w:val="00665FB4"/>
    <w:rsid w:val="0066610E"/>
    <w:rsid w:val="00666134"/>
    <w:rsid w:val="0066615F"/>
    <w:rsid w:val="0066621E"/>
    <w:rsid w:val="0066624B"/>
    <w:rsid w:val="006662F3"/>
    <w:rsid w:val="006663D1"/>
    <w:rsid w:val="00666409"/>
    <w:rsid w:val="006664BB"/>
    <w:rsid w:val="006664CC"/>
    <w:rsid w:val="00666542"/>
    <w:rsid w:val="00666572"/>
    <w:rsid w:val="006665AF"/>
    <w:rsid w:val="00666612"/>
    <w:rsid w:val="006666AB"/>
    <w:rsid w:val="006666C7"/>
    <w:rsid w:val="006666F6"/>
    <w:rsid w:val="00666900"/>
    <w:rsid w:val="00666942"/>
    <w:rsid w:val="00666997"/>
    <w:rsid w:val="006669BC"/>
    <w:rsid w:val="006669C0"/>
    <w:rsid w:val="006669E2"/>
    <w:rsid w:val="00666B96"/>
    <w:rsid w:val="00666C96"/>
    <w:rsid w:val="00666CC2"/>
    <w:rsid w:val="00666CE9"/>
    <w:rsid w:val="00666D14"/>
    <w:rsid w:val="00666D6A"/>
    <w:rsid w:val="00666D76"/>
    <w:rsid w:val="00666E58"/>
    <w:rsid w:val="00666F05"/>
    <w:rsid w:val="00666FA6"/>
    <w:rsid w:val="00666FFB"/>
    <w:rsid w:val="00667085"/>
    <w:rsid w:val="00667163"/>
    <w:rsid w:val="00667303"/>
    <w:rsid w:val="00667417"/>
    <w:rsid w:val="00667442"/>
    <w:rsid w:val="00667503"/>
    <w:rsid w:val="0066751E"/>
    <w:rsid w:val="00667590"/>
    <w:rsid w:val="006675C6"/>
    <w:rsid w:val="006675DA"/>
    <w:rsid w:val="006675FC"/>
    <w:rsid w:val="00667619"/>
    <w:rsid w:val="00667622"/>
    <w:rsid w:val="00667664"/>
    <w:rsid w:val="006676B0"/>
    <w:rsid w:val="006676C5"/>
    <w:rsid w:val="006677C8"/>
    <w:rsid w:val="006677D6"/>
    <w:rsid w:val="00667881"/>
    <w:rsid w:val="006679F1"/>
    <w:rsid w:val="00667B18"/>
    <w:rsid w:val="00667D11"/>
    <w:rsid w:val="00667DC9"/>
    <w:rsid w:val="00667E1B"/>
    <w:rsid w:val="00667E6B"/>
    <w:rsid w:val="00667E78"/>
    <w:rsid w:val="00667F0B"/>
    <w:rsid w:val="00667FA3"/>
    <w:rsid w:val="00670016"/>
    <w:rsid w:val="0067008C"/>
    <w:rsid w:val="006700B1"/>
    <w:rsid w:val="006700C8"/>
    <w:rsid w:val="006700CB"/>
    <w:rsid w:val="00670110"/>
    <w:rsid w:val="0067029E"/>
    <w:rsid w:val="006702CA"/>
    <w:rsid w:val="0067038E"/>
    <w:rsid w:val="006703C2"/>
    <w:rsid w:val="0067040F"/>
    <w:rsid w:val="006704FB"/>
    <w:rsid w:val="006705B6"/>
    <w:rsid w:val="0067060C"/>
    <w:rsid w:val="006706A2"/>
    <w:rsid w:val="0067090F"/>
    <w:rsid w:val="0067098B"/>
    <w:rsid w:val="006709DC"/>
    <w:rsid w:val="00670A55"/>
    <w:rsid w:val="00670ABF"/>
    <w:rsid w:val="00670AC4"/>
    <w:rsid w:val="00670B3B"/>
    <w:rsid w:val="00670BDA"/>
    <w:rsid w:val="00670CD6"/>
    <w:rsid w:val="00670D11"/>
    <w:rsid w:val="00670DBA"/>
    <w:rsid w:val="00670DFE"/>
    <w:rsid w:val="00670E87"/>
    <w:rsid w:val="00670EAA"/>
    <w:rsid w:val="00670EE5"/>
    <w:rsid w:val="00670F45"/>
    <w:rsid w:val="00671028"/>
    <w:rsid w:val="00671091"/>
    <w:rsid w:val="006710CF"/>
    <w:rsid w:val="006710F8"/>
    <w:rsid w:val="00671143"/>
    <w:rsid w:val="006711A5"/>
    <w:rsid w:val="006711BF"/>
    <w:rsid w:val="006711D9"/>
    <w:rsid w:val="0067127A"/>
    <w:rsid w:val="00671406"/>
    <w:rsid w:val="0067140B"/>
    <w:rsid w:val="00671557"/>
    <w:rsid w:val="00671657"/>
    <w:rsid w:val="006716EF"/>
    <w:rsid w:val="006717FD"/>
    <w:rsid w:val="006718A2"/>
    <w:rsid w:val="00671953"/>
    <w:rsid w:val="00671A13"/>
    <w:rsid w:val="00671AA1"/>
    <w:rsid w:val="00671ADC"/>
    <w:rsid w:val="00671B03"/>
    <w:rsid w:val="00671B7B"/>
    <w:rsid w:val="00671C4D"/>
    <w:rsid w:val="00671C9C"/>
    <w:rsid w:val="00671CC5"/>
    <w:rsid w:val="00671D3B"/>
    <w:rsid w:val="00671E19"/>
    <w:rsid w:val="00671E44"/>
    <w:rsid w:val="00671E5D"/>
    <w:rsid w:val="00671F85"/>
    <w:rsid w:val="00672053"/>
    <w:rsid w:val="0067208F"/>
    <w:rsid w:val="006722D0"/>
    <w:rsid w:val="00672301"/>
    <w:rsid w:val="006723C6"/>
    <w:rsid w:val="00672484"/>
    <w:rsid w:val="006724C5"/>
    <w:rsid w:val="0067258C"/>
    <w:rsid w:val="006726B1"/>
    <w:rsid w:val="0067272C"/>
    <w:rsid w:val="006727B6"/>
    <w:rsid w:val="006727CE"/>
    <w:rsid w:val="00672800"/>
    <w:rsid w:val="006729C5"/>
    <w:rsid w:val="00672B64"/>
    <w:rsid w:val="00672B7E"/>
    <w:rsid w:val="00672BB7"/>
    <w:rsid w:val="00672BBB"/>
    <w:rsid w:val="00672C15"/>
    <w:rsid w:val="00672C1A"/>
    <w:rsid w:val="00672D87"/>
    <w:rsid w:val="00672DAE"/>
    <w:rsid w:val="00672DCD"/>
    <w:rsid w:val="00672DCF"/>
    <w:rsid w:val="00672DD1"/>
    <w:rsid w:val="00672F7F"/>
    <w:rsid w:val="00672F9E"/>
    <w:rsid w:val="00672FCA"/>
    <w:rsid w:val="006730F3"/>
    <w:rsid w:val="00673105"/>
    <w:rsid w:val="00673125"/>
    <w:rsid w:val="00673132"/>
    <w:rsid w:val="0067317C"/>
    <w:rsid w:val="0067324F"/>
    <w:rsid w:val="00673290"/>
    <w:rsid w:val="0067330F"/>
    <w:rsid w:val="00673340"/>
    <w:rsid w:val="00673367"/>
    <w:rsid w:val="00673438"/>
    <w:rsid w:val="00673474"/>
    <w:rsid w:val="006735F0"/>
    <w:rsid w:val="00673692"/>
    <w:rsid w:val="0067377C"/>
    <w:rsid w:val="006737F9"/>
    <w:rsid w:val="0067382B"/>
    <w:rsid w:val="0067387E"/>
    <w:rsid w:val="006738FD"/>
    <w:rsid w:val="00673AD6"/>
    <w:rsid w:val="00673B5A"/>
    <w:rsid w:val="00673BD9"/>
    <w:rsid w:val="00673C6B"/>
    <w:rsid w:val="00673CB8"/>
    <w:rsid w:val="00673CD6"/>
    <w:rsid w:val="00673CF5"/>
    <w:rsid w:val="00673CFC"/>
    <w:rsid w:val="00673D50"/>
    <w:rsid w:val="00673D88"/>
    <w:rsid w:val="00673D9B"/>
    <w:rsid w:val="00673E2E"/>
    <w:rsid w:val="00673EE4"/>
    <w:rsid w:val="00673EF4"/>
    <w:rsid w:val="00673FA8"/>
    <w:rsid w:val="006740DD"/>
    <w:rsid w:val="006740F1"/>
    <w:rsid w:val="006741DB"/>
    <w:rsid w:val="0067423F"/>
    <w:rsid w:val="006742D4"/>
    <w:rsid w:val="006743B6"/>
    <w:rsid w:val="00674460"/>
    <w:rsid w:val="006744EF"/>
    <w:rsid w:val="00674610"/>
    <w:rsid w:val="00674667"/>
    <w:rsid w:val="00674718"/>
    <w:rsid w:val="0067471C"/>
    <w:rsid w:val="00674729"/>
    <w:rsid w:val="00674785"/>
    <w:rsid w:val="0067491F"/>
    <w:rsid w:val="0067498B"/>
    <w:rsid w:val="006749B3"/>
    <w:rsid w:val="006749F3"/>
    <w:rsid w:val="00674A10"/>
    <w:rsid w:val="00674A3F"/>
    <w:rsid w:val="00674AC2"/>
    <w:rsid w:val="00674C70"/>
    <w:rsid w:val="00674CD1"/>
    <w:rsid w:val="00674E01"/>
    <w:rsid w:val="00674E09"/>
    <w:rsid w:val="00674E21"/>
    <w:rsid w:val="00674E45"/>
    <w:rsid w:val="00674F21"/>
    <w:rsid w:val="00674F4E"/>
    <w:rsid w:val="00674FBF"/>
    <w:rsid w:val="0067504C"/>
    <w:rsid w:val="006750F8"/>
    <w:rsid w:val="00675180"/>
    <w:rsid w:val="006751E9"/>
    <w:rsid w:val="006751F9"/>
    <w:rsid w:val="00675245"/>
    <w:rsid w:val="00675286"/>
    <w:rsid w:val="00675337"/>
    <w:rsid w:val="0067539B"/>
    <w:rsid w:val="006753E1"/>
    <w:rsid w:val="006754C8"/>
    <w:rsid w:val="006754CC"/>
    <w:rsid w:val="006754FC"/>
    <w:rsid w:val="00675563"/>
    <w:rsid w:val="006755A4"/>
    <w:rsid w:val="006755DF"/>
    <w:rsid w:val="006755EF"/>
    <w:rsid w:val="0067567F"/>
    <w:rsid w:val="006756C8"/>
    <w:rsid w:val="00675780"/>
    <w:rsid w:val="006758A9"/>
    <w:rsid w:val="006758C7"/>
    <w:rsid w:val="006758F8"/>
    <w:rsid w:val="0067593B"/>
    <w:rsid w:val="006759EE"/>
    <w:rsid w:val="00675A2D"/>
    <w:rsid w:val="00675BB0"/>
    <w:rsid w:val="00675BB5"/>
    <w:rsid w:val="00675C12"/>
    <w:rsid w:val="00675C21"/>
    <w:rsid w:val="00675C25"/>
    <w:rsid w:val="00675C64"/>
    <w:rsid w:val="00675D53"/>
    <w:rsid w:val="00675D6A"/>
    <w:rsid w:val="00675D72"/>
    <w:rsid w:val="00675E49"/>
    <w:rsid w:val="00675E90"/>
    <w:rsid w:val="00675E97"/>
    <w:rsid w:val="00675EAE"/>
    <w:rsid w:val="00675F02"/>
    <w:rsid w:val="00675F68"/>
    <w:rsid w:val="00675FC4"/>
    <w:rsid w:val="006760C6"/>
    <w:rsid w:val="006762B8"/>
    <w:rsid w:val="006762D9"/>
    <w:rsid w:val="0067630E"/>
    <w:rsid w:val="00676353"/>
    <w:rsid w:val="0067635E"/>
    <w:rsid w:val="0067638A"/>
    <w:rsid w:val="006763A9"/>
    <w:rsid w:val="00676515"/>
    <w:rsid w:val="00676623"/>
    <w:rsid w:val="0067662C"/>
    <w:rsid w:val="00676662"/>
    <w:rsid w:val="00676676"/>
    <w:rsid w:val="006766B5"/>
    <w:rsid w:val="00676796"/>
    <w:rsid w:val="00676830"/>
    <w:rsid w:val="006768A9"/>
    <w:rsid w:val="00676924"/>
    <w:rsid w:val="00676952"/>
    <w:rsid w:val="006769C8"/>
    <w:rsid w:val="006769E4"/>
    <w:rsid w:val="00676B12"/>
    <w:rsid w:val="00676B68"/>
    <w:rsid w:val="00676B6F"/>
    <w:rsid w:val="00676C75"/>
    <w:rsid w:val="00676C96"/>
    <w:rsid w:val="00676E1A"/>
    <w:rsid w:val="00676E26"/>
    <w:rsid w:val="00676E4D"/>
    <w:rsid w:val="00676EB5"/>
    <w:rsid w:val="00676EDB"/>
    <w:rsid w:val="00676F9B"/>
    <w:rsid w:val="00676FD2"/>
    <w:rsid w:val="00676FE2"/>
    <w:rsid w:val="0067702E"/>
    <w:rsid w:val="00677093"/>
    <w:rsid w:val="00677316"/>
    <w:rsid w:val="0067747B"/>
    <w:rsid w:val="0067753C"/>
    <w:rsid w:val="00677582"/>
    <w:rsid w:val="0067759F"/>
    <w:rsid w:val="0067766A"/>
    <w:rsid w:val="0067767C"/>
    <w:rsid w:val="00677745"/>
    <w:rsid w:val="0067779C"/>
    <w:rsid w:val="006777A1"/>
    <w:rsid w:val="00677816"/>
    <w:rsid w:val="006778B8"/>
    <w:rsid w:val="00677920"/>
    <w:rsid w:val="0067792B"/>
    <w:rsid w:val="00677A80"/>
    <w:rsid w:val="00677AC4"/>
    <w:rsid w:val="00677AC6"/>
    <w:rsid w:val="00677B58"/>
    <w:rsid w:val="00677BA3"/>
    <w:rsid w:val="00677C86"/>
    <w:rsid w:val="00677CA1"/>
    <w:rsid w:val="00677CF8"/>
    <w:rsid w:val="00677DDA"/>
    <w:rsid w:val="00677F03"/>
    <w:rsid w:val="00677F6B"/>
    <w:rsid w:val="0068000B"/>
    <w:rsid w:val="0068002D"/>
    <w:rsid w:val="00680339"/>
    <w:rsid w:val="00680389"/>
    <w:rsid w:val="00680433"/>
    <w:rsid w:val="00680445"/>
    <w:rsid w:val="006804DD"/>
    <w:rsid w:val="00680589"/>
    <w:rsid w:val="006805A4"/>
    <w:rsid w:val="006805E1"/>
    <w:rsid w:val="006805F8"/>
    <w:rsid w:val="0068066C"/>
    <w:rsid w:val="00680686"/>
    <w:rsid w:val="00680720"/>
    <w:rsid w:val="0068073D"/>
    <w:rsid w:val="0068074D"/>
    <w:rsid w:val="006807DB"/>
    <w:rsid w:val="00680850"/>
    <w:rsid w:val="006808C1"/>
    <w:rsid w:val="006808FA"/>
    <w:rsid w:val="00680926"/>
    <w:rsid w:val="00680AEA"/>
    <w:rsid w:val="00680B20"/>
    <w:rsid w:val="00680B52"/>
    <w:rsid w:val="00680BE7"/>
    <w:rsid w:val="00680C3D"/>
    <w:rsid w:val="00680C52"/>
    <w:rsid w:val="00680C62"/>
    <w:rsid w:val="00680EB6"/>
    <w:rsid w:val="00680F15"/>
    <w:rsid w:val="00680F2C"/>
    <w:rsid w:val="00680FCF"/>
    <w:rsid w:val="00681169"/>
    <w:rsid w:val="00681286"/>
    <w:rsid w:val="006812BB"/>
    <w:rsid w:val="0068145E"/>
    <w:rsid w:val="006814C5"/>
    <w:rsid w:val="00681670"/>
    <w:rsid w:val="0068174A"/>
    <w:rsid w:val="006817C8"/>
    <w:rsid w:val="006817D2"/>
    <w:rsid w:val="006817E2"/>
    <w:rsid w:val="006817E9"/>
    <w:rsid w:val="00681802"/>
    <w:rsid w:val="00681819"/>
    <w:rsid w:val="00681958"/>
    <w:rsid w:val="006819B5"/>
    <w:rsid w:val="00681A10"/>
    <w:rsid w:val="00681A2F"/>
    <w:rsid w:val="00681A64"/>
    <w:rsid w:val="00681AC5"/>
    <w:rsid w:val="00681AF5"/>
    <w:rsid w:val="00681B1A"/>
    <w:rsid w:val="00681B42"/>
    <w:rsid w:val="00681B7A"/>
    <w:rsid w:val="00681C13"/>
    <w:rsid w:val="00681C49"/>
    <w:rsid w:val="00681C5A"/>
    <w:rsid w:val="00681CB5"/>
    <w:rsid w:val="00681EE7"/>
    <w:rsid w:val="0068210B"/>
    <w:rsid w:val="00682153"/>
    <w:rsid w:val="0068216F"/>
    <w:rsid w:val="006822A6"/>
    <w:rsid w:val="00682394"/>
    <w:rsid w:val="00682417"/>
    <w:rsid w:val="00682438"/>
    <w:rsid w:val="00682486"/>
    <w:rsid w:val="006824A2"/>
    <w:rsid w:val="006824D8"/>
    <w:rsid w:val="006824EA"/>
    <w:rsid w:val="0068252A"/>
    <w:rsid w:val="00682592"/>
    <w:rsid w:val="00682603"/>
    <w:rsid w:val="006826A1"/>
    <w:rsid w:val="00682802"/>
    <w:rsid w:val="00682827"/>
    <w:rsid w:val="0068298B"/>
    <w:rsid w:val="00682A40"/>
    <w:rsid w:val="00682A47"/>
    <w:rsid w:val="00682A58"/>
    <w:rsid w:val="00682A59"/>
    <w:rsid w:val="00682A64"/>
    <w:rsid w:val="00682A7C"/>
    <w:rsid w:val="00682AF9"/>
    <w:rsid w:val="00682B54"/>
    <w:rsid w:val="00682B5B"/>
    <w:rsid w:val="00682CCD"/>
    <w:rsid w:val="00682CDD"/>
    <w:rsid w:val="00682DAF"/>
    <w:rsid w:val="00682F04"/>
    <w:rsid w:val="00682FD1"/>
    <w:rsid w:val="00682FFB"/>
    <w:rsid w:val="00683032"/>
    <w:rsid w:val="006830E3"/>
    <w:rsid w:val="00683134"/>
    <w:rsid w:val="0068322F"/>
    <w:rsid w:val="0068328A"/>
    <w:rsid w:val="00683447"/>
    <w:rsid w:val="006834B7"/>
    <w:rsid w:val="006834FB"/>
    <w:rsid w:val="006836AA"/>
    <w:rsid w:val="006836FF"/>
    <w:rsid w:val="00683770"/>
    <w:rsid w:val="006838C5"/>
    <w:rsid w:val="00683999"/>
    <w:rsid w:val="006839BA"/>
    <w:rsid w:val="00683B64"/>
    <w:rsid w:val="00683B9B"/>
    <w:rsid w:val="00683C7F"/>
    <w:rsid w:val="00683CD8"/>
    <w:rsid w:val="00683DDB"/>
    <w:rsid w:val="00683EE7"/>
    <w:rsid w:val="00683F25"/>
    <w:rsid w:val="00684050"/>
    <w:rsid w:val="00684182"/>
    <w:rsid w:val="006841A3"/>
    <w:rsid w:val="006841D6"/>
    <w:rsid w:val="006843A8"/>
    <w:rsid w:val="006843C3"/>
    <w:rsid w:val="006844CC"/>
    <w:rsid w:val="006845E7"/>
    <w:rsid w:val="0068476C"/>
    <w:rsid w:val="006847A3"/>
    <w:rsid w:val="006847C1"/>
    <w:rsid w:val="006847EB"/>
    <w:rsid w:val="00684803"/>
    <w:rsid w:val="00684841"/>
    <w:rsid w:val="006848A9"/>
    <w:rsid w:val="00684925"/>
    <w:rsid w:val="00684942"/>
    <w:rsid w:val="00684BB5"/>
    <w:rsid w:val="00684C34"/>
    <w:rsid w:val="00684CB7"/>
    <w:rsid w:val="00684D0D"/>
    <w:rsid w:val="00684D38"/>
    <w:rsid w:val="00684D7A"/>
    <w:rsid w:val="00684D84"/>
    <w:rsid w:val="00684D8A"/>
    <w:rsid w:val="00684DA1"/>
    <w:rsid w:val="00684DD4"/>
    <w:rsid w:val="00684E61"/>
    <w:rsid w:val="00684E8F"/>
    <w:rsid w:val="00684EA2"/>
    <w:rsid w:val="00684F24"/>
    <w:rsid w:val="00684F2D"/>
    <w:rsid w:val="00684FAF"/>
    <w:rsid w:val="00685087"/>
    <w:rsid w:val="006851FD"/>
    <w:rsid w:val="00685202"/>
    <w:rsid w:val="0068526F"/>
    <w:rsid w:val="00685276"/>
    <w:rsid w:val="00685360"/>
    <w:rsid w:val="00685441"/>
    <w:rsid w:val="0068544E"/>
    <w:rsid w:val="00685458"/>
    <w:rsid w:val="006854E2"/>
    <w:rsid w:val="00685509"/>
    <w:rsid w:val="0068551B"/>
    <w:rsid w:val="0068552D"/>
    <w:rsid w:val="00685588"/>
    <w:rsid w:val="006855E9"/>
    <w:rsid w:val="00685604"/>
    <w:rsid w:val="00685855"/>
    <w:rsid w:val="006858BD"/>
    <w:rsid w:val="006859D6"/>
    <w:rsid w:val="00685A45"/>
    <w:rsid w:val="00685A6D"/>
    <w:rsid w:val="00685A8A"/>
    <w:rsid w:val="00685AF0"/>
    <w:rsid w:val="00685BD2"/>
    <w:rsid w:val="00685BD7"/>
    <w:rsid w:val="00685DC9"/>
    <w:rsid w:val="00685E5F"/>
    <w:rsid w:val="00685E6D"/>
    <w:rsid w:val="00685EA9"/>
    <w:rsid w:val="00685F45"/>
    <w:rsid w:val="006860CE"/>
    <w:rsid w:val="0068611A"/>
    <w:rsid w:val="0068623E"/>
    <w:rsid w:val="006862B4"/>
    <w:rsid w:val="006862BC"/>
    <w:rsid w:val="006862FA"/>
    <w:rsid w:val="006863E2"/>
    <w:rsid w:val="0068645E"/>
    <w:rsid w:val="00686589"/>
    <w:rsid w:val="006866EC"/>
    <w:rsid w:val="006866FD"/>
    <w:rsid w:val="00686712"/>
    <w:rsid w:val="0068673C"/>
    <w:rsid w:val="0068676D"/>
    <w:rsid w:val="0068692C"/>
    <w:rsid w:val="00686A05"/>
    <w:rsid w:val="00686B6B"/>
    <w:rsid w:val="00686BA8"/>
    <w:rsid w:val="00686BD2"/>
    <w:rsid w:val="00686C3F"/>
    <w:rsid w:val="00686CDD"/>
    <w:rsid w:val="00686CEB"/>
    <w:rsid w:val="00686D5E"/>
    <w:rsid w:val="00686E14"/>
    <w:rsid w:val="00686E27"/>
    <w:rsid w:val="00686E3D"/>
    <w:rsid w:val="00686E45"/>
    <w:rsid w:val="00686F6F"/>
    <w:rsid w:val="0068700A"/>
    <w:rsid w:val="0068706D"/>
    <w:rsid w:val="00687098"/>
    <w:rsid w:val="0068709C"/>
    <w:rsid w:val="006871D0"/>
    <w:rsid w:val="00687269"/>
    <w:rsid w:val="0068728D"/>
    <w:rsid w:val="00687295"/>
    <w:rsid w:val="006872A0"/>
    <w:rsid w:val="006873C2"/>
    <w:rsid w:val="006875FF"/>
    <w:rsid w:val="006876CE"/>
    <w:rsid w:val="00687780"/>
    <w:rsid w:val="006878DC"/>
    <w:rsid w:val="00687924"/>
    <w:rsid w:val="00687958"/>
    <w:rsid w:val="006879A0"/>
    <w:rsid w:val="006879AB"/>
    <w:rsid w:val="00687A67"/>
    <w:rsid w:val="00687ADC"/>
    <w:rsid w:val="00687BDB"/>
    <w:rsid w:val="00687C80"/>
    <w:rsid w:val="00687E9A"/>
    <w:rsid w:val="00687F24"/>
    <w:rsid w:val="00687F45"/>
    <w:rsid w:val="00687F53"/>
    <w:rsid w:val="006901D9"/>
    <w:rsid w:val="00690273"/>
    <w:rsid w:val="00690298"/>
    <w:rsid w:val="006902D6"/>
    <w:rsid w:val="006903E6"/>
    <w:rsid w:val="00690434"/>
    <w:rsid w:val="006904A9"/>
    <w:rsid w:val="006904BA"/>
    <w:rsid w:val="00690544"/>
    <w:rsid w:val="006905B5"/>
    <w:rsid w:val="006905E0"/>
    <w:rsid w:val="00690611"/>
    <w:rsid w:val="00690673"/>
    <w:rsid w:val="006906B4"/>
    <w:rsid w:val="00690796"/>
    <w:rsid w:val="006907B9"/>
    <w:rsid w:val="00690836"/>
    <w:rsid w:val="006908A7"/>
    <w:rsid w:val="006908C2"/>
    <w:rsid w:val="006908EA"/>
    <w:rsid w:val="00690A86"/>
    <w:rsid w:val="00690AA5"/>
    <w:rsid w:val="00690AF2"/>
    <w:rsid w:val="00690B24"/>
    <w:rsid w:val="00690B6D"/>
    <w:rsid w:val="00690BC8"/>
    <w:rsid w:val="00690BE3"/>
    <w:rsid w:val="00690BEC"/>
    <w:rsid w:val="00690DC9"/>
    <w:rsid w:val="00690E4B"/>
    <w:rsid w:val="00690F6B"/>
    <w:rsid w:val="00691022"/>
    <w:rsid w:val="00691089"/>
    <w:rsid w:val="006910A1"/>
    <w:rsid w:val="0069114D"/>
    <w:rsid w:val="00691158"/>
    <w:rsid w:val="00691233"/>
    <w:rsid w:val="00691258"/>
    <w:rsid w:val="006913AA"/>
    <w:rsid w:val="00691417"/>
    <w:rsid w:val="006914DF"/>
    <w:rsid w:val="006914EB"/>
    <w:rsid w:val="006915DC"/>
    <w:rsid w:val="006916A0"/>
    <w:rsid w:val="006916B5"/>
    <w:rsid w:val="006917A1"/>
    <w:rsid w:val="0069188B"/>
    <w:rsid w:val="00691914"/>
    <w:rsid w:val="00691956"/>
    <w:rsid w:val="006919B9"/>
    <w:rsid w:val="006919C8"/>
    <w:rsid w:val="006919DD"/>
    <w:rsid w:val="00691A92"/>
    <w:rsid w:val="00691ACB"/>
    <w:rsid w:val="00691AF4"/>
    <w:rsid w:val="00691B84"/>
    <w:rsid w:val="00691B8E"/>
    <w:rsid w:val="00691C81"/>
    <w:rsid w:val="00691CF3"/>
    <w:rsid w:val="00691DCC"/>
    <w:rsid w:val="00691E06"/>
    <w:rsid w:val="00691E5A"/>
    <w:rsid w:val="00691E68"/>
    <w:rsid w:val="00691F36"/>
    <w:rsid w:val="0069203F"/>
    <w:rsid w:val="00692041"/>
    <w:rsid w:val="00692060"/>
    <w:rsid w:val="00692113"/>
    <w:rsid w:val="00692127"/>
    <w:rsid w:val="00692199"/>
    <w:rsid w:val="0069228C"/>
    <w:rsid w:val="00692307"/>
    <w:rsid w:val="00692312"/>
    <w:rsid w:val="006923E0"/>
    <w:rsid w:val="0069243C"/>
    <w:rsid w:val="0069247B"/>
    <w:rsid w:val="00692539"/>
    <w:rsid w:val="0069253A"/>
    <w:rsid w:val="00692587"/>
    <w:rsid w:val="0069258E"/>
    <w:rsid w:val="00692690"/>
    <w:rsid w:val="006926AF"/>
    <w:rsid w:val="00692730"/>
    <w:rsid w:val="0069276D"/>
    <w:rsid w:val="00692771"/>
    <w:rsid w:val="006927D4"/>
    <w:rsid w:val="006927FE"/>
    <w:rsid w:val="006928E2"/>
    <w:rsid w:val="00692907"/>
    <w:rsid w:val="00692918"/>
    <w:rsid w:val="0069291B"/>
    <w:rsid w:val="00692977"/>
    <w:rsid w:val="00692A10"/>
    <w:rsid w:val="00692A37"/>
    <w:rsid w:val="00692B5E"/>
    <w:rsid w:val="00692BD9"/>
    <w:rsid w:val="00692BE9"/>
    <w:rsid w:val="00692C10"/>
    <w:rsid w:val="00692C11"/>
    <w:rsid w:val="00692C33"/>
    <w:rsid w:val="00692C39"/>
    <w:rsid w:val="00692C54"/>
    <w:rsid w:val="00692DAC"/>
    <w:rsid w:val="00692E0E"/>
    <w:rsid w:val="00692E92"/>
    <w:rsid w:val="00692F4C"/>
    <w:rsid w:val="00692F84"/>
    <w:rsid w:val="00692FDB"/>
    <w:rsid w:val="00692FEC"/>
    <w:rsid w:val="0069308A"/>
    <w:rsid w:val="00693181"/>
    <w:rsid w:val="006931A4"/>
    <w:rsid w:val="00693201"/>
    <w:rsid w:val="006932D2"/>
    <w:rsid w:val="0069338D"/>
    <w:rsid w:val="006933D6"/>
    <w:rsid w:val="006934F7"/>
    <w:rsid w:val="006934FB"/>
    <w:rsid w:val="00693516"/>
    <w:rsid w:val="006935B7"/>
    <w:rsid w:val="00693777"/>
    <w:rsid w:val="00693829"/>
    <w:rsid w:val="00693966"/>
    <w:rsid w:val="006939C0"/>
    <w:rsid w:val="006939DF"/>
    <w:rsid w:val="00693A53"/>
    <w:rsid w:val="00693A6D"/>
    <w:rsid w:val="00693A70"/>
    <w:rsid w:val="00693A7A"/>
    <w:rsid w:val="00693A84"/>
    <w:rsid w:val="00693AC5"/>
    <w:rsid w:val="00693B87"/>
    <w:rsid w:val="00693C54"/>
    <w:rsid w:val="00693E4B"/>
    <w:rsid w:val="00693E93"/>
    <w:rsid w:val="00693F18"/>
    <w:rsid w:val="00693FA7"/>
    <w:rsid w:val="006940FB"/>
    <w:rsid w:val="00694156"/>
    <w:rsid w:val="0069416B"/>
    <w:rsid w:val="006942DA"/>
    <w:rsid w:val="00694359"/>
    <w:rsid w:val="00694589"/>
    <w:rsid w:val="00694598"/>
    <w:rsid w:val="0069466F"/>
    <w:rsid w:val="00694695"/>
    <w:rsid w:val="006946DD"/>
    <w:rsid w:val="006946F6"/>
    <w:rsid w:val="006947A9"/>
    <w:rsid w:val="006948BB"/>
    <w:rsid w:val="0069491B"/>
    <w:rsid w:val="00694931"/>
    <w:rsid w:val="006949F4"/>
    <w:rsid w:val="00694A35"/>
    <w:rsid w:val="00694B05"/>
    <w:rsid w:val="00694B54"/>
    <w:rsid w:val="00694BAF"/>
    <w:rsid w:val="00694C34"/>
    <w:rsid w:val="00694C3D"/>
    <w:rsid w:val="00694C5E"/>
    <w:rsid w:val="00694E57"/>
    <w:rsid w:val="00694EB0"/>
    <w:rsid w:val="00694F18"/>
    <w:rsid w:val="00694FD0"/>
    <w:rsid w:val="0069506F"/>
    <w:rsid w:val="0069507C"/>
    <w:rsid w:val="0069507D"/>
    <w:rsid w:val="006951CE"/>
    <w:rsid w:val="0069522D"/>
    <w:rsid w:val="00695237"/>
    <w:rsid w:val="0069526A"/>
    <w:rsid w:val="006952D3"/>
    <w:rsid w:val="00695358"/>
    <w:rsid w:val="00695370"/>
    <w:rsid w:val="0069543E"/>
    <w:rsid w:val="00695442"/>
    <w:rsid w:val="006954AD"/>
    <w:rsid w:val="00695507"/>
    <w:rsid w:val="0069550F"/>
    <w:rsid w:val="006955A8"/>
    <w:rsid w:val="006956BE"/>
    <w:rsid w:val="006956D6"/>
    <w:rsid w:val="006957EC"/>
    <w:rsid w:val="0069586C"/>
    <w:rsid w:val="0069594B"/>
    <w:rsid w:val="006959CF"/>
    <w:rsid w:val="006959DF"/>
    <w:rsid w:val="00695AB8"/>
    <w:rsid w:val="00695B0F"/>
    <w:rsid w:val="00695BCC"/>
    <w:rsid w:val="00695C01"/>
    <w:rsid w:val="00695C97"/>
    <w:rsid w:val="00695D3C"/>
    <w:rsid w:val="00695D5E"/>
    <w:rsid w:val="00695E70"/>
    <w:rsid w:val="00695FD4"/>
    <w:rsid w:val="00695FF4"/>
    <w:rsid w:val="00695FF9"/>
    <w:rsid w:val="0069606B"/>
    <w:rsid w:val="006960BA"/>
    <w:rsid w:val="0069612B"/>
    <w:rsid w:val="006961A6"/>
    <w:rsid w:val="006962A2"/>
    <w:rsid w:val="006962FF"/>
    <w:rsid w:val="00696307"/>
    <w:rsid w:val="00696322"/>
    <w:rsid w:val="00696396"/>
    <w:rsid w:val="006963B0"/>
    <w:rsid w:val="00696456"/>
    <w:rsid w:val="006964B1"/>
    <w:rsid w:val="00696537"/>
    <w:rsid w:val="00696538"/>
    <w:rsid w:val="0069659B"/>
    <w:rsid w:val="006965BF"/>
    <w:rsid w:val="006965D7"/>
    <w:rsid w:val="006965EF"/>
    <w:rsid w:val="0069670E"/>
    <w:rsid w:val="00696759"/>
    <w:rsid w:val="0069678A"/>
    <w:rsid w:val="00696811"/>
    <w:rsid w:val="00696851"/>
    <w:rsid w:val="0069688B"/>
    <w:rsid w:val="006969B7"/>
    <w:rsid w:val="006969F3"/>
    <w:rsid w:val="00696A26"/>
    <w:rsid w:val="00696A5A"/>
    <w:rsid w:val="00696AB2"/>
    <w:rsid w:val="00696B0D"/>
    <w:rsid w:val="00696B45"/>
    <w:rsid w:val="00696B86"/>
    <w:rsid w:val="00696BD4"/>
    <w:rsid w:val="00696C47"/>
    <w:rsid w:val="00696E38"/>
    <w:rsid w:val="00696EB5"/>
    <w:rsid w:val="00696EB7"/>
    <w:rsid w:val="00696EF8"/>
    <w:rsid w:val="00696EF9"/>
    <w:rsid w:val="00696F1B"/>
    <w:rsid w:val="00696F41"/>
    <w:rsid w:val="00696FAB"/>
    <w:rsid w:val="00696FCA"/>
    <w:rsid w:val="00696FD7"/>
    <w:rsid w:val="00697033"/>
    <w:rsid w:val="0069706B"/>
    <w:rsid w:val="00697422"/>
    <w:rsid w:val="006975BE"/>
    <w:rsid w:val="006975BF"/>
    <w:rsid w:val="006975EE"/>
    <w:rsid w:val="0069763C"/>
    <w:rsid w:val="0069765C"/>
    <w:rsid w:val="00697684"/>
    <w:rsid w:val="006977CF"/>
    <w:rsid w:val="00697933"/>
    <w:rsid w:val="006979E9"/>
    <w:rsid w:val="006979EF"/>
    <w:rsid w:val="006979F3"/>
    <w:rsid w:val="00697ACD"/>
    <w:rsid w:val="00697C0B"/>
    <w:rsid w:val="00697C42"/>
    <w:rsid w:val="00697C43"/>
    <w:rsid w:val="00697C8E"/>
    <w:rsid w:val="00697D63"/>
    <w:rsid w:val="00697D7C"/>
    <w:rsid w:val="00697E8B"/>
    <w:rsid w:val="00697E9F"/>
    <w:rsid w:val="00697EB3"/>
    <w:rsid w:val="00697EB9"/>
    <w:rsid w:val="00697EEA"/>
    <w:rsid w:val="006A00A8"/>
    <w:rsid w:val="006A00CE"/>
    <w:rsid w:val="006A01B9"/>
    <w:rsid w:val="006A0249"/>
    <w:rsid w:val="006A025A"/>
    <w:rsid w:val="006A0298"/>
    <w:rsid w:val="006A02BB"/>
    <w:rsid w:val="006A02BF"/>
    <w:rsid w:val="006A031B"/>
    <w:rsid w:val="006A03D6"/>
    <w:rsid w:val="006A03E2"/>
    <w:rsid w:val="006A04E5"/>
    <w:rsid w:val="006A0514"/>
    <w:rsid w:val="006A0524"/>
    <w:rsid w:val="006A05BB"/>
    <w:rsid w:val="006A0847"/>
    <w:rsid w:val="006A0849"/>
    <w:rsid w:val="006A087F"/>
    <w:rsid w:val="006A08C0"/>
    <w:rsid w:val="006A0A4A"/>
    <w:rsid w:val="006A0A6C"/>
    <w:rsid w:val="006A0C32"/>
    <w:rsid w:val="006A0C89"/>
    <w:rsid w:val="006A0CC8"/>
    <w:rsid w:val="006A0D48"/>
    <w:rsid w:val="006A0DCD"/>
    <w:rsid w:val="006A0E1C"/>
    <w:rsid w:val="006A0E2A"/>
    <w:rsid w:val="006A0F56"/>
    <w:rsid w:val="006A0F87"/>
    <w:rsid w:val="006A0F8E"/>
    <w:rsid w:val="006A1036"/>
    <w:rsid w:val="006A1037"/>
    <w:rsid w:val="006A10E1"/>
    <w:rsid w:val="006A1183"/>
    <w:rsid w:val="006A11C2"/>
    <w:rsid w:val="006A1264"/>
    <w:rsid w:val="006A1270"/>
    <w:rsid w:val="006A1360"/>
    <w:rsid w:val="006A13B4"/>
    <w:rsid w:val="006A1465"/>
    <w:rsid w:val="006A14BD"/>
    <w:rsid w:val="006A14CA"/>
    <w:rsid w:val="006A1606"/>
    <w:rsid w:val="006A16DA"/>
    <w:rsid w:val="006A170A"/>
    <w:rsid w:val="006A1776"/>
    <w:rsid w:val="006A17C3"/>
    <w:rsid w:val="006A186E"/>
    <w:rsid w:val="006A18B0"/>
    <w:rsid w:val="006A190A"/>
    <w:rsid w:val="006A190B"/>
    <w:rsid w:val="006A1952"/>
    <w:rsid w:val="006A1996"/>
    <w:rsid w:val="006A1A92"/>
    <w:rsid w:val="006A1BB0"/>
    <w:rsid w:val="006A1BC1"/>
    <w:rsid w:val="006A1BDB"/>
    <w:rsid w:val="006A1C80"/>
    <w:rsid w:val="006A1CD5"/>
    <w:rsid w:val="006A1DC7"/>
    <w:rsid w:val="006A1F40"/>
    <w:rsid w:val="006A1F48"/>
    <w:rsid w:val="006A203F"/>
    <w:rsid w:val="006A20E7"/>
    <w:rsid w:val="006A21CA"/>
    <w:rsid w:val="006A21D4"/>
    <w:rsid w:val="006A2279"/>
    <w:rsid w:val="006A22B2"/>
    <w:rsid w:val="006A22F0"/>
    <w:rsid w:val="006A230F"/>
    <w:rsid w:val="006A2439"/>
    <w:rsid w:val="006A2473"/>
    <w:rsid w:val="006A253F"/>
    <w:rsid w:val="006A2588"/>
    <w:rsid w:val="006A264A"/>
    <w:rsid w:val="006A2675"/>
    <w:rsid w:val="006A26B3"/>
    <w:rsid w:val="006A2760"/>
    <w:rsid w:val="006A290B"/>
    <w:rsid w:val="006A295A"/>
    <w:rsid w:val="006A2973"/>
    <w:rsid w:val="006A2A2F"/>
    <w:rsid w:val="006A2B26"/>
    <w:rsid w:val="006A2C01"/>
    <w:rsid w:val="006A2C24"/>
    <w:rsid w:val="006A2C2B"/>
    <w:rsid w:val="006A2C2D"/>
    <w:rsid w:val="006A2D21"/>
    <w:rsid w:val="006A2D47"/>
    <w:rsid w:val="006A2E0C"/>
    <w:rsid w:val="006A2FC9"/>
    <w:rsid w:val="006A2FEA"/>
    <w:rsid w:val="006A303E"/>
    <w:rsid w:val="006A3046"/>
    <w:rsid w:val="006A308E"/>
    <w:rsid w:val="006A317E"/>
    <w:rsid w:val="006A318C"/>
    <w:rsid w:val="006A3227"/>
    <w:rsid w:val="006A3286"/>
    <w:rsid w:val="006A32A4"/>
    <w:rsid w:val="006A32F9"/>
    <w:rsid w:val="006A3304"/>
    <w:rsid w:val="006A333D"/>
    <w:rsid w:val="006A33C7"/>
    <w:rsid w:val="006A35F7"/>
    <w:rsid w:val="006A3686"/>
    <w:rsid w:val="006A384D"/>
    <w:rsid w:val="006A3910"/>
    <w:rsid w:val="006A398C"/>
    <w:rsid w:val="006A39A7"/>
    <w:rsid w:val="006A39DB"/>
    <w:rsid w:val="006A3A4B"/>
    <w:rsid w:val="006A3A79"/>
    <w:rsid w:val="006A3AB7"/>
    <w:rsid w:val="006A3ADD"/>
    <w:rsid w:val="006A3B6E"/>
    <w:rsid w:val="006A3BC8"/>
    <w:rsid w:val="006A3BF8"/>
    <w:rsid w:val="006A3CBB"/>
    <w:rsid w:val="006A3CF6"/>
    <w:rsid w:val="006A3D18"/>
    <w:rsid w:val="006A3D5B"/>
    <w:rsid w:val="006A3DA6"/>
    <w:rsid w:val="006A3DDD"/>
    <w:rsid w:val="006A3ED4"/>
    <w:rsid w:val="006A3F0C"/>
    <w:rsid w:val="006A3FB8"/>
    <w:rsid w:val="006A4174"/>
    <w:rsid w:val="006A41B2"/>
    <w:rsid w:val="006A4324"/>
    <w:rsid w:val="006A4354"/>
    <w:rsid w:val="006A435B"/>
    <w:rsid w:val="006A43A3"/>
    <w:rsid w:val="006A4419"/>
    <w:rsid w:val="006A44A1"/>
    <w:rsid w:val="006A44FD"/>
    <w:rsid w:val="006A466C"/>
    <w:rsid w:val="006A4685"/>
    <w:rsid w:val="006A4730"/>
    <w:rsid w:val="006A490A"/>
    <w:rsid w:val="006A49D5"/>
    <w:rsid w:val="006A49DF"/>
    <w:rsid w:val="006A4A2E"/>
    <w:rsid w:val="006A4A66"/>
    <w:rsid w:val="006A4AFE"/>
    <w:rsid w:val="006A4B42"/>
    <w:rsid w:val="006A4C16"/>
    <w:rsid w:val="006A4C50"/>
    <w:rsid w:val="006A4C7B"/>
    <w:rsid w:val="006A4CB7"/>
    <w:rsid w:val="006A4D23"/>
    <w:rsid w:val="006A4D6F"/>
    <w:rsid w:val="006A4DD5"/>
    <w:rsid w:val="006A4ED5"/>
    <w:rsid w:val="006A4F41"/>
    <w:rsid w:val="006A4F57"/>
    <w:rsid w:val="006A5050"/>
    <w:rsid w:val="006A5055"/>
    <w:rsid w:val="006A505A"/>
    <w:rsid w:val="006A5068"/>
    <w:rsid w:val="006A50A3"/>
    <w:rsid w:val="006A5171"/>
    <w:rsid w:val="006A518C"/>
    <w:rsid w:val="006A51F3"/>
    <w:rsid w:val="006A525F"/>
    <w:rsid w:val="006A528E"/>
    <w:rsid w:val="006A5322"/>
    <w:rsid w:val="006A533D"/>
    <w:rsid w:val="006A53CF"/>
    <w:rsid w:val="006A547C"/>
    <w:rsid w:val="006A54D3"/>
    <w:rsid w:val="006A55A0"/>
    <w:rsid w:val="006A55A5"/>
    <w:rsid w:val="006A55E8"/>
    <w:rsid w:val="006A5649"/>
    <w:rsid w:val="006A5703"/>
    <w:rsid w:val="006A575F"/>
    <w:rsid w:val="006A5785"/>
    <w:rsid w:val="006A578D"/>
    <w:rsid w:val="006A58EF"/>
    <w:rsid w:val="006A5925"/>
    <w:rsid w:val="006A593D"/>
    <w:rsid w:val="006A5AAE"/>
    <w:rsid w:val="006A5AF8"/>
    <w:rsid w:val="006A5AFD"/>
    <w:rsid w:val="006A5B0C"/>
    <w:rsid w:val="006A5B62"/>
    <w:rsid w:val="006A5BC0"/>
    <w:rsid w:val="006A5CF4"/>
    <w:rsid w:val="006A5D1B"/>
    <w:rsid w:val="006A5DA1"/>
    <w:rsid w:val="006A5DE2"/>
    <w:rsid w:val="006A5E24"/>
    <w:rsid w:val="006A5F1F"/>
    <w:rsid w:val="006A5F84"/>
    <w:rsid w:val="006A6003"/>
    <w:rsid w:val="006A601D"/>
    <w:rsid w:val="006A605C"/>
    <w:rsid w:val="006A6074"/>
    <w:rsid w:val="006A60C6"/>
    <w:rsid w:val="006A60E5"/>
    <w:rsid w:val="006A6117"/>
    <w:rsid w:val="006A611F"/>
    <w:rsid w:val="006A621F"/>
    <w:rsid w:val="006A62D9"/>
    <w:rsid w:val="006A641D"/>
    <w:rsid w:val="006A642C"/>
    <w:rsid w:val="006A6490"/>
    <w:rsid w:val="006A6496"/>
    <w:rsid w:val="006A64F2"/>
    <w:rsid w:val="006A6572"/>
    <w:rsid w:val="006A659A"/>
    <w:rsid w:val="006A65CC"/>
    <w:rsid w:val="006A6600"/>
    <w:rsid w:val="006A6631"/>
    <w:rsid w:val="006A66ED"/>
    <w:rsid w:val="006A68AD"/>
    <w:rsid w:val="006A6933"/>
    <w:rsid w:val="006A69CC"/>
    <w:rsid w:val="006A6A0A"/>
    <w:rsid w:val="006A6A3D"/>
    <w:rsid w:val="006A6B3B"/>
    <w:rsid w:val="006A6B52"/>
    <w:rsid w:val="006A6CA2"/>
    <w:rsid w:val="006A6CC1"/>
    <w:rsid w:val="006A6CCC"/>
    <w:rsid w:val="006A6CF4"/>
    <w:rsid w:val="006A6D1A"/>
    <w:rsid w:val="006A6E50"/>
    <w:rsid w:val="006A6EF2"/>
    <w:rsid w:val="006A6F29"/>
    <w:rsid w:val="006A705E"/>
    <w:rsid w:val="006A707A"/>
    <w:rsid w:val="006A70B6"/>
    <w:rsid w:val="006A70F2"/>
    <w:rsid w:val="006A719A"/>
    <w:rsid w:val="006A721F"/>
    <w:rsid w:val="006A724E"/>
    <w:rsid w:val="006A7293"/>
    <w:rsid w:val="006A72B8"/>
    <w:rsid w:val="006A7302"/>
    <w:rsid w:val="006A731F"/>
    <w:rsid w:val="006A7330"/>
    <w:rsid w:val="006A74F1"/>
    <w:rsid w:val="006A7535"/>
    <w:rsid w:val="006A7689"/>
    <w:rsid w:val="006A76CB"/>
    <w:rsid w:val="006A777E"/>
    <w:rsid w:val="006A7897"/>
    <w:rsid w:val="006A78C3"/>
    <w:rsid w:val="006A7956"/>
    <w:rsid w:val="006A796B"/>
    <w:rsid w:val="006A79EE"/>
    <w:rsid w:val="006A7A23"/>
    <w:rsid w:val="006A7A9B"/>
    <w:rsid w:val="006A7A9F"/>
    <w:rsid w:val="006A7B6B"/>
    <w:rsid w:val="006A7B70"/>
    <w:rsid w:val="006A7D08"/>
    <w:rsid w:val="006A7D24"/>
    <w:rsid w:val="006A7D55"/>
    <w:rsid w:val="006A7D74"/>
    <w:rsid w:val="006A7DC3"/>
    <w:rsid w:val="006A7DC9"/>
    <w:rsid w:val="006A7E41"/>
    <w:rsid w:val="006A7F2C"/>
    <w:rsid w:val="006A7F3D"/>
    <w:rsid w:val="006A7FB2"/>
    <w:rsid w:val="006A7FD0"/>
    <w:rsid w:val="006A7FE0"/>
    <w:rsid w:val="006B00AD"/>
    <w:rsid w:val="006B00CC"/>
    <w:rsid w:val="006B011A"/>
    <w:rsid w:val="006B013A"/>
    <w:rsid w:val="006B024F"/>
    <w:rsid w:val="006B031F"/>
    <w:rsid w:val="006B0350"/>
    <w:rsid w:val="006B03FE"/>
    <w:rsid w:val="006B043D"/>
    <w:rsid w:val="006B047F"/>
    <w:rsid w:val="006B049E"/>
    <w:rsid w:val="006B052C"/>
    <w:rsid w:val="006B05C0"/>
    <w:rsid w:val="006B0630"/>
    <w:rsid w:val="006B06B4"/>
    <w:rsid w:val="006B0712"/>
    <w:rsid w:val="006B0724"/>
    <w:rsid w:val="006B08CF"/>
    <w:rsid w:val="006B091E"/>
    <w:rsid w:val="006B09F1"/>
    <w:rsid w:val="006B0A3E"/>
    <w:rsid w:val="006B0AA7"/>
    <w:rsid w:val="006B0AAC"/>
    <w:rsid w:val="006B0AB8"/>
    <w:rsid w:val="006B0AC6"/>
    <w:rsid w:val="006B0AE3"/>
    <w:rsid w:val="006B0D2C"/>
    <w:rsid w:val="006B0D63"/>
    <w:rsid w:val="006B0F29"/>
    <w:rsid w:val="006B0FCC"/>
    <w:rsid w:val="006B0FD1"/>
    <w:rsid w:val="006B10CA"/>
    <w:rsid w:val="006B1117"/>
    <w:rsid w:val="006B1392"/>
    <w:rsid w:val="006B1399"/>
    <w:rsid w:val="006B13BD"/>
    <w:rsid w:val="006B13F9"/>
    <w:rsid w:val="006B13FE"/>
    <w:rsid w:val="006B148E"/>
    <w:rsid w:val="006B14AB"/>
    <w:rsid w:val="006B1519"/>
    <w:rsid w:val="006B152D"/>
    <w:rsid w:val="006B15BE"/>
    <w:rsid w:val="006B15ED"/>
    <w:rsid w:val="006B16BF"/>
    <w:rsid w:val="006B16F8"/>
    <w:rsid w:val="006B173D"/>
    <w:rsid w:val="006B1781"/>
    <w:rsid w:val="006B179C"/>
    <w:rsid w:val="006B17FD"/>
    <w:rsid w:val="006B1890"/>
    <w:rsid w:val="006B18B6"/>
    <w:rsid w:val="006B191E"/>
    <w:rsid w:val="006B1967"/>
    <w:rsid w:val="006B196B"/>
    <w:rsid w:val="006B1971"/>
    <w:rsid w:val="006B1975"/>
    <w:rsid w:val="006B197B"/>
    <w:rsid w:val="006B19B6"/>
    <w:rsid w:val="006B19D5"/>
    <w:rsid w:val="006B1A00"/>
    <w:rsid w:val="006B1A83"/>
    <w:rsid w:val="006B1A92"/>
    <w:rsid w:val="006B1AC9"/>
    <w:rsid w:val="006B1B2C"/>
    <w:rsid w:val="006B1C5A"/>
    <w:rsid w:val="006B1EC5"/>
    <w:rsid w:val="006B1EE9"/>
    <w:rsid w:val="006B1F4C"/>
    <w:rsid w:val="006B1F9F"/>
    <w:rsid w:val="006B207E"/>
    <w:rsid w:val="006B20A0"/>
    <w:rsid w:val="006B2150"/>
    <w:rsid w:val="006B2206"/>
    <w:rsid w:val="006B2326"/>
    <w:rsid w:val="006B2361"/>
    <w:rsid w:val="006B2366"/>
    <w:rsid w:val="006B2391"/>
    <w:rsid w:val="006B2442"/>
    <w:rsid w:val="006B2492"/>
    <w:rsid w:val="006B2524"/>
    <w:rsid w:val="006B2621"/>
    <w:rsid w:val="006B2634"/>
    <w:rsid w:val="006B2715"/>
    <w:rsid w:val="006B274D"/>
    <w:rsid w:val="006B2849"/>
    <w:rsid w:val="006B2856"/>
    <w:rsid w:val="006B288F"/>
    <w:rsid w:val="006B289F"/>
    <w:rsid w:val="006B28A8"/>
    <w:rsid w:val="006B292E"/>
    <w:rsid w:val="006B2963"/>
    <w:rsid w:val="006B296C"/>
    <w:rsid w:val="006B2A05"/>
    <w:rsid w:val="006B2AE9"/>
    <w:rsid w:val="006B2AF3"/>
    <w:rsid w:val="006B2BD5"/>
    <w:rsid w:val="006B2BE6"/>
    <w:rsid w:val="006B2C99"/>
    <w:rsid w:val="006B2CA4"/>
    <w:rsid w:val="006B2DD3"/>
    <w:rsid w:val="006B2E10"/>
    <w:rsid w:val="006B2E1F"/>
    <w:rsid w:val="006B2F5B"/>
    <w:rsid w:val="006B308F"/>
    <w:rsid w:val="006B30DB"/>
    <w:rsid w:val="006B30E1"/>
    <w:rsid w:val="006B3111"/>
    <w:rsid w:val="006B3123"/>
    <w:rsid w:val="006B3298"/>
    <w:rsid w:val="006B32B3"/>
    <w:rsid w:val="006B32B9"/>
    <w:rsid w:val="006B3335"/>
    <w:rsid w:val="006B3382"/>
    <w:rsid w:val="006B3391"/>
    <w:rsid w:val="006B33D9"/>
    <w:rsid w:val="006B33F1"/>
    <w:rsid w:val="006B34ED"/>
    <w:rsid w:val="006B355E"/>
    <w:rsid w:val="006B367C"/>
    <w:rsid w:val="006B3697"/>
    <w:rsid w:val="006B38AC"/>
    <w:rsid w:val="006B38E1"/>
    <w:rsid w:val="006B3948"/>
    <w:rsid w:val="006B396E"/>
    <w:rsid w:val="006B398A"/>
    <w:rsid w:val="006B39DA"/>
    <w:rsid w:val="006B3B39"/>
    <w:rsid w:val="006B3BD1"/>
    <w:rsid w:val="006B3C24"/>
    <w:rsid w:val="006B3D43"/>
    <w:rsid w:val="006B3D7F"/>
    <w:rsid w:val="006B3E29"/>
    <w:rsid w:val="006B3E98"/>
    <w:rsid w:val="006B40F0"/>
    <w:rsid w:val="006B4100"/>
    <w:rsid w:val="006B41E0"/>
    <w:rsid w:val="006B424D"/>
    <w:rsid w:val="006B42B7"/>
    <w:rsid w:val="006B44F2"/>
    <w:rsid w:val="006B452A"/>
    <w:rsid w:val="006B4560"/>
    <w:rsid w:val="006B4573"/>
    <w:rsid w:val="006B4643"/>
    <w:rsid w:val="006B4681"/>
    <w:rsid w:val="006B469F"/>
    <w:rsid w:val="006B4793"/>
    <w:rsid w:val="006B47A9"/>
    <w:rsid w:val="006B47D5"/>
    <w:rsid w:val="006B4805"/>
    <w:rsid w:val="006B4904"/>
    <w:rsid w:val="006B494D"/>
    <w:rsid w:val="006B4A22"/>
    <w:rsid w:val="006B4A5A"/>
    <w:rsid w:val="006B4AC2"/>
    <w:rsid w:val="006B4C91"/>
    <w:rsid w:val="006B4CF0"/>
    <w:rsid w:val="006B4E7A"/>
    <w:rsid w:val="006B4ED7"/>
    <w:rsid w:val="006B4EE7"/>
    <w:rsid w:val="006B4F26"/>
    <w:rsid w:val="006B504A"/>
    <w:rsid w:val="006B50D7"/>
    <w:rsid w:val="006B5197"/>
    <w:rsid w:val="006B519A"/>
    <w:rsid w:val="006B52CD"/>
    <w:rsid w:val="006B52EE"/>
    <w:rsid w:val="006B530B"/>
    <w:rsid w:val="006B541B"/>
    <w:rsid w:val="006B543C"/>
    <w:rsid w:val="006B547B"/>
    <w:rsid w:val="006B54A5"/>
    <w:rsid w:val="006B54D9"/>
    <w:rsid w:val="006B54E8"/>
    <w:rsid w:val="006B559A"/>
    <w:rsid w:val="006B55BA"/>
    <w:rsid w:val="006B55F2"/>
    <w:rsid w:val="006B5642"/>
    <w:rsid w:val="006B568C"/>
    <w:rsid w:val="006B5713"/>
    <w:rsid w:val="006B5720"/>
    <w:rsid w:val="006B5782"/>
    <w:rsid w:val="006B5788"/>
    <w:rsid w:val="006B5898"/>
    <w:rsid w:val="006B59AA"/>
    <w:rsid w:val="006B59AF"/>
    <w:rsid w:val="006B59E0"/>
    <w:rsid w:val="006B5A12"/>
    <w:rsid w:val="006B5A2B"/>
    <w:rsid w:val="006B5B28"/>
    <w:rsid w:val="006B5B57"/>
    <w:rsid w:val="006B5C65"/>
    <w:rsid w:val="006B5CE7"/>
    <w:rsid w:val="006B5D6C"/>
    <w:rsid w:val="006B60A3"/>
    <w:rsid w:val="006B60B1"/>
    <w:rsid w:val="006B6122"/>
    <w:rsid w:val="006B614C"/>
    <w:rsid w:val="006B6159"/>
    <w:rsid w:val="006B61AA"/>
    <w:rsid w:val="006B62B0"/>
    <w:rsid w:val="006B6378"/>
    <w:rsid w:val="006B6481"/>
    <w:rsid w:val="006B6498"/>
    <w:rsid w:val="006B64BC"/>
    <w:rsid w:val="006B6507"/>
    <w:rsid w:val="006B65A9"/>
    <w:rsid w:val="006B66F0"/>
    <w:rsid w:val="006B6960"/>
    <w:rsid w:val="006B69A3"/>
    <w:rsid w:val="006B69B9"/>
    <w:rsid w:val="006B69C4"/>
    <w:rsid w:val="006B69F2"/>
    <w:rsid w:val="006B6B7E"/>
    <w:rsid w:val="006B6BBC"/>
    <w:rsid w:val="006B6CA2"/>
    <w:rsid w:val="006B6CB1"/>
    <w:rsid w:val="006B6D95"/>
    <w:rsid w:val="006B6DF7"/>
    <w:rsid w:val="006B6E2B"/>
    <w:rsid w:val="006B6E93"/>
    <w:rsid w:val="006B6ED0"/>
    <w:rsid w:val="006B6FCB"/>
    <w:rsid w:val="006B70BF"/>
    <w:rsid w:val="006B7214"/>
    <w:rsid w:val="006B723E"/>
    <w:rsid w:val="006B72C4"/>
    <w:rsid w:val="006B7382"/>
    <w:rsid w:val="006B7467"/>
    <w:rsid w:val="006B74E4"/>
    <w:rsid w:val="006B7538"/>
    <w:rsid w:val="006B762A"/>
    <w:rsid w:val="006B762F"/>
    <w:rsid w:val="006B767E"/>
    <w:rsid w:val="006B78EC"/>
    <w:rsid w:val="006B7A01"/>
    <w:rsid w:val="006B7A39"/>
    <w:rsid w:val="006B7A3F"/>
    <w:rsid w:val="006B7A42"/>
    <w:rsid w:val="006B7A65"/>
    <w:rsid w:val="006B7ADF"/>
    <w:rsid w:val="006B7B34"/>
    <w:rsid w:val="006B7BF7"/>
    <w:rsid w:val="006B7C21"/>
    <w:rsid w:val="006B7C71"/>
    <w:rsid w:val="006B7CC8"/>
    <w:rsid w:val="006B7CDD"/>
    <w:rsid w:val="006B7D60"/>
    <w:rsid w:val="006B7DB1"/>
    <w:rsid w:val="006B7F2F"/>
    <w:rsid w:val="006B7FA3"/>
    <w:rsid w:val="006C00EB"/>
    <w:rsid w:val="006C0138"/>
    <w:rsid w:val="006C013B"/>
    <w:rsid w:val="006C013C"/>
    <w:rsid w:val="006C0197"/>
    <w:rsid w:val="006C0227"/>
    <w:rsid w:val="006C0294"/>
    <w:rsid w:val="006C03A2"/>
    <w:rsid w:val="006C0411"/>
    <w:rsid w:val="006C0425"/>
    <w:rsid w:val="006C0428"/>
    <w:rsid w:val="006C0452"/>
    <w:rsid w:val="006C04F7"/>
    <w:rsid w:val="006C05AE"/>
    <w:rsid w:val="006C05BE"/>
    <w:rsid w:val="006C05E2"/>
    <w:rsid w:val="006C0694"/>
    <w:rsid w:val="006C0812"/>
    <w:rsid w:val="006C082F"/>
    <w:rsid w:val="006C0845"/>
    <w:rsid w:val="006C0883"/>
    <w:rsid w:val="006C092B"/>
    <w:rsid w:val="006C093F"/>
    <w:rsid w:val="006C0943"/>
    <w:rsid w:val="006C096B"/>
    <w:rsid w:val="006C0978"/>
    <w:rsid w:val="006C09B6"/>
    <w:rsid w:val="006C0ACE"/>
    <w:rsid w:val="006C0ADE"/>
    <w:rsid w:val="006C0B52"/>
    <w:rsid w:val="006C0CFE"/>
    <w:rsid w:val="006C0DA4"/>
    <w:rsid w:val="006C0DF7"/>
    <w:rsid w:val="006C0E1B"/>
    <w:rsid w:val="006C0E3E"/>
    <w:rsid w:val="006C0E5D"/>
    <w:rsid w:val="006C0F08"/>
    <w:rsid w:val="006C0F33"/>
    <w:rsid w:val="006C0F74"/>
    <w:rsid w:val="006C0FA8"/>
    <w:rsid w:val="006C1002"/>
    <w:rsid w:val="006C1122"/>
    <w:rsid w:val="006C115A"/>
    <w:rsid w:val="006C12D8"/>
    <w:rsid w:val="006C132E"/>
    <w:rsid w:val="006C1346"/>
    <w:rsid w:val="006C1387"/>
    <w:rsid w:val="006C1388"/>
    <w:rsid w:val="006C140E"/>
    <w:rsid w:val="006C143A"/>
    <w:rsid w:val="006C14A2"/>
    <w:rsid w:val="006C150F"/>
    <w:rsid w:val="006C1586"/>
    <w:rsid w:val="006C1668"/>
    <w:rsid w:val="006C1699"/>
    <w:rsid w:val="006C16BA"/>
    <w:rsid w:val="006C16C7"/>
    <w:rsid w:val="006C1709"/>
    <w:rsid w:val="006C170D"/>
    <w:rsid w:val="006C1737"/>
    <w:rsid w:val="006C1747"/>
    <w:rsid w:val="006C17BA"/>
    <w:rsid w:val="006C17F1"/>
    <w:rsid w:val="006C18C2"/>
    <w:rsid w:val="006C18E1"/>
    <w:rsid w:val="006C19B6"/>
    <w:rsid w:val="006C19E6"/>
    <w:rsid w:val="006C19FA"/>
    <w:rsid w:val="006C1AEA"/>
    <w:rsid w:val="006C1B10"/>
    <w:rsid w:val="006C1B6E"/>
    <w:rsid w:val="006C1B73"/>
    <w:rsid w:val="006C1BFF"/>
    <w:rsid w:val="006C1CF7"/>
    <w:rsid w:val="006C1D90"/>
    <w:rsid w:val="006C1DD1"/>
    <w:rsid w:val="006C1E31"/>
    <w:rsid w:val="006C1E62"/>
    <w:rsid w:val="006C1EBE"/>
    <w:rsid w:val="006C1F78"/>
    <w:rsid w:val="006C2007"/>
    <w:rsid w:val="006C2096"/>
    <w:rsid w:val="006C209B"/>
    <w:rsid w:val="006C20B3"/>
    <w:rsid w:val="006C2107"/>
    <w:rsid w:val="006C2118"/>
    <w:rsid w:val="006C2136"/>
    <w:rsid w:val="006C2271"/>
    <w:rsid w:val="006C227C"/>
    <w:rsid w:val="006C22F4"/>
    <w:rsid w:val="006C22FF"/>
    <w:rsid w:val="006C233F"/>
    <w:rsid w:val="006C2396"/>
    <w:rsid w:val="006C2458"/>
    <w:rsid w:val="006C247D"/>
    <w:rsid w:val="006C24FC"/>
    <w:rsid w:val="006C2556"/>
    <w:rsid w:val="006C255C"/>
    <w:rsid w:val="006C2625"/>
    <w:rsid w:val="006C26E1"/>
    <w:rsid w:val="006C2736"/>
    <w:rsid w:val="006C28A0"/>
    <w:rsid w:val="006C28B5"/>
    <w:rsid w:val="006C28F2"/>
    <w:rsid w:val="006C2997"/>
    <w:rsid w:val="006C29F3"/>
    <w:rsid w:val="006C2D12"/>
    <w:rsid w:val="006C2D30"/>
    <w:rsid w:val="006C2D3C"/>
    <w:rsid w:val="006C2D96"/>
    <w:rsid w:val="006C2DFA"/>
    <w:rsid w:val="006C2E47"/>
    <w:rsid w:val="006C2EAE"/>
    <w:rsid w:val="006C2F41"/>
    <w:rsid w:val="006C2FDB"/>
    <w:rsid w:val="006C303C"/>
    <w:rsid w:val="006C3055"/>
    <w:rsid w:val="006C3056"/>
    <w:rsid w:val="006C3111"/>
    <w:rsid w:val="006C313F"/>
    <w:rsid w:val="006C317C"/>
    <w:rsid w:val="006C32D8"/>
    <w:rsid w:val="006C32EF"/>
    <w:rsid w:val="006C3328"/>
    <w:rsid w:val="006C335E"/>
    <w:rsid w:val="006C3381"/>
    <w:rsid w:val="006C33C8"/>
    <w:rsid w:val="006C34C9"/>
    <w:rsid w:val="006C35E6"/>
    <w:rsid w:val="006C369D"/>
    <w:rsid w:val="006C3769"/>
    <w:rsid w:val="006C378A"/>
    <w:rsid w:val="006C37A7"/>
    <w:rsid w:val="006C3861"/>
    <w:rsid w:val="006C3878"/>
    <w:rsid w:val="006C38B7"/>
    <w:rsid w:val="006C39B8"/>
    <w:rsid w:val="006C3A20"/>
    <w:rsid w:val="006C3AD5"/>
    <w:rsid w:val="006C3AF7"/>
    <w:rsid w:val="006C3B12"/>
    <w:rsid w:val="006C3C6F"/>
    <w:rsid w:val="006C3D67"/>
    <w:rsid w:val="006C3DDD"/>
    <w:rsid w:val="006C3DEA"/>
    <w:rsid w:val="006C3E17"/>
    <w:rsid w:val="006C3E2F"/>
    <w:rsid w:val="006C3E62"/>
    <w:rsid w:val="006C3F50"/>
    <w:rsid w:val="006C3F84"/>
    <w:rsid w:val="006C3FAA"/>
    <w:rsid w:val="006C3FBA"/>
    <w:rsid w:val="006C3FF8"/>
    <w:rsid w:val="006C40BA"/>
    <w:rsid w:val="006C41A7"/>
    <w:rsid w:val="006C4226"/>
    <w:rsid w:val="006C423E"/>
    <w:rsid w:val="006C426A"/>
    <w:rsid w:val="006C430A"/>
    <w:rsid w:val="006C43E4"/>
    <w:rsid w:val="006C455D"/>
    <w:rsid w:val="006C4573"/>
    <w:rsid w:val="006C4654"/>
    <w:rsid w:val="006C46C3"/>
    <w:rsid w:val="006C46D6"/>
    <w:rsid w:val="006C475A"/>
    <w:rsid w:val="006C4801"/>
    <w:rsid w:val="006C48AC"/>
    <w:rsid w:val="006C4928"/>
    <w:rsid w:val="006C4933"/>
    <w:rsid w:val="006C49C9"/>
    <w:rsid w:val="006C49E5"/>
    <w:rsid w:val="006C4ACA"/>
    <w:rsid w:val="006C4B61"/>
    <w:rsid w:val="006C4B6F"/>
    <w:rsid w:val="006C4B91"/>
    <w:rsid w:val="006C4C1A"/>
    <w:rsid w:val="006C4D14"/>
    <w:rsid w:val="006C4D89"/>
    <w:rsid w:val="006C4DE9"/>
    <w:rsid w:val="006C4E45"/>
    <w:rsid w:val="006C4E86"/>
    <w:rsid w:val="006C4F8B"/>
    <w:rsid w:val="006C4F93"/>
    <w:rsid w:val="006C4FCD"/>
    <w:rsid w:val="006C4FF3"/>
    <w:rsid w:val="006C504A"/>
    <w:rsid w:val="006C5062"/>
    <w:rsid w:val="006C50FC"/>
    <w:rsid w:val="006C5115"/>
    <w:rsid w:val="006C5210"/>
    <w:rsid w:val="006C5234"/>
    <w:rsid w:val="006C523E"/>
    <w:rsid w:val="006C52C1"/>
    <w:rsid w:val="006C5393"/>
    <w:rsid w:val="006C53DC"/>
    <w:rsid w:val="006C5486"/>
    <w:rsid w:val="006C54E2"/>
    <w:rsid w:val="006C5507"/>
    <w:rsid w:val="006C5539"/>
    <w:rsid w:val="006C5553"/>
    <w:rsid w:val="006C5581"/>
    <w:rsid w:val="006C55FC"/>
    <w:rsid w:val="006C5620"/>
    <w:rsid w:val="006C564A"/>
    <w:rsid w:val="006C5732"/>
    <w:rsid w:val="006C57E9"/>
    <w:rsid w:val="006C586A"/>
    <w:rsid w:val="006C5941"/>
    <w:rsid w:val="006C5A8E"/>
    <w:rsid w:val="006C5AC6"/>
    <w:rsid w:val="006C5BC1"/>
    <w:rsid w:val="006C5D1A"/>
    <w:rsid w:val="006C5D4E"/>
    <w:rsid w:val="006C5D5A"/>
    <w:rsid w:val="006C5D8D"/>
    <w:rsid w:val="006C5DCB"/>
    <w:rsid w:val="006C5E27"/>
    <w:rsid w:val="006C5EB3"/>
    <w:rsid w:val="006C5ED8"/>
    <w:rsid w:val="006C5F00"/>
    <w:rsid w:val="006C5F0F"/>
    <w:rsid w:val="006C5F1D"/>
    <w:rsid w:val="006C5F97"/>
    <w:rsid w:val="006C61A0"/>
    <w:rsid w:val="006C626B"/>
    <w:rsid w:val="006C6328"/>
    <w:rsid w:val="006C63C6"/>
    <w:rsid w:val="006C63CC"/>
    <w:rsid w:val="006C63CD"/>
    <w:rsid w:val="006C64AA"/>
    <w:rsid w:val="006C651B"/>
    <w:rsid w:val="006C652C"/>
    <w:rsid w:val="006C657D"/>
    <w:rsid w:val="006C65BB"/>
    <w:rsid w:val="006C6631"/>
    <w:rsid w:val="006C6696"/>
    <w:rsid w:val="006C66DD"/>
    <w:rsid w:val="006C6727"/>
    <w:rsid w:val="006C67C2"/>
    <w:rsid w:val="006C67FA"/>
    <w:rsid w:val="006C693A"/>
    <w:rsid w:val="006C6943"/>
    <w:rsid w:val="006C695E"/>
    <w:rsid w:val="006C6966"/>
    <w:rsid w:val="006C69B8"/>
    <w:rsid w:val="006C69D4"/>
    <w:rsid w:val="006C6ADF"/>
    <w:rsid w:val="006C6B4D"/>
    <w:rsid w:val="006C6C82"/>
    <w:rsid w:val="006C6DA3"/>
    <w:rsid w:val="006C6DCB"/>
    <w:rsid w:val="006C6E04"/>
    <w:rsid w:val="006C6E10"/>
    <w:rsid w:val="006C6E87"/>
    <w:rsid w:val="006C6F45"/>
    <w:rsid w:val="006C6FB0"/>
    <w:rsid w:val="006C6FD5"/>
    <w:rsid w:val="006C7018"/>
    <w:rsid w:val="006C7022"/>
    <w:rsid w:val="006C7094"/>
    <w:rsid w:val="006C712A"/>
    <w:rsid w:val="006C71B8"/>
    <w:rsid w:val="006C7235"/>
    <w:rsid w:val="006C725C"/>
    <w:rsid w:val="006C7288"/>
    <w:rsid w:val="006C7309"/>
    <w:rsid w:val="006C7310"/>
    <w:rsid w:val="006C732E"/>
    <w:rsid w:val="006C7471"/>
    <w:rsid w:val="006C747C"/>
    <w:rsid w:val="006C7498"/>
    <w:rsid w:val="006C75CF"/>
    <w:rsid w:val="006C7632"/>
    <w:rsid w:val="006C769C"/>
    <w:rsid w:val="006C76A1"/>
    <w:rsid w:val="006C76AD"/>
    <w:rsid w:val="006C76CD"/>
    <w:rsid w:val="006C7754"/>
    <w:rsid w:val="006C7776"/>
    <w:rsid w:val="006C77A7"/>
    <w:rsid w:val="006C7838"/>
    <w:rsid w:val="006C783D"/>
    <w:rsid w:val="006C784E"/>
    <w:rsid w:val="006C786E"/>
    <w:rsid w:val="006C78F5"/>
    <w:rsid w:val="006C790C"/>
    <w:rsid w:val="006C795F"/>
    <w:rsid w:val="006C7ACB"/>
    <w:rsid w:val="006C7AD3"/>
    <w:rsid w:val="006C7AE3"/>
    <w:rsid w:val="006C7AFC"/>
    <w:rsid w:val="006C7AFF"/>
    <w:rsid w:val="006C7BB2"/>
    <w:rsid w:val="006C7C8C"/>
    <w:rsid w:val="006C7C92"/>
    <w:rsid w:val="006C7CC9"/>
    <w:rsid w:val="006C7CEB"/>
    <w:rsid w:val="006C7D4C"/>
    <w:rsid w:val="006C7D9C"/>
    <w:rsid w:val="006C7DA1"/>
    <w:rsid w:val="006C7E10"/>
    <w:rsid w:val="006C7ED8"/>
    <w:rsid w:val="006C7F7C"/>
    <w:rsid w:val="006D008A"/>
    <w:rsid w:val="006D0119"/>
    <w:rsid w:val="006D0124"/>
    <w:rsid w:val="006D0127"/>
    <w:rsid w:val="006D01B6"/>
    <w:rsid w:val="006D01B9"/>
    <w:rsid w:val="006D01BA"/>
    <w:rsid w:val="006D01BC"/>
    <w:rsid w:val="006D0206"/>
    <w:rsid w:val="006D0235"/>
    <w:rsid w:val="006D0327"/>
    <w:rsid w:val="006D0333"/>
    <w:rsid w:val="006D0378"/>
    <w:rsid w:val="006D0386"/>
    <w:rsid w:val="006D038D"/>
    <w:rsid w:val="006D04E0"/>
    <w:rsid w:val="006D04FD"/>
    <w:rsid w:val="006D0518"/>
    <w:rsid w:val="006D0559"/>
    <w:rsid w:val="006D05CA"/>
    <w:rsid w:val="006D05EB"/>
    <w:rsid w:val="006D06CF"/>
    <w:rsid w:val="006D08DC"/>
    <w:rsid w:val="006D08F1"/>
    <w:rsid w:val="006D0901"/>
    <w:rsid w:val="006D0A56"/>
    <w:rsid w:val="006D0BB0"/>
    <w:rsid w:val="006D0BEC"/>
    <w:rsid w:val="006D0C00"/>
    <w:rsid w:val="006D0D1F"/>
    <w:rsid w:val="006D0D6A"/>
    <w:rsid w:val="006D0D7B"/>
    <w:rsid w:val="006D0E23"/>
    <w:rsid w:val="006D0EBD"/>
    <w:rsid w:val="006D0F19"/>
    <w:rsid w:val="006D0F77"/>
    <w:rsid w:val="006D10F6"/>
    <w:rsid w:val="006D1111"/>
    <w:rsid w:val="006D118D"/>
    <w:rsid w:val="006D11A5"/>
    <w:rsid w:val="006D12A2"/>
    <w:rsid w:val="006D12CE"/>
    <w:rsid w:val="006D14E5"/>
    <w:rsid w:val="006D14F3"/>
    <w:rsid w:val="006D150E"/>
    <w:rsid w:val="006D1560"/>
    <w:rsid w:val="006D163B"/>
    <w:rsid w:val="006D163E"/>
    <w:rsid w:val="006D167F"/>
    <w:rsid w:val="006D16E3"/>
    <w:rsid w:val="006D1751"/>
    <w:rsid w:val="006D176F"/>
    <w:rsid w:val="006D17EA"/>
    <w:rsid w:val="006D1824"/>
    <w:rsid w:val="006D184C"/>
    <w:rsid w:val="006D1892"/>
    <w:rsid w:val="006D18BB"/>
    <w:rsid w:val="006D194F"/>
    <w:rsid w:val="006D1A31"/>
    <w:rsid w:val="006D1A4B"/>
    <w:rsid w:val="006D1A5E"/>
    <w:rsid w:val="006D1BA5"/>
    <w:rsid w:val="006D1CA1"/>
    <w:rsid w:val="006D1D4A"/>
    <w:rsid w:val="006D1D5C"/>
    <w:rsid w:val="006D1DD3"/>
    <w:rsid w:val="006D1E6B"/>
    <w:rsid w:val="006D1F3E"/>
    <w:rsid w:val="006D1F4F"/>
    <w:rsid w:val="006D1F57"/>
    <w:rsid w:val="006D1FE1"/>
    <w:rsid w:val="006D20CF"/>
    <w:rsid w:val="006D20EA"/>
    <w:rsid w:val="006D20F8"/>
    <w:rsid w:val="006D2201"/>
    <w:rsid w:val="006D22F6"/>
    <w:rsid w:val="006D231C"/>
    <w:rsid w:val="006D23B9"/>
    <w:rsid w:val="006D2450"/>
    <w:rsid w:val="006D2474"/>
    <w:rsid w:val="006D25FF"/>
    <w:rsid w:val="006D2637"/>
    <w:rsid w:val="006D26F7"/>
    <w:rsid w:val="006D285D"/>
    <w:rsid w:val="006D28E4"/>
    <w:rsid w:val="006D29B8"/>
    <w:rsid w:val="006D2AC1"/>
    <w:rsid w:val="006D2B19"/>
    <w:rsid w:val="006D2B27"/>
    <w:rsid w:val="006D2B29"/>
    <w:rsid w:val="006D2B97"/>
    <w:rsid w:val="006D2C39"/>
    <w:rsid w:val="006D2DAD"/>
    <w:rsid w:val="006D2DFF"/>
    <w:rsid w:val="006D2E17"/>
    <w:rsid w:val="006D2EB7"/>
    <w:rsid w:val="006D2F65"/>
    <w:rsid w:val="006D2F8D"/>
    <w:rsid w:val="006D2FF0"/>
    <w:rsid w:val="006D2FF5"/>
    <w:rsid w:val="006D313E"/>
    <w:rsid w:val="006D319E"/>
    <w:rsid w:val="006D31B7"/>
    <w:rsid w:val="006D31F3"/>
    <w:rsid w:val="006D33B9"/>
    <w:rsid w:val="006D3405"/>
    <w:rsid w:val="006D342B"/>
    <w:rsid w:val="006D3461"/>
    <w:rsid w:val="006D34B8"/>
    <w:rsid w:val="006D34D4"/>
    <w:rsid w:val="006D34F7"/>
    <w:rsid w:val="006D3587"/>
    <w:rsid w:val="006D3607"/>
    <w:rsid w:val="006D3621"/>
    <w:rsid w:val="006D373C"/>
    <w:rsid w:val="006D3764"/>
    <w:rsid w:val="006D385B"/>
    <w:rsid w:val="006D3861"/>
    <w:rsid w:val="006D38B3"/>
    <w:rsid w:val="006D38B5"/>
    <w:rsid w:val="006D39A9"/>
    <w:rsid w:val="006D3A5A"/>
    <w:rsid w:val="006D3A99"/>
    <w:rsid w:val="006D3B0C"/>
    <w:rsid w:val="006D3B17"/>
    <w:rsid w:val="006D3B2A"/>
    <w:rsid w:val="006D3B51"/>
    <w:rsid w:val="006D3B8A"/>
    <w:rsid w:val="006D3BF5"/>
    <w:rsid w:val="006D3C96"/>
    <w:rsid w:val="006D3CC2"/>
    <w:rsid w:val="006D3D24"/>
    <w:rsid w:val="006D3D40"/>
    <w:rsid w:val="006D3DC6"/>
    <w:rsid w:val="006D3F08"/>
    <w:rsid w:val="006D3F45"/>
    <w:rsid w:val="006D3F8F"/>
    <w:rsid w:val="006D416C"/>
    <w:rsid w:val="006D424A"/>
    <w:rsid w:val="006D4350"/>
    <w:rsid w:val="006D4491"/>
    <w:rsid w:val="006D44C0"/>
    <w:rsid w:val="006D44CD"/>
    <w:rsid w:val="006D4582"/>
    <w:rsid w:val="006D45A9"/>
    <w:rsid w:val="006D45B6"/>
    <w:rsid w:val="006D463E"/>
    <w:rsid w:val="006D467F"/>
    <w:rsid w:val="006D46F8"/>
    <w:rsid w:val="006D4727"/>
    <w:rsid w:val="006D472D"/>
    <w:rsid w:val="006D48F2"/>
    <w:rsid w:val="006D4B35"/>
    <w:rsid w:val="006D4C62"/>
    <w:rsid w:val="006D4C96"/>
    <w:rsid w:val="006D4CC2"/>
    <w:rsid w:val="006D4D03"/>
    <w:rsid w:val="006D4D2E"/>
    <w:rsid w:val="006D4DE3"/>
    <w:rsid w:val="006D4EBF"/>
    <w:rsid w:val="006D4F13"/>
    <w:rsid w:val="006D4F69"/>
    <w:rsid w:val="006D4F6C"/>
    <w:rsid w:val="006D4FAF"/>
    <w:rsid w:val="006D504C"/>
    <w:rsid w:val="006D50CF"/>
    <w:rsid w:val="006D5130"/>
    <w:rsid w:val="006D5139"/>
    <w:rsid w:val="006D52ED"/>
    <w:rsid w:val="006D5379"/>
    <w:rsid w:val="006D545D"/>
    <w:rsid w:val="006D549A"/>
    <w:rsid w:val="006D5564"/>
    <w:rsid w:val="006D562A"/>
    <w:rsid w:val="006D562F"/>
    <w:rsid w:val="006D56CC"/>
    <w:rsid w:val="006D5763"/>
    <w:rsid w:val="006D57F8"/>
    <w:rsid w:val="006D5814"/>
    <w:rsid w:val="006D5832"/>
    <w:rsid w:val="006D58A9"/>
    <w:rsid w:val="006D5918"/>
    <w:rsid w:val="006D592C"/>
    <w:rsid w:val="006D5A48"/>
    <w:rsid w:val="006D5B12"/>
    <w:rsid w:val="006D5B38"/>
    <w:rsid w:val="006D5B43"/>
    <w:rsid w:val="006D5C5E"/>
    <w:rsid w:val="006D5C8B"/>
    <w:rsid w:val="006D5CE6"/>
    <w:rsid w:val="006D5D4D"/>
    <w:rsid w:val="006D5E11"/>
    <w:rsid w:val="006D5E2A"/>
    <w:rsid w:val="006D5E7E"/>
    <w:rsid w:val="006D5F85"/>
    <w:rsid w:val="006D5FA5"/>
    <w:rsid w:val="006D5FC8"/>
    <w:rsid w:val="006D6070"/>
    <w:rsid w:val="006D6124"/>
    <w:rsid w:val="006D622B"/>
    <w:rsid w:val="006D62EF"/>
    <w:rsid w:val="006D6310"/>
    <w:rsid w:val="006D640F"/>
    <w:rsid w:val="006D651C"/>
    <w:rsid w:val="006D65B0"/>
    <w:rsid w:val="006D65CA"/>
    <w:rsid w:val="006D661B"/>
    <w:rsid w:val="006D662A"/>
    <w:rsid w:val="006D6643"/>
    <w:rsid w:val="006D6815"/>
    <w:rsid w:val="006D683F"/>
    <w:rsid w:val="006D686A"/>
    <w:rsid w:val="006D6889"/>
    <w:rsid w:val="006D69E3"/>
    <w:rsid w:val="006D69E8"/>
    <w:rsid w:val="006D6A06"/>
    <w:rsid w:val="006D6A34"/>
    <w:rsid w:val="006D6A90"/>
    <w:rsid w:val="006D6B39"/>
    <w:rsid w:val="006D6B89"/>
    <w:rsid w:val="006D6BEE"/>
    <w:rsid w:val="006D6C29"/>
    <w:rsid w:val="006D6CB1"/>
    <w:rsid w:val="006D7003"/>
    <w:rsid w:val="006D7053"/>
    <w:rsid w:val="006D705E"/>
    <w:rsid w:val="006D70DD"/>
    <w:rsid w:val="006D7176"/>
    <w:rsid w:val="006D71A5"/>
    <w:rsid w:val="006D72BA"/>
    <w:rsid w:val="006D7343"/>
    <w:rsid w:val="006D7418"/>
    <w:rsid w:val="006D74B7"/>
    <w:rsid w:val="006D74E0"/>
    <w:rsid w:val="006D7514"/>
    <w:rsid w:val="006D7523"/>
    <w:rsid w:val="006D7551"/>
    <w:rsid w:val="006D7558"/>
    <w:rsid w:val="006D75AB"/>
    <w:rsid w:val="006D75CD"/>
    <w:rsid w:val="006D75D1"/>
    <w:rsid w:val="006D7600"/>
    <w:rsid w:val="006D7694"/>
    <w:rsid w:val="006D7720"/>
    <w:rsid w:val="006D7754"/>
    <w:rsid w:val="006D7767"/>
    <w:rsid w:val="006D77A4"/>
    <w:rsid w:val="006D7901"/>
    <w:rsid w:val="006D7A4C"/>
    <w:rsid w:val="006D7A72"/>
    <w:rsid w:val="006D7AA7"/>
    <w:rsid w:val="006D7AC2"/>
    <w:rsid w:val="006D7B06"/>
    <w:rsid w:val="006D7B6B"/>
    <w:rsid w:val="006D7C59"/>
    <w:rsid w:val="006D7C5D"/>
    <w:rsid w:val="006D7C7C"/>
    <w:rsid w:val="006D7C90"/>
    <w:rsid w:val="006D7DA5"/>
    <w:rsid w:val="006D7EBC"/>
    <w:rsid w:val="006D7EC7"/>
    <w:rsid w:val="006E009F"/>
    <w:rsid w:val="006E00B7"/>
    <w:rsid w:val="006E00CC"/>
    <w:rsid w:val="006E0140"/>
    <w:rsid w:val="006E0154"/>
    <w:rsid w:val="006E01C0"/>
    <w:rsid w:val="006E01F1"/>
    <w:rsid w:val="006E022A"/>
    <w:rsid w:val="006E02F2"/>
    <w:rsid w:val="006E02F4"/>
    <w:rsid w:val="006E03FC"/>
    <w:rsid w:val="006E059B"/>
    <w:rsid w:val="006E05FF"/>
    <w:rsid w:val="006E066F"/>
    <w:rsid w:val="006E072C"/>
    <w:rsid w:val="006E078D"/>
    <w:rsid w:val="006E080F"/>
    <w:rsid w:val="006E081D"/>
    <w:rsid w:val="006E0958"/>
    <w:rsid w:val="006E09E9"/>
    <w:rsid w:val="006E0A83"/>
    <w:rsid w:val="006E0AD5"/>
    <w:rsid w:val="006E0AF0"/>
    <w:rsid w:val="006E0B07"/>
    <w:rsid w:val="006E0B21"/>
    <w:rsid w:val="006E0B81"/>
    <w:rsid w:val="006E0B89"/>
    <w:rsid w:val="006E0BCF"/>
    <w:rsid w:val="006E0CAE"/>
    <w:rsid w:val="006E0DD4"/>
    <w:rsid w:val="006E0E1D"/>
    <w:rsid w:val="006E0EAB"/>
    <w:rsid w:val="006E0EE5"/>
    <w:rsid w:val="006E0F8B"/>
    <w:rsid w:val="006E0FE3"/>
    <w:rsid w:val="006E1076"/>
    <w:rsid w:val="006E1210"/>
    <w:rsid w:val="006E1233"/>
    <w:rsid w:val="006E12A3"/>
    <w:rsid w:val="006E12B1"/>
    <w:rsid w:val="006E12C2"/>
    <w:rsid w:val="006E130B"/>
    <w:rsid w:val="006E1324"/>
    <w:rsid w:val="006E13AB"/>
    <w:rsid w:val="006E1405"/>
    <w:rsid w:val="006E1443"/>
    <w:rsid w:val="006E1464"/>
    <w:rsid w:val="006E1506"/>
    <w:rsid w:val="006E150A"/>
    <w:rsid w:val="006E15A8"/>
    <w:rsid w:val="006E1762"/>
    <w:rsid w:val="006E1768"/>
    <w:rsid w:val="006E1779"/>
    <w:rsid w:val="006E1815"/>
    <w:rsid w:val="006E18A7"/>
    <w:rsid w:val="006E1975"/>
    <w:rsid w:val="006E1990"/>
    <w:rsid w:val="006E19AE"/>
    <w:rsid w:val="006E19BA"/>
    <w:rsid w:val="006E1A7E"/>
    <w:rsid w:val="006E1B19"/>
    <w:rsid w:val="006E1B2D"/>
    <w:rsid w:val="006E1CCF"/>
    <w:rsid w:val="006E1D4D"/>
    <w:rsid w:val="006E1D5C"/>
    <w:rsid w:val="006E1D8F"/>
    <w:rsid w:val="006E1DBB"/>
    <w:rsid w:val="006E1E01"/>
    <w:rsid w:val="006E1ED2"/>
    <w:rsid w:val="006E1EE5"/>
    <w:rsid w:val="006E1F31"/>
    <w:rsid w:val="006E1FE6"/>
    <w:rsid w:val="006E208C"/>
    <w:rsid w:val="006E20B4"/>
    <w:rsid w:val="006E20F9"/>
    <w:rsid w:val="006E2303"/>
    <w:rsid w:val="006E23C0"/>
    <w:rsid w:val="006E23E4"/>
    <w:rsid w:val="006E240E"/>
    <w:rsid w:val="006E2454"/>
    <w:rsid w:val="006E2480"/>
    <w:rsid w:val="006E26CA"/>
    <w:rsid w:val="006E27E6"/>
    <w:rsid w:val="006E2810"/>
    <w:rsid w:val="006E2860"/>
    <w:rsid w:val="006E2987"/>
    <w:rsid w:val="006E2A04"/>
    <w:rsid w:val="006E2AA7"/>
    <w:rsid w:val="006E2B3C"/>
    <w:rsid w:val="006E2BB2"/>
    <w:rsid w:val="006E2CAE"/>
    <w:rsid w:val="006E2CE8"/>
    <w:rsid w:val="006E2D78"/>
    <w:rsid w:val="006E2D84"/>
    <w:rsid w:val="006E2DB6"/>
    <w:rsid w:val="006E2DE5"/>
    <w:rsid w:val="006E2DF3"/>
    <w:rsid w:val="006E2E01"/>
    <w:rsid w:val="006E2E13"/>
    <w:rsid w:val="006E2E63"/>
    <w:rsid w:val="006E2FBF"/>
    <w:rsid w:val="006E2FCF"/>
    <w:rsid w:val="006E2FE4"/>
    <w:rsid w:val="006E304A"/>
    <w:rsid w:val="006E3060"/>
    <w:rsid w:val="006E30C5"/>
    <w:rsid w:val="006E30F1"/>
    <w:rsid w:val="006E3121"/>
    <w:rsid w:val="006E3196"/>
    <w:rsid w:val="006E3204"/>
    <w:rsid w:val="006E324F"/>
    <w:rsid w:val="006E326E"/>
    <w:rsid w:val="006E32CB"/>
    <w:rsid w:val="006E32E2"/>
    <w:rsid w:val="006E32FE"/>
    <w:rsid w:val="006E33E1"/>
    <w:rsid w:val="006E33F3"/>
    <w:rsid w:val="006E3406"/>
    <w:rsid w:val="006E34B0"/>
    <w:rsid w:val="006E3548"/>
    <w:rsid w:val="006E35E6"/>
    <w:rsid w:val="006E3654"/>
    <w:rsid w:val="006E371F"/>
    <w:rsid w:val="006E379E"/>
    <w:rsid w:val="006E384F"/>
    <w:rsid w:val="006E399A"/>
    <w:rsid w:val="006E39D7"/>
    <w:rsid w:val="006E3AC0"/>
    <w:rsid w:val="006E3B7A"/>
    <w:rsid w:val="006E3C11"/>
    <w:rsid w:val="006E3CDF"/>
    <w:rsid w:val="006E3EB5"/>
    <w:rsid w:val="006E3EBF"/>
    <w:rsid w:val="006E3F4C"/>
    <w:rsid w:val="006E3FB4"/>
    <w:rsid w:val="006E4068"/>
    <w:rsid w:val="006E4135"/>
    <w:rsid w:val="006E41BA"/>
    <w:rsid w:val="006E41F8"/>
    <w:rsid w:val="006E4249"/>
    <w:rsid w:val="006E42C5"/>
    <w:rsid w:val="006E432E"/>
    <w:rsid w:val="006E4343"/>
    <w:rsid w:val="006E44A6"/>
    <w:rsid w:val="006E45BC"/>
    <w:rsid w:val="006E4619"/>
    <w:rsid w:val="006E466C"/>
    <w:rsid w:val="006E46CC"/>
    <w:rsid w:val="006E4704"/>
    <w:rsid w:val="006E471E"/>
    <w:rsid w:val="006E47E2"/>
    <w:rsid w:val="006E481D"/>
    <w:rsid w:val="006E48DC"/>
    <w:rsid w:val="006E48E5"/>
    <w:rsid w:val="006E490E"/>
    <w:rsid w:val="006E494C"/>
    <w:rsid w:val="006E49D8"/>
    <w:rsid w:val="006E4A26"/>
    <w:rsid w:val="006E4A99"/>
    <w:rsid w:val="006E4AD0"/>
    <w:rsid w:val="006E4B47"/>
    <w:rsid w:val="006E4C7B"/>
    <w:rsid w:val="006E4CCC"/>
    <w:rsid w:val="006E4CF7"/>
    <w:rsid w:val="006E4D87"/>
    <w:rsid w:val="006E4E1A"/>
    <w:rsid w:val="006E4E1C"/>
    <w:rsid w:val="006E4E83"/>
    <w:rsid w:val="006E4F07"/>
    <w:rsid w:val="006E5179"/>
    <w:rsid w:val="006E51BF"/>
    <w:rsid w:val="006E51F1"/>
    <w:rsid w:val="006E5263"/>
    <w:rsid w:val="006E52C1"/>
    <w:rsid w:val="006E52EA"/>
    <w:rsid w:val="006E530E"/>
    <w:rsid w:val="006E532D"/>
    <w:rsid w:val="006E5333"/>
    <w:rsid w:val="006E533B"/>
    <w:rsid w:val="006E53A3"/>
    <w:rsid w:val="006E53BB"/>
    <w:rsid w:val="006E5433"/>
    <w:rsid w:val="006E5436"/>
    <w:rsid w:val="006E54F9"/>
    <w:rsid w:val="006E5525"/>
    <w:rsid w:val="006E5547"/>
    <w:rsid w:val="006E5581"/>
    <w:rsid w:val="006E55AB"/>
    <w:rsid w:val="006E5643"/>
    <w:rsid w:val="006E574B"/>
    <w:rsid w:val="006E579E"/>
    <w:rsid w:val="006E584A"/>
    <w:rsid w:val="006E58B4"/>
    <w:rsid w:val="006E58D8"/>
    <w:rsid w:val="006E59C0"/>
    <w:rsid w:val="006E59CF"/>
    <w:rsid w:val="006E5A04"/>
    <w:rsid w:val="006E5A23"/>
    <w:rsid w:val="006E5A2D"/>
    <w:rsid w:val="006E5A3A"/>
    <w:rsid w:val="006E5C1A"/>
    <w:rsid w:val="006E5C8E"/>
    <w:rsid w:val="006E5CE3"/>
    <w:rsid w:val="006E5D1E"/>
    <w:rsid w:val="006E5E1E"/>
    <w:rsid w:val="006E5E39"/>
    <w:rsid w:val="006E5E82"/>
    <w:rsid w:val="006E5EB4"/>
    <w:rsid w:val="006E5F0A"/>
    <w:rsid w:val="006E5F60"/>
    <w:rsid w:val="006E5F8C"/>
    <w:rsid w:val="006E6095"/>
    <w:rsid w:val="006E60AF"/>
    <w:rsid w:val="006E60B4"/>
    <w:rsid w:val="006E60EB"/>
    <w:rsid w:val="006E6282"/>
    <w:rsid w:val="006E6436"/>
    <w:rsid w:val="006E6465"/>
    <w:rsid w:val="006E64A2"/>
    <w:rsid w:val="006E64BD"/>
    <w:rsid w:val="006E64F7"/>
    <w:rsid w:val="006E64FA"/>
    <w:rsid w:val="006E6648"/>
    <w:rsid w:val="006E6713"/>
    <w:rsid w:val="006E6715"/>
    <w:rsid w:val="006E6794"/>
    <w:rsid w:val="006E67B9"/>
    <w:rsid w:val="006E67FA"/>
    <w:rsid w:val="006E689B"/>
    <w:rsid w:val="006E68D0"/>
    <w:rsid w:val="006E6919"/>
    <w:rsid w:val="006E6971"/>
    <w:rsid w:val="006E69AB"/>
    <w:rsid w:val="006E6AE1"/>
    <w:rsid w:val="006E6B99"/>
    <w:rsid w:val="006E6C1A"/>
    <w:rsid w:val="006E6C93"/>
    <w:rsid w:val="006E6D2F"/>
    <w:rsid w:val="006E6DDB"/>
    <w:rsid w:val="006E6DEB"/>
    <w:rsid w:val="006E6E41"/>
    <w:rsid w:val="006E6F99"/>
    <w:rsid w:val="006E705B"/>
    <w:rsid w:val="006E70C1"/>
    <w:rsid w:val="006E70E9"/>
    <w:rsid w:val="006E71CB"/>
    <w:rsid w:val="006E71FD"/>
    <w:rsid w:val="006E7339"/>
    <w:rsid w:val="006E734B"/>
    <w:rsid w:val="006E736B"/>
    <w:rsid w:val="006E738D"/>
    <w:rsid w:val="006E73A7"/>
    <w:rsid w:val="006E73C3"/>
    <w:rsid w:val="006E7422"/>
    <w:rsid w:val="006E74D2"/>
    <w:rsid w:val="006E74ED"/>
    <w:rsid w:val="006E7505"/>
    <w:rsid w:val="006E753C"/>
    <w:rsid w:val="006E75E9"/>
    <w:rsid w:val="006E763A"/>
    <w:rsid w:val="006E76B5"/>
    <w:rsid w:val="006E7763"/>
    <w:rsid w:val="006E777A"/>
    <w:rsid w:val="006E77EB"/>
    <w:rsid w:val="006E7837"/>
    <w:rsid w:val="006E7936"/>
    <w:rsid w:val="006E7A5D"/>
    <w:rsid w:val="006E7ABD"/>
    <w:rsid w:val="006E7AE2"/>
    <w:rsid w:val="006E7B0C"/>
    <w:rsid w:val="006E7B3B"/>
    <w:rsid w:val="006E7B44"/>
    <w:rsid w:val="006E7B7D"/>
    <w:rsid w:val="006E7C68"/>
    <w:rsid w:val="006E7CC6"/>
    <w:rsid w:val="006E7CD7"/>
    <w:rsid w:val="006E7DBE"/>
    <w:rsid w:val="006E7DF3"/>
    <w:rsid w:val="006E7EB9"/>
    <w:rsid w:val="006E7F69"/>
    <w:rsid w:val="006F0032"/>
    <w:rsid w:val="006F0040"/>
    <w:rsid w:val="006F0223"/>
    <w:rsid w:val="006F0230"/>
    <w:rsid w:val="006F02B8"/>
    <w:rsid w:val="006F02D7"/>
    <w:rsid w:val="006F05D7"/>
    <w:rsid w:val="006F0657"/>
    <w:rsid w:val="006F06B4"/>
    <w:rsid w:val="006F082B"/>
    <w:rsid w:val="006F08E7"/>
    <w:rsid w:val="006F092C"/>
    <w:rsid w:val="006F099A"/>
    <w:rsid w:val="006F09AA"/>
    <w:rsid w:val="006F09B3"/>
    <w:rsid w:val="006F0A73"/>
    <w:rsid w:val="006F0AA6"/>
    <w:rsid w:val="006F0B1D"/>
    <w:rsid w:val="006F0B35"/>
    <w:rsid w:val="006F0B47"/>
    <w:rsid w:val="006F0B60"/>
    <w:rsid w:val="006F0C8E"/>
    <w:rsid w:val="006F0CC1"/>
    <w:rsid w:val="006F0CC9"/>
    <w:rsid w:val="006F0D03"/>
    <w:rsid w:val="006F0D9D"/>
    <w:rsid w:val="006F0F84"/>
    <w:rsid w:val="006F0FDE"/>
    <w:rsid w:val="006F1065"/>
    <w:rsid w:val="006F106B"/>
    <w:rsid w:val="006F10A1"/>
    <w:rsid w:val="006F10AF"/>
    <w:rsid w:val="006F10CF"/>
    <w:rsid w:val="006F1160"/>
    <w:rsid w:val="006F118B"/>
    <w:rsid w:val="006F1214"/>
    <w:rsid w:val="006F1221"/>
    <w:rsid w:val="006F13C2"/>
    <w:rsid w:val="006F1594"/>
    <w:rsid w:val="006F1669"/>
    <w:rsid w:val="006F168D"/>
    <w:rsid w:val="006F1691"/>
    <w:rsid w:val="006F16B4"/>
    <w:rsid w:val="006F16E4"/>
    <w:rsid w:val="006F1839"/>
    <w:rsid w:val="006F1848"/>
    <w:rsid w:val="006F1942"/>
    <w:rsid w:val="006F19D2"/>
    <w:rsid w:val="006F1A0F"/>
    <w:rsid w:val="006F1A5C"/>
    <w:rsid w:val="006F1A6C"/>
    <w:rsid w:val="006F1B81"/>
    <w:rsid w:val="006F1BCE"/>
    <w:rsid w:val="006F1D7D"/>
    <w:rsid w:val="006F1E36"/>
    <w:rsid w:val="006F1E58"/>
    <w:rsid w:val="006F1EBF"/>
    <w:rsid w:val="006F1F3C"/>
    <w:rsid w:val="006F1F49"/>
    <w:rsid w:val="006F1FB8"/>
    <w:rsid w:val="006F2056"/>
    <w:rsid w:val="006F2090"/>
    <w:rsid w:val="006F20CC"/>
    <w:rsid w:val="006F20D8"/>
    <w:rsid w:val="006F213A"/>
    <w:rsid w:val="006F2221"/>
    <w:rsid w:val="006F2354"/>
    <w:rsid w:val="006F23C4"/>
    <w:rsid w:val="006F23DB"/>
    <w:rsid w:val="006F23FD"/>
    <w:rsid w:val="006F241B"/>
    <w:rsid w:val="006F2486"/>
    <w:rsid w:val="006F249F"/>
    <w:rsid w:val="006F24DE"/>
    <w:rsid w:val="006F2520"/>
    <w:rsid w:val="006F2562"/>
    <w:rsid w:val="006F2579"/>
    <w:rsid w:val="006F25E3"/>
    <w:rsid w:val="006F265A"/>
    <w:rsid w:val="006F270E"/>
    <w:rsid w:val="006F274E"/>
    <w:rsid w:val="006F2788"/>
    <w:rsid w:val="006F2792"/>
    <w:rsid w:val="006F2835"/>
    <w:rsid w:val="006F2882"/>
    <w:rsid w:val="006F28C6"/>
    <w:rsid w:val="006F28D5"/>
    <w:rsid w:val="006F2A19"/>
    <w:rsid w:val="006F2A94"/>
    <w:rsid w:val="006F2AEC"/>
    <w:rsid w:val="006F2B05"/>
    <w:rsid w:val="006F2B3A"/>
    <w:rsid w:val="006F2B94"/>
    <w:rsid w:val="006F2BCC"/>
    <w:rsid w:val="006F2C2F"/>
    <w:rsid w:val="006F2C30"/>
    <w:rsid w:val="006F2C7C"/>
    <w:rsid w:val="006F2D43"/>
    <w:rsid w:val="006F2D6A"/>
    <w:rsid w:val="006F2DBA"/>
    <w:rsid w:val="006F2DCD"/>
    <w:rsid w:val="006F2E71"/>
    <w:rsid w:val="006F2E79"/>
    <w:rsid w:val="006F2E8B"/>
    <w:rsid w:val="006F2EFA"/>
    <w:rsid w:val="006F2FAC"/>
    <w:rsid w:val="006F303B"/>
    <w:rsid w:val="006F30BF"/>
    <w:rsid w:val="006F30F7"/>
    <w:rsid w:val="006F3123"/>
    <w:rsid w:val="006F3257"/>
    <w:rsid w:val="006F3262"/>
    <w:rsid w:val="006F338D"/>
    <w:rsid w:val="006F33E0"/>
    <w:rsid w:val="006F34A7"/>
    <w:rsid w:val="006F34E9"/>
    <w:rsid w:val="006F351D"/>
    <w:rsid w:val="006F3589"/>
    <w:rsid w:val="006F358E"/>
    <w:rsid w:val="006F362E"/>
    <w:rsid w:val="006F3634"/>
    <w:rsid w:val="006F374B"/>
    <w:rsid w:val="006F3756"/>
    <w:rsid w:val="006F37AC"/>
    <w:rsid w:val="006F381D"/>
    <w:rsid w:val="006F3876"/>
    <w:rsid w:val="006F3976"/>
    <w:rsid w:val="006F39CA"/>
    <w:rsid w:val="006F3A06"/>
    <w:rsid w:val="006F3A1C"/>
    <w:rsid w:val="006F3A2A"/>
    <w:rsid w:val="006F3C41"/>
    <w:rsid w:val="006F3C76"/>
    <w:rsid w:val="006F3CC9"/>
    <w:rsid w:val="006F3DC7"/>
    <w:rsid w:val="006F3ED4"/>
    <w:rsid w:val="006F3EDE"/>
    <w:rsid w:val="006F3EFD"/>
    <w:rsid w:val="006F3F47"/>
    <w:rsid w:val="006F3F70"/>
    <w:rsid w:val="006F3FC9"/>
    <w:rsid w:val="006F3FD7"/>
    <w:rsid w:val="006F4022"/>
    <w:rsid w:val="006F4100"/>
    <w:rsid w:val="006F417F"/>
    <w:rsid w:val="006F421F"/>
    <w:rsid w:val="006F4284"/>
    <w:rsid w:val="006F429D"/>
    <w:rsid w:val="006F444D"/>
    <w:rsid w:val="006F44C8"/>
    <w:rsid w:val="006F4522"/>
    <w:rsid w:val="006F45CF"/>
    <w:rsid w:val="006F476C"/>
    <w:rsid w:val="006F47E0"/>
    <w:rsid w:val="006F4811"/>
    <w:rsid w:val="006F48D5"/>
    <w:rsid w:val="006F4958"/>
    <w:rsid w:val="006F498E"/>
    <w:rsid w:val="006F49F5"/>
    <w:rsid w:val="006F4A2C"/>
    <w:rsid w:val="006F4A5C"/>
    <w:rsid w:val="006F4BB2"/>
    <w:rsid w:val="006F4BE4"/>
    <w:rsid w:val="006F4C4F"/>
    <w:rsid w:val="006F4C5A"/>
    <w:rsid w:val="006F4C77"/>
    <w:rsid w:val="006F4C9B"/>
    <w:rsid w:val="006F4C9D"/>
    <w:rsid w:val="006F4D3B"/>
    <w:rsid w:val="006F4DD8"/>
    <w:rsid w:val="006F4E4B"/>
    <w:rsid w:val="006F4E8C"/>
    <w:rsid w:val="006F4E9C"/>
    <w:rsid w:val="006F4EC2"/>
    <w:rsid w:val="006F4FBE"/>
    <w:rsid w:val="006F500E"/>
    <w:rsid w:val="006F5070"/>
    <w:rsid w:val="006F510E"/>
    <w:rsid w:val="006F51A6"/>
    <w:rsid w:val="006F5245"/>
    <w:rsid w:val="006F52CA"/>
    <w:rsid w:val="006F5304"/>
    <w:rsid w:val="006F5309"/>
    <w:rsid w:val="006F5479"/>
    <w:rsid w:val="006F549C"/>
    <w:rsid w:val="006F54A2"/>
    <w:rsid w:val="006F54A3"/>
    <w:rsid w:val="006F56BE"/>
    <w:rsid w:val="006F5713"/>
    <w:rsid w:val="006F576E"/>
    <w:rsid w:val="006F5882"/>
    <w:rsid w:val="006F58C8"/>
    <w:rsid w:val="006F5948"/>
    <w:rsid w:val="006F596C"/>
    <w:rsid w:val="006F5A42"/>
    <w:rsid w:val="006F5AD9"/>
    <w:rsid w:val="006F5B19"/>
    <w:rsid w:val="006F5B39"/>
    <w:rsid w:val="006F5BCA"/>
    <w:rsid w:val="006F5C39"/>
    <w:rsid w:val="006F5C83"/>
    <w:rsid w:val="006F5F0F"/>
    <w:rsid w:val="006F5F20"/>
    <w:rsid w:val="006F5FE2"/>
    <w:rsid w:val="006F60E7"/>
    <w:rsid w:val="006F611E"/>
    <w:rsid w:val="006F619B"/>
    <w:rsid w:val="006F622B"/>
    <w:rsid w:val="006F6346"/>
    <w:rsid w:val="006F6394"/>
    <w:rsid w:val="006F63D9"/>
    <w:rsid w:val="006F647C"/>
    <w:rsid w:val="006F64FD"/>
    <w:rsid w:val="006F652D"/>
    <w:rsid w:val="006F6596"/>
    <w:rsid w:val="006F666B"/>
    <w:rsid w:val="006F66A3"/>
    <w:rsid w:val="006F674D"/>
    <w:rsid w:val="006F679B"/>
    <w:rsid w:val="006F67B2"/>
    <w:rsid w:val="006F67DE"/>
    <w:rsid w:val="006F6829"/>
    <w:rsid w:val="006F6849"/>
    <w:rsid w:val="006F685B"/>
    <w:rsid w:val="006F6860"/>
    <w:rsid w:val="006F68A9"/>
    <w:rsid w:val="006F68E1"/>
    <w:rsid w:val="006F6905"/>
    <w:rsid w:val="006F6978"/>
    <w:rsid w:val="006F6985"/>
    <w:rsid w:val="006F6A2D"/>
    <w:rsid w:val="006F6A3F"/>
    <w:rsid w:val="006F6AA4"/>
    <w:rsid w:val="006F6AB8"/>
    <w:rsid w:val="006F6ABF"/>
    <w:rsid w:val="006F6B2D"/>
    <w:rsid w:val="006F6CCF"/>
    <w:rsid w:val="006F6D70"/>
    <w:rsid w:val="006F6E27"/>
    <w:rsid w:val="006F6E98"/>
    <w:rsid w:val="006F6EB9"/>
    <w:rsid w:val="006F6F50"/>
    <w:rsid w:val="006F6F5B"/>
    <w:rsid w:val="006F7007"/>
    <w:rsid w:val="006F71B9"/>
    <w:rsid w:val="006F7271"/>
    <w:rsid w:val="006F72EC"/>
    <w:rsid w:val="006F7383"/>
    <w:rsid w:val="006F739A"/>
    <w:rsid w:val="006F76AF"/>
    <w:rsid w:val="006F76B8"/>
    <w:rsid w:val="006F7791"/>
    <w:rsid w:val="006F7868"/>
    <w:rsid w:val="006F78C1"/>
    <w:rsid w:val="006F794C"/>
    <w:rsid w:val="006F79EB"/>
    <w:rsid w:val="006F7A05"/>
    <w:rsid w:val="006F7A53"/>
    <w:rsid w:val="006F7AC0"/>
    <w:rsid w:val="006F7C51"/>
    <w:rsid w:val="006F7CA6"/>
    <w:rsid w:val="006F7CC2"/>
    <w:rsid w:val="006F7DCE"/>
    <w:rsid w:val="006F7DDC"/>
    <w:rsid w:val="006F7E34"/>
    <w:rsid w:val="006F7E4F"/>
    <w:rsid w:val="006F7EB0"/>
    <w:rsid w:val="006F7F33"/>
    <w:rsid w:val="006F7F4D"/>
    <w:rsid w:val="006F7FA1"/>
    <w:rsid w:val="006F7FAA"/>
    <w:rsid w:val="006F7FE9"/>
    <w:rsid w:val="0070002C"/>
    <w:rsid w:val="007000B3"/>
    <w:rsid w:val="0070014E"/>
    <w:rsid w:val="00700386"/>
    <w:rsid w:val="00700430"/>
    <w:rsid w:val="00700457"/>
    <w:rsid w:val="0070046A"/>
    <w:rsid w:val="0070048C"/>
    <w:rsid w:val="0070055E"/>
    <w:rsid w:val="00700617"/>
    <w:rsid w:val="00700651"/>
    <w:rsid w:val="007006F0"/>
    <w:rsid w:val="00700706"/>
    <w:rsid w:val="00700713"/>
    <w:rsid w:val="0070073F"/>
    <w:rsid w:val="00700781"/>
    <w:rsid w:val="007007E2"/>
    <w:rsid w:val="007007E5"/>
    <w:rsid w:val="00700870"/>
    <w:rsid w:val="00700891"/>
    <w:rsid w:val="007008B4"/>
    <w:rsid w:val="0070090E"/>
    <w:rsid w:val="00700A39"/>
    <w:rsid w:val="00700A50"/>
    <w:rsid w:val="00700C85"/>
    <w:rsid w:val="00700CCA"/>
    <w:rsid w:val="00700CDB"/>
    <w:rsid w:val="00700E23"/>
    <w:rsid w:val="00700EA7"/>
    <w:rsid w:val="00700EB6"/>
    <w:rsid w:val="00700F45"/>
    <w:rsid w:val="00700FAB"/>
    <w:rsid w:val="00701090"/>
    <w:rsid w:val="007010CC"/>
    <w:rsid w:val="007011CC"/>
    <w:rsid w:val="00701234"/>
    <w:rsid w:val="00701335"/>
    <w:rsid w:val="00701376"/>
    <w:rsid w:val="007013F9"/>
    <w:rsid w:val="00701419"/>
    <w:rsid w:val="00701453"/>
    <w:rsid w:val="007014F8"/>
    <w:rsid w:val="0070152B"/>
    <w:rsid w:val="00701530"/>
    <w:rsid w:val="00701586"/>
    <w:rsid w:val="00701598"/>
    <w:rsid w:val="0070159A"/>
    <w:rsid w:val="007015BD"/>
    <w:rsid w:val="007015F1"/>
    <w:rsid w:val="0070161C"/>
    <w:rsid w:val="00701661"/>
    <w:rsid w:val="00701684"/>
    <w:rsid w:val="007016B0"/>
    <w:rsid w:val="007016C3"/>
    <w:rsid w:val="0070173C"/>
    <w:rsid w:val="0070177F"/>
    <w:rsid w:val="0070187C"/>
    <w:rsid w:val="007018EC"/>
    <w:rsid w:val="00701919"/>
    <w:rsid w:val="00701920"/>
    <w:rsid w:val="00701A94"/>
    <w:rsid w:val="00701B1E"/>
    <w:rsid w:val="00701B89"/>
    <w:rsid w:val="00701CF4"/>
    <w:rsid w:val="00701CFD"/>
    <w:rsid w:val="00701D22"/>
    <w:rsid w:val="00701D4F"/>
    <w:rsid w:val="00701DBD"/>
    <w:rsid w:val="00701E0C"/>
    <w:rsid w:val="00701E74"/>
    <w:rsid w:val="00701E87"/>
    <w:rsid w:val="00701EA5"/>
    <w:rsid w:val="00701EC1"/>
    <w:rsid w:val="00701F17"/>
    <w:rsid w:val="00701F99"/>
    <w:rsid w:val="00702085"/>
    <w:rsid w:val="007020F6"/>
    <w:rsid w:val="007020F9"/>
    <w:rsid w:val="0070214C"/>
    <w:rsid w:val="00702160"/>
    <w:rsid w:val="00702360"/>
    <w:rsid w:val="007023CB"/>
    <w:rsid w:val="00702416"/>
    <w:rsid w:val="00702481"/>
    <w:rsid w:val="0070260C"/>
    <w:rsid w:val="0070261F"/>
    <w:rsid w:val="00702636"/>
    <w:rsid w:val="0070263E"/>
    <w:rsid w:val="007026B2"/>
    <w:rsid w:val="00702751"/>
    <w:rsid w:val="0070276D"/>
    <w:rsid w:val="00702896"/>
    <w:rsid w:val="007028BA"/>
    <w:rsid w:val="007028BD"/>
    <w:rsid w:val="007028D3"/>
    <w:rsid w:val="00702A00"/>
    <w:rsid w:val="00702A70"/>
    <w:rsid w:val="00702B31"/>
    <w:rsid w:val="00702B5F"/>
    <w:rsid w:val="00702B8B"/>
    <w:rsid w:val="00702BCB"/>
    <w:rsid w:val="00702BE9"/>
    <w:rsid w:val="00702CA6"/>
    <w:rsid w:val="00702CCB"/>
    <w:rsid w:val="00702D18"/>
    <w:rsid w:val="00702D39"/>
    <w:rsid w:val="00702D9A"/>
    <w:rsid w:val="00702DD1"/>
    <w:rsid w:val="00702EEE"/>
    <w:rsid w:val="00702F0B"/>
    <w:rsid w:val="00702F49"/>
    <w:rsid w:val="00702F6A"/>
    <w:rsid w:val="00702F93"/>
    <w:rsid w:val="00703090"/>
    <w:rsid w:val="0070309B"/>
    <w:rsid w:val="00703122"/>
    <w:rsid w:val="00703125"/>
    <w:rsid w:val="00703155"/>
    <w:rsid w:val="0070317E"/>
    <w:rsid w:val="007031C5"/>
    <w:rsid w:val="007031F0"/>
    <w:rsid w:val="007032C6"/>
    <w:rsid w:val="007032CD"/>
    <w:rsid w:val="007032DF"/>
    <w:rsid w:val="00703371"/>
    <w:rsid w:val="00703396"/>
    <w:rsid w:val="007033D5"/>
    <w:rsid w:val="00703457"/>
    <w:rsid w:val="0070351B"/>
    <w:rsid w:val="0070355B"/>
    <w:rsid w:val="00703606"/>
    <w:rsid w:val="00703682"/>
    <w:rsid w:val="007036A6"/>
    <w:rsid w:val="007036B0"/>
    <w:rsid w:val="0070378C"/>
    <w:rsid w:val="00703823"/>
    <w:rsid w:val="00703836"/>
    <w:rsid w:val="0070386E"/>
    <w:rsid w:val="007039A8"/>
    <w:rsid w:val="007039B8"/>
    <w:rsid w:val="00703A34"/>
    <w:rsid w:val="00703B1A"/>
    <w:rsid w:val="00703B25"/>
    <w:rsid w:val="00703B51"/>
    <w:rsid w:val="00703BE0"/>
    <w:rsid w:val="00703CD2"/>
    <w:rsid w:val="00703CD4"/>
    <w:rsid w:val="00703CF6"/>
    <w:rsid w:val="00703D8E"/>
    <w:rsid w:val="00703E03"/>
    <w:rsid w:val="00703EDB"/>
    <w:rsid w:val="00703F67"/>
    <w:rsid w:val="00703F7B"/>
    <w:rsid w:val="00703F7C"/>
    <w:rsid w:val="00703FD0"/>
    <w:rsid w:val="0070409E"/>
    <w:rsid w:val="007040C7"/>
    <w:rsid w:val="007040E4"/>
    <w:rsid w:val="00704198"/>
    <w:rsid w:val="00704203"/>
    <w:rsid w:val="0070424D"/>
    <w:rsid w:val="007042DC"/>
    <w:rsid w:val="0070432D"/>
    <w:rsid w:val="0070432E"/>
    <w:rsid w:val="0070443E"/>
    <w:rsid w:val="0070446A"/>
    <w:rsid w:val="00704513"/>
    <w:rsid w:val="00704549"/>
    <w:rsid w:val="007046F5"/>
    <w:rsid w:val="00704747"/>
    <w:rsid w:val="007047F7"/>
    <w:rsid w:val="0070487A"/>
    <w:rsid w:val="007048A3"/>
    <w:rsid w:val="007048CF"/>
    <w:rsid w:val="00704957"/>
    <w:rsid w:val="007049CF"/>
    <w:rsid w:val="00704A1C"/>
    <w:rsid w:val="00704AA0"/>
    <w:rsid w:val="00704AB5"/>
    <w:rsid w:val="00704ABB"/>
    <w:rsid w:val="00704AE0"/>
    <w:rsid w:val="00704B1B"/>
    <w:rsid w:val="00704B7E"/>
    <w:rsid w:val="00704B90"/>
    <w:rsid w:val="00704D38"/>
    <w:rsid w:val="00704DA1"/>
    <w:rsid w:val="00704E58"/>
    <w:rsid w:val="00704F06"/>
    <w:rsid w:val="00704F20"/>
    <w:rsid w:val="00704F4A"/>
    <w:rsid w:val="00704FAB"/>
    <w:rsid w:val="00704FC3"/>
    <w:rsid w:val="00705016"/>
    <w:rsid w:val="00705021"/>
    <w:rsid w:val="007050C0"/>
    <w:rsid w:val="0070516D"/>
    <w:rsid w:val="0070521E"/>
    <w:rsid w:val="00705221"/>
    <w:rsid w:val="0070522F"/>
    <w:rsid w:val="00705312"/>
    <w:rsid w:val="0070544F"/>
    <w:rsid w:val="00705461"/>
    <w:rsid w:val="007054A4"/>
    <w:rsid w:val="007054B0"/>
    <w:rsid w:val="007054B8"/>
    <w:rsid w:val="0070551B"/>
    <w:rsid w:val="00705554"/>
    <w:rsid w:val="00705642"/>
    <w:rsid w:val="00705713"/>
    <w:rsid w:val="007058A4"/>
    <w:rsid w:val="00705968"/>
    <w:rsid w:val="007059DD"/>
    <w:rsid w:val="00705A22"/>
    <w:rsid w:val="00705B58"/>
    <w:rsid w:val="00705BB3"/>
    <w:rsid w:val="00705BE7"/>
    <w:rsid w:val="00705C38"/>
    <w:rsid w:val="00705D47"/>
    <w:rsid w:val="00705DE7"/>
    <w:rsid w:val="00705E0E"/>
    <w:rsid w:val="00705E13"/>
    <w:rsid w:val="00705E7F"/>
    <w:rsid w:val="00705F18"/>
    <w:rsid w:val="007060E5"/>
    <w:rsid w:val="00706123"/>
    <w:rsid w:val="007061E8"/>
    <w:rsid w:val="00706204"/>
    <w:rsid w:val="0070623E"/>
    <w:rsid w:val="0070625B"/>
    <w:rsid w:val="007062AE"/>
    <w:rsid w:val="007063D5"/>
    <w:rsid w:val="007063EC"/>
    <w:rsid w:val="00706444"/>
    <w:rsid w:val="00706462"/>
    <w:rsid w:val="00706473"/>
    <w:rsid w:val="00706474"/>
    <w:rsid w:val="0070648E"/>
    <w:rsid w:val="007064C3"/>
    <w:rsid w:val="00706505"/>
    <w:rsid w:val="00706548"/>
    <w:rsid w:val="00706556"/>
    <w:rsid w:val="00706574"/>
    <w:rsid w:val="0070663E"/>
    <w:rsid w:val="007066D9"/>
    <w:rsid w:val="00706715"/>
    <w:rsid w:val="00706736"/>
    <w:rsid w:val="00706747"/>
    <w:rsid w:val="00706759"/>
    <w:rsid w:val="0070675F"/>
    <w:rsid w:val="007067C4"/>
    <w:rsid w:val="007067C5"/>
    <w:rsid w:val="0070680A"/>
    <w:rsid w:val="0070683F"/>
    <w:rsid w:val="00706881"/>
    <w:rsid w:val="00706943"/>
    <w:rsid w:val="00706951"/>
    <w:rsid w:val="00706998"/>
    <w:rsid w:val="00706A63"/>
    <w:rsid w:val="00706B2A"/>
    <w:rsid w:val="00706B48"/>
    <w:rsid w:val="00706BD3"/>
    <w:rsid w:val="00706C7A"/>
    <w:rsid w:val="00706C7D"/>
    <w:rsid w:val="00706D6A"/>
    <w:rsid w:val="00706DD4"/>
    <w:rsid w:val="00706DF3"/>
    <w:rsid w:val="00706EE9"/>
    <w:rsid w:val="00706F84"/>
    <w:rsid w:val="00706FE8"/>
    <w:rsid w:val="007070C7"/>
    <w:rsid w:val="007070E7"/>
    <w:rsid w:val="00707173"/>
    <w:rsid w:val="007071ED"/>
    <w:rsid w:val="00707205"/>
    <w:rsid w:val="0070723C"/>
    <w:rsid w:val="0070726B"/>
    <w:rsid w:val="00707292"/>
    <w:rsid w:val="0070729F"/>
    <w:rsid w:val="007073D7"/>
    <w:rsid w:val="00707454"/>
    <w:rsid w:val="007074F7"/>
    <w:rsid w:val="00707620"/>
    <w:rsid w:val="00707754"/>
    <w:rsid w:val="00707772"/>
    <w:rsid w:val="00707845"/>
    <w:rsid w:val="0070792C"/>
    <w:rsid w:val="00707949"/>
    <w:rsid w:val="00707A0C"/>
    <w:rsid w:val="00707A46"/>
    <w:rsid w:val="00707A61"/>
    <w:rsid w:val="00707A75"/>
    <w:rsid w:val="00707A9C"/>
    <w:rsid w:val="00707B81"/>
    <w:rsid w:val="00707B9E"/>
    <w:rsid w:val="00707BF7"/>
    <w:rsid w:val="00707C1F"/>
    <w:rsid w:val="00707D0A"/>
    <w:rsid w:val="00707D47"/>
    <w:rsid w:val="00707D5C"/>
    <w:rsid w:val="00707D69"/>
    <w:rsid w:val="00707DB5"/>
    <w:rsid w:val="00707EE5"/>
    <w:rsid w:val="00707EF1"/>
    <w:rsid w:val="00707F86"/>
    <w:rsid w:val="00710073"/>
    <w:rsid w:val="0071008A"/>
    <w:rsid w:val="00710104"/>
    <w:rsid w:val="0071016F"/>
    <w:rsid w:val="0071020C"/>
    <w:rsid w:val="0071024A"/>
    <w:rsid w:val="007102FB"/>
    <w:rsid w:val="00710375"/>
    <w:rsid w:val="007103C2"/>
    <w:rsid w:val="00710427"/>
    <w:rsid w:val="00710428"/>
    <w:rsid w:val="007104BB"/>
    <w:rsid w:val="007104D5"/>
    <w:rsid w:val="007104F8"/>
    <w:rsid w:val="007105C1"/>
    <w:rsid w:val="00710689"/>
    <w:rsid w:val="00710755"/>
    <w:rsid w:val="00710768"/>
    <w:rsid w:val="007107DD"/>
    <w:rsid w:val="00710891"/>
    <w:rsid w:val="007108A2"/>
    <w:rsid w:val="007108C8"/>
    <w:rsid w:val="00710938"/>
    <w:rsid w:val="0071095D"/>
    <w:rsid w:val="007109AD"/>
    <w:rsid w:val="007109BB"/>
    <w:rsid w:val="00710A22"/>
    <w:rsid w:val="00710A24"/>
    <w:rsid w:val="00710A63"/>
    <w:rsid w:val="00710C8C"/>
    <w:rsid w:val="00710D28"/>
    <w:rsid w:val="00710D5F"/>
    <w:rsid w:val="00710D69"/>
    <w:rsid w:val="00710D97"/>
    <w:rsid w:val="00710DD8"/>
    <w:rsid w:val="00710E90"/>
    <w:rsid w:val="00710ECC"/>
    <w:rsid w:val="00710F46"/>
    <w:rsid w:val="00711154"/>
    <w:rsid w:val="0071118F"/>
    <w:rsid w:val="007111E3"/>
    <w:rsid w:val="0071127E"/>
    <w:rsid w:val="007112C8"/>
    <w:rsid w:val="0071136E"/>
    <w:rsid w:val="00711471"/>
    <w:rsid w:val="007114E4"/>
    <w:rsid w:val="007114FF"/>
    <w:rsid w:val="00711538"/>
    <w:rsid w:val="0071153E"/>
    <w:rsid w:val="00711650"/>
    <w:rsid w:val="00711660"/>
    <w:rsid w:val="007116DF"/>
    <w:rsid w:val="0071172C"/>
    <w:rsid w:val="00711783"/>
    <w:rsid w:val="0071185A"/>
    <w:rsid w:val="0071189A"/>
    <w:rsid w:val="007118C1"/>
    <w:rsid w:val="00711912"/>
    <w:rsid w:val="007119D3"/>
    <w:rsid w:val="00711A8C"/>
    <w:rsid w:val="00711AC0"/>
    <w:rsid w:val="00711AC5"/>
    <w:rsid w:val="00711B4F"/>
    <w:rsid w:val="00711B9B"/>
    <w:rsid w:val="00711BA1"/>
    <w:rsid w:val="00711C22"/>
    <w:rsid w:val="00711C58"/>
    <w:rsid w:val="00711C60"/>
    <w:rsid w:val="00711DA6"/>
    <w:rsid w:val="00711EBE"/>
    <w:rsid w:val="00711F0F"/>
    <w:rsid w:val="00711FE6"/>
    <w:rsid w:val="007120A4"/>
    <w:rsid w:val="00712103"/>
    <w:rsid w:val="0071228D"/>
    <w:rsid w:val="007122AD"/>
    <w:rsid w:val="007122C3"/>
    <w:rsid w:val="0071231E"/>
    <w:rsid w:val="00712369"/>
    <w:rsid w:val="007123AC"/>
    <w:rsid w:val="007123E1"/>
    <w:rsid w:val="0071247D"/>
    <w:rsid w:val="007124EE"/>
    <w:rsid w:val="00712526"/>
    <w:rsid w:val="007125C1"/>
    <w:rsid w:val="007125EC"/>
    <w:rsid w:val="00712601"/>
    <w:rsid w:val="007126BC"/>
    <w:rsid w:val="0071270E"/>
    <w:rsid w:val="00712724"/>
    <w:rsid w:val="0071280A"/>
    <w:rsid w:val="00712835"/>
    <w:rsid w:val="00712846"/>
    <w:rsid w:val="00712983"/>
    <w:rsid w:val="00712AB2"/>
    <w:rsid w:val="00712B50"/>
    <w:rsid w:val="00712BAE"/>
    <w:rsid w:val="00712BD2"/>
    <w:rsid w:val="00712CC5"/>
    <w:rsid w:val="00712D49"/>
    <w:rsid w:val="00712DD3"/>
    <w:rsid w:val="00712E42"/>
    <w:rsid w:val="00712E48"/>
    <w:rsid w:val="00712EB6"/>
    <w:rsid w:val="00712F1E"/>
    <w:rsid w:val="00712FD0"/>
    <w:rsid w:val="00713055"/>
    <w:rsid w:val="00713143"/>
    <w:rsid w:val="0071319C"/>
    <w:rsid w:val="0071327B"/>
    <w:rsid w:val="007132ED"/>
    <w:rsid w:val="00713308"/>
    <w:rsid w:val="00713333"/>
    <w:rsid w:val="007133BA"/>
    <w:rsid w:val="007133FC"/>
    <w:rsid w:val="0071345B"/>
    <w:rsid w:val="007134E7"/>
    <w:rsid w:val="0071350E"/>
    <w:rsid w:val="00713524"/>
    <w:rsid w:val="007135B4"/>
    <w:rsid w:val="007135D5"/>
    <w:rsid w:val="00713699"/>
    <w:rsid w:val="007137AC"/>
    <w:rsid w:val="007138B1"/>
    <w:rsid w:val="0071398F"/>
    <w:rsid w:val="007139BC"/>
    <w:rsid w:val="007139BD"/>
    <w:rsid w:val="007139C9"/>
    <w:rsid w:val="00713AB1"/>
    <w:rsid w:val="00713B24"/>
    <w:rsid w:val="00713B9E"/>
    <w:rsid w:val="00713C48"/>
    <w:rsid w:val="00713C79"/>
    <w:rsid w:val="00713DF7"/>
    <w:rsid w:val="00713E7E"/>
    <w:rsid w:val="00713EBB"/>
    <w:rsid w:val="00713F1B"/>
    <w:rsid w:val="00713F2C"/>
    <w:rsid w:val="00713F30"/>
    <w:rsid w:val="00713F6B"/>
    <w:rsid w:val="00714043"/>
    <w:rsid w:val="00714095"/>
    <w:rsid w:val="007140F4"/>
    <w:rsid w:val="00714190"/>
    <w:rsid w:val="007141B1"/>
    <w:rsid w:val="00714207"/>
    <w:rsid w:val="00714250"/>
    <w:rsid w:val="007142D6"/>
    <w:rsid w:val="007143C6"/>
    <w:rsid w:val="00714483"/>
    <w:rsid w:val="00714497"/>
    <w:rsid w:val="00714517"/>
    <w:rsid w:val="00714530"/>
    <w:rsid w:val="00714597"/>
    <w:rsid w:val="0071462E"/>
    <w:rsid w:val="0071468E"/>
    <w:rsid w:val="007146B9"/>
    <w:rsid w:val="007146EB"/>
    <w:rsid w:val="00714803"/>
    <w:rsid w:val="007148C9"/>
    <w:rsid w:val="0071490B"/>
    <w:rsid w:val="00714984"/>
    <w:rsid w:val="007149F6"/>
    <w:rsid w:val="00714AB9"/>
    <w:rsid w:val="00714AF6"/>
    <w:rsid w:val="00714AFD"/>
    <w:rsid w:val="00714B17"/>
    <w:rsid w:val="00714B1C"/>
    <w:rsid w:val="00714C67"/>
    <w:rsid w:val="00714CA2"/>
    <w:rsid w:val="00714CAB"/>
    <w:rsid w:val="00714D74"/>
    <w:rsid w:val="00714E42"/>
    <w:rsid w:val="00714E71"/>
    <w:rsid w:val="00714F14"/>
    <w:rsid w:val="007151F4"/>
    <w:rsid w:val="00715272"/>
    <w:rsid w:val="007152D1"/>
    <w:rsid w:val="00715359"/>
    <w:rsid w:val="0071536B"/>
    <w:rsid w:val="007153D1"/>
    <w:rsid w:val="007153D9"/>
    <w:rsid w:val="0071540B"/>
    <w:rsid w:val="0071540C"/>
    <w:rsid w:val="00715416"/>
    <w:rsid w:val="007154BB"/>
    <w:rsid w:val="00715505"/>
    <w:rsid w:val="0071555A"/>
    <w:rsid w:val="00715583"/>
    <w:rsid w:val="00715635"/>
    <w:rsid w:val="0071567F"/>
    <w:rsid w:val="007156AD"/>
    <w:rsid w:val="00715716"/>
    <w:rsid w:val="0071573C"/>
    <w:rsid w:val="0071581C"/>
    <w:rsid w:val="00715B1A"/>
    <w:rsid w:val="00715B2F"/>
    <w:rsid w:val="00715B39"/>
    <w:rsid w:val="00715C95"/>
    <w:rsid w:val="00715DFF"/>
    <w:rsid w:val="00715EE7"/>
    <w:rsid w:val="00716038"/>
    <w:rsid w:val="0071617B"/>
    <w:rsid w:val="00716206"/>
    <w:rsid w:val="0071635F"/>
    <w:rsid w:val="00716383"/>
    <w:rsid w:val="007163A9"/>
    <w:rsid w:val="0071642F"/>
    <w:rsid w:val="0071649F"/>
    <w:rsid w:val="0071652B"/>
    <w:rsid w:val="00716574"/>
    <w:rsid w:val="00716598"/>
    <w:rsid w:val="007165DC"/>
    <w:rsid w:val="007166A9"/>
    <w:rsid w:val="007166F8"/>
    <w:rsid w:val="00716744"/>
    <w:rsid w:val="00716767"/>
    <w:rsid w:val="00716797"/>
    <w:rsid w:val="007167CE"/>
    <w:rsid w:val="00716810"/>
    <w:rsid w:val="00716867"/>
    <w:rsid w:val="007168D6"/>
    <w:rsid w:val="00716907"/>
    <w:rsid w:val="00716938"/>
    <w:rsid w:val="0071693E"/>
    <w:rsid w:val="00716A70"/>
    <w:rsid w:val="00716A7E"/>
    <w:rsid w:val="00716B3F"/>
    <w:rsid w:val="00716B9A"/>
    <w:rsid w:val="00716BDC"/>
    <w:rsid w:val="00716C17"/>
    <w:rsid w:val="00716C79"/>
    <w:rsid w:val="00716C8F"/>
    <w:rsid w:val="00716CF0"/>
    <w:rsid w:val="00716D33"/>
    <w:rsid w:val="00716D36"/>
    <w:rsid w:val="00716DFB"/>
    <w:rsid w:val="00716ECD"/>
    <w:rsid w:val="00716F14"/>
    <w:rsid w:val="00716FBD"/>
    <w:rsid w:val="00717039"/>
    <w:rsid w:val="00717110"/>
    <w:rsid w:val="0071712E"/>
    <w:rsid w:val="007171C8"/>
    <w:rsid w:val="007171D8"/>
    <w:rsid w:val="007171E3"/>
    <w:rsid w:val="00717303"/>
    <w:rsid w:val="0071731C"/>
    <w:rsid w:val="00717343"/>
    <w:rsid w:val="00717368"/>
    <w:rsid w:val="007173CE"/>
    <w:rsid w:val="007173F5"/>
    <w:rsid w:val="00717428"/>
    <w:rsid w:val="007174BD"/>
    <w:rsid w:val="00717532"/>
    <w:rsid w:val="007175F0"/>
    <w:rsid w:val="007175F8"/>
    <w:rsid w:val="00717658"/>
    <w:rsid w:val="0071773E"/>
    <w:rsid w:val="00717778"/>
    <w:rsid w:val="007177BC"/>
    <w:rsid w:val="007177CB"/>
    <w:rsid w:val="007178EB"/>
    <w:rsid w:val="0071798F"/>
    <w:rsid w:val="00717A2F"/>
    <w:rsid w:val="00717A93"/>
    <w:rsid w:val="00717B56"/>
    <w:rsid w:val="00717B63"/>
    <w:rsid w:val="00717C1B"/>
    <w:rsid w:val="00717C97"/>
    <w:rsid w:val="00717D2E"/>
    <w:rsid w:val="00717D97"/>
    <w:rsid w:val="00717DB7"/>
    <w:rsid w:val="00717E8C"/>
    <w:rsid w:val="00717F30"/>
    <w:rsid w:val="00717F65"/>
    <w:rsid w:val="00717F66"/>
    <w:rsid w:val="00717FFE"/>
    <w:rsid w:val="0072000D"/>
    <w:rsid w:val="007200E8"/>
    <w:rsid w:val="00720115"/>
    <w:rsid w:val="007201A5"/>
    <w:rsid w:val="00720211"/>
    <w:rsid w:val="007202C5"/>
    <w:rsid w:val="00720329"/>
    <w:rsid w:val="00720447"/>
    <w:rsid w:val="007204CD"/>
    <w:rsid w:val="00720501"/>
    <w:rsid w:val="00720668"/>
    <w:rsid w:val="00720718"/>
    <w:rsid w:val="0072077B"/>
    <w:rsid w:val="007207A8"/>
    <w:rsid w:val="00720898"/>
    <w:rsid w:val="007208F5"/>
    <w:rsid w:val="00720921"/>
    <w:rsid w:val="0072096E"/>
    <w:rsid w:val="007209E6"/>
    <w:rsid w:val="00720AF3"/>
    <w:rsid w:val="00720AF4"/>
    <w:rsid w:val="00720C09"/>
    <w:rsid w:val="00720C3E"/>
    <w:rsid w:val="00720CD8"/>
    <w:rsid w:val="00720D8F"/>
    <w:rsid w:val="00720DEC"/>
    <w:rsid w:val="00720E88"/>
    <w:rsid w:val="00720EB7"/>
    <w:rsid w:val="00720ED2"/>
    <w:rsid w:val="00720F40"/>
    <w:rsid w:val="00720F79"/>
    <w:rsid w:val="0072104B"/>
    <w:rsid w:val="0072107F"/>
    <w:rsid w:val="007210F4"/>
    <w:rsid w:val="00721186"/>
    <w:rsid w:val="00721229"/>
    <w:rsid w:val="00721263"/>
    <w:rsid w:val="007212A0"/>
    <w:rsid w:val="007212C8"/>
    <w:rsid w:val="0072138B"/>
    <w:rsid w:val="00721400"/>
    <w:rsid w:val="0072140E"/>
    <w:rsid w:val="0072142C"/>
    <w:rsid w:val="007214C9"/>
    <w:rsid w:val="0072160F"/>
    <w:rsid w:val="0072163D"/>
    <w:rsid w:val="007216C6"/>
    <w:rsid w:val="007217ED"/>
    <w:rsid w:val="007218A0"/>
    <w:rsid w:val="00721919"/>
    <w:rsid w:val="007219A2"/>
    <w:rsid w:val="007219AD"/>
    <w:rsid w:val="007219BF"/>
    <w:rsid w:val="007219C0"/>
    <w:rsid w:val="00721A25"/>
    <w:rsid w:val="00721B08"/>
    <w:rsid w:val="00721B3B"/>
    <w:rsid w:val="00721BBF"/>
    <w:rsid w:val="00721CF6"/>
    <w:rsid w:val="00721D3B"/>
    <w:rsid w:val="00721D46"/>
    <w:rsid w:val="00721E8C"/>
    <w:rsid w:val="00721F10"/>
    <w:rsid w:val="00721F17"/>
    <w:rsid w:val="00721F44"/>
    <w:rsid w:val="00722029"/>
    <w:rsid w:val="00722069"/>
    <w:rsid w:val="00722255"/>
    <w:rsid w:val="007222F8"/>
    <w:rsid w:val="007222FC"/>
    <w:rsid w:val="0072233D"/>
    <w:rsid w:val="007223D5"/>
    <w:rsid w:val="007224AB"/>
    <w:rsid w:val="007224FC"/>
    <w:rsid w:val="007225C6"/>
    <w:rsid w:val="0072268C"/>
    <w:rsid w:val="00722707"/>
    <w:rsid w:val="00722766"/>
    <w:rsid w:val="007227A3"/>
    <w:rsid w:val="007227DD"/>
    <w:rsid w:val="007227EA"/>
    <w:rsid w:val="007227FC"/>
    <w:rsid w:val="0072281A"/>
    <w:rsid w:val="0072288F"/>
    <w:rsid w:val="0072289E"/>
    <w:rsid w:val="00722910"/>
    <w:rsid w:val="00722944"/>
    <w:rsid w:val="007229D3"/>
    <w:rsid w:val="00722A5C"/>
    <w:rsid w:val="00722A89"/>
    <w:rsid w:val="00722A9F"/>
    <w:rsid w:val="00722AC0"/>
    <w:rsid w:val="00722E1E"/>
    <w:rsid w:val="00722EBA"/>
    <w:rsid w:val="00722EC6"/>
    <w:rsid w:val="00722ED8"/>
    <w:rsid w:val="00722F50"/>
    <w:rsid w:val="00722F74"/>
    <w:rsid w:val="00722FAB"/>
    <w:rsid w:val="00722FAE"/>
    <w:rsid w:val="007230A0"/>
    <w:rsid w:val="0072313B"/>
    <w:rsid w:val="0072315B"/>
    <w:rsid w:val="00723186"/>
    <w:rsid w:val="007231DF"/>
    <w:rsid w:val="00723271"/>
    <w:rsid w:val="0072335D"/>
    <w:rsid w:val="0072357B"/>
    <w:rsid w:val="007236C0"/>
    <w:rsid w:val="007237B8"/>
    <w:rsid w:val="00723854"/>
    <w:rsid w:val="00723876"/>
    <w:rsid w:val="007238B3"/>
    <w:rsid w:val="00723949"/>
    <w:rsid w:val="00723A21"/>
    <w:rsid w:val="00723BC5"/>
    <w:rsid w:val="00723C8F"/>
    <w:rsid w:val="00723CC9"/>
    <w:rsid w:val="00723D23"/>
    <w:rsid w:val="00723D57"/>
    <w:rsid w:val="00723DDA"/>
    <w:rsid w:val="00723E38"/>
    <w:rsid w:val="00723E42"/>
    <w:rsid w:val="00723EC6"/>
    <w:rsid w:val="00723FB5"/>
    <w:rsid w:val="00723FCE"/>
    <w:rsid w:val="00724001"/>
    <w:rsid w:val="0072407A"/>
    <w:rsid w:val="007240C5"/>
    <w:rsid w:val="0072414F"/>
    <w:rsid w:val="007241E3"/>
    <w:rsid w:val="007241EA"/>
    <w:rsid w:val="007242C5"/>
    <w:rsid w:val="00724317"/>
    <w:rsid w:val="0072434F"/>
    <w:rsid w:val="007243F9"/>
    <w:rsid w:val="007244E0"/>
    <w:rsid w:val="00724507"/>
    <w:rsid w:val="00724534"/>
    <w:rsid w:val="0072453F"/>
    <w:rsid w:val="007245BC"/>
    <w:rsid w:val="00724636"/>
    <w:rsid w:val="007246E6"/>
    <w:rsid w:val="00724785"/>
    <w:rsid w:val="007247A0"/>
    <w:rsid w:val="007247C0"/>
    <w:rsid w:val="0072481A"/>
    <w:rsid w:val="007248BA"/>
    <w:rsid w:val="00724989"/>
    <w:rsid w:val="007249D8"/>
    <w:rsid w:val="00724A33"/>
    <w:rsid w:val="00724A45"/>
    <w:rsid w:val="00724AC2"/>
    <w:rsid w:val="00724AF4"/>
    <w:rsid w:val="00724B70"/>
    <w:rsid w:val="00724BF1"/>
    <w:rsid w:val="00724C14"/>
    <w:rsid w:val="00724C37"/>
    <w:rsid w:val="00724C9E"/>
    <w:rsid w:val="00724D20"/>
    <w:rsid w:val="00724DF1"/>
    <w:rsid w:val="00724E56"/>
    <w:rsid w:val="00724E60"/>
    <w:rsid w:val="00724E7B"/>
    <w:rsid w:val="00724FA2"/>
    <w:rsid w:val="00725057"/>
    <w:rsid w:val="007250BA"/>
    <w:rsid w:val="0072514E"/>
    <w:rsid w:val="007251BE"/>
    <w:rsid w:val="00725269"/>
    <w:rsid w:val="00725283"/>
    <w:rsid w:val="00725316"/>
    <w:rsid w:val="00725385"/>
    <w:rsid w:val="007253F4"/>
    <w:rsid w:val="007254F3"/>
    <w:rsid w:val="0072551A"/>
    <w:rsid w:val="0072552E"/>
    <w:rsid w:val="0072558B"/>
    <w:rsid w:val="00725625"/>
    <w:rsid w:val="00725658"/>
    <w:rsid w:val="00725867"/>
    <w:rsid w:val="00725899"/>
    <w:rsid w:val="0072594E"/>
    <w:rsid w:val="00725960"/>
    <w:rsid w:val="0072598D"/>
    <w:rsid w:val="0072599B"/>
    <w:rsid w:val="007259B6"/>
    <w:rsid w:val="00725A42"/>
    <w:rsid w:val="00725A78"/>
    <w:rsid w:val="00725BB7"/>
    <w:rsid w:val="00725C3D"/>
    <w:rsid w:val="00725C56"/>
    <w:rsid w:val="00725C8C"/>
    <w:rsid w:val="00725D9D"/>
    <w:rsid w:val="00725DD2"/>
    <w:rsid w:val="00725EE7"/>
    <w:rsid w:val="00725F2E"/>
    <w:rsid w:val="00725F8F"/>
    <w:rsid w:val="00725F94"/>
    <w:rsid w:val="00726003"/>
    <w:rsid w:val="00726040"/>
    <w:rsid w:val="0072608F"/>
    <w:rsid w:val="007260C8"/>
    <w:rsid w:val="00726136"/>
    <w:rsid w:val="00726193"/>
    <w:rsid w:val="00726256"/>
    <w:rsid w:val="007262ED"/>
    <w:rsid w:val="007262EF"/>
    <w:rsid w:val="0072635E"/>
    <w:rsid w:val="00726490"/>
    <w:rsid w:val="007264D3"/>
    <w:rsid w:val="007264E3"/>
    <w:rsid w:val="007264F1"/>
    <w:rsid w:val="00726612"/>
    <w:rsid w:val="00726709"/>
    <w:rsid w:val="0072675C"/>
    <w:rsid w:val="00726760"/>
    <w:rsid w:val="007268DD"/>
    <w:rsid w:val="007268FD"/>
    <w:rsid w:val="0072697B"/>
    <w:rsid w:val="00726A74"/>
    <w:rsid w:val="00726AD7"/>
    <w:rsid w:val="00726B11"/>
    <w:rsid w:val="00726B5F"/>
    <w:rsid w:val="00726B78"/>
    <w:rsid w:val="00726B83"/>
    <w:rsid w:val="00726C03"/>
    <w:rsid w:val="00726C99"/>
    <w:rsid w:val="00726D10"/>
    <w:rsid w:val="00726DCD"/>
    <w:rsid w:val="00726E07"/>
    <w:rsid w:val="00726F3C"/>
    <w:rsid w:val="0072708D"/>
    <w:rsid w:val="007270F1"/>
    <w:rsid w:val="0072719A"/>
    <w:rsid w:val="0072719F"/>
    <w:rsid w:val="00727215"/>
    <w:rsid w:val="00727245"/>
    <w:rsid w:val="00727321"/>
    <w:rsid w:val="00727346"/>
    <w:rsid w:val="0072737C"/>
    <w:rsid w:val="00727391"/>
    <w:rsid w:val="0072753F"/>
    <w:rsid w:val="0072755F"/>
    <w:rsid w:val="00727682"/>
    <w:rsid w:val="007277A1"/>
    <w:rsid w:val="00727815"/>
    <w:rsid w:val="0072784D"/>
    <w:rsid w:val="0072788D"/>
    <w:rsid w:val="007278B4"/>
    <w:rsid w:val="007278E1"/>
    <w:rsid w:val="00727A30"/>
    <w:rsid w:val="00727A64"/>
    <w:rsid w:val="00727A9B"/>
    <w:rsid w:val="00727AEF"/>
    <w:rsid w:val="00727C04"/>
    <w:rsid w:val="00727C23"/>
    <w:rsid w:val="00727C46"/>
    <w:rsid w:val="00727C96"/>
    <w:rsid w:val="00727CCA"/>
    <w:rsid w:val="00727E66"/>
    <w:rsid w:val="00727E7F"/>
    <w:rsid w:val="00727F4D"/>
    <w:rsid w:val="00727F95"/>
    <w:rsid w:val="0073000B"/>
    <w:rsid w:val="00730015"/>
    <w:rsid w:val="00730217"/>
    <w:rsid w:val="00730292"/>
    <w:rsid w:val="0073049B"/>
    <w:rsid w:val="007305CE"/>
    <w:rsid w:val="00730672"/>
    <w:rsid w:val="007307FB"/>
    <w:rsid w:val="0073083A"/>
    <w:rsid w:val="007308AF"/>
    <w:rsid w:val="0073090A"/>
    <w:rsid w:val="007309DE"/>
    <w:rsid w:val="00730AE1"/>
    <w:rsid w:val="00730AE7"/>
    <w:rsid w:val="00730AF9"/>
    <w:rsid w:val="00730B03"/>
    <w:rsid w:val="00730BBB"/>
    <w:rsid w:val="00730D5D"/>
    <w:rsid w:val="00730D7D"/>
    <w:rsid w:val="00730E91"/>
    <w:rsid w:val="00730EC1"/>
    <w:rsid w:val="00730EE6"/>
    <w:rsid w:val="00730F7B"/>
    <w:rsid w:val="00730F9D"/>
    <w:rsid w:val="00730FD9"/>
    <w:rsid w:val="00731060"/>
    <w:rsid w:val="00731117"/>
    <w:rsid w:val="00731177"/>
    <w:rsid w:val="007311AD"/>
    <w:rsid w:val="007312A7"/>
    <w:rsid w:val="007312D8"/>
    <w:rsid w:val="0073132C"/>
    <w:rsid w:val="00731330"/>
    <w:rsid w:val="00731387"/>
    <w:rsid w:val="007313B8"/>
    <w:rsid w:val="007313CD"/>
    <w:rsid w:val="007313D4"/>
    <w:rsid w:val="0073140C"/>
    <w:rsid w:val="00731491"/>
    <w:rsid w:val="007314B3"/>
    <w:rsid w:val="007315AE"/>
    <w:rsid w:val="00731677"/>
    <w:rsid w:val="00731780"/>
    <w:rsid w:val="0073185D"/>
    <w:rsid w:val="00731922"/>
    <w:rsid w:val="00731937"/>
    <w:rsid w:val="007319AF"/>
    <w:rsid w:val="007319D8"/>
    <w:rsid w:val="007319E6"/>
    <w:rsid w:val="00731A06"/>
    <w:rsid w:val="00731ADA"/>
    <w:rsid w:val="00731D01"/>
    <w:rsid w:val="00731D7F"/>
    <w:rsid w:val="00731DBF"/>
    <w:rsid w:val="00731DD7"/>
    <w:rsid w:val="00731E48"/>
    <w:rsid w:val="00731F1F"/>
    <w:rsid w:val="00731F8B"/>
    <w:rsid w:val="00731FAE"/>
    <w:rsid w:val="00731FB7"/>
    <w:rsid w:val="0073200F"/>
    <w:rsid w:val="00732012"/>
    <w:rsid w:val="0073205E"/>
    <w:rsid w:val="00732134"/>
    <w:rsid w:val="00732183"/>
    <w:rsid w:val="00732197"/>
    <w:rsid w:val="007322FF"/>
    <w:rsid w:val="00732390"/>
    <w:rsid w:val="00732411"/>
    <w:rsid w:val="00732466"/>
    <w:rsid w:val="0073246D"/>
    <w:rsid w:val="00732562"/>
    <w:rsid w:val="007326A9"/>
    <w:rsid w:val="0073278D"/>
    <w:rsid w:val="007327E2"/>
    <w:rsid w:val="007328B2"/>
    <w:rsid w:val="00732927"/>
    <w:rsid w:val="00732932"/>
    <w:rsid w:val="00732939"/>
    <w:rsid w:val="00732ABD"/>
    <w:rsid w:val="00732BC7"/>
    <w:rsid w:val="00732BF0"/>
    <w:rsid w:val="00732C3D"/>
    <w:rsid w:val="00732C65"/>
    <w:rsid w:val="00732CC5"/>
    <w:rsid w:val="00732DC5"/>
    <w:rsid w:val="00732E68"/>
    <w:rsid w:val="00732EB8"/>
    <w:rsid w:val="00732F12"/>
    <w:rsid w:val="00732F44"/>
    <w:rsid w:val="007330A5"/>
    <w:rsid w:val="007330CC"/>
    <w:rsid w:val="00733186"/>
    <w:rsid w:val="007331E5"/>
    <w:rsid w:val="00733311"/>
    <w:rsid w:val="007333E3"/>
    <w:rsid w:val="00733548"/>
    <w:rsid w:val="0073354B"/>
    <w:rsid w:val="007335AB"/>
    <w:rsid w:val="007336B3"/>
    <w:rsid w:val="0073372D"/>
    <w:rsid w:val="00733837"/>
    <w:rsid w:val="007338B8"/>
    <w:rsid w:val="00733906"/>
    <w:rsid w:val="00733998"/>
    <w:rsid w:val="007339FD"/>
    <w:rsid w:val="00733B04"/>
    <w:rsid w:val="00733C54"/>
    <w:rsid w:val="00733D17"/>
    <w:rsid w:val="00733D1A"/>
    <w:rsid w:val="00733D49"/>
    <w:rsid w:val="00733E1E"/>
    <w:rsid w:val="00733E7D"/>
    <w:rsid w:val="00733F16"/>
    <w:rsid w:val="00733F69"/>
    <w:rsid w:val="00733FAD"/>
    <w:rsid w:val="00733FB4"/>
    <w:rsid w:val="00733FE7"/>
    <w:rsid w:val="00733FFB"/>
    <w:rsid w:val="00734091"/>
    <w:rsid w:val="007340AB"/>
    <w:rsid w:val="007340B5"/>
    <w:rsid w:val="0073414F"/>
    <w:rsid w:val="00734160"/>
    <w:rsid w:val="00734197"/>
    <w:rsid w:val="007341C1"/>
    <w:rsid w:val="0073427A"/>
    <w:rsid w:val="00734350"/>
    <w:rsid w:val="00734352"/>
    <w:rsid w:val="0073436C"/>
    <w:rsid w:val="00734457"/>
    <w:rsid w:val="00734506"/>
    <w:rsid w:val="00734508"/>
    <w:rsid w:val="00734511"/>
    <w:rsid w:val="0073452B"/>
    <w:rsid w:val="0073474E"/>
    <w:rsid w:val="007347B9"/>
    <w:rsid w:val="00734817"/>
    <w:rsid w:val="00734857"/>
    <w:rsid w:val="00734917"/>
    <w:rsid w:val="00734994"/>
    <w:rsid w:val="007349D3"/>
    <w:rsid w:val="007349D6"/>
    <w:rsid w:val="00734A19"/>
    <w:rsid w:val="00734B78"/>
    <w:rsid w:val="00734B80"/>
    <w:rsid w:val="00734B9F"/>
    <w:rsid w:val="00734CEC"/>
    <w:rsid w:val="00734DA1"/>
    <w:rsid w:val="00734E18"/>
    <w:rsid w:val="00734F87"/>
    <w:rsid w:val="007350FD"/>
    <w:rsid w:val="0073511E"/>
    <w:rsid w:val="00735298"/>
    <w:rsid w:val="007352C9"/>
    <w:rsid w:val="00735304"/>
    <w:rsid w:val="007353A7"/>
    <w:rsid w:val="007353B2"/>
    <w:rsid w:val="007353C2"/>
    <w:rsid w:val="00735618"/>
    <w:rsid w:val="0073563C"/>
    <w:rsid w:val="0073565D"/>
    <w:rsid w:val="0073582C"/>
    <w:rsid w:val="007358DE"/>
    <w:rsid w:val="00735A47"/>
    <w:rsid w:val="00735BEA"/>
    <w:rsid w:val="00735C3E"/>
    <w:rsid w:val="00735C5E"/>
    <w:rsid w:val="00735CBC"/>
    <w:rsid w:val="00735CBF"/>
    <w:rsid w:val="00735D1B"/>
    <w:rsid w:val="00735DCF"/>
    <w:rsid w:val="00735E21"/>
    <w:rsid w:val="00735FA9"/>
    <w:rsid w:val="00735FB9"/>
    <w:rsid w:val="00736007"/>
    <w:rsid w:val="007360EF"/>
    <w:rsid w:val="0073617E"/>
    <w:rsid w:val="00736208"/>
    <w:rsid w:val="00736271"/>
    <w:rsid w:val="00736298"/>
    <w:rsid w:val="00736386"/>
    <w:rsid w:val="007363E2"/>
    <w:rsid w:val="0073641B"/>
    <w:rsid w:val="0073643F"/>
    <w:rsid w:val="00736461"/>
    <w:rsid w:val="007364BB"/>
    <w:rsid w:val="007364DB"/>
    <w:rsid w:val="007364E8"/>
    <w:rsid w:val="007365E6"/>
    <w:rsid w:val="00736723"/>
    <w:rsid w:val="00736749"/>
    <w:rsid w:val="00736754"/>
    <w:rsid w:val="00736768"/>
    <w:rsid w:val="007367A6"/>
    <w:rsid w:val="00736811"/>
    <w:rsid w:val="00736907"/>
    <w:rsid w:val="0073698D"/>
    <w:rsid w:val="007369DA"/>
    <w:rsid w:val="00736AE8"/>
    <w:rsid w:val="00736B8F"/>
    <w:rsid w:val="00736B9D"/>
    <w:rsid w:val="00736C14"/>
    <w:rsid w:val="00736C15"/>
    <w:rsid w:val="00736C1E"/>
    <w:rsid w:val="00736C3A"/>
    <w:rsid w:val="00736C67"/>
    <w:rsid w:val="00736CC2"/>
    <w:rsid w:val="00736D98"/>
    <w:rsid w:val="00736DC4"/>
    <w:rsid w:val="00736E8B"/>
    <w:rsid w:val="00736ECC"/>
    <w:rsid w:val="00736F4A"/>
    <w:rsid w:val="00736F6A"/>
    <w:rsid w:val="0073701F"/>
    <w:rsid w:val="00737090"/>
    <w:rsid w:val="00737108"/>
    <w:rsid w:val="007371C2"/>
    <w:rsid w:val="007371F8"/>
    <w:rsid w:val="00737257"/>
    <w:rsid w:val="00737313"/>
    <w:rsid w:val="007373F6"/>
    <w:rsid w:val="00737402"/>
    <w:rsid w:val="0073741F"/>
    <w:rsid w:val="007374D1"/>
    <w:rsid w:val="007374D6"/>
    <w:rsid w:val="00737669"/>
    <w:rsid w:val="007376A3"/>
    <w:rsid w:val="007376C5"/>
    <w:rsid w:val="007376E2"/>
    <w:rsid w:val="00737852"/>
    <w:rsid w:val="00737883"/>
    <w:rsid w:val="0073788D"/>
    <w:rsid w:val="007378B5"/>
    <w:rsid w:val="00737915"/>
    <w:rsid w:val="00737A52"/>
    <w:rsid w:val="00737A55"/>
    <w:rsid w:val="00737A59"/>
    <w:rsid w:val="00737AA2"/>
    <w:rsid w:val="00737BB3"/>
    <w:rsid w:val="00737C25"/>
    <w:rsid w:val="00737D29"/>
    <w:rsid w:val="00737D3F"/>
    <w:rsid w:val="00737D4F"/>
    <w:rsid w:val="00737D91"/>
    <w:rsid w:val="00737DEB"/>
    <w:rsid w:val="00737E9A"/>
    <w:rsid w:val="0074000E"/>
    <w:rsid w:val="00740029"/>
    <w:rsid w:val="007400E6"/>
    <w:rsid w:val="0074015F"/>
    <w:rsid w:val="00740200"/>
    <w:rsid w:val="00740241"/>
    <w:rsid w:val="0074040E"/>
    <w:rsid w:val="00740528"/>
    <w:rsid w:val="00740547"/>
    <w:rsid w:val="007405F6"/>
    <w:rsid w:val="00740683"/>
    <w:rsid w:val="00740750"/>
    <w:rsid w:val="0074075C"/>
    <w:rsid w:val="00740793"/>
    <w:rsid w:val="0074093E"/>
    <w:rsid w:val="00740976"/>
    <w:rsid w:val="0074098F"/>
    <w:rsid w:val="0074099E"/>
    <w:rsid w:val="007409D6"/>
    <w:rsid w:val="00740A5D"/>
    <w:rsid w:val="00740ACB"/>
    <w:rsid w:val="00740B50"/>
    <w:rsid w:val="00740B9C"/>
    <w:rsid w:val="00740BA9"/>
    <w:rsid w:val="00740C3F"/>
    <w:rsid w:val="00740C6A"/>
    <w:rsid w:val="00740CD4"/>
    <w:rsid w:val="00740DC3"/>
    <w:rsid w:val="00740DDC"/>
    <w:rsid w:val="00740DF5"/>
    <w:rsid w:val="00740E21"/>
    <w:rsid w:val="00740E3A"/>
    <w:rsid w:val="00740EB5"/>
    <w:rsid w:val="007410B7"/>
    <w:rsid w:val="007411A3"/>
    <w:rsid w:val="007411C8"/>
    <w:rsid w:val="0074137E"/>
    <w:rsid w:val="00741387"/>
    <w:rsid w:val="007414D2"/>
    <w:rsid w:val="00741522"/>
    <w:rsid w:val="007415C2"/>
    <w:rsid w:val="00741771"/>
    <w:rsid w:val="007417EE"/>
    <w:rsid w:val="0074184A"/>
    <w:rsid w:val="007418E8"/>
    <w:rsid w:val="00741903"/>
    <w:rsid w:val="0074190E"/>
    <w:rsid w:val="007419AB"/>
    <w:rsid w:val="007419E0"/>
    <w:rsid w:val="00741A1D"/>
    <w:rsid w:val="00741A60"/>
    <w:rsid w:val="00741ADD"/>
    <w:rsid w:val="00741BBC"/>
    <w:rsid w:val="00741C52"/>
    <w:rsid w:val="00741D2F"/>
    <w:rsid w:val="00741D48"/>
    <w:rsid w:val="00741D4B"/>
    <w:rsid w:val="00741D69"/>
    <w:rsid w:val="00741DB9"/>
    <w:rsid w:val="00741EAB"/>
    <w:rsid w:val="00741EF6"/>
    <w:rsid w:val="00741EFC"/>
    <w:rsid w:val="00741F46"/>
    <w:rsid w:val="00741F94"/>
    <w:rsid w:val="00742022"/>
    <w:rsid w:val="00742030"/>
    <w:rsid w:val="0074205C"/>
    <w:rsid w:val="00742083"/>
    <w:rsid w:val="0074214D"/>
    <w:rsid w:val="007421A7"/>
    <w:rsid w:val="007421DD"/>
    <w:rsid w:val="00742215"/>
    <w:rsid w:val="007422A0"/>
    <w:rsid w:val="007422CC"/>
    <w:rsid w:val="007422EF"/>
    <w:rsid w:val="007422F3"/>
    <w:rsid w:val="00742311"/>
    <w:rsid w:val="00742340"/>
    <w:rsid w:val="0074252A"/>
    <w:rsid w:val="00742592"/>
    <w:rsid w:val="00742596"/>
    <w:rsid w:val="007425C3"/>
    <w:rsid w:val="00742601"/>
    <w:rsid w:val="0074263E"/>
    <w:rsid w:val="00742695"/>
    <w:rsid w:val="007426D6"/>
    <w:rsid w:val="007426E1"/>
    <w:rsid w:val="007427C2"/>
    <w:rsid w:val="00742833"/>
    <w:rsid w:val="007428B7"/>
    <w:rsid w:val="007428D6"/>
    <w:rsid w:val="00742946"/>
    <w:rsid w:val="00742A1C"/>
    <w:rsid w:val="00742B15"/>
    <w:rsid w:val="00742C18"/>
    <w:rsid w:val="00742C60"/>
    <w:rsid w:val="00742D3C"/>
    <w:rsid w:val="00742DA7"/>
    <w:rsid w:val="00742E69"/>
    <w:rsid w:val="00742EFC"/>
    <w:rsid w:val="00742F49"/>
    <w:rsid w:val="00742F92"/>
    <w:rsid w:val="00743085"/>
    <w:rsid w:val="0074310D"/>
    <w:rsid w:val="007431A7"/>
    <w:rsid w:val="00743214"/>
    <w:rsid w:val="007432BA"/>
    <w:rsid w:val="007432C4"/>
    <w:rsid w:val="007433CD"/>
    <w:rsid w:val="00743477"/>
    <w:rsid w:val="007434A4"/>
    <w:rsid w:val="00743519"/>
    <w:rsid w:val="0074351E"/>
    <w:rsid w:val="00743554"/>
    <w:rsid w:val="0074366C"/>
    <w:rsid w:val="007436BF"/>
    <w:rsid w:val="00743728"/>
    <w:rsid w:val="0074377E"/>
    <w:rsid w:val="0074388D"/>
    <w:rsid w:val="007438B3"/>
    <w:rsid w:val="00743902"/>
    <w:rsid w:val="00743948"/>
    <w:rsid w:val="00743962"/>
    <w:rsid w:val="00743990"/>
    <w:rsid w:val="00743A91"/>
    <w:rsid w:val="00743AA7"/>
    <w:rsid w:val="00743AB1"/>
    <w:rsid w:val="00743AD4"/>
    <w:rsid w:val="00743B2E"/>
    <w:rsid w:val="00743C67"/>
    <w:rsid w:val="00743CFB"/>
    <w:rsid w:val="00743D97"/>
    <w:rsid w:val="00743EAE"/>
    <w:rsid w:val="00743EC9"/>
    <w:rsid w:val="00743ED7"/>
    <w:rsid w:val="00743F6C"/>
    <w:rsid w:val="00744030"/>
    <w:rsid w:val="007440B0"/>
    <w:rsid w:val="00744143"/>
    <w:rsid w:val="00744148"/>
    <w:rsid w:val="00744196"/>
    <w:rsid w:val="007441C8"/>
    <w:rsid w:val="007441EB"/>
    <w:rsid w:val="007441F9"/>
    <w:rsid w:val="007442FB"/>
    <w:rsid w:val="00744347"/>
    <w:rsid w:val="0074434A"/>
    <w:rsid w:val="00744377"/>
    <w:rsid w:val="00744402"/>
    <w:rsid w:val="007444D6"/>
    <w:rsid w:val="007445DC"/>
    <w:rsid w:val="0074468E"/>
    <w:rsid w:val="007446B1"/>
    <w:rsid w:val="00744706"/>
    <w:rsid w:val="00744870"/>
    <w:rsid w:val="00744892"/>
    <w:rsid w:val="007448C4"/>
    <w:rsid w:val="007448E7"/>
    <w:rsid w:val="00744940"/>
    <w:rsid w:val="00744967"/>
    <w:rsid w:val="007449AE"/>
    <w:rsid w:val="007449CE"/>
    <w:rsid w:val="00744A1B"/>
    <w:rsid w:val="00744B02"/>
    <w:rsid w:val="00744B2D"/>
    <w:rsid w:val="00744C19"/>
    <w:rsid w:val="00744C7B"/>
    <w:rsid w:val="00744CD8"/>
    <w:rsid w:val="00744CED"/>
    <w:rsid w:val="00744D80"/>
    <w:rsid w:val="00744D84"/>
    <w:rsid w:val="00744D87"/>
    <w:rsid w:val="00744DF9"/>
    <w:rsid w:val="00744E59"/>
    <w:rsid w:val="00744EDD"/>
    <w:rsid w:val="00744EEA"/>
    <w:rsid w:val="00744EFB"/>
    <w:rsid w:val="00744EFD"/>
    <w:rsid w:val="00744F07"/>
    <w:rsid w:val="00744F82"/>
    <w:rsid w:val="00744FC0"/>
    <w:rsid w:val="00744FF0"/>
    <w:rsid w:val="00745014"/>
    <w:rsid w:val="00745080"/>
    <w:rsid w:val="0074512C"/>
    <w:rsid w:val="00745219"/>
    <w:rsid w:val="0074521A"/>
    <w:rsid w:val="0074522F"/>
    <w:rsid w:val="00745254"/>
    <w:rsid w:val="00745307"/>
    <w:rsid w:val="0074548A"/>
    <w:rsid w:val="00745691"/>
    <w:rsid w:val="007456DA"/>
    <w:rsid w:val="0074572D"/>
    <w:rsid w:val="0074572F"/>
    <w:rsid w:val="0074573F"/>
    <w:rsid w:val="0074575A"/>
    <w:rsid w:val="007457B5"/>
    <w:rsid w:val="00745996"/>
    <w:rsid w:val="007459E1"/>
    <w:rsid w:val="00745A1B"/>
    <w:rsid w:val="00745A30"/>
    <w:rsid w:val="00745A5C"/>
    <w:rsid w:val="00745ABD"/>
    <w:rsid w:val="00745B51"/>
    <w:rsid w:val="00745B52"/>
    <w:rsid w:val="00745B7A"/>
    <w:rsid w:val="00745B91"/>
    <w:rsid w:val="00745BE5"/>
    <w:rsid w:val="00745BF8"/>
    <w:rsid w:val="00745CCB"/>
    <w:rsid w:val="00745CD5"/>
    <w:rsid w:val="00745CD9"/>
    <w:rsid w:val="00745CDC"/>
    <w:rsid w:val="00745CFC"/>
    <w:rsid w:val="00745D32"/>
    <w:rsid w:val="00745DD9"/>
    <w:rsid w:val="00746001"/>
    <w:rsid w:val="00746048"/>
    <w:rsid w:val="0074604C"/>
    <w:rsid w:val="00746071"/>
    <w:rsid w:val="00746144"/>
    <w:rsid w:val="007461A0"/>
    <w:rsid w:val="007461FE"/>
    <w:rsid w:val="00746311"/>
    <w:rsid w:val="00746344"/>
    <w:rsid w:val="0074635C"/>
    <w:rsid w:val="007463B1"/>
    <w:rsid w:val="00746415"/>
    <w:rsid w:val="0074642A"/>
    <w:rsid w:val="00746460"/>
    <w:rsid w:val="007464D1"/>
    <w:rsid w:val="007465CD"/>
    <w:rsid w:val="007465DF"/>
    <w:rsid w:val="0074662F"/>
    <w:rsid w:val="007466EE"/>
    <w:rsid w:val="0074671F"/>
    <w:rsid w:val="007467AF"/>
    <w:rsid w:val="007467CA"/>
    <w:rsid w:val="007467E8"/>
    <w:rsid w:val="007468E0"/>
    <w:rsid w:val="0074692C"/>
    <w:rsid w:val="00746979"/>
    <w:rsid w:val="007469A0"/>
    <w:rsid w:val="007469DD"/>
    <w:rsid w:val="00746A1E"/>
    <w:rsid w:val="00746A23"/>
    <w:rsid w:val="00746ADD"/>
    <w:rsid w:val="00746AFE"/>
    <w:rsid w:val="00746C76"/>
    <w:rsid w:val="00746D34"/>
    <w:rsid w:val="00746D4D"/>
    <w:rsid w:val="00746D95"/>
    <w:rsid w:val="00746E33"/>
    <w:rsid w:val="00746ECD"/>
    <w:rsid w:val="00746EF4"/>
    <w:rsid w:val="00746F1D"/>
    <w:rsid w:val="00746F55"/>
    <w:rsid w:val="00747010"/>
    <w:rsid w:val="007470D9"/>
    <w:rsid w:val="00747128"/>
    <w:rsid w:val="0074715E"/>
    <w:rsid w:val="00747182"/>
    <w:rsid w:val="007472A6"/>
    <w:rsid w:val="007472F7"/>
    <w:rsid w:val="0074732B"/>
    <w:rsid w:val="00747357"/>
    <w:rsid w:val="00747398"/>
    <w:rsid w:val="007473DD"/>
    <w:rsid w:val="007473E7"/>
    <w:rsid w:val="00747403"/>
    <w:rsid w:val="00747437"/>
    <w:rsid w:val="0074744A"/>
    <w:rsid w:val="007474EA"/>
    <w:rsid w:val="007475C4"/>
    <w:rsid w:val="007475D4"/>
    <w:rsid w:val="0074766A"/>
    <w:rsid w:val="00747732"/>
    <w:rsid w:val="0074775E"/>
    <w:rsid w:val="007477D8"/>
    <w:rsid w:val="0074782B"/>
    <w:rsid w:val="007478E5"/>
    <w:rsid w:val="007479D1"/>
    <w:rsid w:val="00747A47"/>
    <w:rsid w:val="00747B1B"/>
    <w:rsid w:val="00747B77"/>
    <w:rsid w:val="00747BCF"/>
    <w:rsid w:val="00747BDF"/>
    <w:rsid w:val="00747C38"/>
    <w:rsid w:val="00747DC4"/>
    <w:rsid w:val="00747DC7"/>
    <w:rsid w:val="00747E11"/>
    <w:rsid w:val="00747EC2"/>
    <w:rsid w:val="00747EE1"/>
    <w:rsid w:val="00747F20"/>
    <w:rsid w:val="00747FBF"/>
    <w:rsid w:val="00747FEF"/>
    <w:rsid w:val="00750010"/>
    <w:rsid w:val="00750069"/>
    <w:rsid w:val="007500BE"/>
    <w:rsid w:val="007500DA"/>
    <w:rsid w:val="007500E7"/>
    <w:rsid w:val="007501B7"/>
    <w:rsid w:val="00750211"/>
    <w:rsid w:val="0075023A"/>
    <w:rsid w:val="00750274"/>
    <w:rsid w:val="007502BE"/>
    <w:rsid w:val="00750385"/>
    <w:rsid w:val="00750386"/>
    <w:rsid w:val="00750486"/>
    <w:rsid w:val="007504E4"/>
    <w:rsid w:val="007505AF"/>
    <w:rsid w:val="007505DA"/>
    <w:rsid w:val="007505F5"/>
    <w:rsid w:val="007505F6"/>
    <w:rsid w:val="00750652"/>
    <w:rsid w:val="00750669"/>
    <w:rsid w:val="007506F7"/>
    <w:rsid w:val="00750766"/>
    <w:rsid w:val="007507D0"/>
    <w:rsid w:val="007508E1"/>
    <w:rsid w:val="00750950"/>
    <w:rsid w:val="00750A73"/>
    <w:rsid w:val="00750C01"/>
    <w:rsid w:val="00750C35"/>
    <w:rsid w:val="00750CB5"/>
    <w:rsid w:val="00750D06"/>
    <w:rsid w:val="00750DF2"/>
    <w:rsid w:val="00750E40"/>
    <w:rsid w:val="00750EC6"/>
    <w:rsid w:val="00750FD1"/>
    <w:rsid w:val="00750FEA"/>
    <w:rsid w:val="00751049"/>
    <w:rsid w:val="00751078"/>
    <w:rsid w:val="0075107D"/>
    <w:rsid w:val="007510BD"/>
    <w:rsid w:val="00751117"/>
    <w:rsid w:val="00751129"/>
    <w:rsid w:val="00751192"/>
    <w:rsid w:val="007511A4"/>
    <w:rsid w:val="0075128D"/>
    <w:rsid w:val="007512D4"/>
    <w:rsid w:val="00751346"/>
    <w:rsid w:val="00751377"/>
    <w:rsid w:val="00751392"/>
    <w:rsid w:val="007513E6"/>
    <w:rsid w:val="0075140B"/>
    <w:rsid w:val="00751443"/>
    <w:rsid w:val="0075148F"/>
    <w:rsid w:val="007514B0"/>
    <w:rsid w:val="0075159A"/>
    <w:rsid w:val="0075162B"/>
    <w:rsid w:val="0075167D"/>
    <w:rsid w:val="007516AF"/>
    <w:rsid w:val="00751712"/>
    <w:rsid w:val="0075171A"/>
    <w:rsid w:val="00751770"/>
    <w:rsid w:val="0075188F"/>
    <w:rsid w:val="0075189C"/>
    <w:rsid w:val="00751932"/>
    <w:rsid w:val="007519AA"/>
    <w:rsid w:val="007519C5"/>
    <w:rsid w:val="00751A3D"/>
    <w:rsid w:val="00751A59"/>
    <w:rsid w:val="00751B90"/>
    <w:rsid w:val="00751BA4"/>
    <w:rsid w:val="00751C50"/>
    <w:rsid w:val="00751D7F"/>
    <w:rsid w:val="00751D94"/>
    <w:rsid w:val="00751DB6"/>
    <w:rsid w:val="00751E8F"/>
    <w:rsid w:val="00751EB1"/>
    <w:rsid w:val="00751EE6"/>
    <w:rsid w:val="00751F11"/>
    <w:rsid w:val="00751FEB"/>
    <w:rsid w:val="007520DC"/>
    <w:rsid w:val="007521AC"/>
    <w:rsid w:val="007522DF"/>
    <w:rsid w:val="0075238D"/>
    <w:rsid w:val="007523BD"/>
    <w:rsid w:val="0075240A"/>
    <w:rsid w:val="00752526"/>
    <w:rsid w:val="00752537"/>
    <w:rsid w:val="00752598"/>
    <w:rsid w:val="007525AE"/>
    <w:rsid w:val="00752660"/>
    <w:rsid w:val="007526FB"/>
    <w:rsid w:val="007527E8"/>
    <w:rsid w:val="0075285C"/>
    <w:rsid w:val="0075286D"/>
    <w:rsid w:val="0075288C"/>
    <w:rsid w:val="007528DB"/>
    <w:rsid w:val="00752940"/>
    <w:rsid w:val="00752A81"/>
    <w:rsid w:val="00752AF0"/>
    <w:rsid w:val="00752D9A"/>
    <w:rsid w:val="00752DC9"/>
    <w:rsid w:val="00752DD0"/>
    <w:rsid w:val="00752DE8"/>
    <w:rsid w:val="00752EC5"/>
    <w:rsid w:val="00753052"/>
    <w:rsid w:val="00753066"/>
    <w:rsid w:val="007530DF"/>
    <w:rsid w:val="00753117"/>
    <w:rsid w:val="00753281"/>
    <w:rsid w:val="0075330C"/>
    <w:rsid w:val="00753336"/>
    <w:rsid w:val="0075336B"/>
    <w:rsid w:val="00753380"/>
    <w:rsid w:val="007533A3"/>
    <w:rsid w:val="00753488"/>
    <w:rsid w:val="007534A6"/>
    <w:rsid w:val="007534B8"/>
    <w:rsid w:val="007534BE"/>
    <w:rsid w:val="00753537"/>
    <w:rsid w:val="00753557"/>
    <w:rsid w:val="00753644"/>
    <w:rsid w:val="007536A9"/>
    <w:rsid w:val="0075376A"/>
    <w:rsid w:val="00753886"/>
    <w:rsid w:val="00753893"/>
    <w:rsid w:val="007538B6"/>
    <w:rsid w:val="007538C2"/>
    <w:rsid w:val="0075392D"/>
    <w:rsid w:val="007539E3"/>
    <w:rsid w:val="00753A2D"/>
    <w:rsid w:val="00753AB9"/>
    <w:rsid w:val="00753AFF"/>
    <w:rsid w:val="00753B49"/>
    <w:rsid w:val="00753C04"/>
    <w:rsid w:val="00753CAD"/>
    <w:rsid w:val="00753CE8"/>
    <w:rsid w:val="00753D71"/>
    <w:rsid w:val="00753DBF"/>
    <w:rsid w:val="00753E1E"/>
    <w:rsid w:val="00753F64"/>
    <w:rsid w:val="00753FC1"/>
    <w:rsid w:val="00753FD6"/>
    <w:rsid w:val="00753FE1"/>
    <w:rsid w:val="00754024"/>
    <w:rsid w:val="00754188"/>
    <w:rsid w:val="0075426B"/>
    <w:rsid w:val="007543B1"/>
    <w:rsid w:val="007543FC"/>
    <w:rsid w:val="00754569"/>
    <w:rsid w:val="007545F9"/>
    <w:rsid w:val="00754634"/>
    <w:rsid w:val="007546FC"/>
    <w:rsid w:val="0075471E"/>
    <w:rsid w:val="0075474B"/>
    <w:rsid w:val="0075475C"/>
    <w:rsid w:val="00754766"/>
    <w:rsid w:val="00754793"/>
    <w:rsid w:val="007548BF"/>
    <w:rsid w:val="00754904"/>
    <w:rsid w:val="0075497F"/>
    <w:rsid w:val="007549CF"/>
    <w:rsid w:val="00754A0A"/>
    <w:rsid w:val="00754A0B"/>
    <w:rsid w:val="00754A73"/>
    <w:rsid w:val="00754AC1"/>
    <w:rsid w:val="00754AD2"/>
    <w:rsid w:val="00754B3B"/>
    <w:rsid w:val="00754CDA"/>
    <w:rsid w:val="00754D5A"/>
    <w:rsid w:val="00754E41"/>
    <w:rsid w:val="00754F24"/>
    <w:rsid w:val="00754F51"/>
    <w:rsid w:val="00754F7C"/>
    <w:rsid w:val="00754FDF"/>
    <w:rsid w:val="0075508D"/>
    <w:rsid w:val="007550B6"/>
    <w:rsid w:val="00755151"/>
    <w:rsid w:val="0075527B"/>
    <w:rsid w:val="00755285"/>
    <w:rsid w:val="0075539D"/>
    <w:rsid w:val="0075542E"/>
    <w:rsid w:val="00755430"/>
    <w:rsid w:val="0075554A"/>
    <w:rsid w:val="007555B7"/>
    <w:rsid w:val="00755618"/>
    <w:rsid w:val="0075568D"/>
    <w:rsid w:val="00755755"/>
    <w:rsid w:val="0075578B"/>
    <w:rsid w:val="0075579F"/>
    <w:rsid w:val="007557CD"/>
    <w:rsid w:val="00755842"/>
    <w:rsid w:val="00755855"/>
    <w:rsid w:val="00755939"/>
    <w:rsid w:val="00755943"/>
    <w:rsid w:val="00755981"/>
    <w:rsid w:val="007559EF"/>
    <w:rsid w:val="00755A03"/>
    <w:rsid w:val="00755AD3"/>
    <w:rsid w:val="00755E30"/>
    <w:rsid w:val="00755E7E"/>
    <w:rsid w:val="00755E84"/>
    <w:rsid w:val="00755E96"/>
    <w:rsid w:val="00755F48"/>
    <w:rsid w:val="00755F68"/>
    <w:rsid w:val="00755FBE"/>
    <w:rsid w:val="007560DE"/>
    <w:rsid w:val="0075619D"/>
    <w:rsid w:val="00756244"/>
    <w:rsid w:val="0075626F"/>
    <w:rsid w:val="007562A6"/>
    <w:rsid w:val="0075630A"/>
    <w:rsid w:val="00756313"/>
    <w:rsid w:val="0075637F"/>
    <w:rsid w:val="00756418"/>
    <w:rsid w:val="007564A1"/>
    <w:rsid w:val="007564CB"/>
    <w:rsid w:val="0075665F"/>
    <w:rsid w:val="00756726"/>
    <w:rsid w:val="0075673F"/>
    <w:rsid w:val="00756761"/>
    <w:rsid w:val="0075679B"/>
    <w:rsid w:val="00756831"/>
    <w:rsid w:val="00756896"/>
    <w:rsid w:val="007568D4"/>
    <w:rsid w:val="0075691D"/>
    <w:rsid w:val="00756974"/>
    <w:rsid w:val="007569A4"/>
    <w:rsid w:val="00756AEF"/>
    <w:rsid w:val="00756BA1"/>
    <w:rsid w:val="00756BD9"/>
    <w:rsid w:val="00756CAD"/>
    <w:rsid w:val="00756CC1"/>
    <w:rsid w:val="00756D19"/>
    <w:rsid w:val="00756D98"/>
    <w:rsid w:val="00756DD3"/>
    <w:rsid w:val="00756E4D"/>
    <w:rsid w:val="00756FB7"/>
    <w:rsid w:val="00756FBB"/>
    <w:rsid w:val="00756FCD"/>
    <w:rsid w:val="007570C0"/>
    <w:rsid w:val="00757195"/>
    <w:rsid w:val="007571A3"/>
    <w:rsid w:val="007571D8"/>
    <w:rsid w:val="007571E0"/>
    <w:rsid w:val="0075727D"/>
    <w:rsid w:val="00757376"/>
    <w:rsid w:val="00757459"/>
    <w:rsid w:val="0075749F"/>
    <w:rsid w:val="007574F5"/>
    <w:rsid w:val="007575D2"/>
    <w:rsid w:val="0075767E"/>
    <w:rsid w:val="00757777"/>
    <w:rsid w:val="00757790"/>
    <w:rsid w:val="007577AB"/>
    <w:rsid w:val="007577BA"/>
    <w:rsid w:val="007577C4"/>
    <w:rsid w:val="007577F1"/>
    <w:rsid w:val="00757902"/>
    <w:rsid w:val="00757943"/>
    <w:rsid w:val="00757AB0"/>
    <w:rsid w:val="00757B13"/>
    <w:rsid w:val="00757BE7"/>
    <w:rsid w:val="00757CD5"/>
    <w:rsid w:val="00757D00"/>
    <w:rsid w:val="00757DFB"/>
    <w:rsid w:val="00757E3F"/>
    <w:rsid w:val="00757EC4"/>
    <w:rsid w:val="00760053"/>
    <w:rsid w:val="007600BD"/>
    <w:rsid w:val="0076014E"/>
    <w:rsid w:val="0076023E"/>
    <w:rsid w:val="00760241"/>
    <w:rsid w:val="0076042C"/>
    <w:rsid w:val="00760462"/>
    <w:rsid w:val="007604A7"/>
    <w:rsid w:val="007604EB"/>
    <w:rsid w:val="0076053B"/>
    <w:rsid w:val="0076054D"/>
    <w:rsid w:val="00760557"/>
    <w:rsid w:val="007606C8"/>
    <w:rsid w:val="007606D5"/>
    <w:rsid w:val="00760738"/>
    <w:rsid w:val="00760760"/>
    <w:rsid w:val="00760769"/>
    <w:rsid w:val="007607D6"/>
    <w:rsid w:val="00760814"/>
    <w:rsid w:val="0076082D"/>
    <w:rsid w:val="0076083D"/>
    <w:rsid w:val="007608FD"/>
    <w:rsid w:val="007609F2"/>
    <w:rsid w:val="00760A09"/>
    <w:rsid w:val="00760A69"/>
    <w:rsid w:val="00760A6C"/>
    <w:rsid w:val="00760AAC"/>
    <w:rsid w:val="00760B58"/>
    <w:rsid w:val="00760D82"/>
    <w:rsid w:val="00760E5E"/>
    <w:rsid w:val="00760E67"/>
    <w:rsid w:val="00760F46"/>
    <w:rsid w:val="00760FB4"/>
    <w:rsid w:val="0076101D"/>
    <w:rsid w:val="0076116E"/>
    <w:rsid w:val="007611E7"/>
    <w:rsid w:val="0076129B"/>
    <w:rsid w:val="007612A7"/>
    <w:rsid w:val="00761324"/>
    <w:rsid w:val="0076133A"/>
    <w:rsid w:val="0076136A"/>
    <w:rsid w:val="00761546"/>
    <w:rsid w:val="0076159F"/>
    <w:rsid w:val="0076160F"/>
    <w:rsid w:val="007616B7"/>
    <w:rsid w:val="007617E8"/>
    <w:rsid w:val="00761847"/>
    <w:rsid w:val="0076187C"/>
    <w:rsid w:val="00761A26"/>
    <w:rsid w:val="00761AF1"/>
    <w:rsid w:val="00761C01"/>
    <w:rsid w:val="00761C06"/>
    <w:rsid w:val="00761C1C"/>
    <w:rsid w:val="00761C21"/>
    <w:rsid w:val="00761C22"/>
    <w:rsid w:val="00761C2E"/>
    <w:rsid w:val="00761CDF"/>
    <w:rsid w:val="00761D64"/>
    <w:rsid w:val="00761D97"/>
    <w:rsid w:val="00761F25"/>
    <w:rsid w:val="00761F73"/>
    <w:rsid w:val="00761FA4"/>
    <w:rsid w:val="00761FE5"/>
    <w:rsid w:val="0076200E"/>
    <w:rsid w:val="00762060"/>
    <w:rsid w:val="007621D0"/>
    <w:rsid w:val="0076223B"/>
    <w:rsid w:val="0076223C"/>
    <w:rsid w:val="0076229B"/>
    <w:rsid w:val="007622A6"/>
    <w:rsid w:val="00762380"/>
    <w:rsid w:val="007623FD"/>
    <w:rsid w:val="00762483"/>
    <w:rsid w:val="00762515"/>
    <w:rsid w:val="00762550"/>
    <w:rsid w:val="007625A1"/>
    <w:rsid w:val="00762663"/>
    <w:rsid w:val="007626A2"/>
    <w:rsid w:val="00762792"/>
    <w:rsid w:val="007627C1"/>
    <w:rsid w:val="007627E9"/>
    <w:rsid w:val="007627FF"/>
    <w:rsid w:val="00762894"/>
    <w:rsid w:val="007629D1"/>
    <w:rsid w:val="00762A6E"/>
    <w:rsid w:val="00762AF4"/>
    <w:rsid w:val="00762C27"/>
    <w:rsid w:val="00762C81"/>
    <w:rsid w:val="00762CB4"/>
    <w:rsid w:val="00762D0A"/>
    <w:rsid w:val="00762D0E"/>
    <w:rsid w:val="00762D5F"/>
    <w:rsid w:val="00762DCC"/>
    <w:rsid w:val="00762E9C"/>
    <w:rsid w:val="00762F0F"/>
    <w:rsid w:val="00762F4F"/>
    <w:rsid w:val="00762FC5"/>
    <w:rsid w:val="00762FFC"/>
    <w:rsid w:val="00763039"/>
    <w:rsid w:val="007630B7"/>
    <w:rsid w:val="007630C4"/>
    <w:rsid w:val="00763103"/>
    <w:rsid w:val="00763157"/>
    <w:rsid w:val="00763234"/>
    <w:rsid w:val="00763274"/>
    <w:rsid w:val="007633B3"/>
    <w:rsid w:val="007633C5"/>
    <w:rsid w:val="00763427"/>
    <w:rsid w:val="0076348B"/>
    <w:rsid w:val="00763604"/>
    <w:rsid w:val="00763669"/>
    <w:rsid w:val="00763684"/>
    <w:rsid w:val="007636C7"/>
    <w:rsid w:val="00763788"/>
    <w:rsid w:val="007637DA"/>
    <w:rsid w:val="00763802"/>
    <w:rsid w:val="00763AD5"/>
    <w:rsid w:val="00763AE0"/>
    <w:rsid w:val="00763B1F"/>
    <w:rsid w:val="00763B5D"/>
    <w:rsid w:val="00763B7E"/>
    <w:rsid w:val="00763BED"/>
    <w:rsid w:val="00763C5F"/>
    <w:rsid w:val="00763C67"/>
    <w:rsid w:val="00763C9A"/>
    <w:rsid w:val="00763D4C"/>
    <w:rsid w:val="00763DB4"/>
    <w:rsid w:val="00763E07"/>
    <w:rsid w:val="00763FE7"/>
    <w:rsid w:val="00764081"/>
    <w:rsid w:val="0076410A"/>
    <w:rsid w:val="00764219"/>
    <w:rsid w:val="0076424D"/>
    <w:rsid w:val="00764259"/>
    <w:rsid w:val="0076436E"/>
    <w:rsid w:val="007643E7"/>
    <w:rsid w:val="00764475"/>
    <w:rsid w:val="007644B3"/>
    <w:rsid w:val="00764582"/>
    <w:rsid w:val="007645A7"/>
    <w:rsid w:val="00764604"/>
    <w:rsid w:val="00764657"/>
    <w:rsid w:val="00764699"/>
    <w:rsid w:val="007646EF"/>
    <w:rsid w:val="00764709"/>
    <w:rsid w:val="00764768"/>
    <w:rsid w:val="007647D9"/>
    <w:rsid w:val="007647FE"/>
    <w:rsid w:val="00764852"/>
    <w:rsid w:val="0076490A"/>
    <w:rsid w:val="00764919"/>
    <w:rsid w:val="00764AC3"/>
    <w:rsid w:val="00764B5E"/>
    <w:rsid w:val="00764C7D"/>
    <w:rsid w:val="00764CF2"/>
    <w:rsid w:val="00764D68"/>
    <w:rsid w:val="00764D7B"/>
    <w:rsid w:val="00764E3C"/>
    <w:rsid w:val="00764E3F"/>
    <w:rsid w:val="00764E48"/>
    <w:rsid w:val="00764E6C"/>
    <w:rsid w:val="00764E9B"/>
    <w:rsid w:val="00764EAF"/>
    <w:rsid w:val="00764EB4"/>
    <w:rsid w:val="00764EE3"/>
    <w:rsid w:val="00764F42"/>
    <w:rsid w:val="00764FC2"/>
    <w:rsid w:val="00765106"/>
    <w:rsid w:val="00765166"/>
    <w:rsid w:val="00765236"/>
    <w:rsid w:val="00765250"/>
    <w:rsid w:val="0076525B"/>
    <w:rsid w:val="00765271"/>
    <w:rsid w:val="007652CF"/>
    <w:rsid w:val="007652EA"/>
    <w:rsid w:val="0076549F"/>
    <w:rsid w:val="00765535"/>
    <w:rsid w:val="0076558F"/>
    <w:rsid w:val="0076559F"/>
    <w:rsid w:val="007655D0"/>
    <w:rsid w:val="00765601"/>
    <w:rsid w:val="00765702"/>
    <w:rsid w:val="00765771"/>
    <w:rsid w:val="007657E0"/>
    <w:rsid w:val="007657E8"/>
    <w:rsid w:val="00765A56"/>
    <w:rsid w:val="00765A5B"/>
    <w:rsid w:val="00765AD0"/>
    <w:rsid w:val="00765B12"/>
    <w:rsid w:val="00765BAE"/>
    <w:rsid w:val="00765CC1"/>
    <w:rsid w:val="00765DBD"/>
    <w:rsid w:val="00765DE4"/>
    <w:rsid w:val="00765E3C"/>
    <w:rsid w:val="00765EE3"/>
    <w:rsid w:val="00765F27"/>
    <w:rsid w:val="0076604B"/>
    <w:rsid w:val="0076606A"/>
    <w:rsid w:val="007660A5"/>
    <w:rsid w:val="00766175"/>
    <w:rsid w:val="0076620B"/>
    <w:rsid w:val="00766241"/>
    <w:rsid w:val="00766258"/>
    <w:rsid w:val="00766260"/>
    <w:rsid w:val="007662E2"/>
    <w:rsid w:val="0076635B"/>
    <w:rsid w:val="0076638F"/>
    <w:rsid w:val="007663F3"/>
    <w:rsid w:val="0076648F"/>
    <w:rsid w:val="0076658F"/>
    <w:rsid w:val="007665C7"/>
    <w:rsid w:val="007665CA"/>
    <w:rsid w:val="00766653"/>
    <w:rsid w:val="007666B8"/>
    <w:rsid w:val="00766705"/>
    <w:rsid w:val="00766737"/>
    <w:rsid w:val="00766854"/>
    <w:rsid w:val="007668A0"/>
    <w:rsid w:val="00766A99"/>
    <w:rsid w:val="00766AB2"/>
    <w:rsid w:val="00766B38"/>
    <w:rsid w:val="00766B61"/>
    <w:rsid w:val="00766C43"/>
    <w:rsid w:val="00766CD5"/>
    <w:rsid w:val="00766D68"/>
    <w:rsid w:val="00766DF4"/>
    <w:rsid w:val="00766E0B"/>
    <w:rsid w:val="00766E0F"/>
    <w:rsid w:val="00766F50"/>
    <w:rsid w:val="00766F7B"/>
    <w:rsid w:val="00767061"/>
    <w:rsid w:val="0076717C"/>
    <w:rsid w:val="007671B4"/>
    <w:rsid w:val="0076721E"/>
    <w:rsid w:val="00767223"/>
    <w:rsid w:val="00767276"/>
    <w:rsid w:val="0076734F"/>
    <w:rsid w:val="007673F3"/>
    <w:rsid w:val="0076745B"/>
    <w:rsid w:val="00767485"/>
    <w:rsid w:val="0076759C"/>
    <w:rsid w:val="0076764E"/>
    <w:rsid w:val="00767656"/>
    <w:rsid w:val="00767659"/>
    <w:rsid w:val="007676AA"/>
    <w:rsid w:val="00767722"/>
    <w:rsid w:val="0076772F"/>
    <w:rsid w:val="0076773D"/>
    <w:rsid w:val="0076786A"/>
    <w:rsid w:val="007678A8"/>
    <w:rsid w:val="007678AF"/>
    <w:rsid w:val="007678F1"/>
    <w:rsid w:val="0076794E"/>
    <w:rsid w:val="00767AC5"/>
    <w:rsid w:val="00767AEB"/>
    <w:rsid w:val="00767B5B"/>
    <w:rsid w:val="00767CA2"/>
    <w:rsid w:val="00767D94"/>
    <w:rsid w:val="00767DD4"/>
    <w:rsid w:val="00767DDA"/>
    <w:rsid w:val="00767DEF"/>
    <w:rsid w:val="00767DF7"/>
    <w:rsid w:val="00767E72"/>
    <w:rsid w:val="00767ED3"/>
    <w:rsid w:val="0077001F"/>
    <w:rsid w:val="00770080"/>
    <w:rsid w:val="007700C2"/>
    <w:rsid w:val="007700D9"/>
    <w:rsid w:val="007700E9"/>
    <w:rsid w:val="0077016A"/>
    <w:rsid w:val="007701A8"/>
    <w:rsid w:val="007703A1"/>
    <w:rsid w:val="007703C0"/>
    <w:rsid w:val="0077044A"/>
    <w:rsid w:val="007704AB"/>
    <w:rsid w:val="0077060F"/>
    <w:rsid w:val="00770652"/>
    <w:rsid w:val="0077069D"/>
    <w:rsid w:val="00770701"/>
    <w:rsid w:val="007707FC"/>
    <w:rsid w:val="0077085E"/>
    <w:rsid w:val="007708B8"/>
    <w:rsid w:val="0077092B"/>
    <w:rsid w:val="00770A23"/>
    <w:rsid w:val="00770A5C"/>
    <w:rsid w:val="00770A7C"/>
    <w:rsid w:val="00770A86"/>
    <w:rsid w:val="00770AA5"/>
    <w:rsid w:val="00770AE5"/>
    <w:rsid w:val="00770C99"/>
    <w:rsid w:val="00770D08"/>
    <w:rsid w:val="00770D10"/>
    <w:rsid w:val="00770D40"/>
    <w:rsid w:val="00770D6D"/>
    <w:rsid w:val="00770D75"/>
    <w:rsid w:val="00770DEA"/>
    <w:rsid w:val="00770ED6"/>
    <w:rsid w:val="00771032"/>
    <w:rsid w:val="0077103E"/>
    <w:rsid w:val="00771072"/>
    <w:rsid w:val="0077109F"/>
    <w:rsid w:val="007711B2"/>
    <w:rsid w:val="0077120B"/>
    <w:rsid w:val="00771214"/>
    <w:rsid w:val="00771253"/>
    <w:rsid w:val="007712E6"/>
    <w:rsid w:val="007712EC"/>
    <w:rsid w:val="00771314"/>
    <w:rsid w:val="0077135E"/>
    <w:rsid w:val="0077138C"/>
    <w:rsid w:val="007713A7"/>
    <w:rsid w:val="007713A8"/>
    <w:rsid w:val="007713B9"/>
    <w:rsid w:val="007713C8"/>
    <w:rsid w:val="0077140E"/>
    <w:rsid w:val="00771420"/>
    <w:rsid w:val="00771496"/>
    <w:rsid w:val="007715C4"/>
    <w:rsid w:val="0077164D"/>
    <w:rsid w:val="0077176B"/>
    <w:rsid w:val="007717E3"/>
    <w:rsid w:val="00771858"/>
    <w:rsid w:val="0077186F"/>
    <w:rsid w:val="007719FF"/>
    <w:rsid w:val="00771A13"/>
    <w:rsid w:val="00771A37"/>
    <w:rsid w:val="00771AD4"/>
    <w:rsid w:val="00771AD6"/>
    <w:rsid w:val="00771B58"/>
    <w:rsid w:val="00771B71"/>
    <w:rsid w:val="00771BE2"/>
    <w:rsid w:val="00771C8B"/>
    <w:rsid w:val="00771D36"/>
    <w:rsid w:val="00771DD5"/>
    <w:rsid w:val="00771E72"/>
    <w:rsid w:val="00771E83"/>
    <w:rsid w:val="00771F66"/>
    <w:rsid w:val="00771FA9"/>
    <w:rsid w:val="00772075"/>
    <w:rsid w:val="007720A3"/>
    <w:rsid w:val="0077218A"/>
    <w:rsid w:val="00772210"/>
    <w:rsid w:val="00772280"/>
    <w:rsid w:val="007722B8"/>
    <w:rsid w:val="007722DD"/>
    <w:rsid w:val="007722FF"/>
    <w:rsid w:val="007723D5"/>
    <w:rsid w:val="007723DE"/>
    <w:rsid w:val="007723F1"/>
    <w:rsid w:val="007723FB"/>
    <w:rsid w:val="00772404"/>
    <w:rsid w:val="0077245D"/>
    <w:rsid w:val="007724A5"/>
    <w:rsid w:val="007724BC"/>
    <w:rsid w:val="00772541"/>
    <w:rsid w:val="0077254A"/>
    <w:rsid w:val="00772568"/>
    <w:rsid w:val="007725A9"/>
    <w:rsid w:val="007725E4"/>
    <w:rsid w:val="007725F2"/>
    <w:rsid w:val="00772600"/>
    <w:rsid w:val="00772688"/>
    <w:rsid w:val="00772808"/>
    <w:rsid w:val="00772824"/>
    <w:rsid w:val="0077286A"/>
    <w:rsid w:val="00772905"/>
    <w:rsid w:val="00772974"/>
    <w:rsid w:val="007729CF"/>
    <w:rsid w:val="007729FC"/>
    <w:rsid w:val="00772AAE"/>
    <w:rsid w:val="00772BBC"/>
    <w:rsid w:val="00772C91"/>
    <w:rsid w:val="00772D60"/>
    <w:rsid w:val="00772DD4"/>
    <w:rsid w:val="00772ECF"/>
    <w:rsid w:val="00772FBC"/>
    <w:rsid w:val="00773125"/>
    <w:rsid w:val="00773196"/>
    <w:rsid w:val="007731D1"/>
    <w:rsid w:val="0077320B"/>
    <w:rsid w:val="0077320F"/>
    <w:rsid w:val="0077323C"/>
    <w:rsid w:val="00773277"/>
    <w:rsid w:val="0077342B"/>
    <w:rsid w:val="007734D8"/>
    <w:rsid w:val="00773535"/>
    <w:rsid w:val="00773541"/>
    <w:rsid w:val="007735C6"/>
    <w:rsid w:val="007735EC"/>
    <w:rsid w:val="00773609"/>
    <w:rsid w:val="007736E5"/>
    <w:rsid w:val="0077372F"/>
    <w:rsid w:val="007737BB"/>
    <w:rsid w:val="007737C8"/>
    <w:rsid w:val="00773822"/>
    <w:rsid w:val="00773901"/>
    <w:rsid w:val="0077399A"/>
    <w:rsid w:val="007739D8"/>
    <w:rsid w:val="007739F3"/>
    <w:rsid w:val="00773A52"/>
    <w:rsid w:val="00773A71"/>
    <w:rsid w:val="00773AE3"/>
    <w:rsid w:val="00773BCB"/>
    <w:rsid w:val="00773C31"/>
    <w:rsid w:val="00773C70"/>
    <w:rsid w:val="00773CB6"/>
    <w:rsid w:val="00773CCD"/>
    <w:rsid w:val="00773D3E"/>
    <w:rsid w:val="00773D51"/>
    <w:rsid w:val="00773D8B"/>
    <w:rsid w:val="00773DEC"/>
    <w:rsid w:val="00773E43"/>
    <w:rsid w:val="00773F16"/>
    <w:rsid w:val="00773F56"/>
    <w:rsid w:val="007740EE"/>
    <w:rsid w:val="007740F3"/>
    <w:rsid w:val="0077411F"/>
    <w:rsid w:val="0077427D"/>
    <w:rsid w:val="007742BE"/>
    <w:rsid w:val="007742ED"/>
    <w:rsid w:val="0077441F"/>
    <w:rsid w:val="00774472"/>
    <w:rsid w:val="007744CD"/>
    <w:rsid w:val="0077455E"/>
    <w:rsid w:val="00774669"/>
    <w:rsid w:val="007746C3"/>
    <w:rsid w:val="00774720"/>
    <w:rsid w:val="007747F9"/>
    <w:rsid w:val="00774A82"/>
    <w:rsid w:val="00774B5D"/>
    <w:rsid w:val="00774BA2"/>
    <w:rsid w:val="00774BAC"/>
    <w:rsid w:val="00774BC7"/>
    <w:rsid w:val="00774C30"/>
    <w:rsid w:val="00774CFC"/>
    <w:rsid w:val="00774D06"/>
    <w:rsid w:val="00774E02"/>
    <w:rsid w:val="00774E2B"/>
    <w:rsid w:val="00774E66"/>
    <w:rsid w:val="00774E8C"/>
    <w:rsid w:val="00774F80"/>
    <w:rsid w:val="00774FA8"/>
    <w:rsid w:val="00775005"/>
    <w:rsid w:val="0077501B"/>
    <w:rsid w:val="00775089"/>
    <w:rsid w:val="0077510B"/>
    <w:rsid w:val="007752A7"/>
    <w:rsid w:val="007752CC"/>
    <w:rsid w:val="00775311"/>
    <w:rsid w:val="00775365"/>
    <w:rsid w:val="0077538B"/>
    <w:rsid w:val="00775534"/>
    <w:rsid w:val="00775547"/>
    <w:rsid w:val="00775549"/>
    <w:rsid w:val="0077557F"/>
    <w:rsid w:val="00775597"/>
    <w:rsid w:val="007755D2"/>
    <w:rsid w:val="00775719"/>
    <w:rsid w:val="00775747"/>
    <w:rsid w:val="00775776"/>
    <w:rsid w:val="007757CE"/>
    <w:rsid w:val="00775805"/>
    <w:rsid w:val="007758E1"/>
    <w:rsid w:val="007758EF"/>
    <w:rsid w:val="00775906"/>
    <w:rsid w:val="007759D9"/>
    <w:rsid w:val="00775A4D"/>
    <w:rsid w:val="00775A67"/>
    <w:rsid w:val="00775AA5"/>
    <w:rsid w:val="00775B66"/>
    <w:rsid w:val="00775D58"/>
    <w:rsid w:val="00775D62"/>
    <w:rsid w:val="00775D8A"/>
    <w:rsid w:val="00775F1F"/>
    <w:rsid w:val="00776009"/>
    <w:rsid w:val="00776017"/>
    <w:rsid w:val="007760CD"/>
    <w:rsid w:val="007760F0"/>
    <w:rsid w:val="007761B0"/>
    <w:rsid w:val="0077620F"/>
    <w:rsid w:val="00776222"/>
    <w:rsid w:val="00776355"/>
    <w:rsid w:val="007763AF"/>
    <w:rsid w:val="007763C9"/>
    <w:rsid w:val="007763ED"/>
    <w:rsid w:val="00776488"/>
    <w:rsid w:val="00776537"/>
    <w:rsid w:val="007765D4"/>
    <w:rsid w:val="007765E8"/>
    <w:rsid w:val="00776608"/>
    <w:rsid w:val="0077668B"/>
    <w:rsid w:val="007766F4"/>
    <w:rsid w:val="0077676B"/>
    <w:rsid w:val="0077677C"/>
    <w:rsid w:val="007767BF"/>
    <w:rsid w:val="007768BC"/>
    <w:rsid w:val="007768EA"/>
    <w:rsid w:val="00776998"/>
    <w:rsid w:val="00776AD0"/>
    <w:rsid w:val="00776B97"/>
    <w:rsid w:val="00776C9E"/>
    <w:rsid w:val="00776DBF"/>
    <w:rsid w:val="00776E08"/>
    <w:rsid w:val="00776E29"/>
    <w:rsid w:val="00776E2D"/>
    <w:rsid w:val="00776EBD"/>
    <w:rsid w:val="00776FCB"/>
    <w:rsid w:val="00777051"/>
    <w:rsid w:val="007771B8"/>
    <w:rsid w:val="007772D0"/>
    <w:rsid w:val="007772E9"/>
    <w:rsid w:val="00777308"/>
    <w:rsid w:val="00777356"/>
    <w:rsid w:val="007773A5"/>
    <w:rsid w:val="007773C1"/>
    <w:rsid w:val="007773E7"/>
    <w:rsid w:val="00777409"/>
    <w:rsid w:val="00777501"/>
    <w:rsid w:val="00777524"/>
    <w:rsid w:val="007775EC"/>
    <w:rsid w:val="00777666"/>
    <w:rsid w:val="0077767C"/>
    <w:rsid w:val="007776CE"/>
    <w:rsid w:val="00777790"/>
    <w:rsid w:val="007777FE"/>
    <w:rsid w:val="007778A1"/>
    <w:rsid w:val="0077797C"/>
    <w:rsid w:val="00777A05"/>
    <w:rsid w:val="00777A8A"/>
    <w:rsid w:val="00777AF3"/>
    <w:rsid w:val="00777B21"/>
    <w:rsid w:val="00777B37"/>
    <w:rsid w:val="00777B48"/>
    <w:rsid w:val="00777C2B"/>
    <w:rsid w:val="00777CF9"/>
    <w:rsid w:val="00777D45"/>
    <w:rsid w:val="00777E26"/>
    <w:rsid w:val="00777E48"/>
    <w:rsid w:val="00777E6E"/>
    <w:rsid w:val="00777E76"/>
    <w:rsid w:val="00777EDC"/>
    <w:rsid w:val="00777F0D"/>
    <w:rsid w:val="00777F2A"/>
    <w:rsid w:val="00777F42"/>
    <w:rsid w:val="00777F75"/>
    <w:rsid w:val="00777FBA"/>
    <w:rsid w:val="00780007"/>
    <w:rsid w:val="00780062"/>
    <w:rsid w:val="00780173"/>
    <w:rsid w:val="007801E0"/>
    <w:rsid w:val="007801EC"/>
    <w:rsid w:val="00780279"/>
    <w:rsid w:val="0078038A"/>
    <w:rsid w:val="0078040B"/>
    <w:rsid w:val="0078058E"/>
    <w:rsid w:val="0078061D"/>
    <w:rsid w:val="0078062E"/>
    <w:rsid w:val="00780637"/>
    <w:rsid w:val="00780705"/>
    <w:rsid w:val="007807D9"/>
    <w:rsid w:val="00780844"/>
    <w:rsid w:val="007808E8"/>
    <w:rsid w:val="0078098C"/>
    <w:rsid w:val="00780A16"/>
    <w:rsid w:val="00780A7B"/>
    <w:rsid w:val="00780AFB"/>
    <w:rsid w:val="00780B1B"/>
    <w:rsid w:val="00780BB8"/>
    <w:rsid w:val="00780C89"/>
    <w:rsid w:val="00780D17"/>
    <w:rsid w:val="00780DDB"/>
    <w:rsid w:val="00780EE2"/>
    <w:rsid w:val="00780F13"/>
    <w:rsid w:val="00780F29"/>
    <w:rsid w:val="00780F40"/>
    <w:rsid w:val="00780F4E"/>
    <w:rsid w:val="00780F78"/>
    <w:rsid w:val="00780F86"/>
    <w:rsid w:val="00780F9F"/>
    <w:rsid w:val="00780FA0"/>
    <w:rsid w:val="00780FAC"/>
    <w:rsid w:val="00781008"/>
    <w:rsid w:val="00781054"/>
    <w:rsid w:val="007810C1"/>
    <w:rsid w:val="007810CB"/>
    <w:rsid w:val="007811DB"/>
    <w:rsid w:val="00781224"/>
    <w:rsid w:val="007812AA"/>
    <w:rsid w:val="00781351"/>
    <w:rsid w:val="00781369"/>
    <w:rsid w:val="007813A5"/>
    <w:rsid w:val="007813E7"/>
    <w:rsid w:val="00781423"/>
    <w:rsid w:val="0078144C"/>
    <w:rsid w:val="00781498"/>
    <w:rsid w:val="0078154B"/>
    <w:rsid w:val="007815B6"/>
    <w:rsid w:val="00781668"/>
    <w:rsid w:val="00781767"/>
    <w:rsid w:val="00781783"/>
    <w:rsid w:val="007818AB"/>
    <w:rsid w:val="007818B0"/>
    <w:rsid w:val="00781910"/>
    <w:rsid w:val="00781A0C"/>
    <w:rsid w:val="00781A36"/>
    <w:rsid w:val="00781A67"/>
    <w:rsid w:val="00781B64"/>
    <w:rsid w:val="00781B7D"/>
    <w:rsid w:val="00781BA4"/>
    <w:rsid w:val="00781C62"/>
    <w:rsid w:val="00781C87"/>
    <w:rsid w:val="00781CEE"/>
    <w:rsid w:val="00781D63"/>
    <w:rsid w:val="00781D6A"/>
    <w:rsid w:val="00781F3B"/>
    <w:rsid w:val="00782075"/>
    <w:rsid w:val="00782091"/>
    <w:rsid w:val="007820A3"/>
    <w:rsid w:val="00782163"/>
    <w:rsid w:val="00782215"/>
    <w:rsid w:val="00782252"/>
    <w:rsid w:val="00782506"/>
    <w:rsid w:val="00782511"/>
    <w:rsid w:val="0078254B"/>
    <w:rsid w:val="007825F4"/>
    <w:rsid w:val="007826E9"/>
    <w:rsid w:val="00782773"/>
    <w:rsid w:val="007827E4"/>
    <w:rsid w:val="0078282D"/>
    <w:rsid w:val="00782920"/>
    <w:rsid w:val="00782976"/>
    <w:rsid w:val="00782A16"/>
    <w:rsid w:val="00782A2A"/>
    <w:rsid w:val="00782A69"/>
    <w:rsid w:val="00782A7F"/>
    <w:rsid w:val="00782BE0"/>
    <w:rsid w:val="00782C90"/>
    <w:rsid w:val="00782CBD"/>
    <w:rsid w:val="00782D01"/>
    <w:rsid w:val="00782D9A"/>
    <w:rsid w:val="00782DC4"/>
    <w:rsid w:val="00782DC6"/>
    <w:rsid w:val="00782E12"/>
    <w:rsid w:val="00782E8A"/>
    <w:rsid w:val="00782E92"/>
    <w:rsid w:val="00783064"/>
    <w:rsid w:val="00783157"/>
    <w:rsid w:val="00783178"/>
    <w:rsid w:val="0078318C"/>
    <w:rsid w:val="007831D0"/>
    <w:rsid w:val="00783274"/>
    <w:rsid w:val="0078328A"/>
    <w:rsid w:val="00783295"/>
    <w:rsid w:val="007832A4"/>
    <w:rsid w:val="007832D2"/>
    <w:rsid w:val="00783466"/>
    <w:rsid w:val="00783487"/>
    <w:rsid w:val="007834A8"/>
    <w:rsid w:val="007834EA"/>
    <w:rsid w:val="00783615"/>
    <w:rsid w:val="0078373D"/>
    <w:rsid w:val="007837A2"/>
    <w:rsid w:val="0078384A"/>
    <w:rsid w:val="00783866"/>
    <w:rsid w:val="00783928"/>
    <w:rsid w:val="0078393F"/>
    <w:rsid w:val="0078395A"/>
    <w:rsid w:val="00783A26"/>
    <w:rsid w:val="00783B84"/>
    <w:rsid w:val="00783B97"/>
    <w:rsid w:val="00783BEA"/>
    <w:rsid w:val="00783C7C"/>
    <w:rsid w:val="00783CF1"/>
    <w:rsid w:val="00783EA8"/>
    <w:rsid w:val="0078402B"/>
    <w:rsid w:val="007840E3"/>
    <w:rsid w:val="00784151"/>
    <w:rsid w:val="0078436E"/>
    <w:rsid w:val="00784373"/>
    <w:rsid w:val="0078442F"/>
    <w:rsid w:val="00784546"/>
    <w:rsid w:val="0078455E"/>
    <w:rsid w:val="0078456E"/>
    <w:rsid w:val="007845AB"/>
    <w:rsid w:val="007845C7"/>
    <w:rsid w:val="00784681"/>
    <w:rsid w:val="007846BF"/>
    <w:rsid w:val="00784725"/>
    <w:rsid w:val="0078474E"/>
    <w:rsid w:val="00784768"/>
    <w:rsid w:val="007848A1"/>
    <w:rsid w:val="00784976"/>
    <w:rsid w:val="00784AFF"/>
    <w:rsid w:val="00784B87"/>
    <w:rsid w:val="00784C47"/>
    <w:rsid w:val="00784C5B"/>
    <w:rsid w:val="00784CAB"/>
    <w:rsid w:val="00784CB1"/>
    <w:rsid w:val="00784D90"/>
    <w:rsid w:val="00784DE3"/>
    <w:rsid w:val="00784E73"/>
    <w:rsid w:val="00784E9D"/>
    <w:rsid w:val="00784ED5"/>
    <w:rsid w:val="00784F88"/>
    <w:rsid w:val="0078500B"/>
    <w:rsid w:val="00785043"/>
    <w:rsid w:val="007850A3"/>
    <w:rsid w:val="0078511F"/>
    <w:rsid w:val="007851CC"/>
    <w:rsid w:val="007851D9"/>
    <w:rsid w:val="0078520C"/>
    <w:rsid w:val="0078525B"/>
    <w:rsid w:val="007852BD"/>
    <w:rsid w:val="0078532F"/>
    <w:rsid w:val="00785384"/>
    <w:rsid w:val="0078543D"/>
    <w:rsid w:val="0078553E"/>
    <w:rsid w:val="00785549"/>
    <w:rsid w:val="007856A6"/>
    <w:rsid w:val="007856CC"/>
    <w:rsid w:val="00785782"/>
    <w:rsid w:val="007857B8"/>
    <w:rsid w:val="00785850"/>
    <w:rsid w:val="00785864"/>
    <w:rsid w:val="00785879"/>
    <w:rsid w:val="007858DF"/>
    <w:rsid w:val="007858E4"/>
    <w:rsid w:val="00785AF0"/>
    <w:rsid w:val="00785B0A"/>
    <w:rsid w:val="00785B2A"/>
    <w:rsid w:val="00785B83"/>
    <w:rsid w:val="00785B97"/>
    <w:rsid w:val="00785BFF"/>
    <w:rsid w:val="00785CD0"/>
    <w:rsid w:val="00785D0C"/>
    <w:rsid w:val="00785D23"/>
    <w:rsid w:val="00785D36"/>
    <w:rsid w:val="00785D92"/>
    <w:rsid w:val="00785D99"/>
    <w:rsid w:val="00785DFC"/>
    <w:rsid w:val="00785EB2"/>
    <w:rsid w:val="00785F88"/>
    <w:rsid w:val="007860A5"/>
    <w:rsid w:val="007861BF"/>
    <w:rsid w:val="007862C8"/>
    <w:rsid w:val="00786356"/>
    <w:rsid w:val="00786359"/>
    <w:rsid w:val="00786455"/>
    <w:rsid w:val="0078646C"/>
    <w:rsid w:val="0078647F"/>
    <w:rsid w:val="007864F8"/>
    <w:rsid w:val="00786509"/>
    <w:rsid w:val="007865DA"/>
    <w:rsid w:val="0078660C"/>
    <w:rsid w:val="0078669C"/>
    <w:rsid w:val="007866F9"/>
    <w:rsid w:val="007867B7"/>
    <w:rsid w:val="00786800"/>
    <w:rsid w:val="00786926"/>
    <w:rsid w:val="007869CB"/>
    <w:rsid w:val="007869E6"/>
    <w:rsid w:val="00786B83"/>
    <w:rsid w:val="00786BA3"/>
    <w:rsid w:val="00786BDD"/>
    <w:rsid w:val="00786C4B"/>
    <w:rsid w:val="00786CA6"/>
    <w:rsid w:val="00786D61"/>
    <w:rsid w:val="00786D94"/>
    <w:rsid w:val="00786E74"/>
    <w:rsid w:val="00786E92"/>
    <w:rsid w:val="00786FAE"/>
    <w:rsid w:val="00787004"/>
    <w:rsid w:val="007870AB"/>
    <w:rsid w:val="007870B4"/>
    <w:rsid w:val="0078713F"/>
    <w:rsid w:val="00787289"/>
    <w:rsid w:val="007872A4"/>
    <w:rsid w:val="007873BA"/>
    <w:rsid w:val="007873C0"/>
    <w:rsid w:val="007873EE"/>
    <w:rsid w:val="0078743F"/>
    <w:rsid w:val="00787453"/>
    <w:rsid w:val="00787461"/>
    <w:rsid w:val="007874B2"/>
    <w:rsid w:val="00787547"/>
    <w:rsid w:val="007875AB"/>
    <w:rsid w:val="00787658"/>
    <w:rsid w:val="0078767B"/>
    <w:rsid w:val="00787692"/>
    <w:rsid w:val="0078777C"/>
    <w:rsid w:val="00787870"/>
    <w:rsid w:val="007878A8"/>
    <w:rsid w:val="007878AA"/>
    <w:rsid w:val="00787933"/>
    <w:rsid w:val="00787993"/>
    <w:rsid w:val="00787A44"/>
    <w:rsid w:val="00787A56"/>
    <w:rsid w:val="00787BC0"/>
    <w:rsid w:val="00787C9D"/>
    <w:rsid w:val="00787DDC"/>
    <w:rsid w:val="00787E42"/>
    <w:rsid w:val="00787E83"/>
    <w:rsid w:val="00787F37"/>
    <w:rsid w:val="00787FCA"/>
    <w:rsid w:val="0079012C"/>
    <w:rsid w:val="0079015F"/>
    <w:rsid w:val="007901C5"/>
    <w:rsid w:val="007902E1"/>
    <w:rsid w:val="00790310"/>
    <w:rsid w:val="0079038F"/>
    <w:rsid w:val="0079039F"/>
    <w:rsid w:val="00790449"/>
    <w:rsid w:val="00790465"/>
    <w:rsid w:val="00790547"/>
    <w:rsid w:val="00790557"/>
    <w:rsid w:val="0079055F"/>
    <w:rsid w:val="007905C1"/>
    <w:rsid w:val="0079082C"/>
    <w:rsid w:val="0079083A"/>
    <w:rsid w:val="0079088E"/>
    <w:rsid w:val="007908A3"/>
    <w:rsid w:val="007908E4"/>
    <w:rsid w:val="007909A1"/>
    <w:rsid w:val="007909BE"/>
    <w:rsid w:val="007909D2"/>
    <w:rsid w:val="00790A02"/>
    <w:rsid w:val="00790A2A"/>
    <w:rsid w:val="00790AD3"/>
    <w:rsid w:val="00790AF7"/>
    <w:rsid w:val="00790CE2"/>
    <w:rsid w:val="00790D9D"/>
    <w:rsid w:val="00790E61"/>
    <w:rsid w:val="00790E83"/>
    <w:rsid w:val="00790EC7"/>
    <w:rsid w:val="00790EE2"/>
    <w:rsid w:val="00790EF7"/>
    <w:rsid w:val="00790F85"/>
    <w:rsid w:val="00790FC0"/>
    <w:rsid w:val="00790FCE"/>
    <w:rsid w:val="007910AA"/>
    <w:rsid w:val="00791138"/>
    <w:rsid w:val="0079117B"/>
    <w:rsid w:val="007911E0"/>
    <w:rsid w:val="0079136A"/>
    <w:rsid w:val="0079143C"/>
    <w:rsid w:val="007914C7"/>
    <w:rsid w:val="00791554"/>
    <w:rsid w:val="00791577"/>
    <w:rsid w:val="00791592"/>
    <w:rsid w:val="0079168D"/>
    <w:rsid w:val="007916E8"/>
    <w:rsid w:val="007917AD"/>
    <w:rsid w:val="007917BF"/>
    <w:rsid w:val="00791827"/>
    <w:rsid w:val="00791828"/>
    <w:rsid w:val="00791888"/>
    <w:rsid w:val="00791966"/>
    <w:rsid w:val="00791989"/>
    <w:rsid w:val="00791A69"/>
    <w:rsid w:val="00791AC1"/>
    <w:rsid w:val="00791B35"/>
    <w:rsid w:val="00791B5A"/>
    <w:rsid w:val="00791BD7"/>
    <w:rsid w:val="00791C7B"/>
    <w:rsid w:val="00791C7D"/>
    <w:rsid w:val="00791C9B"/>
    <w:rsid w:val="00791DC9"/>
    <w:rsid w:val="00791DFF"/>
    <w:rsid w:val="00791E14"/>
    <w:rsid w:val="00791E2C"/>
    <w:rsid w:val="00791E52"/>
    <w:rsid w:val="00791E71"/>
    <w:rsid w:val="00791F24"/>
    <w:rsid w:val="00791F42"/>
    <w:rsid w:val="00792094"/>
    <w:rsid w:val="0079209E"/>
    <w:rsid w:val="007920CC"/>
    <w:rsid w:val="00792298"/>
    <w:rsid w:val="00792307"/>
    <w:rsid w:val="00792460"/>
    <w:rsid w:val="00792472"/>
    <w:rsid w:val="00792496"/>
    <w:rsid w:val="00792568"/>
    <w:rsid w:val="007925B8"/>
    <w:rsid w:val="007925BB"/>
    <w:rsid w:val="00792613"/>
    <w:rsid w:val="00792675"/>
    <w:rsid w:val="00792692"/>
    <w:rsid w:val="00792734"/>
    <w:rsid w:val="0079276C"/>
    <w:rsid w:val="00792808"/>
    <w:rsid w:val="00792853"/>
    <w:rsid w:val="00792953"/>
    <w:rsid w:val="0079296E"/>
    <w:rsid w:val="00792970"/>
    <w:rsid w:val="00792A0B"/>
    <w:rsid w:val="00792AB7"/>
    <w:rsid w:val="00792BEC"/>
    <w:rsid w:val="00792C36"/>
    <w:rsid w:val="00792C3F"/>
    <w:rsid w:val="00792DAA"/>
    <w:rsid w:val="00792DC9"/>
    <w:rsid w:val="00792DE3"/>
    <w:rsid w:val="00792ED0"/>
    <w:rsid w:val="00792ED6"/>
    <w:rsid w:val="00792F67"/>
    <w:rsid w:val="00792F75"/>
    <w:rsid w:val="00792F9A"/>
    <w:rsid w:val="00792FA3"/>
    <w:rsid w:val="00792FB7"/>
    <w:rsid w:val="00793025"/>
    <w:rsid w:val="007930A9"/>
    <w:rsid w:val="007930E3"/>
    <w:rsid w:val="007930ED"/>
    <w:rsid w:val="00793156"/>
    <w:rsid w:val="00793285"/>
    <w:rsid w:val="0079328A"/>
    <w:rsid w:val="007932FC"/>
    <w:rsid w:val="00793324"/>
    <w:rsid w:val="007933F3"/>
    <w:rsid w:val="00793442"/>
    <w:rsid w:val="007934A1"/>
    <w:rsid w:val="007934DE"/>
    <w:rsid w:val="00793518"/>
    <w:rsid w:val="00793578"/>
    <w:rsid w:val="00793647"/>
    <w:rsid w:val="00793656"/>
    <w:rsid w:val="0079367E"/>
    <w:rsid w:val="00793689"/>
    <w:rsid w:val="00793700"/>
    <w:rsid w:val="00793774"/>
    <w:rsid w:val="00793833"/>
    <w:rsid w:val="007938B8"/>
    <w:rsid w:val="007938EF"/>
    <w:rsid w:val="0079392A"/>
    <w:rsid w:val="007939AA"/>
    <w:rsid w:val="007939E8"/>
    <w:rsid w:val="00793A8E"/>
    <w:rsid w:val="00793AD2"/>
    <w:rsid w:val="00793AE6"/>
    <w:rsid w:val="00793C7A"/>
    <w:rsid w:val="00793D0F"/>
    <w:rsid w:val="00793D3A"/>
    <w:rsid w:val="00793E4F"/>
    <w:rsid w:val="00793E64"/>
    <w:rsid w:val="00793EDF"/>
    <w:rsid w:val="00793FEC"/>
    <w:rsid w:val="0079401D"/>
    <w:rsid w:val="007940A3"/>
    <w:rsid w:val="007940FC"/>
    <w:rsid w:val="00794171"/>
    <w:rsid w:val="00794183"/>
    <w:rsid w:val="007941E3"/>
    <w:rsid w:val="00794219"/>
    <w:rsid w:val="00794261"/>
    <w:rsid w:val="00794299"/>
    <w:rsid w:val="007942EB"/>
    <w:rsid w:val="0079430F"/>
    <w:rsid w:val="007943D4"/>
    <w:rsid w:val="007944DA"/>
    <w:rsid w:val="007944E2"/>
    <w:rsid w:val="007944EC"/>
    <w:rsid w:val="0079450A"/>
    <w:rsid w:val="00794517"/>
    <w:rsid w:val="00794531"/>
    <w:rsid w:val="00794557"/>
    <w:rsid w:val="00794575"/>
    <w:rsid w:val="0079458B"/>
    <w:rsid w:val="00794631"/>
    <w:rsid w:val="00794648"/>
    <w:rsid w:val="0079465A"/>
    <w:rsid w:val="00794687"/>
    <w:rsid w:val="00794761"/>
    <w:rsid w:val="007947E0"/>
    <w:rsid w:val="00794801"/>
    <w:rsid w:val="0079484A"/>
    <w:rsid w:val="00794910"/>
    <w:rsid w:val="0079496D"/>
    <w:rsid w:val="007949C1"/>
    <w:rsid w:val="007949F2"/>
    <w:rsid w:val="00794A60"/>
    <w:rsid w:val="00794A82"/>
    <w:rsid w:val="00794B9C"/>
    <w:rsid w:val="00794C1A"/>
    <w:rsid w:val="00794C65"/>
    <w:rsid w:val="00794CB7"/>
    <w:rsid w:val="00794DA2"/>
    <w:rsid w:val="00794E7C"/>
    <w:rsid w:val="00794E9D"/>
    <w:rsid w:val="00794EEB"/>
    <w:rsid w:val="00794F0E"/>
    <w:rsid w:val="00794F17"/>
    <w:rsid w:val="00794F7F"/>
    <w:rsid w:val="00794F9A"/>
    <w:rsid w:val="0079507B"/>
    <w:rsid w:val="007950B2"/>
    <w:rsid w:val="00795140"/>
    <w:rsid w:val="00795425"/>
    <w:rsid w:val="0079544A"/>
    <w:rsid w:val="00795594"/>
    <w:rsid w:val="007955D0"/>
    <w:rsid w:val="007955FC"/>
    <w:rsid w:val="0079569A"/>
    <w:rsid w:val="0079569C"/>
    <w:rsid w:val="007956D7"/>
    <w:rsid w:val="007956DA"/>
    <w:rsid w:val="007956FA"/>
    <w:rsid w:val="00795716"/>
    <w:rsid w:val="00795748"/>
    <w:rsid w:val="007957FC"/>
    <w:rsid w:val="00795863"/>
    <w:rsid w:val="0079589B"/>
    <w:rsid w:val="00795915"/>
    <w:rsid w:val="00795969"/>
    <w:rsid w:val="007959C1"/>
    <w:rsid w:val="00795A26"/>
    <w:rsid w:val="00795B29"/>
    <w:rsid w:val="00795BC8"/>
    <w:rsid w:val="00795BFD"/>
    <w:rsid w:val="00795C79"/>
    <w:rsid w:val="00795C83"/>
    <w:rsid w:val="00795CB5"/>
    <w:rsid w:val="00795E18"/>
    <w:rsid w:val="00795E6B"/>
    <w:rsid w:val="00795EA7"/>
    <w:rsid w:val="00795F2D"/>
    <w:rsid w:val="00795F44"/>
    <w:rsid w:val="00795F52"/>
    <w:rsid w:val="00796057"/>
    <w:rsid w:val="0079606E"/>
    <w:rsid w:val="007960F5"/>
    <w:rsid w:val="00796111"/>
    <w:rsid w:val="0079612D"/>
    <w:rsid w:val="0079615E"/>
    <w:rsid w:val="007961A8"/>
    <w:rsid w:val="00796261"/>
    <w:rsid w:val="007962C5"/>
    <w:rsid w:val="0079639B"/>
    <w:rsid w:val="007963AB"/>
    <w:rsid w:val="007963D6"/>
    <w:rsid w:val="007963E9"/>
    <w:rsid w:val="007963F5"/>
    <w:rsid w:val="00796463"/>
    <w:rsid w:val="0079646B"/>
    <w:rsid w:val="007964BC"/>
    <w:rsid w:val="00796532"/>
    <w:rsid w:val="0079656B"/>
    <w:rsid w:val="0079659A"/>
    <w:rsid w:val="007966F4"/>
    <w:rsid w:val="007967F8"/>
    <w:rsid w:val="007969BA"/>
    <w:rsid w:val="00796A32"/>
    <w:rsid w:val="00796A83"/>
    <w:rsid w:val="00796B26"/>
    <w:rsid w:val="00796B3C"/>
    <w:rsid w:val="00796B87"/>
    <w:rsid w:val="00796DE1"/>
    <w:rsid w:val="00796E8D"/>
    <w:rsid w:val="00796F43"/>
    <w:rsid w:val="0079700B"/>
    <w:rsid w:val="00797055"/>
    <w:rsid w:val="0079709A"/>
    <w:rsid w:val="0079709F"/>
    <w:rsid w:val="007970E5"/>
    <w:rsid w:val="00797197"/>
    <w:rsid w:val="007971CF"/>
    <w:rsid w:val="00797207"/>
    <w:rsid w:val="00797281"/>
    <w:rsid w:val="007972C0"/>
    <w:rsid w:val="007974B5"/>
    <w:rsid w:val="007975A9"/>
    <w:rsid w:val="00797602"/>
    <w:rsid w:val="007976AD"/>
    <w:rsid w:val="00797745"/>
    <w:rsid w:val="007977ED"/>
    <w:rsid w:val="007977FE"/>
    <w:rsid w:val="00797809"/>
    <w:rsid w:val="0079791E"/>
    <w:rsid w:val="00797992"/>
    <w:rsid w:val="007979E6"/>
    <w:rsid w:val="00797A37"/>
    <w:rsid w:val="00797A38"/>
    <w:rsid w:val="00797ACD"/>
    <w:rsid w:val="00797AD7"/>
    <w:rsid w:val="00797B55"/>
    <w:rsid w:val="00797B65"/>
    <w:rsid w:val="00797CA7"/>
    <w:rsid w:val="00797CFB"/>
    <w:rsid w:val="00797D08"/>
    <w:rsid w:val="00797D56"/>
    <w:rsid w:val="00797DB5"/>
    <w:rsid w:val="00797DDA"/>
    <w:rsid w:val="007A0064"/>
    <w:rsid w:val="007A00B8"/>
    <w:rsid w:val="007A00DA"/>
    <w:rsid w:val="007A00E2"/>
    <w:rsid w:val="007A0122"/>
    <w:rsid w:val="007A0130"/>
    <w:rsid w:val="007A01EF"/>
    <w:rsid w:val="007A0205"/>
    <w:rsid w:val="007A0225"/>
    <w:rsid w:val="007A023A"/>
    <w:rsid w:val="007A02A2"/>
    <w:rsid w:val="007A03A4"/>
    <w:rsid w:val="007A041F"/>
    <w:rsid w:val="007A04D0"/>
    <w:rsid w:val="007A0583"/>
    <w:rsid w:val="007A05C4"/>
    <w:rsid w:val="007A060B"/>
    <w:rsid w:val="007A0704"/>
    <w:rsid w:val="007A0711"/>
    <w:rsid w:val="007A0863"/>
    <w:rsid w:val="007A087B"/>
    <w:rsid w:val="007A08AE"/>
    <w:rsid w:val="007A0AA0"/>
    <w:rsid w:val="007A0ADF"/>
    <w:rsid w:val="007A0BCA"/>
    <w:rsid w:val="007A0BF2"/>
    <w:rsid w:val="007A0CC1"/>
    <w:rsid w:val="007A0CE5"/>
    <w:rsid w:val="007A0CEA"/>
    <w:rsid w:val="007A0DBD"/>
    <w:rsid w:val="007A0E99"/>
    <w:rsid w:val="007A0EB5"/>
    <w:rsid w:val="007A0F9C"/>
    <w:rsid w:val="007A0FD7"/>
    <w:rsid w:val="007A0FF4"/>
    <w:rsid w:val="007A1043"/>
    <w:rsid w:val="007A1048"/>
    <w:rsid w:val="007A10F1"/>
    <w:rsid w:val="007A1118"/>
    <w:rsid w:val="007A126A"/>
    <w:rsid w:val="007A12F0"/>
    <w:rsid w:val="007A1351"/>
    <w:rsid w:val="007A1377"/>
    <w:rsid w:val="007A14EC"/>
    <w:rsid w:val="007A16BA"/>
    <w:rsid w:val="007A1795"/>
    <w:rsid w:val="007A1834"/>
    <w:rsid w:val="007A18AF"/>
    <w:rsid w:val="007A18B8"/>
    <w:rsid w:val="007A1939"/>
    <w:rsid w:val="007A19AA"/>
    <w:rsid w:val="007A1A33"/>
    <w:rsid w:val="007A1AE2"/>
    <w:rsid w:val="007A1B38"/>
    <w:rsid w:val="007A1B66"/>
    <w:rsid w:val="007A1C97"/>
    <w:rsid w:val="007A1D2D"/>
    <w:rsid w:val="007A1EC9"/>
    <w:rsid w:val="007A1EDF"/>
    <w:rsid w:val="007A1F32"/>
    <w:rsid w:val="007A1F6B"/>
    <w:rsid w:val="007A1FB8"/>
    <w:rsid w:val="007A203E"/>
    <w:rsid w:val="007A20B1"/>
    <w:rsid w:val="007A2133"/>
    <w:rsid w:val="007A2180"/>
    <w:rsid w:val="007A21AE"/>
    <w:rsid w:val="007A21FF"/>
    <w:rsid w:val="007A22C6"/>
    <w:rsid w:val="007A22D2"/>
    <w:rsid w:val="007A22ED"/>
    <w:rsid w:val="007A2315"/>
    <w:rsid w:val="007A2390"/>
    <w:rsid w:val="007A23D7"/>
    <w:rsid w:val="007A241A"/>
    <w:rsid w:val="007A24B2"/>
    <w:rsid w:val="007A262C"/>
    <w:rsid w:val="007A271C"/>
    <w:rsid w:val="007A27E7"/>
    <w:rsid w:val="007A285E"/>
    <w:rsid w:val="007A28B7"/>
    <w:rsid w:val="007A2919"/>
    <w:rsid w:val="007A2A32"/>
    <w:rsid w:val="007A2A6D"/>
    <w:rsid w:val="007A2AA6"/>
    <w:rsid w:val="007A2AC4"/>
    <w:rsid w:val="007A2B03"/>
    <w:rsid w:val="007A2BA4"/>
    <w:rsid w:val="007A2CAC"/>
    <w:rsid w:val="007A2CDD"/>
    <w:rsid w:val="007A2D90"/>
    <w:rsid w:val="007A2D93"/>
    <w:rsid w:val="007A2DEB"/>
    <w:rsid w:val="007A2DF5"/>
    <w:rsid w:val="007A2E86"/>
    <w:rsid w:val="007A2F64"/>
    <w:rsid w:val="007A2FAB"/>
    <w:rsid w:val="007A301C"/>
    <w:rsid w:val="007A307D"/>
    <w:rsid w:val="007A30DA"/>
    <w:rsid w:val="007A31C1"/>
    <w:rsid w:val="007A326B"/>
    <w:rsid w:val="007A32D6"/>
    <w:rsid w:val="007A331F"/>
    <w:rsid w:val="007A336C"/>
    <w:rsid w:val="007A350C"/>
    <w:rsid w:val="007A3540"/>
    <w:rsid w:val="007A3617"/>
    <w:rsid w:val="007A36B6"/>
    <w:rsid w:val="007A371D"/>
    <w:rsid w:val="007A3742"/>
    <w:rsid w:val="007A37C4"/>
    <w:rsid w:val="007A37C9"/>
    <w:rsid w:val="007A37DF"/>
    <w:rsid w:val="007A381F"/>
    <w:rsid w:val="007A3821"/>
    <w:rsid w:val="007A386C"/>
    <w:rsid w:val="007A38FC"/>
    <w:rsid w:val="007A3910"/>
    <w:rsid w:val="007A391F"/>
    <w:rsid w:val="007A3AA2"/>
    <w:rsid w:val="007A3AF5"/>
    <w:rsid w:val="007A3B96"/>
    <w:rsid w:val="007A3BD8"/>
    <w:rsid w:val="007A3C27"/>
    <w:rsid w:val="007A3C44"/>
    <w:rsid w:val="007A3C4A"/>
    <w:rsid w:val="007A3DF5"/>
    <w:rsid w:val="007A3E9D"/>
    <w:rsid w:val="007A3F3D"/>
    <w:rsid w:val="007A3F6B"/>
    <w:rsid w:val="007A4130"/>
    <w:rsid w:val="007A4131"/>
    <w:rsid w:val="007A4132"/>
    <w:rsid w:val="007A418C"/>
    <w:rsid w:val="007A41AF"/>
    <w:rsid w:val="007A4223"/>
    <w:rsid w:val="007A4235"/>
    <w:rsid w:val="007A424D"/>
    <w:rsid w:val="007A4307"/>
    <w:rsid w:val="007A4372"/>
    <w:rsid w:val="007A4376"/>
    <w:rsid w:val="007A43AF"/>
    <w:rsid w:val="007A4414"/>
    <w:rsid w:val="007A44FA"/>
    <w:rsid w:val="007A4575"/>
    <w:rsid w:val="007A4599"/>
    <w:rsid w:val="007A46C7"/>
    <w:rsid w:val="007A4709"/>
    <w:rsid w:val="007A4721"/>
    <w:rsid w:val="007A476D"/>
    <w:rsid w:val="007A477C"/>
    <w:rsid w:val="007A4787"/>
    <w:rsid w:val="007A47B0"/>
    <w:rsid w:val="007A47C5"/>
    <w:rsid w:val="007A48C0"/>
    <w:rsid w:val="007A48E1"/>
    <w:rsid w:val="007A491C"/>
    <w:rsid w:val="007A49F0"/>
    <w:rsid w:val="007A4A10"/>
    <w:rsid w:val="007A4A35"/>
    <w:rsid w:val="007A4AA2"/>
    <w:rsid w:val="007A4AA6"/>
    <w:rsid w:val="007A4B07"/>
    <w:rsid w:val="007A4B14"/>
    <w:rsid w:val="007A4B44"/>
    <w:rsid w:val="007A4B57"/>
    <w:rsid w:val="007A4C3A"/>
    <w:rsid w:val="007A4C43"/>
    <w:rsid w:val="007A4C4C"/>
    <w:rsid w:val="007A4CA5"/>
    <w:rsid w:val="007A4D94"/>
    <w:rsid w:val="007A4DB6"/>
    <w:rsid w:val="007A4DBA"/>
    <w:rsid w:val="007A4E39"/>
    <w:rsid w:val="007A4E9E"/>
    <w:rsid w:val="007A4F5F"/>
    <w:rsid w:val="007A4F9E"/>
    <w:rsid w:val="007A4FF7"/>
    <w:rsid w:val="007A500E"/>
    <w:rsid w:val="007A5011"/>
    <w:rsid w:val="007A50A2"/>
    <w:rsid w:val="007A50D0"/>
    <w:rsid w:val="007A5164"/>
    <w:rsid w:val="007A519A"/>
    <w:rsid w:val="007A51F0"/>
    <w:rsid w:val="007A5238"/>
    <w:rsid w:val="007A5278"/>
    <w:rsid w:val="007A52E5"/>
    <w:rsid w:val="007A544E"/>
    <w:rsid w:val="007A548E"/>
    <w:rsid w:val="007A5607"/>
    <w:rsid w:val="007A5622"/>
    <w:rsid w:val="007A5631"/>
    <w:rsid w:val="007A5664"/>
    <w:rsid w:val="007A56B9"/>
    <w:rsid w:val="007A573D"/>
    <w:rsid w:val="007A5789"/>
    <w:rsid w:val="007A57AC"/>
    <w:rsid w:val="007A5836"/>
    <w:rsid w:val="007A5858"/>
    <w:rsid w:val="007A590F"/>
    <w:rsid w:val="007A5997"/>
    <w:rsid w:val="007A59B0"/>
    <w:rsid w:val="007A5A19"/>
    <w:rsid w:val="007A5A82"/>
    <w:rsid w:val="007A5BD4"/>
    <w:rsid w:val="007A5BE2"/>
    <w:rsid w:val="007A5CCA"/>
    <w:rsid w:val="007A5CF8"/>
    <w:rsid w:val="007A5D26"/>
    <w:rsid w:val="007A5DCA"/>
    <w:rsid w:val="007A5DD3"/>
    <w:rsid w:val="007A5E46"/>
    <w:rsid w:val="007A5FEC"/>
    <w:rsid w:val="007A60AA"/>
    <w:rsid w:val="007A6111"/>
    <w:rsid w:val="007A6123"/>
    <w:rsid w:val="007A6153"/>
    <w:rsid w:val="007A615D"/>
    <w:rsid w:val="007A6170"/>
    <w:rsid w:val="007A61A1"/>
    <w:rsid w:val="007A61F8"/>
    <w:rsid w:val="007A6279"/>
    <w:rsid w:val="007A6283"/>
    <w:rsid w:val="007A63AE"/>
    <w:rsid w:val="007A6401"/>
    <w:rsid w:val="007A642E"/>
    <w:rsid w:val="007A651E"/>
    <w:rsid w:val="007A6565"/>
    <w:rsid w:val="007A6590"/>
    <w:rsid w:val="007A65DD"/>
    <w:rsid w:val="007A666F"/>
    <w:rsid w:val="007A6697"/>
    <w:rsid w:val="007A66DE"/>
    <w:rsid w:val="007A6783"/>
    <w:rsid w:val="007A6813"/>
    <w:rsid w:val="007A6848"/>
    <w:rsid w:val="007A6888"/>
    <w:rsid w:val="007A693C"/>
    <w:rsid w:val="007A69F4"/>
    <w:rsid w:val="007A6A49"/>
    <w:rsid w:val="007A6AB1"/>
    <w:rsid w:val="007A6B41"/>
    <w:rsid w:val="007A6BB1"/>
    <w:rsid w:val="007A6BF0"/>
    <w:rsid w:val="007A6C09"/>
    <w:rsid w:val="007A6C26"/>
    <w:rsid w:val="007A6C8D"/>
    <w:rsid w:val="007A6CF3"/>
    <w:rsid w:val="007A6DE8"/>
    <w:rsid w:val="007A6E54"/>
    <w:rsid w:val="007A6F06"/>
    <w:rsid w:val="007A6F98"/>
    <w:rsid w:val="007A702D"/>
    <w:rsid w:val="007A70DB"/>
    <w:rsid w:val="007A7111"/>
    <w:rsid w:val="007A719D"/>
    <w:rsid w:val="007A71A7"/>
    <w:rsid w:val="007A71BD"/>
    <w:rsid w:val="007A7293"/>
    <w:rsid w:val="007A72E6"/>
    <w:rsid w:val="007A7316"/>
    <w:rsid w:val="007A74AB"/>
    <w:rsid w:val="007A74C1"/>
    <w:rsid w:val="007A7500"/>
    <w:rsid w:val="007A752D"/>
    <w:rsid w:val="007A753C"/>
    <w:rsid w:val="007A756E"/>
    <w:rsid w:val="007A75A7"/>
    <w:rsid w:val="007A75C3"/>
    <w:rsid w:val="007A7610"/>
    <w:rsid w:val="007A7639"/>
    <w:rsid w:val="007A776C"/>
    <w:rsid w:val="007A777E"/>
    <w:rsid w:val="007A7791"/>
    <w:rsid w:val="007A7832"/>
    <w:rsid w:val="007A7844"/>
    <w:rsid w:val="007A79F6"/>
    <w:rsid w:val="007A79FD"/>
    <w:rsid w:val="007A7A95"/>
    <w:rsid w:val="007A7AF2"/>
    <w:rsid w:val="007A7B09"/>
    <w:rsid w:val="007A7B0B"/>
    <w:rsid w:val="007A7B16"/>
    <w:rsid w:val="007A7B33"/>
    <w:rsid w:val="007A7D38"/>
    <w:rsid w:val="007A7DD5"/>
    <w:rsid w:val="007A7E2C"/>
    <w:rsid w:val="007A7E2F"/>
    <w:rsid w:val="007A7E50"/>
    <w:rsid w:val="007A7F2D"/>
    <w:rsid w:val="007A7F77"/>
    <w:rsid w:val="007A7FA1"/>
    <w:rsid w:val="007B0084"/>
    <w:rsid w:val="007B016F"/>
    <w:rsid w:val="007B0214"/>
    <w:rsid w:val="007B0247"/>
    <w:rsid w:val="007B0276"/>
    <w:rsid w:val="007B03A0"/>
    <w:rsid w:val="007B03A8"/>
    <w:rsid w:val="007B03FD"/>
    <w:rsid w:val="007B04F0"/>
    <w:rsid w:val="007B060B"/>
    <w:rsid w:val="007B063D"/>
    <w:rsid w:val="007B0697"/>
    <w:rsid w:val="007B06D8"/>
    <w:rsid w:val="007B07F8"/>
    <w:rsid w:val="007B080D"/>
    <w:rsid w:val="007B0861"/>
    <w:rsid w:val="007B08CE"/>
    <w:rsid w:val="007B0946"/>
    <w:rsid w:val="007B09C5"/>
    <w:rsid w:val="007B0A56"/>
    <w:rsid w:val="007B0B21"/>
    <w:rsid w:val="007B0C91"/>
    <w:rsid w:val="007B0C9E"/>
    <w:rsid w:val="007B0CCD"/>
    <w:rsid w:val="007B0CFD"/>
    <w:rsid w:val="007B0D55"/>
    <w:rsid w:val="007B0D65"/>
    <w:rsid w:val="007B0E58"/>
    <w:rsid w:val="007B0E68"/>
    <w:rsid w:val="007B0F1B"/>
    <w:rsid w:val="007B0F1C"/>
    <w:rsid w:val="007B0F41"/>
    <w:rsid w:val="007B0F4A"/>
    <w:rsid w:val="007B0F50"/>
    <w:rsid w:val="007B0F6E"/>
    <w:rsid w:val="007B0FDE"/>
    <w:rsid w:val="007B1123"/>
    <w:rsid w:val="007B117B"/>
    <w:rsid w:val="007B11D6"/>
    <w:rsid w:val="007B126A"/>
    <w:rsid w:val="007B1411"/>
    <w:rsid w:val="007B148A"/>
    <w:rsid w:val="007B14D3"/>
    <w:rsid w:val="007B1663"/>
    <w:rsid w:val="007B1664"/>
    <w:rsid w:val="007B1719"/>
    <w:rsid w:val="007B1728"/>
    <w:rsid w:val="007B1892"/>
    <w:rsid w:val="007B18B4"/>
    <w:rsid w:val="007B18DC"/>
    <w:rsid w:val="007B191D"/>
    <w:rsid w:val="007B1980"/>
    <w:rsid w:val="007B19BC"/>
    <w:rsid w:val="007B1A5C"/>
    <w:rsid w:val="007B1B14"/>
    <w:rsid w:val="007B1B53"/>
    <w:rsid w:val="007B1CCB"/>
    <w:rsid w:val="007B1CE3"/>
    <w:rsid w:val="007B1CFD"/>
    <w:rsid w:val="007B1D62"/>
    <w:rsid w:val="007B1DA4"/>
    <w:rsid w:val="007B1DD4"/>
    <w:rsid w:val="007B1EDD"/>
    <w:rsid w:val="007B1F2A"/>
    <w:rsid w:val="007B20EC"/>
    <w:rsid w:val="007B20F2"/>
    <w:rsid w:val="007B215C"/>
    <w:rsid w:val="007B2175"/>
    <w:rsid w:val="007B228F"/>
    <w:rsid w:val="007B23B5"/>
    <w:rsid w:val="007B24EF"/>
    <w:rsid w:val="007B2533"/>
    <w:rsid w:val="007B263C"/>
    <w:rsid w:val="007B2692"/>
    <w:rsid w:val="007B2708"/>
    <w:rsid w:val="007B2759"/>
    <w:rsid w:val="007B2889"/>
    <w:rsid w:val="007B2921"/>
    <w:rsid w:val="007B2924"/>
    <w:rsid w:val="007B29E4"/>
    <w:rsid w:val="007B29EA"/>
    <w:rsid w:val="007B2AC1"/>
    <w:rsid w:val="007B2BA2"/>
    <w:rsid w:val="007B2C64"/>
    <w:rsid w:val="007B2C86"/>
    <w:rsid w:val="007B2CB1"/>
    <w:rsid w:val="007B2D1E"/>
    <w:rsid w:val="007B2E58"/>
    <w:rsid w:val="007B2E9B"/>
    <w:rsid w:val="007B2EB9"/>
    <w:rsid w:val="007B2EEE"/>
    <w:rsid w:val="007B2F7D"/>
    <w:rsid w:val="007B2FF6"/>
    <w:rsid w:val="007B3103"/>
    <w:rsid w:val="007B3194"/>
    <w:rsid w:val="007B3197"/>
    <w:rsid w:val="007B31E0"/>
    <w:rsid w:val="007B3282"/>
    <w:rsid w:val="007B3309"/>
    <w:rsid w:val="007B330E"/>
    <w:rsid w:val="007B338D"/>
    <w:rsid w:val="007B358C"/>
    <w:rsid w:val="007B35CF"/>
    <w:rsid w:val="007B35F5"/>
    <w:rsid w:val="007B36B8"/>
    <w:rsid w:val="007B36FD"/>
    <w:rsid w:val="007B37E6"/>
    <w:rsid w:val="007B3849"/>
    <w:rsid w:val="007B39AC"/>
    <w:rsid w:val="007B3A38"/>
    <w:rsid w:val="007B3A91"/>
    <w:rsid w:val="007B3AFC"/>
    <w:rsid w:val="007B3BA1"/>
    <w:rsid w:val="007B3BF9"/>
    <w:rsid w:val="007B3C01"/>
    <w:rsid w:val="007B3C37"/>
    <w:rsid w:val="007B3C64"/>
    <w:rsid w:val="007B3C8C"/>
    <w:rsid w:val="007B3CC2"/>
    <w:rsid w:val="007B3CD3"/>
    <w:rsid w:val="007B3D88"/>
    <w:rsid w:val="007B3D8F"/>
    <w:rsid w:val="007B3E1C"/>
    <w:rsid w:val="007B3EA8"/>
    <w:rsid w:val="007B3F69"/>
    <w:rsid w:val="007B3FDC"/>
    <w:rsid w:val="007B3FDF"/>
    <w:rsid w:val="007B4022"/>
    <w:rsid w:val="007B40BA"/>
    <w:rsid w:val="007B40CD"/>
    <w:rsid w:val="007B40E4"/>
    <w:rsid w:val="007B4129"/>
    <w:rsid w:val="007B4156"/>
    <w:rsid w:val="007B4174"/>
    <w:rsid w:val="007B41A0"/>
    <w:rsid w:val="007B42AD"/>
    <w:rsid w:val="007B42B0"/>
    <w:rsid w:val="007B4367"/>
    <w:rsid w:val="007B438B"/>
    <w:rsid w:val="007B43D8"/>
    <w:rsid w:val="007B43E1"/>
    <w:rsid w:val="007B4419"/>
    <w:rsid w:val="007B4451"/>
    <w:rsid w:val="007B44AC"/>
    <w:rsid w:val="007B44CB"/>
    <w:rsid w:val="007B44D6"/>
    <w:rsid w:val="007B4632"/>
    <w:rsid w:val="007B466C"/>
    <w:rsid w:val="007B46AC"/>
    <w:rsid w:val="007B46FF"/>
    <w:rsid w:val="007B473D"/>
    <w:rsid w:val="007B4747"/>
    <w:rsid w:val="007B477D"/>
    <w:rsid w:val="007B4949"/>
    <w:rsid w:val="007B4953"/>
    <w:rsid w:val="007B4987"/>
    <w:rsid w:val="007B49E3"/>
    <w:rsid w:val="007B4A27"/>
    <w:rsid w:val="007B4AAC"/>
    <w:rsid w:val="007B4B50"/>
    <w:rsid w:val="007B4C72"/>
    <w:rsid w:val="007B4C94"/>
    <w:rsid w:val="007B4D86"/>
    <w:rsid w:val="007B4DD2"/>
    <w:rsid w:val="007B4DE4"/>
    <w:rsid w:val="007B4ED0"/>
    <w:rsid w:val="007B4ED5"/>
    <w:rsid w:val="007B4F66"/>
    <w:rsid w:val="007B50CD"/>
    <w:rsid w:val="007B50E8"/>
    <w:rsid w:val="007B517A"/>
    <w:rsid w:val="007B51F4"/>
    <w:rsid w:val="007B521C"/>
    <w:rsid w:val="007B5413"/>
    <w:rsid w:val="007B5425"/>
    <w:rsid w:val="007B5681"/>
    <w:rsid w:val="007B56A6"/>
    <w:rsid w:val="007B5815"/>
    <w:rsid w:val="007B5822"/>
    <w:rsid w:val="007B5860"/>
    <w:rsid w:val="007B58B1"/>
    <w:rsid w:val="007B5957"/>
    <w:rsid w:val="007B59E9"/>
    <w:rsid w:val="007B5A0D"/>
    <w:rsid w:val="007B5A0F"/>
    <w:rsid w:val="007B5A25"/>
    <w:rsid w:val="007B5A2F"/>
    <w:rsid w:val="007B5AA9"/>
    <w:rsid w:val="007B5B4A"/>
    <w:rsid w:val="007B5BA0"/>
    <w:rsid w:val="007B5BE5"/>
    <w:rsid w:val="007B5C00"/>
    <w:rsid w:val="007B5C34"/>
    <w:rsid w:val="007B5C4A"/>
    <w:rsid w:val="007B5C59"/>
    <w:rsid w:val="007B5D1C"/>
    <w:rsid w:val="007B5F26"/>
    <w:rsid w:val="007B5F4B"/>
    <w:rsid w:val="007B5F5E"/>
    <w:rsid w:val="007B5F5F"/>
    <w:rsid w:val="007B5F7A"/>
    <w:rsid w:val="007B6010"/>
    <w:rsid w:val="007B6094"/>
    <w:rsid w:val="007B6144"/>
    <w:rsid w:val="007B61CC"/>
    <w:rsid w:val="007B61FB"/>
    <w:rsid w:val="007B6319"/>
    <w:rsid w:val="007B633C"/>
    <w:rsid w:val="007B6371"/>
    <w:rsid w:val="007B6395"/>
    <w:rsid w:val="007B63C7"/>
    <w:rsid w:val="007B63D9"/>
    <w:rsid w:val="007B64B3"/>
    <w:rsid w:val="007B65D8"/>
    <w:rsid w:val="007B65EF"/>
    <w:rsid w:val="007B6613"/>
    <w:rsid w:val="007B661E"/>
    <w:rsid w:val="007B670C"/>
    <w:rsid w:val="007B6843"/>
    <w:rsid w:val="007B695C"/>
    <w:rsid w:val="007B6A33"/>
    <w:rsid w:val="007B6A5A"/>
    <w:rsid w:val="007B6B6C"/>
    <w:rsid w:val="007B6BBE"/>
    <w:rsid w:val="007B6C02"/>
    <w:rsid w:val="007B6C24"/>
    <w:rsid w:val="007B6C27"/>
    <w:rsid w:val="007B6D33"/>
    <w:rsid w:val="007B6DBF"/>
    <w:rsid w:val="007B6DD7"/>
    <w:rsid w:val="007B6DEE"/>
    <w:rsid w:val="007B6E81"/>
    <w:rsid w:val="007B7012"/>
    <w:rsid w:val="007B70D7"/>
    <w:rsid w:val="007B716C"/>
    <w:rsid w:val="007B716E"/>
    <w:rsid w:val="007B71D4"/>
    <w:rsid w:val="007B72B4"/>
    <w:rsid w:val="007B7338"/>
    <w:rsid w:val="007B7361"/>
    <w:rsid w:val="007B73B2"/>
    <w:rsid w:val="007B7405"/>
    <w:rsid w:val="007B7415"/>
    <w:rsid w:val="007B7442"/>
    <w:rsid w:val="007B7452"/>
    <w:rsid w:val="007B74D7"/>
    <w:rsid w:val="007B7509"/>
    <w:rsid w:val="007B758A"/>
    <w:rsid w:val="007B758D"/>
    <w:rsid w:val="007B75B8"/>
    <w:rsid w:val="007B770B"/>
    <w:rsid w:val="007B7745"/>
    <w:rsid w:val="007B7831"/>
    <w:rsid w:val="007B7881"/>
    <w:rsid w:val="007B7907"/>
    <w:rsid w:val="007B79A9"/>
    <w:rsid w:val="007B79AC"/>
    <w:rsid w:val="007B79D0"/>
    <w:rsid w:val="007B7A36"/>
    <w:rsid w:val="007B7A94"/>
    <w:rsid w:val="007B7B3C"/>
    <w:rsid w:val="007B7B47"/>
    <w:rsid w:val="007B7BAD"/>
    <w:rsid w:val="007B7BAE"/>
    <w:rsid w:val="007B7CE9"/>
    <w:rsid w:val="007B7CF7"/>
    <w:rsid w:val="007B7D80"/>
    <w:rsid w:val="007B7D9D"/>
    <w:rsid w:val="007B7D9E"/>
    <w:rsid w:val="007B7DF1"/>
    <w:rsid w:val="007B7FE9"/>
    <w:rsid w:val="007C0089"/>
    <w:rsid w:val="007C013E"/>
    <w:rsid w:val="007C01C1"/>
    <w:rsid w:val="007C01D1"/>
    <w:rsid w:val="007C026E"/>
    <w:rsid w:val="007C0286"/>
    <w:rsid w:val="007C04AF"/>
    <w:rsid w:val="007C0625"/>
    <w:rsid w:val="007C073A"/>
    <w:rsid w:val="007C076C"/>
    <w:rsid w:val="007C07B3"/>
    <w:rsid w:val="007C083A"/>
    <w:rsid w:val="007C088B"/>
    <w:rsid w:val="007C0974"/>
    <w:rsid w:val="007C097C"/>
    <w:rsid w:val="007C099B"/>
    <w:rsid w:val="007C09DF"/>
    <w:rsid w:val="007C0A0E"/>
    <w:rsid w:val="007C0A6B"/>
    <w:rsid w:val="007C0BD1"/>
    <w:rsid w:val="007C0C25"/>
    <w:rsid w:val="007C0C82"/>
    <w:rsid w:val="007C0C9F"/>
    <w:rsid w:val="007C0E53"/>
    <w:rsid w:val="007C0F47"/>
    <w:rsid w:val="007C0F4C"/>
    <w:rsid w:val="007C0FCC"/>
    <w:rsid w:val="007C0FD7"/>
    <w:rsid w:val="007C1074"/>
    <w:rsid w:val="007C108F"/>
    <w:rsid w:val="007C10E1"/>
    <w:rsid w:val="007C111B"/>
    <w:rsid w:val="007C1162"/>
    <w:rsid w:val="007C119B"/>
    <w:rsid w:val="007C11E1"/>
    <w:rsid w:val="007C1234"/>
    <w:rsid w:val="007C126C"/>
    <w:rsid w:val="007C12CE"/>
    <w:rsid w:val="007C139C"/>
    <w:rsid w:val="007C148D"/>
    <w:rsid w:val="007C15BE"/>
    <w:rsid w:val="007C15F4"/>
    <w:rsid w:val="007C162D"/>
    <w:rsid w:val="007C1711"/>
    <w:rsid w:val="007C17EB"/>
    <w:rsid w:val="007C17F1"/>
    <w:rsid w:val="007C17F7"/>
    <w:rsid w:val="007C18B1"/>
    <w:rsid w:val="007C19F3"/>
    <w:rsid w:val="007C1CC9"/>
    <w:rsid w:val="007C1D38"/>
    <w:rsid w:val="007C1DFD"/>
    <w:rsid w:val="007C1E19"/>
    <w:rsid w:val="007C1E7C"/>
    <w:rsid w:val="007C1F1D"/>
    <w:rsid w:val="007C1F35"/>
    <w:rsid w:val="007C1F59"/>
    <w:rsid w:val="007C1F7F"/>
    <w:rsid w:val="007C1FC9"/>
    <w:rsid w:val="007C2033"/>
    <w:rsid w:val="007C210F"/>
    <w:rsid w:val="007C220C"/>
    <w:rsid w:val="007C2246"/>
    <w:rsid w:val="007C225F"/>
    <w:rsid w:val="007C229C"/>
    <w:rsid w:val="007C2306"/>
    <w:rsid w:val="007C26A3"/>
    <w:rsid w:val="007C26B3"/>
    <w:rsid w:val="007C2726"/>
    <w:rsid w:val="007C2795"/>
    <w:rsid w:val="007C27A4"/>
    <w:rsid w:val="007C2810"/>
    <w:rsid w:val="007C288F"/>
    <w:rsid w:val="007C28F0"/>
    <w:rsid w:val="007C2906"/>
    <w:rsid w:val="007C29D3"/>
    <w:rsid w:val="007C2A44"/>
    <w:rsid w:val="007C2B00"/>
    <w:rsid w:val="007C2BA0"/>
    <w:rsid w:val="007C2BA1"/>
    <w:rsid w:val="007C2BC3"/>
    <w:rsid w:val="007C2C00"/>
    <w:rsid w:val="007C2CA9"/>
    <w:rsid w:val="007C2D5E"/>
    <w:rsid w:val="007C2D61"/>
    <w:rsid w:val="007C2DBE"/>
    <w:rsid w:val="007C2DDD"/>
    <w:rsid w:val="007C2E43"/>
    <w:rsid w:val="007C2E8B"/>
    <w:rsid w:val="007C2F15"/>
    <w:rsid w:val="007C2FCD"/>
    <w:rsid w:val="007C2FE9"/>
    <w:rsid w:val="007C306D"/>
    <w:rsid w:val="007C31CD"/>
    <w:rsid w:val="007C3298"/>
    <w:rsid w:val="007C336E"/>
    <w:rsid w:val="007C33F0"/>
    <w:rsid w:val="007C3466"/>
    <w:rsid w:val="007C3491"/>
    <w:rsid w:val="007C34C0"/>
    <w:rsid w:val="007C34F5"/>
    <w:rsid w:val="007C3645"/>
    <w:rsid w:val="007C368A"/>
    <w:rsid w:val="007C36CC"/>
    <w:rsid w:val="007C36E7"/>
    <w:rsid w:val="007C374E"/>
    <w:rsid w:val="007C37B7"/>
    <w:rsid w:val="007C37DF"/>
    <w:rsid w:val="007C391B"/>
    <w:rsid w:val="007C395F"/>
    <w:rsid w:val="007C3ACC"/>
    <w:rsid w:val="007C3AD7"/>
    <w:rsid w:val="007C3BFF"/>
    <w:rsid w:val="007C3CDB"/>
    <w:rsid w:val="007C3E39"/>
    <w:rsid w:val="007C3E93"/>
    <w:rsid w:val="007C3EAE"/>
    <w:rsid w:val="007C4076"/>
    <w:rsid w:val="007C4084"/>
    <w:rsid w:val="007C4093"/>
    <w:rsid w:val="007C4189"/>
    <w:rsid w:val="007C41A1"/>
    <w:rsid w:val="007C4216"/>
    <w:rsid w:val="007C42D8"/>
    <w:rsid w:val="007C440E"/>
    <w:rsid w:val="007C447A"/>
    <w:rsid w:val="007C44EB"/>
    <w:rsid w:val="007C45D2"/>
    <w:rsid w:val="007C4674"/>
    <w:rsid w:val="007C4682"/>
    <w:rsid w:val="007C4706"/>
    <w:rsid w:val="007C470E"/>
    <w:rsid w:val="007C474A"/>
    <w:rsid w:val="007C48EA"/>
    <w:rsid w:val="007C491C"/>
    <w:rsid w:val="007C4944"/>
    <w:rsid w:val="007C495A"/>
    <w:rsid w:val="007C4962"/>
    <w:rsid w:val="007C498F"/>
    <w:rsid w:val="007C4997"/>
    <w:rsid w:val="007C49DE"/>
    <w:rsid w:val="007C49ED"/>
    <w:rsid w:val="007C4A97"/>
    <w:rsid w:val="007C4B7A"/>
    <w:rsid w:val="007C4BFB"/>
    <w:rsid w:val="007C4C02"/>
    <w:rsid w:val="007C4CA2"/>
    <w:rsid w:val="007C4CFB"/>
    <w:rsid w:val="007C4D1B"/>
    <w:rsid w:val="007C4D33"/>
    <w:rsid w:val="007C4D6C"/>
    <w:rsid w:val="007C4D81"/>
    <w:rsid w:val="007C4D92"/>
    <w:rsid w:val="007C4DFB"/>
    <w:rsid w:val="007C4E09"/>
    <w:rsid w:val="007C4E11"/>
    <w:rsid w:val="007C4E13"/>
    <w:rsid w:val="007C4E34"/>
    <w:rsid w:val="007C4E46"/>
    <w:rsid w:val="007C4E59"/>
    <w:rsid w:val="007C4EF8"/>
    <w:rsid w:val="007C4F16"/>
    <w:rsid w:val="007C4FE3"/>
    <w:rsid w:val="007C5043"/>
    <w:rsid w:val="007C511A"/>
    <w:rsid w:val="007C5245"/>
    <w:rsid w:val="007C52A1"/>
    <w:rsid w:val="007C532B"/>
    <w:rsid w:val="007C538E"/>
    <w:rsid w:val="007C53D7"/>
    <w:rsid w:val="007C54FE"/>
    <w:rsid w:val="007C5510"/>
    <w:rsid w:val="007C558D"/>
    <w:rsid w:val="007C558F"/>
    <w:rsid w:val="007C559B"/>
    <w:rsid w:val="007C561B"/>
    <w:rsid w:val="007C56FF"/>
    <w:rsid w:val="007C58D2"/>
    <w:rsid w:val="007C58EF"/>
    <w:rsid w:val="007C5977"/>
    <w:rsid w:val="007C59D6"/>
    <w:rsid w:val="007C5A5E"/>
    <w:rsid w:val="007C5AAC"/>
    <w:rsid w:val="007C5ABC"/>
    <w:rsid w:val="007C5B38"/>
    <w:rsid w:val="007C5E28"/>
    <w:rsid w:val="007C5F5A"/>
    <w:rsid w:val="007C603C"/>
    <w:rsid w:val="007C60BE"/>
    <w:rsid w:val="007C60E0"/>
    <w:rsid w:val="007C633D"/>
    <w:rsid w:val="007C636F"/>
    <w:rsid w:val="007C6404"/>
    <w:rsid w:val="007C64D8"/>
    <w:rsid w:val="007C6515"/>
    <w:rsid w:val="007C656D"/>
    <w:rsid w:val="007C657E"/>
    <w:rsid w:val="007C65EB"/>
    <w:rsid w:val="007C67E6"/>
    <w:rsid w:val="007C6824"/>
    <w:rsid w:val="007C683C"/>
    <w:rsid w:val="007C68A1"/>
    <w:rsid w:val="007C68B0"/>
    <w:rsid w:val="007C68CD"/>
    <w:rsid w:val="007C6963"/>
    <w:rsid w:val="007C6A1A"/>
    <w:rsid w:val="007C6B71"/>
    <w:rsid w:val="007C6BAD"/>
    <w:rsid w:val="007C6BC6"/>
    <w:rsid w:val="007C6BDD"/>
    <w:rsid w:val="007C6C67"/>
    <w:rsid w:val="007C6CBB"/>
    <w:rsid w:val="007C6D14"/>
    <w:rsid w:val="007C6D49"/>
    <w:rsid w:val="007C6DAC"/>
    <w:rsid w:val="007C6E42"/>
    <w:rsid w:val="007C706B"/>
    <w:rsid w:val="007C70CB"/>
    <w:rsid w:val="007C711C"/>
    <w:rsid w:val="007C7261"/>
    <w:rsid w:val="007C7375"/>
    <w:rsid w:val="007C74AB"/>
    <w:rsid w:val="007C7500"/>
    <w:rsid w:val="007C755D"/>
    <w:rsid w:val="007C756A"/>
    <w:rsid w:val="007C75F0"/>
    <w:rsid w:val="007C75F9"/>
    <w:rsid w:val="007C765C"/>
    <w:rsid w:val="007C774F"/>
    <w:rsid w:val="007C77B7"/>
    <w:rsid w:val="007C78C4"/>
    <w:rsid w:val="007C795F"/>
    <w:rsid w:val="007C7974"/>
    <w:rsid w:val="007C7984"/>
    <w:rsid w:val="007C79F8"/>
    <w:rsid w:val="007C7A25"/>
    <w:rsid w:val="007C7A33"/>
    <w:rsid w:val="007C7A39"/>
    <w:rsid w:val="007C7A78"/>
    <w:rsid w:val="007C7AD8"/>
    <w:rsid w:val="007C7D2C"/>
    <w:rsid w:val="007C7D66"/>
    <w:rsid w:val="007C7DC5"/>
    <w:rsid w:val="007C7E2C"/>
    <w:rsid w:val="007C7F99"/>
    <w:rsid w:val="007C7F9C"/>
    <w:rsid w:val="007C7FB2"/>
    <w:rsid w:val="007D0003"/>
    <w:rsid w:val="007D006B"/>
    <w:rsid w:val="007D00A7"/>
    <w:rsid w:val="007D00E5"/>
    <w:rsid w:val="007D00F3"/>
    <w:rsid w:val="007D0164"/>
    <w:rsid w:val="007D01BA"/>
    <w:rsid w:val="007D01D3"/>
    <w:rsid w:val="007D02B7"/>
    <w:rsid w:val="007D04B0"/>
    <w:rsid w:val="007D04D0"/>
    <w:rsid w:val="007D04DA"/>
    <w:rsid w:val="007D05A0"/>
    <w:rsid w:val="007D0606"/>
    <w:rsid w:val="007D06BB"/>
    <w:rsid w:val="007D0716"/>
    <w:rsid w:val="007D089E"/>
    <w:rsid w:val="007D09E2"/>
    <w:rsid w:val="007D0A87"/>
    <w:rsid w:val="007D0B53"/>
    <w:rsid w:val="007D0BB3"/>
    <w:rsid w:val="007D0BD6"/>
    <w:rsid w:val="007D0C2A"/>
    <w:rsid w:val="007D0C36"/>
    <w:rsid w:val="007D0C3B"/>
    <w:rsid w:val="007D0C7A"/>
    <w:rsid w:val="007D0C9A"/>
    <w:rsid w:val="007D0CDE"/>
    <w:rsid w:val="007D0DB7"/>
    <w:rsid w:val="007D0E4C"/>
    <w:rsid w:val="007D1044"/>
    <w:rsid w:val="007D1055"/>
    <w:rsid w:val="007D110D"/>
    <w:rsid w:val="007D12AA"/>
    <w:rsid w:val="007D1320"/>
    <w:rsid w:val="007D1334"/>
    <w:rsid w:val="007D1353"/>
    <w:rsid w:val="007D1366"/>
    <w:rsid w:val="007D1397"/>
    <w:rsid w:val="007D13AA"/>
    <w:rsid w:val="007D13C8"/>
    <w:rsid w:val="007D13CE"/>
    <w:rsid w:val="007D143A"/>
    <w:rsid w:val="007D14E9"/>
    <w:rsid w:val="007D1546"/>
    <w:rsid w:val="007D1587"/>
    <w:rsid w:val="007D1599"/>
    <w:rsid w:val="007D15E9"/>
    <w:rsid w:val="007D1620"/>
    <w:rsid w:val="007D16DF"/>
    <w:rsid w:val="007D1749"/>
    <w:rsid w:val="007D1825"/>
    <w:rsid w:val="007D187F"/>
    <w:rsid w:val="007D18ED"/>
    <w:rsid w:val="007D18FE"/>
    <w:rsid w:val="007D19C6"/>
    <w:rsid w:val="007D1B18"/>
    <w:rsid w:val="007D1BC5"/>
    <w:rsid w:val="007D1BEB"/>
    <w:rsid w:val="007D1C49"/>
    <w:rsid w:val="007D1C7A"/>
    <w:rsid w:val="007D1DB4"/>
    <w:rsid w:val="007D1F8D"/>
    <w:rsid w:val="007D2067"/>
    <w:rsid w:val="007D20AC"/>
    <w:rsid w:val="007D20EB"/>
    <w:rsid w:val="007D2134"/>
    <w:rsid w:val="007D21F4"/>
    <w:rsid w:val="007D221F"/>
    <w:rsid w:val="007D2294"/>
    <w:rsid w:val="007D22CD"/>
    <w:rsid w:val="007D233B"/>
    <w:rsid w:val="007D2361"/>
    <w:rsid w:val="007D2385"/>
    <w:rsid w:val="007D2394"/>
    <w:rsid w:val="007D2458"/>
    <w:rsid w:val="007D2493"/>
    <w:rsid w:val="007D24AB"/>
    <w:rsid w:val="007D2501"/>
    <w:rsid w:val="007D2527"/>
    <w:rsid w:val="007D252F"/>
    <w:rsid w:val="007D257B"/>
    <w:rsid w:val="007D25A2"/>
    <w:rsid w:val="007D2678"/>
    <w:rsid w:val="007D26A2"/>
    <w:rsid w:val="007D273E"/>
    <w:rsid w:val="007D2753"/>
    <w:rsid w:val="007D2762"/>
    <w:rsid w:val="007D282A"/>
    <w:rsid w:val="007D28FC"/>
    <w:rsid w:val="007D2961"/>
    <w:rsid w:val="007D29AE"/>
    <w:rsid w:val="007D29F6"/>
    <w:rsid w:val="007D2A11"/>
    <w:rsid w:val="007D2A40"/>
    <w:rsid w:val="007D2B9E"/>
    <w:rsid w:val="007D2BAD"/>
    <w:rsid w:val="007D2BEC"/>
    <w:rsid w:val="007D2C14"/>
    <w:rsid w:val="007D2C7E"/>
    <w:rsid w:val="007D2CED"/>
    <w:rsid w:val="007D2D77"/>
    <w:rsid w:val="007D2E80"/>
    <w:rsid w:val="007D2F34"/>
    <w:rsid w:val="007D2F9D"/>
    <w:rsid w:val="007D300D"/>
    <w:rsid w:val="007D303C"/>
    <w:rsid w:val="007D30AE"/>
    <w:rsid w:val="007D3132"/>
    <w:rsid w:val="007D3167"/>
    <w:rsid w:val="007D31A3"/>
    <w:rsid w:val="007D31D9"/>
    <w:rsid w:val="007D322E"/>
    <w:rsid w:val="007D326A"/>
    <w:rsid w:val="007D32A6"/>
    <w:rsid w:val="007D3301"/>
    <w:rsid w:val="007D33A6"/>
    <w:rsid w:val="007D33CF"/>
    <w:rsid w:val="007D3457"/>
    <w:rsid w:val="007D34A0"/>
    <w:rsid w:val="007D359C"/>
    <w:rsid w:val="007D35E5"/>
    <w:rsid w:val="007D3608"/>
    <w:rsid w:val="007D365A"/>
    <w:rsid w:val="007D3691"/>
    <w:rsid w:val="007D370C"/>
    <w:rsid w:val="007D3799"/>
    <w:rsid w:val="007D37C3"/>
    <w:rsid w:val="007D3857"/>
    <w:rsid w:val="007D38C6"/>
    <w:rsid w:val="007D391D"/>
    <w:rsid w:val="007D3A46"/>
    <w:rsid w:val="007D3A64"/>
    <w:rsid w:val="007D3A8D"/>
    <w:rsid w:val="007D3A98"/>
    <w:rsid w:val="007D3BE9"/>
    <w:rsid w:val="007D3DBD"/>
    <w:rsid w:val="007D3E45"/>
    <w:rsid w:val="007D3EA5"/>
    <w:rsid w:val="007D3EDF"/>
    <w:rsid w:val="007D3F0D"/>
    <w:rsid w:val="007D4004"/>
    <w:rsid w:val="007D4048"/>
    <w:rsid w:val="007D4090"/>
    <w:rsid w:val="007D40B9"/>
    <w:rsid w:val="007D40C1"/>
    <w:rsid w:val="007D41AA"/>
    <w:rsid w:val="007D41AC"/>
    <w:rsid w:val="007D41C9"/>
    <w:rsid w:val="007D425D"/>
    <w:rsid w:val="007D4272"/>
    <w:rsid w:val="007D439A"/>
    <w:rsid w:val="007D43A0"/>
    <w:rsid w:val="007D4407"/>
    <w:rsid w:val="007D4453"/>
    <w:rsid w:val="007D44C3"/>
    <w:rsid w:val="007D452F"/>
    <w:rsid w:val="007D454B"/>
    <w:rsid w:val="007D4571"/>
    <w:rsid w:val="007D459D"/>
    <w:rsid w:val="007D463A"/>
    <w:rsid w:val="007D470D"/>
    <w:rsid w:val="007D478E"/>
    <w:rsid w:val="007D47A5"/>
    <w:rsid w:val="007D47FC"/>
    <w:rsid w:val="007D4810"/>
    <w:rsid w:val="007D4813"/>
    <w:rsid w:val="007D496E"/>
    <w:rsid w:val="007D4A2A"/>
    <w:rsid w:val="007D4AB9"/>
    <w:rsid w:val="007D4B3A"/>
    <w:rsid w:val="007D4C32"/>
    <w:rsid w:val="007D4C4E"/>
    <w:rsid w:val="007D4C5A"/>
    <w:rsid w:val="007D4C9C"/>
    <w:rsid w:val="007D4D68"/>
    <w:rsid w:val="007D4DD8"/>
    <w:rsid w:val="007D4E60"/>
    <w:rsid w:val="007D4EEF"/>
    <w:rsid w:val="007D4F68"/>
    <w:rsid w:val="007D5031"/>
    <w:rsid w:val="007D5036"/>
    <w:rsid w:val="007D508D"/>
    <w:rsid w:val="007D50A2"/>
    <w:rsid w:val="007D50EB"/>
    <w:rsid w:val="007D541E"/>
    <w:rsid w:val="007D54FD"/>
    <w:rsid w:val="007D5542"/>
    <w:rsid w:val="007D55F3"/>
    <w:rsid w:val="007D565B"/>
    <w:rsid w:val="007D577C"/>
    <w:rsid w:val="007D57DE"/>
    <w:rsid w:val="007D5849"/>
    <w:rsid w:val="007D586F"/>
    <w:rsid w:val="007D58A5"/>
    <w:rsid w:val="007D58B8"/>
    <w:rsid w:val="007D58CB"/>
    <w:rsid w:val="007D58EF"/>
    <w:rsid w:val="007D594A"/>
    <w:rsid w:val="007D59C4"/>
    <w:rsid w:val="007D5A44"/>
    <w:rsid w:val="007D5AA4"/>
    <w:rsid w:val="007D5AC6"/>
    <w:rsid w:val="007D5AE5"/>
    <w:rsid w:val="007D5AEF"/>
    <w:rsid w:val="007D5B11"/>
    <w:rsid w:val="007D5B28"/>
    <w:rsid w:val="007D5B4C"/>
    <w:rsid w:val="007D5BE4"/>
    <w:rsid w:val="007D5D06"/>
    <w:rsid w:val="007D5D73"/>
    <w:rsid w:val="007D5ED2"/>
    <w:rsid w:val="007D601D"/>
    <w:rsid w:val="007D6090"/>
    <w:rsid w:val="007D60CC"/>
    <w:rsid w:val="007D6135"/>
    <w:rsid w:val="007D6160"/>
    <w:rsid w:val="007D62C1"/>
    <w:rsid w:val="007D62F8"/>
    <w:rsid w:val="007D6321"/>
    <w:rsid w:val="007D6472"/>
    <w:rsid w:val="007D64B9"/>
    <w:rsid w:val="007D6534"/>
    <w:rsid w:val="007D6551"/>
    <w:rsid w:val="007D65FC"/>
    <w:rsid w:val="007D6770"/>
    <w:rsid w:val="007D67A2"/>
    <w:rsid w:val="007D67E4"/>
    <w:rsid w:val="007D6829"/>
    <w:rsid w:val="007D685E"/>
    <w:rsid w:val="007D6892"/>
    <w:rsid w:val="007D68F8"/>
    <w:rsid w:val="007D697F"/>
    <w:rsid w:val="007D69D0"/>
    <w:rsid w:val="007D6A25"/>
    <w:rsid w:val="007D6A2B"/>
    <w:rsid w:val="007D6B17"/>
    <w:rsid w:val="007D6B4D"/>
    <w:rsid w:val="007D6B60"/>
    <w:rsid w:val="007D6B66"/>
    <w:rsid w:val="007D6CC5"/>
    <w:rsid w:val="007D6CEA"/>
    <w:rsid w:val="007D6D2B"/>
    <w:rsid w:val="007D6D88"/>
    <w:rsid w:val="007D6DC1"/>
    <w:rsid w:val="007D6E34"/>
    <w:rsid w:val="007D6E73"/>
    <w:rsid w:val="007D6EC4"/>
    <w:rsid w:val="007D6F5F"/>
    <w:rsid w:val="007D6FE9"/>
    <w:rsid w:val="007D7044"/>
    <w:rsid w:val="007D70A5"/>
    <w:rsid w:val="007D717D"/>
    <w:rsid w:val="007D718A"/>
    <w:rsid w:val="007D7246"/>
    <w:rsid w:val="007D724F"/>
    <w:rsid w:val="007D72AF"/>
    <w:rsid w:val="007D734A"/>
    <w:rsid w:val="007D737C"/>
    <w:rsid w:val="007D73D3"/>
    <w:rsid w:val="007D746C"/>
    <w:rsid w:val="007D74DF"/>
    <w:rsid w:val="007D74F1"/>
    <w:rsid w:val="007D7542"/>
    <w:rsid w:val="007D756C"/>
    <w:rsid w:val="007D758F"/>
    <w:rsid w:val="007D75D9"/>
    <w:rsid w:val="007D765F"/>
    <w:rsid w:val="007D76B4"/>
    <w:rsid w:val="007D76C9"/>
    <w:rsid w:val="007D77B6"/>
    <w:rsid w:val="007D77DF"/>
    <w:rsid w:val="007D7955"/>
    <w:rsid w:val="007D7980"/>
    <w:rsid w:val="007D7997"/>
    <w:rsid w:val="007D7AE9"/>
    <w:rsid w:val="007D7B8D"/>
    <w:rsid w:val="007D7C79"/>
    <w:rsid w:val="007D7C7A"/>
    <w:rsid w:val="007D7C94"/>
    <w:rsid w:val="007D7CC3"/>
    <w:rsid w:val="007D7D07"/>
    <w:rsid w:val="007D7E25"/>
    <w:rsid w:val="007D7E89"/>
    <w:rsid w:val="007D7F57"/>
    <w:rsid w:val="007E0014"/>
    <w:rsid w:val="007E0082"/>
    <w:rsid w:val="007E00D2"/>
    <w:rsid w:val="007E02DA"/>
    <w:rsid w:val="007E030C"/>
    <w:rsid w:val="007E0353"/>
    <w:rsid w:val="007E03E1"/>
    <w:rsid w:val="007E0436"/>
    <w:rsid w:val="007E0451"/>
    <w:rsid w:val="007E046C"/>
    <w:rsid w:val="007E056E"/>
    <w:rsid w:val="007E05C4"/>
    <w:rsid w:val="007E0667"/>
    <w:rsid w:val="007E0712"/>
    <w:rsid w:val="007E087E"/>
    <w:rsid w:val="007E0893"/>
    <w:rsid w:val="007E09FF"/>
    <w:rsid w:val="007E0B20"/>
    <w:rsid w:val="007E0C23"/>
    <w:rsid w:val="007E0CCB"/>
    <w:rsid w:val="007E0D19"/>
    <w:rsid w:val="007E0D24"/>
    <w:rsid w:val="007E0DB8"/>
    <w:rsid w:val="007E0E66"/>
    <w:rsid w:val="007E0E7D"/>
    <w:rsid w:val="007E0E81"/>
    <w:rsid w:val="007E0F67"/>
    <w:rsid w:val="007E0F73"/>
    <w:rsid w:val="007E107A"/>
    <w:rsid w:val="007E1158"/>
    <w:rsid w:val="007E1161"/>
    <w:rsid w:val="007E11C5"/>
    <w:rsid w:val="007E1310"/>
    <w:rsid w:val="007E132C"/>
    <w:rsid w:val="007E1399"/>
    <w:rsid w:val="007E1450"/>
    <w:rsid w:val="007E1452"/>
    <w:rsid w:val="007E1454"/>
    <w:rsid w:val="007E157C"/>
    <w:rsid w:val="007E1612"/>
    <w:rsid w:val="007E16DA"/>
    <w:rsid w:val="007E172E"/>
    <w:rsid w:val="007E1791"/>
    <w:rsid w:val="007E1838"/>
    <w:rsid w:val="007E18D7"/>
    <w:rsid w:val="007E1935"/>
    <w:rsid w:val="007E1936"/>
    <w:rsid w:val="007E1B3C"/>
    <w:rsid w:val="007E1B86"/>
    <w:rsid w:val="007E1D4A"/>
    <w:rsid w:val="007E1D56"/>
    <w:rsid w:val="007E1E19"/>
    <w:rsid w:val="007E1FA4"/>
    <w:rsid w:val="007E204F"/>
    <w:rsid w:val="007E219F"/>
    <w:rsid w:val="007E220A"/>
    <w:rsid w:val="007E220D"/>
    <w:rsid w:val="007E2224"/>
    <w:rsid w:val="007E22CA"/>
    <w:rsid w:val="007E2310"/>
    <w:rsid w:val="007E2343"/>
    <w:rsid w:val="007E2366"/>
    <w:rsid w:val="007E2385"/>
    <w:rsid w:val="007E23BE"/>
    <w:rsid w:val="007E24A3"/>
    <w:rsid w:val="007E24D5"/>
    <w:rsid w:val="007E24F4"/>
    <w:rsid w:val="007E2535"/>
    <w:rsid w:val="007E2610"/>
    <w:rsid w:val="007E26EF"/>
    <w:rsid w:val="007E27EB"/>
    <w:rsid w:val="007E2911"/>
    <w:rsid w:val="007E2922"/>
    <w:rsid w:val="007E29A4"/>
    <w:rsid w:val="007E2A63"/>
    <w:rsid w:val="007E2B28"/>
    <w:rsid w:val="007E2B94"/>
    <w:rsid w:val="007E2BC8"/>
    <w:rsid w:val="007E2C40"/>
    <w:rsid w:val="007E2C83"/>
    <w:rsid w:val="007E2C8D"/>
    <w:rsid w:val="007E2CC3"/>
    <w:rsid w:val="007E2D28"/>
    <w:rsid w:val="007E2E6E"/>
    <w:rsid w:val="007E2E9E"/>
    <w:rsid w:val="007E2EEF"/>
    <w:rsid w:val="007E2F6A"/>
    <w:rsid w:val="007E2FA0"/>
    <w:rsid w:val="007E3014"/>
    <w:rsid w:val="007E3077"/>
    <w:rsid w:val="007E30EF"/>
    <w:rsid w:val="007E30FE"/>
    <w:rsid w:val="007E312D"/>
    <w:rsid w:val="007E314E"/>
    <w:rsid w:val="007E3160"/>
    <w:rsid w:val="007E3308"/>
    <w:rsid w:val="007E3367"/>
    <w:rsid w:val="007E3401"/>
    <w:rsid w:val="007E3519"/>
    <w:rsid w:val="007E35B4"/>
    <w:rsid w:val="007E35C9"/>
    <w:rsid w:val="007E3644"/>
    <w:rsid w:val="007E3674"/>
    <w:rsid w:val="007E36C1"/>
    <w:rsid w:val="007E370C"/>
    <w:rsid w:val="007E37CB"/>
    <w:rsid w:val="007E390B"/>
    <w:rsid w:val="007E396E"/>
    <w:rsid w:val="007E39C4"/>
    <w:rsid w:val="007E3A25"/>
    <w:rsid w:val="007E3B36"/>
    <w:rsid w:val="007E3B65"/>
    <w:rsid w:val="007E3B8E"/>
    <w:rsid w:val="007E3BDD"/>
    <w:rsid w:val="007E3BFC"/>
    <w:rsid w:val="007E3D2E"/>
    <w:rsid w:val="007E3D30"/>
    <w:rsid w:val="007E3DA3"/>
    <w:rsid w:val="007E3E29"/>
    <w:rsid w:val="007E3F0B"/>
    <w:rsid w:val="007E4077"/>
    <w:rsid w:val="007E4164"/>
    <w:rsid w:val="007E41A3"/>
    <w:rsid w:val="007E41DA"/>
    <w:rsid w:val="007E42FB"/>
    <w:rsid w:val="007E4311"/>
    <w:rsid w:val="007E4345"/>
    <w:rsid w:val="007E435C"/>
    <w:rsid w:val="007E44A2"/>
    <w:rsid w:val="007E44FA"/>
    <w:rsid w:val="007E44FB"/>
    <w:rsid w:val="007E45E1"/>
    <w:rsid w:val="007E46CE"/>
    <w:rsid w:val="007E46D8"/>
    <w:rsid w:val="007E46FC"/>
    <w:rsid w:val="007E4703"/>
    <w:rsid w:val="007E47C2"/>
    <w:rsid w:val="007E4810"/>
    <w:rsid w:val="007E48E3"/>
    <w:rsid w:val="007E48FA"/>
    <w:rsid w:val="007E4902"/>
    <w:rsid w:val="007E49E6"/>
    <w:rsid w:val="007E4A12"/>
    <w:rsid w:val="007E4A53"/>
    <w:rsid w:val="007E4A9A"/>
    <w:rsid w:val="007E4C3D"/>
    <w:rsid w:val="007E4C62"/>
    <w:rsid w:val="007E4CBE"/>
    <w:rsid w:val="007E4DD0"/>
    <w:rsid w:val="007E4E46"/>
    <w:rsid w:val="007E4FA7"/>
    <w:rsid w:val="007E4FB0"/>
    <w:rsid w:val="007E50B9"/>
    <w:rsid w:val="007E5104"/>
    <w:rsid w:val="007E510A"/>
    <w:rsid w:val="007E5149"/>
    <w:rsid w:val="007E5155"/>
    <w:rsid w:val="007E518C"/>
    <w:rsid w:val="007E51B4"/>
    <w:rsid w:val="007E51F0"/>
    <w:rsid w:val="007E52CE"/>
    <w:rsid w:val="007E52F6"/>
    <w:rsid w:val="007E53CB"/>
    <w:rsid w:val="007E53F3"/>
    <w:rsid w:val="007E5521"/>
    <w:rsid w:val="007E5621"/>
    <w:rsid w:val="007E562D"/>
    <w:rsid w:val="007E5659"/>
    <w:rsid w:val="007E56AC"/>
    <w:rsid w:val="007E587D"/>
    <w:rsid w:val="007E5888"/>
    <w:rsid w:val="007E58F0"/>
    <w:rsid w:val="007E592A"/>
    <w:rsid w:val="007E5A27"/>
    <w:rsid w:val="007E5A83"/>
    <w:rsid w:val="007E5AA3"/>
    <w:rsid w:val="007E5AB9"/>
    <w:rsid w:val="007E5AE0"/>
    <w:rsid w:val="007E5B24"/>
    <w:rsid w:val="007E5B6C"/>
    <w:rsid w:val="007E5B74"/>
    <w:rsid w:val="007E5BFB"/>
    <w:rsid w:val="007E5C1C"/>
    <w:rsid w:val="007E5E07"/>
    <w:rsid w:val="007E5EBE"/>
    <w:rsid w:val="007E5EF1"/>
    <w:rsid w:val="007E5F01"/>
    <w:rsid w:val="007E5F05"/>
    <w:rsid w:val="007E5F1C"/>
    <w:rsid w:val="007E5FB1"/>
    <w:rsid w:val="007E6026"/>
    <w:rsid w:val="007E60A6"/>
    <w:rsid w:val="007E60AA"/>
    <w:rsid w:val="007E60AC"/>
    <w:rsid w:val="007E612D"/>
    <w:rsid w:val="007E6138"/>
    <w:rsid w:val="007E618A"/>
    <w:rsid w:val="007E6360"/>
    <w:rsid w:val="007E6367"/>
    <w:rsid w:val="007E643C"/>
    <w:rsid w:val="007E6462"/>
    <w:rsid w:val="007E6480"/>
    <w:rsid w:val="007E6481"/>
    <w:rsid w:val="007E65E7"/>
    <w:rsid w:val="007E65F0"/>
    <w:rsid w:val="007E6635"/>
    <w:rsid w:val="007E663E"/>
    <w:rsid w:val="007E6661"/>
    <w:rsid w:val="007E66B1"/>
    <w:rsid w:val="007E67C6"/>
    <w:rsid w:val="007E6857"/>
    <w:rsid w:val="007E6861"/>
    <w:rsid w:val="007E68CD"/>
    <w:rsid w:val="007E69CF"/>
    <w:rsid w:val="007E6A1C"/>
    <w:rsid w:val="007E6B8C"/>
    <w:rsid w:val="007E6B90"/>
    <w:rsid w:val="007E6C0B"/>
    <w:rsid w:val="007E6C86"/>
    <w:rsid w:val="007E6CF7"/>
    <w:rsid w:val="007E6D71"/>
    <w:rsid w:val="007E6E0C"/>
    <w:rsid w:val="007E6F3B"/>
    <w:rsid w:val="007E6F5D"/>
    <w:rsid w:val="007E6F84"/>
    <w:rsid w:val="007E6FB0"/>
    <w:rsid w:val="007E6FC8"/>
    <w:rsid w:val="007E707A"/>
    <w:rsid w:val="007E70BC"/>
    <w:rsid w:val="007E7159"/>
    <w:rsid w:val="007E716A"/>
    <w:rsid w:val="007E71B8"/>
    <w:rsid w:val="007E724F"/>
    <w:rsid w:val="007E72B1"/>
    <w:rsid w:val="007E72E4"/>
    <w:rsid w:val="007E7308"/>
    <w:rsid w:val="007E7317"/>
    <w:rsid w:val="007E73C7"/>
    <w:rsid w:val="007E7469"/>
    <w:rsid w:val="007E74C0"/>
    <w:rsid w:val="007E74F9"/>
    <w:rsid w:val="007E757F"/>
    <w:rsid w:val="007E7585"/>
    <w:rsid w:val="007E75BE"/>
    <w:rsid w:val="007E7646"/>
    <w:rsid w:val="007E7663"/>
    <w:rsid w:val="007E768D"/>
    <w:rsid w:val="007E76AA"/>
    <w:rsid w:val="007E774A"/>
    <w:rsid w:val="007E776D"/>
    <w:rsid w:val="007E7793"/>
    <w:rsid w:val="007E77ED"/>
    <w:rsid w:val="007E796B"/>
    <w:rsid w:val="007E796C"/>
    <w:rsid w:val="007E7994"/>
    <w:rsid w:val="007E7997"/>
    <w:rsid w:val="007E79BC"/>
    <w:rsid w:val="007E79FD"/>
    <w:rsid w:val="007E7AA6"/>
    <w:rsid w:val="007E7B7A"/>
    <w:rsid w:val="007E7BE7"/>
    <w:rsid w:val="007E7C2E"/>
    <w:rsid w:val="007E7C32"/>
    <w:rsid w:val="007E7C78"/>
    <w:rsid w:val="007E7CAF"/>
    <w:rsid w:val="007E7CF6"/>
    <w:rsid w:val="007E7D4E"/>
    <w:rsid w:val="007E7DAD"/>
    <w:rsid w:val="007E7DFF"/>
    <w:rsid w:val="007E7E3B"/>
    <w:rsid w:val="007E7E57"/>
    <w:rsid w:val="007E7E99"/>
    <w:rsid w:val="007E7EF5"/>
    <w:rsid w:val="007EF3C1"/>
    <w:rsid w:val="007F002E"/>
    <w:rsid w:val="007F00D6"/>
    <w:rsid w:val="007F012A"/>
    <w:rsid w:val="007F01D1"/>
    <w:rsid w:val="007F01E8"/>
    <w:rsid w:val="007F0284"/>
    <w:rsid w:val="007F02C0"/>
    <w:rsid w:val="007F02D3"/>
    <w:rsid w:val="007F03BA"/>
    <w:rsid w:val="007F043E"/>
    <w:rsid w:val="007F044B"/>
    <w:rsid w:val="007F052C"/>
    <w:rsid w:val="007F05D0"/>
    <w:rsid w:val="007F05F0"/>
    <w:rsid w:val="007F0732"/>
    <w:rsid w:val="007F0739"/>
    <w:rsid w:val="007F0853"/>
    <w:rsid w:val="007F0892"/>
    <w:rsid w:val="007F0991"/>
    <w:rsid w:val="007F0A2D"/>
    <w:rsid w:val="007F0AA5"/>
    <w:rsid w:val="007F0ACB"/>
    <w:rsid w:val="007F0AEE"/>
    <w:rsid w:val="007F0AFA"/>
    <w:rsid w:val="007F0BB7"/>
    <w:rsid w:val="007F0C4E"/>
    <w:rsid w:val="007F0C64"/>
    <w:rsid w:val="007F0CAF"/>
    <w:rsid w:val="007F0D0B"/>
    <w:rsid w:val="007F0D42"/>
    <w:rsid w:val="007F0D85"/>
    <w:rsid w:val="007F0DDC"/>
    <w:rsid w:val="007F0E86"/>
    <w:rsid w:val="007F0EFF"/>
    <w:rsid w:val="007F0F56"/>
    <w:rsid w:val="007F0FC3"/>
    <w:rsid w:val="007F1136"/>
    <w:rsid w:val="007F116B"/>
    <w:rsid w:val="007F117B"/>
    <w:rsid w:val="007F118E"/>
    <w:rsid w:val="007F12D0"/>
    <w:rsid w:val="007F13A5"/>
    <w:rsid w:val="007F1549"/>
    <w:rsid w:val="007F1581"/>
    <w:rsid w:val="007F15DA"/>
    <w:rsid w:val="007F15E1"/>
    <w:rsid w:val="007F1659"/>
    <w:rsid w:val="007F16A5"/>
    <w:rsid w:val="007F16F2"/>
    <w:rsid w:val="007F16FF"/>
    <w:rsid w:val="007F1727"/>
    <w:rsid w:val="007F17B5"/>
    <w:rsid w:val="007F182B"/>
    <w:rsid w:val="007F1837"/>
    <w:rsid w:val="007F18C8"/>
    <w:rsid w:val="007F1914"/>
    <w:rsid w:val="007F192D"/>
    <w:rsid w:val="007F1976"/>
    <w:rsid w:val="007F1A02"/>
    <w:rsid w:val="007F1A6C"/>
    <w:rsid w:val="007F1B39"/>
    <w:rsid w:val="007F1B68"/>
    <w:rsid w:val="007F1C39"/>
    <w:rsid w:val="007F1C89"/>
    <w:rsid w:val="007F1DC0"/>
    <w:rsid w:val="007F1DE2"/>
    <w:rsid w:val="007F1E10"/>
    <w:rsid w:val="007F1E57"/>
    <w:rsid w:val="007F1E62"/>
    <w:rsid w:val="007F1F2E"/>
    <w:rsid w:val="007F1F64"/>
    <w:rsid w:val="007F1FAD"/>
    <w:rsid w:val="007F2036"/>
    <w:rsid w:val="007F2048"/>
    <w:rsid w:val="007F205D"/>
    <w:rsid w:val="007F2161"/>
    <w:rsid w:val="007F2295"/>
    <w:rsid w:val="007F22BB"/>
    <w:rsid w:val="007F22D4"/>
    <w:rsid w:val="007F23D3"/>
    <w:rsid w:val="007F23FC"/>
    <w:rsid w:val="007F2401"/>
    <w:rsid w:val="007F2443"/>
    <w:rsid w:val="007F24F5"/>
    <w:rsid w:val="007F2536"/>
    <w:rsid w:val="007F260F"/>
    <w:rsid w:val="007F265A"/>
    <w:rsid w:val="007F26E1"/>
    <w:rsid w:val="007F26E6"/>
    <w:rsid w:val="007F2704"/>
    <w:rsid w:val="007F2714"/>
    <w:rsid w:val="007F2716"/>
    <w:rsid w:val="007F2734"/>
    <w:rsid w:val="007F2795"/>
    <w:rsid w:val="007F2843"/>
    <w:rsid w:val="007F28B7"/>
    <w:rsid w:val="007F2916"/>
    <w:rsid w:val="007F297D"/>
    <w:rsid w:val="007F29F3"/>
    <w:rsid w:val="007F2A0A"/>
    <w:rsid w:val="007F2A0B"/>
    <w:rsid w:val="007F2AFB"/>
    <w:rsid w:val="007F2B33"/>
    <w:rsid w:val="007F2C16"/>
    <w:rsid w:val="007F2CA0"/>
    <w:rsid w:val="007F2CBC"/>
    <w:rsid w:val="007F2CF2"/>
    <w:rsid w:val="007F2CFB"/>
    <w:rsid w:val="007F2D95"/>
    <w:rsid w:val="007F2DE7"/>
    <w:rsid w:val="007F2E18"/>
    <w:rsid w:val="007F2E2B"/>
    <w:rsid w:val="007F2E36"/>
    <w:rsid w:val="007F2FE3"/>
    <w:rsid w:val="007F2FFB"/>
    <w:rsid w:val="007F3080"/>
    <w:rsid w:val="007F31D3"/>
    <w:rsid w:val="007F3240"/>
    <w:rsid w:val="007F32D4"/>
    <w:rsid w:val="007F330F"/>
    <w:rsid w:val="007F337F"/>
    <w:rsid w:val="007F339B"/>
    <w:rsid w:val="007F33DC"/>
    <w:rsid w:val="007F33EC"/>
    <w:rsid w:val="007F33EF"/>
    <w:rsid w:val="007F3502"/>
    <w:rsid w:val="007F3508"/>
    <w:rsid w:val="007F3643"/>
    <w:rsid w:val="007F37CF"/>
    <w:rsid w:val="007F37E1"/>
    <w:rsid w:val="007F380E"/>
    <w:rsid w:val="007F3899"/>
    <w:rsid w:val="007F391C"/>
    <w:rsid w:val="007F398D"/>
    <w:rsid w:val="007F39F7"/>
    <w:rsid w:val="007F3B79"/>
    <w:rsid w:val="007F3BC5"/>
    <w:rsid w:val="007F3BCB"/>
    <w:rsid w:val="007F3C64"/>
    <w:rsid w:val="007F3C73"/>
    <w:rsid w:val="007F3D2F"/>
    <w:rsid w:val="007F3D45"/>
    <w:rsid w:val="007F3E17"/>
    <w:rsid w:val="007F3E37"/>
    <w:rsid w:val="007F3E91"/>
    <w:rsid w:val="007F3EAA"/>
    <w:rsid w:val="007F3EBD"/>
    <w:rsid w:val="007F3EFE"/>
    <w:rsid w:val="007F3F83"/>
    <w:rsid w:val="007F3FF8"/>
    <w:rsid w:val="007F4018"/>
    <w:rsid w:val="007F4053"/>
    <w:rsid w:val="007F40A9"/>
    <w:rsid w:val="007F4115"/>
    <w:rsid w:val="007F417F"/>
    <w:rsid w:val="007F4272"/>
    <w:rsid w:val="007F4285"/>
    <w:rsid w:val="007F42CA"/>
    <w:rsid w:val="007F4311"/>
    <w:rsid w:val="007F435C"/>
    <w:rsid w:val="007F4397"/>
    <w:rsid w:val="007F43D1"/>
    <w:rsid w:val="007F4409"/>
    <w:rsid w:val="007F44AA"/>
    <w:rsid w:val="007F44BA"/>
    <w:rsid w:val="007F44BE"/>
    <w:rsid w:val="007F44FB"/>
    <w:rsid w:val="007F4503"/>
    <w:rsid w:val="007F450F"/>
    <w:rsid w:val="007F45FF"/>
    <w:rsid w:val="007F4683"/>
    <w:rsid w:val="007F478A"/>
    <w:rsid w:val="007F47DD"/>
    <w:rsid w:val="007F47F9"/>
    <w:rsid w:val="007F4825"/>
    <w:rsid w:val="007F4861"/>
    <w:rsid w:val="007F4953"/>
    <w:rsid w:val="007F4995"/>
    <w:rsid w:val="007F4B5B"/>
    <w:rsid w:val="007F4B6D"/>
    <w:rsid w:val="007F4B8E"/>
    <w:rsid w:val="007F4CCC"/>
    <w:rsid w:val="007F4CEA"/>
    <w:rsid w:val="007F4CF7"/>
    <w:rsid w:val="007F4D01"/>
    <w:rsid w:val="007F4E0D"/>
    <w:rsid w:val="007F4EC4"/>
    <w:rsid w:val="007F4F15"/>
    <w:rsid w:val="007F4F54"/>
    <w:rsid w:val="007F51B7"/>
    <w:rsid w:val="007F5207"/>
    <w:rsid w:val="007F52C3"/>
    <w:rsid w:val="007F539E"/>
    <w:rsid w:val="007F54E5"/>
    <w:rsid w:val="007F55CC"/>
    <w:rsid w:val="007F55F1"/>
    <w:rsid w:val="007F5669"/>
    <w:rsid w:val="007F5674"/>
    <w:rsid w:val="007F5691"/>
    <w:rsid w:val="007F571F"/>
    <w:rsid w:val="007F5768"/>
    <w:rsid w:val="007F5784"/>
    <w:rsid w:val="007F57BB"/>
    <w:rsid w:val="007F5812"/>
    <w:rsid w:val="007F58FA"/>
    <w:rsid w:val="007F599E"/>
    <w:rsid w:val="007F5AC4"/>
    <w:rsid w:val="007F5B3D"/>
    <w:rsid w:val="007F5BEB"/>
    <w:rsid w:val="007F5C56"/>
    <w:rsid w:val="007F5CD8"/>
    <w:rsid w:val="007F5D0F"/>
    <w:rsid w:val="007F5DEA"/>
    <w:rsid w:val="007F5E1C"/>
    <w:rsid w:val="007F5E5C"/>
    <w:rsid w:val="007F5E83"/>
    <w:rsid w:val="007F5F64"/>
    <w:rsid w:val="007F606C"/>
    <w:rsid w:val="007F6081"/>
    <w:rsid w:val="007F61FA"/>
    <w:rsid w:val="007F621F"/>
    <w:rsid w:val="007F62B2"/>
    <w:rsid w:val="007F62C7"/>
    <w:rsid w:val="007F62DD"/>
    <w:rsid w:val="007F631A"/>
    <w:rsid w:val="007F6320"/>
    <w:rsid w:val="007F6353"/>
    <w:rsid w:val="007F6388"/>
    <w:rsid w:val="007F6396"/>
    <w:rsid w:val="007F63EB"/>
    <w:rsid w:val="007F64D2"/>
    <w:rsid w:val="007F650B"/>
    <w:rsid w:val="007F666A"/>
    <w:rsid w:val="007F6766"/>
    <w:rsid w:val="007F6923"/>
    <w:rsid w:val="007F6A01"/>
    <w:rsid w:val="007F6AEC"/>
    <w:rsid w:val="007F6B83"/>
    <w:rsid w:val="007F6BAD"/>
    <w:rsid w:val="007F6D01"/>
    <w:rsid w:val="007F6DC9"/>
    <w:rsid w:val="007F6EB4"/>
    <w:rsid w:val="007F6F07"/>
    <w:rsid w:val="007F6F0A"/>
    <w:rsid w:val="007F6F55"/>
    <w:rsid w:val="007F6F73"/>
    <w:rsid w:val="007F6FE4"/>
    <w:rsid w:val="007F7016"/>
    <w:rsid w:val="007F7022"/>
    <w:rsid w:val="007F7052"/>
    <w:rsid w:val="007F707C"/>
    <w:rsid w:val="007F70BC"/>
    <w:rsid w:val="007F7130"/>
    <w:rsid w:val="007F7160"/>
    <w:rsid w:val="007F72DC"/>
    <w:rsid w:val="007F7353"/>
    <w:rsid w:val="007F7383"/>
    <w:rsid w:val="007F742E"/>
    <w:rsid w:val="007F74B0"/>
    <w:rsid w:val="007F74BF"/>
    <w:rsid w:val="007F74CB"/>
    <w:rsid w:val="007F752A"/>
    <w:rsid w:val="007F75A2"/>
    <w:rsid w:val="007F75AB"/>
    <w:rsid w:val="007F75BD"/>
    <w:rsid w:val="007F7618"/>
    <w:rsid w:val="007F770B"/>
    <w:rsid w:val="007F7731"/>
    <w:rsid w:val="007F78AB"/>
    <w:rsid w:val="007F793C"/>
    <w:rsid w:val="007F7B07"/>
    <w:rsid w:val="007F7CB0"/>
    <w:rsid w:val="007F7CE0"/>
    <w:rsid w:val="007F7D2F"/>
    <w:rsid w:val="007F7D35"/>
    <w:rsid w:val="007F7D48"/>
    <w:rsid w:val="007F7D8E"/>
    <w:rsid w:val="007F7E0F"/>
    <w:rsid w:val="007F7E1F"/>
    <w:rsid w:val="007F7EE1"/>
    <w:rsid w:val="007F7F46"/>
    <w:rsid w:val="007F7FEB"/>
    <w:rsid w:val="00800191"/>
    <w:rsid w:val="008001BF"/>
    <w:rsid w:val="008001CB"/>
    <w:rsid w:val="008001E0"/>
    <w:rsid w:val="00800220"/>
    <w:rsid w:val="0080028C"/>
    <w:rsid w:val="00800313"/>
    <w:rsid w:val="00800353"/>
    <w:rsid w:val="008004D8"/>
    <w:rsid w:val="00800507"/>
    <w:rsid w:val="00800594"/>
    <w:rsid w:val="008005BF"/>
    <w:rsid w:val="008005D7"/>
    <w:rsid w:val="0080073D"/>
    <w:rsid w:val="00800751"/>
    <w:rsid w:val="00800791"/>
    <w:rsid w:val="008007EA"/>
    <w:rsid w:val="0080081C"/>
    <w:rsid w:val="008008CD"/>
    <w:rsid w:val="00800944"/>
    <w:rsid w:val="0080099A"/>
    <w:rsid w:val="00800A1D"/>
    <w:rsid w:val="00800A6B"/>
    <w:rsid w:val="00800AF0"/>
    <w:rsid w:val="00800B37"/>
    <w:rsid w:val="00800BB4"/>
    <w:rsid w:val="00800BD9"/>
    <w:rsid w:val="00800C46"/>
    <w:rsid w:val="00800C4D"/>
    <w:rsid w:val="00800C79"/>
    <w:rsid w:val="00800E4D"/>
    <w:rsid w:val="00800E84"/>
    <w:rsid w:val="00800ECE"/>
    <w:rsid w:val="00800F13"/>
    <w:rsid w:val="00801009"/>
    <w:rsid w:val="0080112A"/>
    <w:rsid w:val="00801147"/>
    <w:rsid w:val="008011C9"/>
    <w:rsid w:val="008011E0"/>
    <w:rsid w:val="00801253"/>
    <w:rsid w:val="008012D6"/>
    <w:rsid w:val="0080134C"/>
    <w:rsid w:val="008013E3"/>
    <w:rsid w:val="008015B5"/>
    <w:rsid w:val="008015ED"/>
    <w:rsid w:val="00801703"/>
    <w:rsid w:val="00801725"/>
    <w:rsid w:val="008017A7"/>
    <w:rsid w:val="0080181F"/>
    <w:rsid w:val="0080182F"/>
    <w:rsid w:val="00801856"/>
    <w:rsid w:val="00801880"/>
    <w:rsid w:val="0080192F"/>
    <w:rsid w:val="00801932"/>
    <w:rsid w:val="00801987"/>
    <w:rsid w:val="008019C0"/>
    <w:rsid w:val="00801A12"/>
    <w:rsid w:val="00801A3D"/>
    <w:rsid w:val="00801A66"/>
    <w:rsid w:val="00801BA4"/>
    <w:rsid w:val="00801C55"/>
    <w:rsid w:val="00801DBA"/>
    <w:rsid w:val="00801DF5"/>
    <w:rsid w:val="00802025"/>
    <w:rsid w:val="0080203F"/>
    <w:rsid w:val="00802056"/>
    <w:rsid w:val="00802077"/>
    <w:rsid w:val="008020DA"/>
    <w:rsid w:val="0080210D"/>
    <w:rsid w:val="00802257"/>
    <w:rsid w:val="0080228F"/>
    <w:rsid w:val="008022A3"/>
    <w:rsid w:val="00802332"/>
    <w:rsid w:val="00802333"/>
    <w:rsid w:val="0080242D"/>
    <w:rsid w:val="008024B8"/>
    <w:rsid w:val="00802523"/>
    <w:rsid w:val="008025CF"/>
    <w:rsid w:val="00802649"/>
    <w:rsid w:val="0080274B"/>
    <w:rsid w:val="0080275F"/>
    <w:rsid w:val="00802883"/>
    <w:rsid w:val="008028AD"/>
    <w:rsid w:val="008028E6"/>
    <w:rsid w:val="00802941"/>
    <w:rsid w:val="008029C3"/>
    <w:rsid w:val="00802AE1"/>
    <w:rsid w:val="00802C66"/>
    <w:rsid w:val="00802CDF"/>
    <w:rsid w:val="00802EAC"/>
    <w:rsid w:val="00802EBB"/>
    <w:rsid w:val="00802FAE"/>
    <w:rsid w:val="00802FCD"/>
    <w:rsid w:val="00802FD4"/>
    <w:rsid w:val="00802FFD"/>
    <w:rsid w:val="0080304E"/>
    <w:rsid w:val="00803074"/>
    <w:rsid w:val="008030E7"/>
    <w:rsid w:val="00803171"/>
    <w:rsid w:val="0080318E"/>
    <w:rsid w:val="008031EE"/>
    <w:rsid w:val="008031F6"/>
    <w:rsid w:val="00803208"/>
    <w:rsid w:val="00803319"/>
    <w:rsid w:val="00803375"/>
    <w:rsid w:val="008033BB"/>
    <w:rsid w:val="008033E6"/>
    <w:rsid w:val="008033EB"/>
    <w:rsid w:val="008033F3"/>
    <w:rsid w:val="008034BF"/>
    <w:rsid w:val="008034F6"/>
    <w:rsid w:val="0080353C"/>
    <w:rsid w:val="0080359E"/>
    <w:rsid w:val="00803625"/>
    <w:rsid w:val="0080365F"/>
    <w:rsid w:val="00803664"/>
    <w:rsid w:val="0080368D"/>
    <w:rsid w:val="00803691"/>
    <w:rsid w:val="008036A6"/>
    <w:rsid w:val="008037C3"/>
    <w:rsid w:val="00803906"/>
    <w:rsid w:val="0080391B"/>
    <w:rsid w:val="00803921"/>
    <w:rsid w:val="00803A07"/>
    <w:rsid w:val="00803A26"/>
    <w:rsid w:val="00803A90"/>
    <w:rsid w:val="00803B05"/>
    <w:rsid w:val="00803B85"/>
    <w:rsid w:val="00803BAF"/>
    <w:rsid w:val="00803BE3"/>
    <w:rsid w:val="00803BEA"/>
    <w:rsid w:val="00803C3E"/>
    <w:rsid w:val="00803C4D"/>
    <w:rsid w:val="00803E40"/>
    <w:rsid w:val="00803E72"/>
    <w:rsid w:val="00803F8C"/>
    <w:rsid w:val="00804025"/>
    <w:rsid w:val="008041BD"/>
    <w:rsid w:val="008041C5"/>
    <w:rsid w:val="008041C8"/>
    <w:rsid w:val="008041C9"/>
    <w:rsid w:val="00804383"/>
    <w:rsid w:val="00804405"/>
    <w:rsid w:val="008044F1"/>
    <w:rsid w:val="0080456C"/>
    <w:rsid w:val="00804652"/>
    <w:rsid w:val="00804660"/>
    <w:rsid w:val="00804723"/>
    <w:rsid w:val="0080481A"/>
    <w:rsid w:val="0080481E"/>
    <w:rsid w:val="008049BD"/>
    <w:rsid w:val="008049CC"/>
    <w:rsid w:val="008049CE"/>
    <w:rsid w:val="008049FE"/>
    <w:rsid w:val="00804A67"/>
    <w:rsid w:val="00804B61"/>
    <w:rsid w:val="00804B6B"/>
    <w:rsid w:val="00804BB1"/>
    <w:rsid w:val="00804C2E"/>
    <w:rsid w:val="00804CAA"/>
    <w:rsid w:val="00804CAC"/>
    <w:rsid w:val="00804CDE"/>
    <w:rsid w:val="00804CE6"/>
    <w:rsid w:val="00804CF4"/>
    <w:rsid w:val="00804D2E"/>
    <w:rsid w:val="00804D5B"/>
    <w:rsid w:val="00804E31"/>
    <w:rsid w:val="00804F5C"/>
    <w:rsid w:val="00804FC1"/>
    <w:rsid w:val="0080506B"/>
    <w:rsid w:val="008050EC"/>
    <w:rsid w:val="008051AD"/>
    <w:rsid w:val="008051B1"/>
    <w:rsid w:val="0080521A"/>
    <w:rsid w:val="00805231"/>
    <w:rsid w:val="00805255"/>
    <w:rsid w:val="00805257"/>
    <w:rsid w:val="008054F7"/>
    <w:rsid w:val="00805535"/>
    <w:rsid w:val="00805670"/>
    <w:rsid w:val="008056BB"/>
    <w:rsid w:val="008056D4"/>
    <w:rsid w:val="008057B9"/>
    <w:rsid w:val="0080582B"/>
    <w:rsid w:val="00805851"/>
    <w:rsid w:val="0080590D"/>
    <w:rsid w:val="008059A4"/>
    <w:rsid w:val="008059A5"/>
    <w:rsid w:val="008059BF"/>
    <w:rsid w:val="008059FB"/>
    <w:rsid w:val="00805AB3"/>
    <w:rsid w:val="00805B40"/>
    <w:rsid w:val="00805BE8"/>
    <w:rsid w:val="00805BEC"/>
    <w:rsid w:val="00805C38"/>
    <w:rsid w:val="00805D70"/>
    <w:rsid w:val="00805DA7"/>
    <w:rsid w:val="00805DAB"/>
    <w:rsid w:val="00805DB1"/>
    <w:rsid w:val="00805DCD"/>
    <w:rsid w:val="00805EFE"/>
    <w:rsid w:val="00805F00"/>
    <w:rsid w:val="00805F33"/>
    <w:rsid w:val="00805F9E"/>
    <w:rsid w:val="0080601C"/>
    <w:rsid w:val="00806045"/>
    <w:rsid w:val="0080610A"/>
    <w:rsid w:val="0080623D"/>
    <w:rsid w:val="00806337"/>
    <w:rsid w:val="00806379"/>
    <w:rsid w:val="0080638B"/>
    <w:rsid w:val="008063CE"/>
    <w:rsid w:val="00806412"/>
    <w:rsid w:val="008064B0"/>
    <w:rsid w:val="00806561"/>
    <w:rsid w:val="008065D2"/>
    <w:rsid w:val="00806607"/>
    <w:rsid w:val="00806691"/>
    <w:rsid w:val="008066C3"/>
    <w:rsid w:val="0080670F"/>
    <w:rsid w:val="00806722"/>
    <w:rsid w:val="00806738"/>
    <w:rsid w:val="00806752"/>
    <w:rsid w:val="008067AD"/>
    <w:rsid w:val="008067F2"/>
    <w:rsid w:val="0080682B"/>
    <w:rsid w:val="0080683E"/>
    <w:rsid w:val="0080685B"/>
    <w:rsid w:val="00806869"/>
    <w:rsid w:val="00806885"/>
    <w:rsid w:val="008069B1"/>
    <w:rsid w:val="008069EA"/>
    <w:rsid w:val="00806A2D"/>
    <w:rsid w:val="00806AB1"/>
    <w:rsid w:val="00806B01"/>
    <w:rsid w:val="00806BB4"/>
    <w:rsid w:val="00806C31"/>
    <w:rsid w:val="00806D38"/>
    <w:rsid w:val="00806D80"/>
    <w:rsid w:val="00806E2C"/>
    <w:rsid w:val="00806EDF"/>
    <w:rsid w:val="00806F58"/>
    <w:rsid w:val="0080700D"/>
    <w:rsid w:val="00807039"/>
    <w:rsid w:val="008072D3"/>
    <w:rsid w:val="0080735D"/>
    <w:rsid w:val="00807392"/>
    <w:rsid w:val="008073A3"/>
    <w:rsid w:val="008073A7"/>
    <w:rsid w:val="008073C8"/>
    <w:rsid w:val="008073CF"/>
    <w:rsid w:val="008073F8"/>
    <w:rsid w:val="00807423"/>
    <w:rsid w:val="008074EE"/>
    <w:rsid w:val="00807563"/>
    <w:rsid w:val="00807569"/>
    <w:rsid w:val="008075DA"/>
    <w:rsid w:val="00807601"/>
    <w:rsid w:val="00807611"/>
    <w:rsid w:val="00807658"/>
    <w:rsid w:val="0080768E"/>
    <w:rsid w:val="008078EA"/>
    <w:rsid w:val="00807919"/>
    <w:rsid w:val="00807962"/>
    <w:rsid w:val="008079A2"/>
    <w:rsid w:val="00807AA5"/>
    <w:rsid w:val="00807B1E"/>
    <w:rsid w:val="00807B22"/>
    <w:rsid w:val="00807B71"/>
    <w:rsid w:val="00807C2D"/>
    <w:rsid w:val="00807C7E"/>
    <w:rsid w:val="00807C9F"/>
    <w:rsid w:val="00807DA8"/>
    <w:rsid w:val="00807E9A"/>
    <w:rsid w:val="00807F3F"/>
    <w:rsid w:val="00807F85"/>
    <w:rsid w:val="00807F98"/>
    <w:rsid w:val="00807FE5"/>
    <w:rsid w:val="008100F7"/>
    <w:rsid w:val="0081019F"/>
    <w:rsid w:val="00810207"/>
    <w:rsid w:val="0081025B"/>
    <w:rsid w:val="008102E7"/>
    <w:rsid w:val="008104DC"/>
    <w:rsid w:val="00810530"/>
    <w:rsid w:val="0081058A"/>
    <w:rsid w:val="008105BC"/>
    <w:rsid w:val="008105F7"/>
    <w:rsid w:val="008106A6"/>
    <w:rsid w:val="0081078C"/>
    <w:rsid w:val="00810840"/>
    <w:rsid w:val="008109AE"/>
    <w:rsid w:val="008109E5"/>
    <w:rsid w:val="00810A57"/>
    <w:rsid w:val="00810B56"/>
    <w:rsid w:val="00810BD5"/>
    <w:rsid w:val="00810C53"/>
    <w:rsid w:val="00810CD0"/>
    <w:rsid w:val="00810D28"/>
    <w:rsid w:val="00810F20"/>
    <w:rsid w:val="00810F34"/>
    <w:rsid w:val="00810F6A"/>
    <w:rsid w:val="0081119A"/>
    <w:rsid w:val="00811228"/>
    <w:rsid w:val="00811260"/>
    <w:rsid w:val="00811273"/>
    <w:rsid w:val="008112BA"/>
    <w:rsid w:val="008113F5"/>
    <w:rsid w:val="00811473"/>
    <w:rsid w:val="00811524"/>
    <w:rsid w:val="00811557"/>
    <w:rsid w:val="00811594"/>
    <w:rsid w:val="008116E7"/>
    <w:rsid w:val="0081173E"/>
    <w:rsid w:val="00811800"/>
    <w:rsid w:val="008118DE"/>
    <w:rsid w:val="0081192F"/>
    <w:rsid w:val="008119B9"/>
    <w:rsid w:val="00811A87"/>
    <w:rsid w:val="00811A93"/>
    <w:rsid w:val="00811AB4"/>
    <w:rsid w:val="00811B5B"/>
    <w:rsid w:val="00811BA0"/>
    <w:rsid w:val="00811BFD"/>
    <w:rsid w:val="00811C6C"/>
    <w:rsid w:val="00811C85"/>
    <w:rsid w:val="00811DDF"/>
    <w:rsid w:val="00811ECC"/>
    <w:rsid w:val="00811EF5"/>
    <w:rsid w:val="00811F95"/>
    <w:rsid w:val="00812205"/>
    <w:rsid w:val="0081220D"/>
    <w:rsid w:val="0081233B"/>
    <w:rsid w:val="00812343"/>
    <w:rsid w:val="008123A4"/>
    <w:rsid w:val="008123FF"/>
    <w:rsid w:val="0081240B"/>
    <w:rsid w:val="00812428"/>
    <w:rsid w:val="0081242A"/>
    <w:rsid w:val="0081252C"/>
    <w:rsid w:val="00812540"/>
    <w:rsid w:val="00812582"/>
    <w:rsid w:val="008125E8"/>
    <w:rsid w:val="0081263A"/>
    <w:rsid w:val="0081264F"/>
    <w:rsid w:val="0081266E"/>
    <w:rsid w:val="008126A9"/>
    <w:rsid w:val="0081271E"/>
    <w:rsid w:val="008127A9"/>
    <w:rsid w:val="00812812"/>
    <w:rsid w:val="00812870"/>
    <w:rsid w:val="00812A7F"/>
    <w:rsid w:val="00812C1C"/>
    <w:rsid w:val="00812C67"/>
    <w:rsid w:val="00812DB0"/>
    <w:rsid w:val="00812DCE"/>
    <w:rsid w:val="00812DDF"/>
    <w:rsid w:val="00812F2B"/>
    <w:rsid w:val="00812F37"/>
    <w:rsid w:val="00812F5D"/>
    <w:rsid w:val="00812F5F"/>
    <w:rsid w:val="00813080"/>
    <w:rsid w:val="008130F6"/>
    <w:rsid w:val="0081314C"/>
    <w:rsid w:val="00813198"/>
    <w:rsid w:val="00813219"/>
    <w:rsid w:val="00813310"/>
    <w:rsid w:val="008133D2"/>
    <w:rsid w:val="008133E5"/>
    <w:rsid w:val="0081345C"/>
    <w:rsid w:val="00813491"/>
    <w:rsid w:val="008134DC"/>
    <w:rsid w:val="00813524"/>
    <w:rsid w:val="0081358D"/>
    <w:rsid w:val="00813661"/>
    <w:rsid w:val="00813691"/>
    <w:rsid w:val="0081369C"/>
    <w:rsid w:val="008136B7"/>
    <w:rsid w:val="008136EF"/>
    <w:rsid w:val="008136FF"/>
    <w:rsid w:val="00813789"/>
    <w:rsid w:val="008137C7"/>
    <w:rsid w:val="00813888"/>
    <w:rsid w:val="0081391D"/>
    <w:rsid w:val="00813951"/>
    <w:rsid w:val="00813984"/>
    <w:rsid w:val="008139AC"/>
    <w:rsid w:val="008139EB"/>
    <w:rsid w:val="00813A28"/>
    <w:rsid w:val="00813A91"/>
    <w:rsid w:val="00813E9A"/>
    <w:rsid w:val="00813F0F"/>
    <w:rsid w:val="00813F5E"/>
    <w:rsid w:val="00813FC4"/>
    <w:rsid w:val="008142DA"/>
    <w:rsid w:val="0081437E"/>
    <w:rsid w:val="008143A3"/>
    <w:rsid w:val="0081447A"/>
    <w:rsid w:val="0081449C"/>
    <w:rsid w:val="008144E6"/>
    <w:rsid w:val="008145BA"/>
    <w:rsid w:val="00814606"/>
    <w:rsid w:val="00814634"/>
    <w:rsid w:val="0081464C"/>
    <w:rsid w:val="0081482D"/>
    <w:rsid w:val="0081483B"/>
    <w:rsid w:val="008149A4"/>
    <w:rsid w:val="008149E6"/>
    <w:rsid w:val="008149EC"/>
    <w:rsid w:val="008149F1"/>
    <w:rsid w:val="00814AC3"/>
    <w:rsid w:val="00814C0B"/>
    <w:rsid w:val="00814CBB"/>
    <w:rsid w:val="00814D79"/>
    <w:rsid w:val="00814D7F"/>
    <w:rsid w:val="00814E1D"/>
    <w:rsid w:val="00814E1F"/>
    <w:rsid w:val="00814E5C"/>
    <w:rsid w:val="00814EBE"/>
    <w:rsid w:val="00814EFE"/>
    <w:rsid w:val="00814F06"/>
    <w:rsid w:val="00814F51"/>
    <w:rsid w:val="00815032"/>
    <w:rsid w:val="008150AF"/>
    <w:rsid w:val="008152C7"/>
    <w:rsid w:val="00815357"/>
    <w:rsid w:val="00815379"/>
    <w:rsid w:val="0081539F"/>
    <w:rsid w:val="008153B0"/>
    <w:rsid w:val="008153DB"/>
    <w:rsid w:val="00815407"/>
    <w:rsid w:val="00815425"/>
    <w:rsid w:val="00815537"/>
    <w:rsid w:val="0081553F"/>
    <w:rsid w:val="0081555A"/>
    <w:rsid w:val="00815561"/>
    <w:rsid w:val="00815609"/>
    <w:rsid w:val="00815691"/>
    <w:rsid w:val="0081569A"/>
    <w:rsid w:val="008157D7"/>
    <w:rsid w:val="008157EA"/>
    <w:rsid w:val="00815803"/>
    <w:rsid w:val="008159F9"/>
    <w:rsid w:val="00815A7D"/>
    <w:rsid w:val="00815ADE"/>
    <w:rsid w:val="00815B23"/>
    <w:rsid w:val="00815B83"/>
    <w:rsid w:val="00815BE9"/>
    <w:rsid w:val="00815C5F"/>
    <w:rsid w:val="00815CD0"/>
    <w:rsid w:val="00815CE3"/>
    <w:rsid w:val="00815D54"/>
    <w:rsid w:val="00815E43"/>
    <w:rsid w:val="00815F56"/>
    <w:rsid w:val="00815F63"/>
    <w:rsid w:val="00815FB8"/>
    <w:rsid w:val="00815FD4"/>
    <w:rsid w:val="00815FF9"/>
    <w:rsid w:val="00816168"/>
    <w:rsid w:val="0081635C"/>
    <w:rsid w:val="008163E7"/>
    <w:rsid w:val="00816427"/>
    <w:rsid w:val="00816489"/>
    <w:rsid w:val="008164E5"/>
    <w:rsid w:val="00816580"/>
    <w:rsid w:val="00816581"/>
    <w:rsid w:val="008165AD"/>
    <w:rsid w:val="00816679"/>
    <w:rsid w:val="008167E9"/>
    <w:rsid w:val="008168A0"/>
    <w:rsid w:val="008168C8"/>
    <w:rsid w:val="008168E6"/>
    <w:rsid w:val="00816A27"/>
    <w:rsid w:val="00816A47"/>
    <w:rsid w:val="00816BA1"/>
    <w:rsid w:val="00816D84"/>
    <w:rsid w:val="00816DBE"/>
    <w:rsid w:val="00816DDE"/>
    <w:rsid w:val="00816EAD"/>
    <w:rsid w:val="00817011"/>
    <w:rsid w:val="008170AE"/>
    <w:rsid w:val="0081719A"/>
    <w:rsid w:val="008171A8"/>
    <w:rsid w:val="00817234"/>
    <w:rsid w:val="00817261"/>
    <w:rsid w:val="0081728D"/>
    <w:rsid w:val="008172AA"/>
    <w:rsid w:val="008172BC"/>
    <w:rsid w:val="00817304"/>
    <w:rsid w:val="00817334"/>
    <w:rsid w:val="00817338"/>
    <w:rsid w:val="008173D6"/>
    <w:rsid w:val="008175CB"/>
    <w:rsid w:val="00817655"/>
    <w:rsid w:val="008176B1"/>
    <w:rsid w:val="008176D3"/>
    <w:rsid w:val="0081771D"/>
    <w:rsid w:val="00817776"/>
    <w:rsid w:val="008177BC"/>
    <w:rsid w:val="00817845"/>
    <w:rsid w:val="008178C8"/>
    <w:rsid w:val="008178E3"/>
    <w:rsid w:val="0081794A"/>
    <w:rsid w:val="00817950"/>
    <w:rsid w:val="00817955"/>
    <w:rsid w:val="00817A76"/>
    <w:rsid w:val="00817A88"/>
    <w:rsid w:val="00817B1C"/>
    <w:rsid w:val="00817B2E"/>
    <w:rsid w:val="00817C38"/>
    <w:rsid w:val="00817D1A"/>
    <w:rsid w:val="00817DDB"/>
    <w:rsid w:val="00817E80"/>
    <w:rsid w:val="00817E98"/>
    <w:rsid w:val="00817F76"/>
    <w:rsid w:val="00817FEF"/>
    <w:rsid w:val="00820007"/>
    <w:rsid w:val="00820227"/>
    <w:rsid w:val="0082022E"/>
    <w:rsid w:val="00820291"/>
    <w:rsid w:val="008202C2"/>
    <w:rsid w:val="00820347"/>
    <w:rsid w:val="0082037C"/>
    <w:rsid w:val="008203A0"/>
    <w:rsid w:val="00820440"/>
    <w:rsid w:val="00820455"/>
    <w:rsid w:val="0082048F"/>
    <w:rsid w:val="008204F1"/>
    <w:rsid w:val="00820745"/>
    <w:rsid w:val="008207CD"/>
    <w:rsid w:val="008207DE"/>
    <w:rsid w:val="00820814"/>
    <w:rsid w:val="00820831"/>
    <w:rsid w:val="00820897"/>
    <w:rsid w:val="008208C6"/>
    <w:rsid w:val="00820912"/>
    <w:rsid w:val="00820958"/>
    <w:rsid w:val="00820987"/>
    <w:rsid w:val="008209D1"/>
    <w:rsid w:val="008209D8"/>
    <w:rsid w:val="008209E1"/>
    <w:rsid w:val="00820A0D"/>
    <w:rsid w:val="00820A34"/>
    <w:rsid w:val="00820AB7"/>
    <w:rsid w:val="00820C15"/>
    <w:rsid w:val="00820D6B"/>
    <w:rsid w:val="00820D8E"/>
    <w:rsid w:val="00820DF7"/>
    <w:rsid w:val="00820EC2"/>
    <w:rsid w:val="00820F0D"/>
    <w:rsid w:val="00821042"/>
    <w:rsid w:val="0082108A"/>
    <w:rsid w:val="008211CF"/>
    <w:rsid w:val="008211E4"/>
    <w:rsid w:val="0082124A"/>
    <w:rsid w:val="008212EF"/>
    <w:rsid w:val="008213B6"/>
    <w:rsid w:val="0082147B"/>
    <w:rsid w:val="008214C2"/>
    <w:rsid w:val="00821553"/>
    <w:rsid w:val="008215D9"/>
    <w:rsid w:val="00821644"/>
    <w:rsid w:val="00821669"/>
    <w:rsid w:val="00821734"/>
    <w:rsid w:val="0082174C"/>
    <w:rsid w:val="008217C7"/>
    <w:rsid w:val="008218E0"/>
    <w:rsid w:val="0082197A"/>
    <w:rsid w:val="00821A1A"/>
    <w:rsid w:val="00821A48"/>
    <w:rsid w:val="00821BE9"/>
    <w:rsid w:val="00821D49"/>
    <w:rsid w:val="00821DC2"/>
    <w:rsid w:val="00821DDC"/>
    <w:rsid w:val="00821E6A"/>
    <w:rsid w:val="00821E73"/>
    <w:rsid w:val="00821EC8"/>
    <w:rsid w:val="00821F66"/>
    <w:rsid w:val="0082204E"/>
    <w:rsid w:val="0082208A"/>
    <w:rsid w:val="008222DF"/>
    <w:rsid w:val="00822305"/>
    <w:rsid w:val="00822334"/>
    <w:rsid w:val="0082235F"/>
    <w:rsid w:val="008223FD"/>
    <w:rsid w:val="00822510"/>
    <w:rsid w:val="00822588"/>
    <w:rsid w:val="008226A4"/>
    <w:rsid w:val="0082286E"/>
    <w:rsid w:val="00822893"/>
    <w:rsid w:val="008228F6"/>
    <w:rsid w:val="008229E7"/>
    <w:rsid w:val="00822A97"/>
    <w:rsid w:val="00822AB7"/>
    <w:rsid w:val="00822BB2"/>
    <w:rsid w:val="00822BD4"/>
    <w:rsid w:val="00822C4F"/>
    <w:rsid w:val="00822D5C"/>
    <w:rsid w:val="00822DEE"/>
    <w:rsid w:val="00822E76"/>
    <w:rsid w:val="00822FD6"/>
    <w:rsid w:val="00823011"/>
    <w:rsid w:val="00823136"/>
    <w:rsid w:val="0082315A"/>
    <w:rsid w:val="008231E5"/>
    <w:rsid w:val="008231E6"/>
    <w:rsid w:val="008231F6"/>
    <w:rsid w:val="008232FA"/>
    <w:rsid w:val="00823369"/>
    <w:rsid w:val="00823386"/>
    <w:rsid w:val="00823402"/>
    <w:rsid w:val="00823407"/>
    <w:rsid w:val="0082342C"/>
    <w:rsid w:val="00823440"/>
    <w:rsid w:val="00823474"/>
    <w:rsid w:val="00823579"/>
    <w:rsid w:val="0082358B"/>
    <w:rsid w:val="008236A6"/>
    <w:rsid w:val="00823763"/>
    <w:rsid w:val="00823880"/>
    <w:rsid w:val="00823885"/>
    <w:rsid w:val="008238D6"/>
    <w:rsid w:val="00823924"/>
    <w:rsid w:val="00823BB2"/>
    <w:rsid w:val="00823C1D"/>
    <w:rsid w:val="00823C30"/>
    <w:rsid w:val="00823C7D"/>
    <w:rsid w:val="00823CD8"/>
    <w:rsid w:val="00823D7A"/>
    <w:rsid w:val="00823DCE"/>
    <w:rsid w:val="00823E99"/>
    <w:rsid w:val="00823F56"/>
    <w:rsid w:val="00823F92"/>
    <w:rsid w:val="00823FC8"/>
    <w:rsid w:val="008240B2"/>
    <w:rsid w:val="008240DD"/>
    <w:rsid w:val="00824146"/>
    <w:rsid w:val="0082423E"/>
    <w:rsid w:val="008242A8"/>
    <w:rsid w:val="00824344"/>
    <w:rsid w:val="0082437B"/>
    <w:rsid w:val="00824432"/>
    <w:rsid w:val="0082445D"/>
    <w:rsid w:val="00824476"/>
    <w:rsid w:val="00824747"/>
    <w:rsid w:val="0082478C"/>
    <w:rsid w:val="008247A2"/>
    <w:rsid w:val="008247E1"/>
    <w:rsid w:val="00824940"/>
    <w:rsid w:val="0082497C"/>
    <w:rsid w:val="008249E3"/>
    <w:rsid w:val="00824B47"/>
    <w:rsid w:val="00824C9E"/>
    <w:rsid w:val="00824CAC"/>
    <w:rsid w:val="00824D39"/>
    <w:rsid w:val="00824DE9"/>
    <w:rsid w:val="00824F60"/>
    <w:rsid w:val="00824F82"/>
    <w:rsid w:val="00825032"/>
    <w:rsid w:val="00825039"/>
    <w:rsid w:val="0082506C"/>
    <w:rsid w:val="0082508A"/>
    <w:rsid w:val="0082518B"/>
    <w:rsid w:val="008251AE"/>
    <w:rsid w:val="008251CF"/>
    <w:rsid w:val="0082524C"/>
    <w:rsid w:val="0082525E"/>
    <w:rsid w:val="008252A9"/>
    <w:rsid w:val="008252C3"/>
    <w:rsid w:val="0082537F"/>
    <w:rsid w:val="00825392"/>
    <w:rsid w:val="00825411"/>
    <w:rsid w:val="00825462"/>
    <w:rsid w:val="0082546D"/>
    <w:rsid w:val="008254BD"/>
    <w:rsid w:val="008254F5"/>
    <w:rsid w:val="0082556C"/>
    <w:rsid w:val="00825571"/>
    <w:rsid w:val="00825641"/>
    <w:rsid w:val="008256B8"/>
    <w:rsid w:val="00825749"/>
    <w:rsid w:val="00825776"/>
    <w:rsid w:val="008257F7"/>
    <w:rsid w:val="00825809"/>
    <w:rsid w:val="0082586F"/>
    <w:rsid w:val="00825913"/>
    <w:rsid w:val="00825A3A"/>
    <w:rsid w:val="00825AD9"/>
    <w:rsid w:val="00825B11"/>
    <w:rsid w:val="00825B4E"/>
    <w:rsid w:val="00825B9E"/>
    <w:rsid w:val="00825BAC"/>
    <w:rsid w:val="00825BCB"/>
    <w:rsid w:val="00825C79"/>
    <w:rsid w:val="00825D0F"/>
    <w:rsid w:val="00825D56"/>
    <w:rsid w:val="00825DF9"/>
    <w:rsid w:val="00825EA0"/>
    <w:rsid w:val="00825ED7"/>
    <w:rsid w:val="00825EF5"/>
    <w:rsid w:val="00825EF9"/>
    <w:rsid w:val="00825F8E"/>
    <w:rsid w:val="00825F9F"/>
    <w:rsid w:val="00825FFB"/>
    <w:rsid w:val="0082600B"/>
    <w:rsid w:val="00826016"/>
    <w:rsid w:val="00826050"/>
    <w:rsid w:val="008260AF"/>
    <w:rsid w:val="00826131"/>
    <w:rsid w:val="0082614B"/>
    <w:rsid w:val="00826254"/>
    <w:rsid w:val="0082630B"/>
    <w:rsid w:val="0082634C"/>
    <w:rsid w:val="00826368"/>
    <w:rsid w:val="00826380"/>
    <w:rsid w:val="008264FB"/>
    <w:rsid w:val="00826511"/>
    <w:rsid w:val="00826559"/>
    <w:rsid w:val="008265E6"/>
    <w:rsid w:val="00826687"/>
    <w:rsid w:val="008266AB"/>
    <w:rsid w:val="008266BA"/>
    <w:rsid w:val="00826748"/>
    <w:rsid w:val="008268A3"/>
    <w:rsid w:val="008268A8"/>
    <w:rsid w:val="008268AC"/>
    <w:rsid w:val="008268B5"/>
    <w:rsid w:val="00826919"/>
    <w:rsid w:val="008269EE"/>
    <w:rsid w:val="00826A0A"/>
    <w:rsid w:val="00826B0E"/>
    <w:rsid w:val="00826B20"/>
    <w:rsid w:val="00826B28"/>
    <w:rsid w:val="00826CA5"/>
    <w:rsid w:val="00826CC8"/>
    <w:rsid w:val="00826CEB"/>
    <w:rsid w:val="00826D92"/>
    <w:rsid w:val="00826E08"/>
    <w:rsid w:val="00826ED8"/>
    <w:rsid w:val="00826F7D"/>
    <w:rsid w:val="00827097"/>
    <w:rsid w:val="00827111"/>
    <w:rsid w:val="00827138"/>
    <w:rsid w:val="0082713F"/>
    <w:rsid w:val="00827185"/>
    <w:rsid w:val="008272BA"/>
    <w:rsid w:val="00827318"/>
    <w:rsid w:val="00827361"/>
    <w:rsid w:val="008273D3"/>
    <w:rsid w:val="00827504"/>
    <w:rsid w:val="00827591"/>
    <w:rsid w:val="00827715"/>
    <w:rsid w:val="008277A7"/>
    <w:rsid w:val="00827881"/>
    <w:rsid w:val="008278AF"/>
    <w:rsid w:val="008278DD"/>
    <w:rsid w:val="00827982"/>
    <w:rsid w:val="00827ACF"/>
    <w:rsid w:val="00827AFD"/>
    <w:rsid w:val="00827B94"/>
    <w:rsid w:val="00827CFA"/>
    <w:rsid w:val="00827D21"/>
    <w:rsid w:val="00827E05"/>
    <w:rsid w:val="00827E38"/>
    <w:rsid w:val="00827EA5"/>
    <w:rsid w:val="0083001C"/>
    <w:rsid w:val="00830048"/>
    <w:rsid w:val="00830064"/>
    <w:rsid w:val="00830092"/>
    <w:rsid w:val="00830096"/>
    <w:rsid w:val="00830115"/>
    <w:rsid w:val="00830164"/>
    <w:rsid w:val="0083016E"/>
    <w:rsid w:val="0083018D"/>
    <w:rsid w:val="00830218"/>
    <w:rsid w:val="0083030D"/>
    <w:rsid w:val="00830325"/>
    <w:rsid w:val="0083033F"/>
    <w:rsid w:val="00830372"/>
    <w:rsid w:val="008303AF"/>
    <w:rsid w:val="0083044C"/>
    <w:rsid w:val="008304E8"/>
    <w:rsid w:val="0083051F"/>
    <w:rsid w:val="00830541"/>
    <w:rsid w:val="00830542"/>
    <w:rsid w:val="00830557"/>
    <w:rsid w:val="00830595"/>
    <w:rsid w:val="0083059E"/>
    <w:rsid w:val="00830760"/>
    <w:rsid w:val="008307C6"/>
    <w:rsid w:val="0083083A"/>
    <w:rsid w:val="0083093A"/>
    <w:rsid w:val="0083097D"/>
    <w:rsid w:val="00830A81"/>
    <w:rsid w:val="00830ADD"/>
    <w:rsid w:val="00830B31"/>
    <w:rsid w:val="00830B6F"/>
    <w:rsid w:val="00830B9C"/>
    <w:rsid w:val="00830C52"/>
    <w:rsid w:val="00830CF2"/>
    <w:rsid w:val="00830D17"/>
    <w:rsid w:val="00830D54"/>
    <w:rsid w:val="00830D5A"/>
    <w:rsid w:val="00830D9C"/>
    <w:rsid w:val="00830E1E"/>
    <w:rsid w:val="00830E69"/>
    <w:rsid w:val="00830ECA"/>
    <w:rsid w:val="00830F9E"/>
    <w:rsid w:val="00830FD6"/>
    <w:rsid w:val="00831027"/>
    <w:rsid w:val="00831030"/>
    <w:rsid w:val="00831040"/>
    <w:rsid w:val="0083107F"/>
    <w:rsid w:val="008310B7"/>
    <w:rsid w:val="008310C0"/>
    <w:rsid w:val="008310D9"/>
    <w:rsid w:val="008310F5"/>
    <w:rsid w:val="00831153"/>
    <w:rsid w:val="0083119D"/>
    <w:rsid w:val="008311B8"/>
    <w:rsid w:val="00831214"/>
    <w:rsid w:val="00831284"/>
    <w:rsid w:val="00831389"/>
    <w:rsid w:val="008313F9"/>
    <w:rsid w:val="00831451"/>
    <w:rsid w:val="00831472"/>
    <w:rsid w:val="008314DD"/>
    <w:rsid w:val="00831522"/>
    <w:rsid w:val="0083158B"/>
    <w:rsid w:val="00831593"/>
    <w:rsid w:val="008315F2"/>
    <w:rsid w:val="00831609"/>
    <w:rsid w:val="00831619"/>
    <w:rsid w:val="008316C5"/>
    <w:rsid w:val="008316FD"/>
    <w:rsid w:val="00831748"/>
    <w:rsid w:val="00831810"/>
    <w:rsid w:val="0083181F"/>
    <w:rsid w:val="00831820"/>
    <w:rsid w:val="00831946"/>
    <w:rsid w:val="00831992"/>
    <w:rsid w:val="00831995"/>
    <w:rsid w:val="008319AB"/>
    <w:rsid w:val="00831A91"/>
    <w:rsid w:val="00831AD5"/>
    <w:rsid w:val="00831AE1"/>
    <w:rsid w:val="00831BE0"/>
    <w:rsid w:val="00831C30"/>
    <w:rsid w:val="00831C7C"/>
    <w:rsid w:val="00831CAC"/>
    <w:rsid w:val="00831CFC"/>
    <w:rsid w:val="00831DD3"/>
    <w:rsid w:val="00831DFA"/>
    <w:rsid w:val="00831E54"/>
    <w:rsid w:val="00831E63"/>
    <w:rsid w:val="00831EF2"/>
    <w:rsid w:val="00832085"/>
    <w:rsid w:val="008320B4"/>
    <w:rsid w:val="0083216D"/>
    <w:rsid w:val="008321A8"/>
    <w:rsid w:val="00832230"/>
    <w:rsid w:val="00832254"/>
    <w:rsid w:val="008322A9"/>
    <w:rsid w:val="00832363"/>
    <w:rsid w:val="008323D1"/>
    <w:rsid w:val="008323ED"/>
    <w:rsid w:val="00832409"/>
    <w:rsid w:val="00832442"/>
    <w:rsid w:val="00832724"/>
    <w:rsid w:val="008327E0"/>
    <w:rsid w:val="008327F3"/>
    <w:rsid w:val="008328A9"/>
    <w:rsid w:val="008328B0"/>
    <w:rsid w:val="008329F4"/>
    <w:rsid w:val="00832A2B"/>
    <w:rsid w:val="00832A4A"/>
    <w:rsid w:val="00832A53"/>
    <w:rsid w:val="00832ABF"/>
    <w:rsid w:val="00832AEE"/>
    <w:rsid w:val="00832B03"/>
    <w:rsid w:val="00832B18"/>
    <w:rsid w:val="00832BF5"/>
    <w:rsid w:val="00832D29"/>
    <w:rsid w:val="00832D65"/>
    <w:rsid w:val="00832D81"/>
    <w:rsid w:val="00832D98"/>
    <w:rsid w:val="00832E5A"/>
    <w:rsid w:val="00832EA8"/>
    <w:rsid w:val="00832EC4"/>
    <w:rsid w:val="00832EF4"/>
    <w:rsid w:val="00832FC0"/>
    <w:rsid w:val="00833086"/>
    <w:rsid w:val="008330A2"/>
    <w:rsid w:val="008330B8"/>
    <w:rsid w:val="008330E4"/>
    <w:rsid w:val="008330FA"/>
    <w:rsid w:val="008330FB"/>
    <w:rsid w:val="00833108"/>
    <w:rsid w:val="00833187"/>
    <w:rsid w:val="008331CB"/>
    <w:rsid w:val="008331FA"/>
    <w:rsid w:val="0083320A"/>
    <w:rsid w:val="00833211"/>
    <w:rsid w:val="008332B0"/>
    <w:rsid w:val="008334DE"/>
    <w:rsid w:val="008335E6"/>
    <w:rsid w:val="00833726"/>
    <w:rsid w:val="00833749"/>
    <w:rsid w:val="008337C7"/>
    <w:rsid w:val="00833822"/>
    <w:rsid w:val="00833978"/>
    <w:rsid w:val="0083397B"/>
    <w:rsid w:val="008339DF"/>
    <w:rsid w:val="00833AE8"/>
    <w:rsid w:val="00833B24"/>
    <w:rsid w:val="00833B69"/>
    <w:rsid w:val="00833BF2"/>
    <w:rsid w:val="00833C32"/>
    <w:rsid w:val="00833C69"/>
    <w:rsid w:val="00833D36"/>
    <w:rsid w:val="00833E9D"/>
    <w:rsid w:val="00833FE4"/>
    <w:rsid w:val="00834264"/>
    <w:rsid w:val="008342D6"/>
    <w:rsid w:val="008342DD"/>
    <w:rsid w:val="008343A7"/>
    <w:rsid w:val="008343C8"/>
    <w:rsid w:val="008343D1"/>
    <w:rsid w:val="0083445E"/>
    <w:rsid w:val="008344C9"/>
    <w:rsid w:val="008344CB"/>
    <w:rsid w:val="00834519"/>
    <w:rsid w:val="0083455F"/>
    <w:rsid w:val="008345F8"/>
    <w:rsid w:val="00834632"/>
    <w:rsid w:val="0083464E"/>
    <w:rsid w:val="008346C6"/>
    <w:rsid w:val="008346C8"/>
    <w:rsid w:val="0083474E"/>
    <w:rsid w:val="0083476A"/>
    <w:rsid w:val="008347FB"/>
    <w:rsid w:val="00834837"/>
    <w:rsid w:val="008348D7"/>
    <w:rsid w:val="008348DA"/>
    <w:rsid w:val="008348DD"/>
    <w:rsid w:val="0083496C"/>
    <w:rsid w:val="008349B3"/>
    <w:rsid w:val="008349D2"/>
    <w:rsid w:val="00834AD0"/>
    <w:rsid w:val="00834B1D"/>
    <w:rsid w:val="00834B64"/>
    <w:rsid w:val="00834C09"/>
    <w:rsid w:val="00834DF1"/>
    <w:rsid w:val="00834E08"/>
    <w:rsid w:val="00834FB5"/>
    <w:rsid w:val="00835007"/>
    <w:rsid w:val="00835142"/>
    <w:rsid w:val="0083517F"/>
    <w:rsid w:val="00835191"/>
    <w:rsid w:val="0083526D"/>
    <w:rsid w:val="008352D6"/>
    <w:rsid w:val="00835349"/>
    <w:rsid w:val="0083562C"/>
    <w:rsid w:val="00835658"/>
    <w:rsid w:val="00835695"/>
    <w:rsid w:val="008356DB"/>
    <w:rsid w:val="008356E1"/>
    <w:rsid w:val="0083573E"/>
    <w:rsid w:val="0083583E"/>
    <w:rsid w:val="0083584B"/>
    <w:rsid w:val="0083589A"/>
    <w:rsid w:val="00835933"/>
    <w:rsid w:val="0083594C"/>
    <w:rsid w:val="00835B40"/>
    <w:rsid w:val="00835BB5"/>
    <w:rsid w:val="00835CF9"/>
    <w:rsid w:val="00835DF5"/>
    <w:rsid w:val="00835E1A"/>
    <w:rsid w:val="00835F50"/>
    <w:rsid w:val="00835F66"/>
    <w:rsid w:val="0083620A"/>
    <w:rsid w:val="0083620E"/>
    <w:rsid w:val="00836248"/>
    <w:rsid w:val="00836268"/>
    <w:rsid w:val="008362EE"/>
    <w:rsid w:val="0083642C"/>
    <w:rsid w:val="00836436"/>
    <w:rsid w:val="008364DA"/>
    <w:rsid w:val="008364E6"/>
    <w:rsid w:val="00836562"/>
    <w:rsid w:val="008365E5"/>
    <w:rsid w:val="00836668"/>
    <w:rsid w:val="0083667F"/>
    <w:rsid w:val="008366AD"/>
    <w:rsid w:val="008366D3"/>
    <w:rsid w:val="00836819"/>
    <w:rsid w:val="00836835"/>
    <w:rsid w:val="00836884"/>
    <w:rsid w:val="008368FB"/>
    <w:rsid w:val="00836A2B"/>
    <w:rsid w:val="00836A59"/>
    <w:rsid w:val="00836ADA"/>
    <w:rsid w:val="00836B6D"/>
    <w:rsid w:val="00836BA2"/>
    <w:rsid w:val="00836C28"/>
    <w:rsid w:val="00836CB7"/>
    <w:rsid w:val="00836CE0"/>
    <w:rsid w:val="00836D3E"/>
    <w:rsid w:val="00836D73"/>
    <w:rsid w:val="00836D78"/>
    <w:rsid w:val="00836D92"/>
    <w:rsid w:val="00836E0A"/>
    <w:rsid w:val="00836EAE"/>
    <w:rsid w:val="00836EB6"/>
    <w:rsid w:val="00836ED5"/>
    <w:rsid w:val="00836F7A"/>
    <w:rsid w:val="00836FA8"/>
    <w:rsid w:val="00836FD2"/>
    <w:rsid w:val="00836FF8"/>
    <w:rsid w:val="00837077"/>
    <w:rsid w:val="00837196"/>
    <w:rsid w:val="008371E9"/>
    <w:rsid w:val="0083720D"/>
    <w:rsid w:val="008372B9"/>
    <w:rsid w:val="008372C8"/>
    <w:rsid w:val="008372DF"/>
    <w:rsid w:val="0083730B"/>
    <w:rsid w:val="00837399"/>
    <w:rsid w:val="008373E0"/>
    <w:rsid w:val="00837435"/>
    <w:rsid w:val="00837437"/>
    <w:rsid w:val="0083744D"/>
    <w:rsid w:val="00837454"/>
    <w:rsid w:val="00837527"/>
    <w:rsid w:val="008376C7"/>
    <w:rsid w:val="0083771D"/>
    <w:rsid w:val="0083773D"/>
    <w:rsid w:val="008377AA"/>
    <w:rsid w:val="008377D8"/>
    <w:rsid w:val="008377E1"/>
    <w:rsid w:val="008377F0"/>
    <w:rsid w:val="0083782D"/>
    <w:rsid w:val="00837881"/>
    <w:rsid w:val="008378FB"/>
    <w:rsid w:val="0083794D"/>
    <w:rsid w:val="008379A8"/>
    <w:rsid w:val="00837A09"/>
    <w:rsid w:val="00837A68"/>
    <w:rsid w:val="00837AC4"/>
    <w:rsid w:val="00837B3A"/>
    <w:rsid w:val="00837B6F"/>
    <w:rsid w:val="00837B92"/>
    <w:rsid w:val="00837B9D"/>
    <w:rsid w:val="00837BE1"/>
    <w:rsid w:val="00837CD2"/>
    <w:rsid w:val="00837CE4"/>
    <w:rsid w:val="00837D15"/>
    <w:rsid w:val="00837D58"/>
    <w:rsid w:val="00837E82"/>
    <w:rsid w:val="00837EA2"/>
    <w:rsid w:val="00837EB4"/>
    <w:rsid w:val="008402F2"/>
    <w:rsid w:val="00840314"/>
    <w:rsid w:val="00840320"/>
    <w:rsid w:val="00840374"/>
    <w:rsid w:val="00840452"/>
    <w:rsid w:val="00840467"/>
    <w:rsid w:val="00840482"/>
    <w:rsid w:val="008404BD"/>
    <w:rsid w:val="008404CA"/>
    <w:rsid w:val="00840604"/>
    <w:rsid w:val="00840622"/>
    <w:rsid w:val="00840786"/>
    <w:rsid w:val="0084080C"/>
    <w:rsid w:val="0084087F"/>
    <w:rsid w:val="00840972"/>
    <w:rsid w:val="00840A17"/>
    <w:rsid w:val="00840A40"/>
    <w:rsid w:val="00840ABA"/>
    <w:rsid w:val="00840B1C"/>
    <w:rsid w:val="00840B45"/>
    <w:rsid w:val="00840C4B"/>
    <w:rsid w:val="00840D3E"/>
    <w:rsid w:val="00840D5B"/>
    <w:rsid w:val="00840E46"/>
    <w:rsid w:val="00840EB5"/>
    <w:rsid w:val="00840F13"/>
    <w:rsid w:val="00840F79"/>
    <w:rsid w:val="00841073"/>
    <w:rsid w:val="008410E6"/>
    <w:rsid w:val="0084113C"/>
    <w:rsid w:val="00841154"/>
    <w:rsid w:val="0084116C"/>
    <w:rsid w:val="008411BD"/>
    <w:rsid w:val="0084123A"/>
    <w:rsid w:val="0084135D"/>
    <w:rsid w:val="0084138F"/>
    <w:rsid w:val="00841415"/>
    <w:rsid w:val="00841486"/>
    <w:rsid w:val="00841583"/>
    <w:rsid w:val="008415A7"/>
    <w:rsid w:val="008415E3"/>
    <w:rsid w:val="00841654"/>
    <w:rsid w:val="008416B5"/>
    <w:rsid w:val="008417E0"/>
    <w:rsid w:val="0084183C"/>
    <w:rsid w:val="00841848"/>
    <w:rsid w:val="00841891"/>
    <w:rsid w:val="0084199B"/>
    <w:rsid w:val="00841A5A"/>
    <w:rsid w:val="00841BFD"/>
    <w:rsid w:val="00841CB7"/>
    <w:rsid w:val="00841D2B"/>
    <w:rsid w:val="00841DBB"/>
    <w:rsid w:val="00841DDB"/>
    <w:rsid w:val="00841E11"/>
    <w:rsid w:val="00841EF7"/>
    <w:rsid w:val="0084211B"/>
    <w:rsid w:val="008422DD"/>
    <w:rsid w:val="008423D3"/>
    <w:rsid w:val="00842426"/>
    <w:rsid w:val="008424DC"/>
    <w:rsid w:val="008424F7"/>
    <w:rsid w:val="00842513"/>
    <w:rsid w:val="00842515"/>
    <w:rsid w:val="00842562"/>
    <w:rsid w:val="0084259B"/>
    <w:rsid w:val="008425A0"/>
    <w:rsid w:val="0084266D"/>
    <w:rsid w:val="008426B7"/>
    <w:rsid w:val="008426C4"/>
    <w:rsid w:val="008427A9"/>
    <w:rsid w:val="008428BB"/>
    <w:rsid w:val="008428FB"/>
    <w:rsid w:val="00842976"/>
    <w:rsid w:val="008429DF"/>
    <w:rsid w:val="008429E0"/>
    <w:rsid w:val="008429FB"/>
    <w:rsid w:val="00842A37"/>
    <w:rsid w:val="00842ABF"/>
    <w:rsid w:val="00842AE2"/>
    <w:rsid w:val="00842B05"/>
    <w:rsid w:val="00842B19"/>
    <w:rsid w:val="00842BA8"/>
    <w:rsid w:val="00842C47"/>
    <w:rsid w:val="00842C4E"/>
    <w:rsid w:val="00842C76"/>
    <w:rsid w:val="00842C9C"/>
    <w:rsid w:val="00842CE6"/>
    <w:rsid w:val="00842D24"/>
    <w:rsid w:val="00842DE1"/>
    <w:rsid w:val="00842E7B"/>
    <w:rsid w:val="00842EA1"/>
    <w:rsid w:val="00842F3D"/>
    <w:rsid w:val="00842FD0"/>
    <w:rsid w:val="00842FFE"/>
    <w:rsid w:val="00843047"/>
    <w:rsid w:val="00843108"/>
    <w:rsid w:val="00843248"/>
    <w:rsid w:val="00843276"/>
    <w:rsid w:val="0084337A"/>
    <w:rsid w:val="008433E3"/>
    <w:rsid w:val="008433E8"/>
    <w:rsid w:val="008433EC"/>
    <w:rsid w:val="00843484"/>
    <w:rsid w:val="008434F2"/>
    <w:rsid w:val="008434FD"/>
    <w:rsid w:val="00843591"/>
    <w:rsid w:val="00843638"/>
    <w:rsid w:val="00843681"/>
    <w:rsid w:val="008436BF"/>
    <w:rsid w:val="0084375C"/>
    <w:rsid w:val="00843785"/>
    <w:rsid w:val="00843810"/>
    <w:rsid w:val="00843835"/>
    <w:rsid w:val="0084389A"/>
    <w:rsid w:val="0084395E"/>
    <w:rsid w:val="00843997"/>
    <w:rsid w:val="00843A2E"/>
    <w:rsid w:val="00843A4B"/>
    <w:rsid w:val="00843A90"/>
    <w:rsid w:val="00843AB1"/>
    <w:rsid w:val="00843C9F"/>
    <w:rsid w:val="00843D94"/>
    <w:rsid w:val="00843E0F"/>
    <w:rsid w:val="00843F9D"/>
    <w:rsid w:val="00844007"/>
    <w:rsid w:val="0084400F"/>
    <w:rsid w:val="00844088"/>
    <w:rsid w:val="008440E5"/>
    <w:rsid w:val="008441DB"/>
    <w:rsid w:val="008441E1"/>
    <w:rsid w:val="00844229"/>
    <w:rsid w:val="0084429A"/>
    <w:rsid w:val="008442BA"/>
    <w:rsid w:val="0084435C"/>
    <w:rsid w:val="008443BE"/>
    <w:rsid w:val="008443F2"/>
    <w:rsid w:val="00844431"/>
    <w:rsid w:val="00844436"/>
    <w:rsid w:val="00844453"/>
    <w:rsid w:val="008444B3"/>
    <w:rsid w:val="008444E3"/>
    <w:rsid w:val="00844502"/>
    <w:rsid w:val="00844514"/>
    <w:rsid w:val="0084458B"/>
    <w:rsid w:val="008445C5"/>
    <w:rsid w:val="008445D2"/>
    <w:rsid w:val="00844625"/>
    <w:rsid w:val="00844646"/>
    <w:rsid w:val="00844682"/>
    <w:rsid w:val="008446C6"/>
    <w:rsid w:val="008447D3"/>
    <w:rsid w:val="00844823"/>
    <w:rsid w:val="00844920"/>
    <w:rsid w:val="00844924"/>
    <w:rsid w:val="008449C6"/>
    <w:rsid w:val="008449F2"/>
    <w:rsid w:val="00844A57"/>
    <w:rsid w:val="00844ABF"/>
    <w:rsid w:val="00844C20"/>
    <w:rsid w:val="00844C58"/>
    <w:rsid w:val="00844C8F"/>
    <w:rsid w:val="00844CC1"/>
    <w:rsid w:val="00844D6C"/>
    <w:rsid w:val="00844E09"/>
    <w:rsid w:val="00844E59"/>
    <w:rsid w:val="00844EB3"/>
    <w:rsid w:val="00844F16"/>
    <w:rsid w:val="00844F1B"/>
    <w:rsid w:val="00844F23"/>
    <w:rsid w:val="00844F3A"/>
    <w:rsid w:val="00845149"/>
    <w:rsid w:val="008452B0"/>
    <w:rsid w:val="0084547B"/>
    <w:rsid w:val="00845492"/>
    <w:rsid w:val="00845504"/>
    <w:rsid w:val="00845530"/>
    <w:rsid w:val="00845554"/>
    <w:rsid w:val="0084557B"/>
    <w:rsid w:val="008455DA"/>
    <w:rsid w:val="00845752"/>
    <w:rsid w:val="0084579E"/>
    <w:rsid w:val="0084582B"/>
    <w:rsid w:val="00845838"/>
    <w:rsid w:val="00845871"/>
    <w:rsid w:val="00845887"/>
    <w:rsid w:val="008459AF"/>
    <w:rsid w:val="00845A30"/>
    <w:rsid w:val="00845AA1"/>
    <w:rsid w:val="00845BE2"/>
    <w:rsid w:val="00845CBA"/>
    <w:rsid w:val="00845D0F"/>
    <w:rsid w:val="00845D61"/>
    <w:rsid w:val="00845DA6"/>
    <w:rsid w:val="00845E0D"/>
    <w:rsid w:val="00845E41"/>
    <w:rsid w:val="00845E53"/>
    <w:rsid w:val="00845F11"/>
    <w:rsid w:val="00845F15"/>
    <w:rsid w:val="00845FD4"/>
    <w:rsid w:val="0084609E"/>
    <w:rsid w:val="008460D1"/>
    <w:rsid w:val="00846183"/>
    <w:rsid w:val="008462E2"/>
    <w:rsid w:val="0084630A"/>
    <w:rsid w:val="00846342"/>
    <w:rsid w:val="008463E4"/>
    <w:rsid w:val="00846442"/>
    <w:rsid w:val="0084644D"/>
    <w:rsid w:val="00846513"/>
    <w:rsid w:val="0084653C"/>
    <w:rsid w:val="00846604"/>
    <w:rsid w:val="00846655"/>
    <w:rsid w:val="008466B7"/>
    <w:rsid w:val="0084675E"/>
    <w:rsid w:val="0084675F"/>
    <w:rsid w:val="00846802"/>
    <w:rsid w:val="00846A19"/>
    <w:rsid w:val="00846A61"/>
    <w:rsid w:val="00846B43"/>
    <w:rsid w:val="00846BA2"/>
    <w:rsid w:val="00846BA4"/>
    <w:rsid w:val="00846CBA"/>
    <w:rsid w:val="00846CE2"/>
    <w:rsid w:val="00846E38"/>
    <w:rsid w:val="00846F97"/>
    <w:rsid w:val="00846FFD"/>
    <w:rsid w:val="0084700C"/>
    <w:rsid w:val="008470BE"/>
    <w:rsid w:val="00847100"/>
    <w:rsid w:val="0084716C"/>
    <w:rsid w:val="00847208"/>
    <w:rsid w:val="00847277"/>
    <w:rsid w:val="00847283"/>
    <w:rsid w:val="008472D9"/>
    <w:rsid w:val="00847394"/>
    <w:rsid w:val="00847435"/>
    <w:rsid w:val="00847488"/>
    <w:rsid w:val="0084755D"/>
    <w:rsid w:val="00847592"/>
    <w:rsid w:val="00847649"/>
    <w:rsid w:val="00847662"/>
    <w:rsid w:val="00847747"/>
    <w:rsid w:val="008477AE"/>
    <w:rsid w:val="00847849"/>
    <w:rsid w:val="00847896"/>
    <w:rsid w:val="0084791F"/>
    <w:rsid w:val="0084795D"/>
    <w:rsid w:val="0084797B"/>
    <w:rsid w:val="008479D2"/>
    <w:rsid w:val="00847AFB"/>
    <w:rsid w:val="00847B27"/>
    <w:rsid w:val="00847B38"/>
    <w:rsid w:val="00847C2E"/>
    <w:rsid w:val="00847C4D"/>
    <w:rsid w:val="00847CD5"/>
    <w:rsid w:val="00847D1B"/>
    <w:rsid w:val="00847DA1"/>
    <w:rsid w:val="00847DDA"/>
    <w:rsid w:val="00847E12"/>
    <w:rsid w:val="00847E32"/>
    <w:rsid w:val="00847E50"/>
    <w:rsid w:val="00847E5E"/>
    <w:rsid w:val="00847ED2"/>
    <w:rsid w:val="00847EEA"/>
    <w:rsid w:val="00847F17"/>
    <w:rsid w:val="0085001F"/>
    <w:rsid w:val="0085006A"/>
    <w:rsid w:val="0085007B"/>
    <w:rsid w:val="008500A4"/>
    <w:rsid w:val="008500DD"/>
    <w:rsid w:val="00850102"/>
    <w:rsid w:val="00850157"/>
    <w:rsid w:val="00850192"/>
    <w:rsid w:val="008501E2"/>
    <w:rsid w:val="0085020D"/>
    <w:rsid w:val="008502A0"/>
    <w:rsid w:val="008502F9"/>
    <w:rsid w:val="0085034B"/>
    <w:rsid w:val="008503C7"/>
    <w:rsid w:val="0085041B"/>
    <w:rsid w:val="00850458"/>
    <w:rsid w:val="00850479"/>
    <w:rsid w:val="00850494"/>
    <w:rsid w:val="00850540"/>
    <w:rsid w:val="008505D8"/>
    <w:rsid w:val="008506C1"/>
    <w:rsid w:val="008506C9"/>
    <w:rsid w:val="008506DC"/>
    <w:rsid w:val="008507A1"/>
    <w:rsid w:val="008507E9"/>
    <w:rsid w:val="008509CC"/>
    <w:rsid w:val="00850A73"/>
    <w:rsid w:val="00850B06"/>
    <w:rsid w:val="00850B9B"/>
    <w:rsid w:val="00850BBB"/>
    <w:rsid w:val="00850C28"/>
    <w:rsid w:val="00850D22"/>
    <w:rsid w:val="00850DA1"/>
    <w:rsid w:val="00850DFB"/>
    <w:rsid w:val="00850E1C"/>
    <w:rsid w:val="00850FF3"/>
    <w:rsid w:val="0085106A"/>
    <w:rsid w:val="00851079"/>
    <w:rsid w:val="00851091"/>
    <w:rsid w:val="008510B0"/>
    <w:rsid w:val="00851114"/>
    <w:rsid w:val="00851154"/>
    <w:rsid w:val="008511DB"/>
    <w:rsid w:val="0085122B"/>
    <w:rsid w:val="00851471"/>
    <w:rsid w:val="00851536"/>
    <w:rsid w:val="0085158A"/>
    <w:rsid w:val="0085167B"/>
    <w:rsid w:val="0085171E"/>
    <w:rsid w:val="00851725"/>
    <w:rsid w:val="00851818"/>
    <w:rsid w:val="00851843"/>
    <w:rsid w:val="008518AE"/>
    <w:rsid w:val="008518C2"/>
    <w:rsid w:val="008518E1"/>
    <w:rsid w:val="00851A90"/>
    <w:rsid w:val="00851AB0"/>
    <w:rsid w:val="00851ADC"/>
    <w:rsid w:val="00851BD6"/>
    <w:rsid w:val="00851BDB"/>
    <w:rsid w:val="00851CF3"/>
    <w:rsid w:val="00851D97"/>
    <w:rsid w:val="00852013"/>
    <w:rsid w:val="00852046"/>
    <w:rsid w:val="00852091"/>
    <w:rsid w:val="008520E6"/>
    <w:rsid w:val="008521CB"/>
    <w:rsid w:val="00852216"/>
    <w:rsid w:val="00852232"/>
    <w:rsid w:val="008522DB"/>
    <w:rsid w:val="008522F7"/>
    <w:rsid w:val="00852328"/>
    <w:rsid w:val="008523D1"/>
    <w:rsid w:val="008523EC"/>
    <w:rsid w:val="00852415"/>
    <w:rsid w:val="00852450"/>
    <w:rsid w:val="0085245A"/>
    <w:rsid w:val="0085246B"/>
    <w:rsid w:val="0085249C"/>
    <w:rsid w:val="00852541"/>
    <w:rsid w:val="00852560"/>
    <w:rsid w:val="008525C2"/>
    <w:rsid w:val="008525C9"/>
    <w:rsid w:val="00852628"/>
    <w:rsid w:val="00852659"/>
    <w:rsid w:val="00852694"/>
    <w:rsid w:val="00852870"/>
    <w:rsid w:val="008529F4"/>
    <w:rsid w:val="00852A04"/>
    <w:rsid w:val="00852B7A"/>
    <w:rsid w:val="00852B8F"/>
    <w:rsid w:val="00852BA7"/>
    <w:rsid w:val="00852CB5"/>
    <w:rsid w:val="00852D2B"/>
    <w:rsid w:val="00852D49"/>
    <w:rsid w:val="00852DD7"/>
    <w:rsid w:val="00852E3E"/>
    <w:rsid w:val="00852E5A"/>
    <w:rsid w:val="00852E94"/>
    <w:rsid w:val="00852EED"/>
    <w:rsid w:val="00852F8F"/>
    <w:rsid w:val="00852FA3"/>
    <w:rsid w:val="00853056"/>
    <w:rsid w:val="00853069"/>
    <w:rsid w:val="00853074"/>
    <w:rsid w:val="008530A3"/>
    <w:rsid w:val="00853179"/>
    <w:rsid w:val="0085317C"/>
    <w:rsid w:val="0085318F"/>
    <w:rsid w:val="0085322D"/>
    <w:rsid w:val="00853275"/>
    <w:rsid w:val="008532EF"/>
    <w:rsid w:val="0085334B"/>
    <w:rsid w:val="00853392"/>
    <w:rsid w:val="0085339D"/>
    <w:rsid w:val="008533AE"/>
    <w:rsid w:val="008533F1"/>
    <w:rsid w:val="0085340C"/>
    <w:rsid w:val="0085353A"/>
    <w:rsid w:val="00853636"/>
    <w:rsid w:val="00853747"/>
    <w:rsid w:val="00853792"/>
    <w:rsid w:val="00853855"/>
    <w:rsid w:val="008538A0"/>
    <w:rsid w:val="008538C0"/>
    <w:rsid w:val="008538FD"/>
    <w:rsid w:val="0085399D"/>
    <w:rsid w:val="008539B2"/>
    <w:rsid w:val="008539B8"/>
    <w:rsid w:val="008539FB"/>
    <w:rsid w:val="00853A04"/>
    <w:rsid w:val="00853A96"/>
    <w:rsid w:val="00853AB6"/>
    <w:rsid w:val="00853ADD"/>
    <w:rsid w:val="00853B0B"/>
    <w:rsid w:val="00853B22"/>
    <w:rsid w:val="00853B3B"/>
    <w:rsid w:val="00853B66"/>
    <w:rsid w:val="00853BB7"/>
    <w:rsid w:val="00853C97"/>
    <w:rsid w:val="00853CDB"/>
    <w:rsid w:val="00853CE3"/>
    <w:rsid w:val="00853D43"/>
    <w:rsid w:val="00853D69"/>
    <w:rsid w:val="00853EA3"/>
    <w:rsid w:val="00853EA7"/>
    <w:rsid w:val="00853F74"/>
    <w:rsid w:val="0085407C"/>
    <w:rsid w:val="008541D9"/>
    <w:rsid w:val="00854239"/>
    <w:rsid w:val="008543FC"/>
    <w:rsid w:val="008545AA"/>
    <w:rsid w:val="00854610"/>
    <w:rsid w:val="0085464E"/>
    <w:rsid w:val="0085474B"/>
    <w:rsid w:val="00854756"/>
    <w:rsid w:val="008547AA"/>
    <w:rsid w:val="00854828"/>
    <w:rsid w:val="00854955"/>
    <w:rsid w:val="0085497B"/>
    <w:rsid w:val="008549B6"/>
    <w:rsid w:val="00854A28"/>
    <w:rsid w:val="00854ABF"/>
    <w:rsid w:val="00854B26"/>
    <w:rsid w:val="00854B91"/>
    <w:rsid w:val="00854CE0"/>
    <w:rsid w:val="00854D06"/>
    <w:rsid w:val="00854E45"/>
    <w:rsid w:val="00854E74"/>
    <w:rsid w:val="00854F61"/>
    <w:rsid w:val="00854FEF"/>
    <w:rsid w:val="008550C5"/>
    <w:rsid w:val="00855186"/>
    <w:rsid w:val="00855284"/>
    <w:rsid w:val="008552CA"/>
    <w:rsid w:val="008552E3"/>
    <w:rsid w:val="00855375"/>
    <w:rsid w:val="00855469"/>
    <w:rsid w:val="0085558D"/>
    <w:rsid w:val="00855613"/>
    <w:rsid w:val="008556FF"/>
    <w:rsid w:val="00855776"/>
    <w:rsid w:val="00855813"/>
    <w:rsid w:val="0085581B"/>
    <w:rsid w:val="0085582C"/>
    <w:rsid w:val="008558B0"/>
    <w:rsid w:val="00855907"/>
    <w:rsid w:val="0085597D"/>
    <w:rsid w:val="008559A1"/>
    <w:rsid w:val="008559FE"/>
    <w:rsid w:val="00855ACA"/>
    <w:rsid w:val="00855B42"/>
    <w:rsid w:val="00855B64"/>
    <w:rsid w:val="00855BAA"/>
    <w:rsid w:val="00855BF5"/>
    <w:rsid w:val="00855CA7"/>
    <w:rsid w:val="00855CC3"/>
    <w:rsid w:val="00855D7F"/>
    <w:rsid w:val="00855DFB"/>
    <w:rsid w:val="00855E24"/>
    <w:rsid w:val="00855E61"/>
    <w:rsid w:val="00855E6A"/>
    <w:rsid w:val="00855EC9"/>
    <w:rsid w:val="00855FAA"/>
    <w:rsid w:val="00855FFF"/>
    <w:rsid w:val="00856136"/>
    <w:rsid w:val="0085615D"/>
    <w:rsid w:val="008561D6"/>
    <w:rsid w:val="008562A9"/>
    <w:rsid w:val="0085634B"/>
    <w:rsid w:val="0085634F"/>
    <w:rsid w:val="00856377"/>
    <w:rsid w:val="0085647E"/>
    <w:rsid w:val="0085650D"/>
    <w:rsid w:val="00856586"/>
    <w:rsid w:val="008566A2"/>
    <w:rsid w:val="008566FA"/>
    <w:rsid w:val="00856733"/>
    <w:rsid w:val="00856734"/>
    <w:rsid w:val="008567D8"/>
    <w:rsid w:val="008568F1"/>
    <w:rsid w:val="00856955"/>
    <w:rsid w:val="00856A00"/>
    <w:rsid w:val="00856D16"/>
    <w:rsid w:val="00856F28"/>
    <w:rsid w:val="00856F77"/>
    <w:rsid w:val="008570D7"/>
    <w:rsid w:val="00857155"/>
    <w:rsid w:val="0085717C"/>
    <w:rsid w:val="008571C8"/>
    <w:rsid w:val="0085720F"/>
    <w:rsid w:val="0085723E"/>
    <w:rsid w:val="0085728F"/>
    <w:rsid w:val="00857317"/>
    <w:rsid w:val="00857325"/>
    <w:rsid w:val="008573B5"/>
    <w:rsid w:val="00857459"/>
    <w:rsid w:val="008574BA"/>
    <w:rsid w:val="00857583"/>
    <w:rsid w:val="008575B9"/>
    <w:rsid w:val="0085762F"/>
    <w:rsid w:val="0085763D"/>
    <w:rsid w:val="00857673"/>
    <w:rsid w:val="00857690"/>
    <w:rsid w:val="008576B1"/>
    <w:rsid w:val="008576FF"/>
    <w:rsid w:val="0085771E"/>
    <w:rsid w:val="008577B7"/>
    <w:rsid w:val="008577C1"/>
    <w:rsid w:val="0085788A"/>
    <w:rsid w:val="00857B0C"/>
    <w:rsid w:val="00857B42"/>
    <w:rsid w:val="00857C27"/>
    <w:rsid w:val="00857C29"/>
    <w:rsid w:val="00857C51"/>
    <w:rsid w:val="00857C96"/>
    <w:rsid w:val="00857D4F"/>
    <w:rsid w:val="00857DC0"/>
    <w:rsid w:val="00857E82"/>
    <w:rsid w:val="00857EB7"/>
    <w:rsid w:val="00857F1F"/>
    <w:rsid w:val="00857F76"/>
    <w:rsid w:val="00860038"/>
    <w:rsid w:val="00860092"/>
    <w:rsid w:val="00860164"/>
    <w:rsid w:val="008601F7"/>
    <w:rsid w:val="0086020D"/>
    <w:rsid w:val="008602D5"/>
    <w:rsid w:val="00860316"/>
    <w:rsid w:val="00860366"/>
    <w:rsid w:val="0086036E"/>
    <w:rsid w:val="008603F2"/>
    <w:rsid w:val="0086048D"/>
    <w:rsid w:val="008604C8"/>
    <w:rsid w:val="008605CF"/>
    <w:rsid w:val="00860692"/>
    <w:rsid w:val="00860715"/>
    <w:rsid w:val="0086073A"/>
    <w:rsid w:val="008607C0"/>
    <w:rsid w:val="0086086B"/>
    <w:rsid w:val="008608CF"/>
    <w:rsid w:val="008608EB"/>
    <w:rsid w:val="00860A3C"/>
    <w:rsid w:val="00860A59"/>
    <w:rsid w:val="00860C4D"/>
    <w:rsid w:val="00860CD7"/>
    <w:rsid w:val="00860D05"/>
    <w:rsid w:val="00860D9D"/>
    <w:rsid w:val="00860E7B"/>
    <w:rsid w:val="00860E7D"/>
    <w:rsid w:val="00860E8A"/>
    <w:rsid w:val="00860EC0"/>
    <w:rsid w:val="00860EDB"/>
    <w:rsid w:val="00860EE0"/>
    <w:rsid w:val="00860EE4"/>
    <w:rsid w:val="00860F29"/>
    <w:rsid w:val="00860F75"/>
    <w:rsid w:val="0086101E"/>
    <w:rsid w:val="00861047"/>
    <w:rsid w:val="00861078"/>
    <w:rsid w:val="00861097"/>
    <w:rsid w:val="008610B0"/>
    <w:rsid w:val="0086110B"/>
    <w:rsid w:val="00861134"/>
    <w:rsid w:val="00861254"/>
    <w:rsid w:val="00861463"/>
    <w:rsid w:val="00861482"/>
    <w:rsid w:val="008614E2"/>
    <w:rsid w:val="008614E6"/>
    <w:rsid w:val="008615E9"/>
    <w:rsid w:val="00861632"/>
    <w:rsid w:val="00861683"/>
    <w:rsid w:val="00861728"/>
    <w:rsid w:val="0086182A"/>
    <w:rsid w:val="0086183B"/>
    <w:rsid w:val="0086183D"/>
    <w:rsid w:val="00861867"/>
    <w:rsid w:val="008618B3"/>
    <w:rsid w:val="008618CD"/>
    <w:rsid w:val="0086190C"/>
    <w:rsid w:val="0086198F"/>
    <w:rsid w:val="00861A18"/>
    <w:rsid w:val="00861AE0"/>
    <w:rsid w:val="00861B5C"/>
    <w:rsid w:val="00861BA4"/>
    <w:rsid w:val="00861BB2"/>
    <w:rsid w:val="00861BBE"/>
    <w:rsid w:val="00861C09"/>
    <w:rsid w:val="00861DA8"/>
    <w:rsid w:val="00861DCC"/>
    <w:rsid w:val="00861E0E"/>
    <w:rsid w:val="00861E22"/>
    <w:rsid w:val="00861E3E"/>
    <w:rsid w:val="00861ED1"/>
    <w:rsid w:val="00861FAF"/>
    <w:rsid w:val="00861FB9"/>
    <w:rsid w:val="0086201F"/>
    <w:rsid w:val="00862058"/>
    <w:rsid w:val="0086207C"/>
    <w:rsid w:val="00862105"/>
    <w:rsid w:val="0086210C"/>
    <w:rsid w:val="00862113"/>
    <w:rsid w:val="0086221D"/>
    <w:rsid w:val="00862228"/>
    <w:rsid w:val="00862250"/>
    <w:rsid w:val="00862287"/>
    <w:rsid w:val="00862437"/>
    <w:rsid w:val="008624D8"/>
    <w:rsid w:val="0086251E"/>
    <w:rsid w:val="0086254B"/>
    <w:rsid w:val="00862579"/>
    <w:rsid w:val="008625C7"/>
    <w:rsid w:val="008626CB"/>
    <w:rsid w:val="008627A6"/>
    <w:rsid w:val="008627C3"/>
    <w:rsid w:val="00862803"/>
    <w:rsid w:val="0086287C"/>
    <w:rsid w:val="008628A1"/>
    <w:rsid w:val="00862921"/>
    <w:rsid w:val="00862938"/>
    <w:rsid w:val="008629B7"/>
    <w:rsid w:val="008629C7"/>
    <w:rsid w:val="00862A3A"/>
    <w:rsid w:val="00862B8C"/>
    <w:rsid w:val="00862BCE"/>
    <w:rsid w:val="00862BF4"/>
    <w:rsid w:val="00862C43"/>
    <w:rsid w:val="00862CC0"/>
    <w:rsid w:val="00862CE8"/>
    <w:rsid w:val="00862D4B"/>
    <w:rsid w:val="00862D85"/>
    <w:rsid w:val="00862D92"/>
    <w:rsid w:val="00862D9D"/>
    <w:rsid w:val="00862E1E"/>
    <w:rsid w:val="00862E64"/>
    <w:rsid w:val="00862E84"/>
    <w:rsid w:val="00862F3D"/>
    <w:rsid w:val="0086306B"/>
    <w:rsid w:val="00863117"/>
    <w:rsid w:val="00863130"/>
    <w:rsid w:val="00863262"/>
    <w:rsid w:val="008632D8"/>
    <w:rsid w:val="008632EB"/>
    <w:rsid w:val="008633A5"/>
    <w:rsid w:val="00863459"/>
    <w:rsid w:val="00863496"/>
    <w:rsid w:val="008634B2"/>
    <w:rsid w:val="0086350B"/>
    <w:rsid w:val="0086353E"/>
    <w:rsid w:val="00863568"/>
    <w:rsid w:val="00863592"/>
    <w:rsid w:val="008635BF"/>
    <w:rsid w:val="008635C6"/>
    <w:rsid w:val="00863617"/>
    <w:rsid w:val="00863672"/>
    <w:rsid w:val="0086368A"/>
    <w:rsid w:val="008636E5"/>
    <w:rsid w:val="00863715"/>
    <w:rsid w:val="0086371C"/>
    <w:rsid w:val="00863741"/>
    <w:rsid w:val="00863804"/>
    <w:rsid w:val="0086394E"/>
    <w:rsid w:val="0086396F"/>
    <w:rsid w:val="0086399C"/>
    <w:rsid w:val="008639EC"/>
    <w:rsid w:val="00863A5C"/>
    <w:rsid w:val="00863AEC"/>
    <w:rsid w:val="00863B4D"/>
    <w:rsid w:val="00863D27"/>
    <w:rsid w:val="00863DF6"/>
    <w:rsid w:val="00863E34"/>
    <w:rsid w:val="00863E9A"/>
    <w:rsid w:val="00863EFC"/>
    <w:rsid w:val="00863F6C"/>
    <w:rsid w:val="00863FCB"/>
    <w:rsid w:val="00864015"/>
    <w:rsid w:val="008640E1"/>
    <w:rsid w:val="0086410A"/>
    <w:rsid w:val="00864121"/>
    <w:rsid w:val="00864206"/>
    <w:rsid w:val="0086422C"/>
    <w:rsid w:val="00864294"/>
    <w:rsid w:val="0086430E"/>
    <w:rsid w:val="00864341"/>
    <w:rsid w:val="008643E8"/>
    <w:rsid w:val="00864588"/>
    <w:rsid w:val="0086458D"/>
    <w:rsid w:val="0086461F"/>
    <w:rsid w:val="00864651"/>
    <w:rsid w:val="00864789"/>
    <w:rsid w:val="008648E3"/>
    <w:rsid w:val="0086494E"/>
    <w:rsid w:val="00864A8F"/>
    <w:rsid w:val="00864A91"/>
    <w:rsid w:val="00864C01"/>
    <w:rsid w:val="00864D6D"/>
    <w:rsid w:val="00864D82"/>
    <w:rsid w:val="00864DB5"/>
    <w:rsid w:val="00864DC2"/>
    <w:rsid w:val="00864EBF"/>
    <w:rsid w:val="00864ED1"/>
    <w:rsid w:val="00864FA4"/>
    <w:rsid w:val="00865098"/>
    <w:rsid w:val="008650BF"/>
    <w:rsid w:val="008650C2"/>
    <w:rsid w:val="008650D4"/>
    <w:rsid w:val="00865135"/>
    <w:rsid w:val="00865155"/>
    <w:rsid w:val="0086527A"/>
    <w:rsid w:val="008653BB"/>
    <w:rsid w:val="00865451"/>
    <w:rsid w:val="008655E8"/>
    <w:rsid w:val="0086561F"/>
    <w:rsid w:val="00865651"/>
    <w:rsid w:val="00865671"/>
    <w:rsid w:val="0086567F"/>
    <w:rsid w:val="008656EA"/>
    <w:rsid w:val="008656FE"/>
    <w:rsid w:val="00865725"/>
    <w:rsid w:val="0086577B"/>
    <w:rsid w:val="008657A2"/>
    <w:rsid w:val="008657C7"/>
    <w:rsid w:val="0086580F"/>
    <w:rsid w:val="00865818"/>
    <w:rsid w:val="0086586C"/>
    <w:rsid w:val="00865989"/>
    <w:rsid w:val="00865A12"/>
    <w:rsid w:val="00865AB0"/>
    <w:rsid w:val="00865B63"/>
    <w:rsid w:val="00865B8A"/>
    <w:rsid w:val="00865B9D"/>
    <w:rsid w:val="00865C86"/>
    <w:rsid w:val="00865CBF"/>
    <w:rsid w:val="00865D08"/>
    <w:rsid w:val="00865D17"/>
    <w:rsid w:val="00865D42"/>
    <w:rsid w:val="00865DD0"/>
    <w:rsid w:val="00865E4F"/>
    <w:rsid w:val="00865F4E"/>
    <w:rsid w:val="00865F7B"/>
    <w:rsid w:val="0086602C"/>
    <w:rsid w:val="00866070"/>
    <w:rsid w:val="0086608F"/>
    <w:rsid w:val="00866094"/>
    <w:rsid w:val="008660CD"/>
    <w:rsid w:val="00866199"/>
    <w:rsid w:val="008662A8"/>
    <w:rsid w:val="00866348"/>
    <w:rsid w:val="008663FD"/>
    <w:rsid w:val="00866474"/>
    <w:rsid w:val="008664A1"/>
    <w:rsid w:val="008664FA"/>
    <w:rsid w:val="0086650F"/>
    <w:rsid w:val="008665AB"/>
    <w:rsid w:val="00866635"/>
    <w:rsid w:val="00866679"/>
    <w:rsid w:val="008666BA"/>
    <w:rsid w:val="008666D6"/>
    <w:rsid w:val="00866747"/>
    <w:rsid w:val="008667EF"/>
    <w:rsid w:val="00866849"/>
    <w:rsid w:val="008668B9"/>
    <w:rsid w:val="008668C8"/>
    <w:rsid w:val="00866919"/>
    <w:rsid w:val="008669BD"/>
    <w:rsid w:val="00866A3C"/>
    <w:rsid w:val="00866A58"/>
    <w:rsid w:val="00866B6C"/>
    <w:rsid w:val="00866B8B"/>
    <w:rsid w:val="00866BA2"/>
    <w:rsid w:val="00866CAA"/>
    <w:rsid w:val="00866DB3"/>
    <w:rsid w:val="00866DFE"/>
    <w:rsid w:val="00866E29"/>
    <w:rsid w:val="00866E61"/>
    <w:rsid w:val="00866EA6"/>
    <w:rsid w:val="00866F53"/>
    <w:rsid w:val="00866F82"/>
    <w:rsid w:val="00866FEC"/>
    <w:rsid w:val="00867020"/>
    <w:rsid w:val="00867073"/>
    <w:rsid w:val="008671BD"/>
    <w:rsid w:val="00867220"/>
    <w:rsid w:val="0086722C"/>
    <w:rsid w:val="008672C7"/>
    <w:rsid w:val="0086731C"/>
    <w:rsid w:val="00867326"/>
    <w:rsid w:val="00867432"/>
    <w:rsid w:val="00867508"/>
    <w:rsid w:val="00867539"/>
    <w:rsid w:val="008675D3"/>
    <w:rsid w:val="008675FD"/>
    <w:rsid w:val="008676FB"/>
    <w:rsid w:val="0086770C"/>
    <w:rsid w:val="0086778D"/>
    <w:rsid w:val="0086781D"/>
    <w:rsid w:val="0086782E"/>
    <w:rsid w:val="008678AE"/>
    <w:rsid w:val="008678BC"/>
    <w:rsid w:val="00867932"/>
    <w:rsid w:val="0086793C"/>
    <w:rsid w:val="00867956"/>
    <w:rsid w:val="0086798D"/>
    <w:rsid w:val="0086799A"/>
    <w:rsid w:val="00867A15"/>
    <w:rsid w:val="00867B17"/>
    <w:rsid w:val="00867B51"/>
    <w:rsid w:val="00867C84"/>
    <w:rsid w:val="00867C94"/>
    <w:rsid w:val="00867CD7"/>
    <w:rsid w:val="00867D33"/>
    <w:rsid w:val="00867F8D"/>
    <w:rsid w:val="00867FD8"/>
    <w:rsid w:val="00867FDB"/>
    <w:rsid w:val="00870010"/>
    <w:rsid w:val="00870072"/>
    <w:rsid w:val="0087007C"/>
    <w:rsid w:val="008701AD"/>
    <w:rsid w:val="008701B8"/>
    <w:rsid w:val="00870228"/>
    <w:rsid w:val="00870260"/>
    <w:rsid w:val="008702C9"/>
    <w:rsid w:val="00870302"/>
    <w:rsid w:val="00870384"/>
    <w:rsid w:val="008704D2"/>
    <w:rsid w:val="0087054C"/>
    <w:rsid w:val="008705FB"/>
    <w:rsid w:val="00870715"/>
    <w:rsid w:val="008707D6"/>
    <w:rsid w:val="008707EB"/>
    <w:rsid w:val="00870A13"/>
    <w:rsid w:val="00870A1A"/>
    <w:rsid w:val="00870A48"/>
    <w:rsid w:val="00870A6C"/>
    <w:rsid w:val="00870A81"/>
    <w:rsid w:val="00870B2B"/>
    <w:rsid w:val="00870B39"/>
    <w:rsid w:val="00870BEB"/>
    <w:rsid w:val="00870C14"/>
    <w:rsid w:val="00870C15"/>
    <w:rsid w:val="00870C97"/>
    <w:rsid w:val="00870CBE"/>
    <w:rsid w:val="00870CC1"/>
    <w:rsid w:val="00870DC0"/>
    <w:rsid w:val="00870DF5"/>
    <w:rsid w:val="00870E1C"/>
    <w:rsid w:val="00870E37"/>
    <w:rsid w:val="00870E69"/>
    <w:rsid w:val="00870F5B"/>
    <w:rsid w:val="00870FB5"/>
    <w:rsid w:val="00870FB9"/>
    <w:rsid w:val="00870FC0"/>
    <w:rsid w:val="00871050"/>
    <w:rsid w:val="00871051"/>
    <w:rsid w:val="008710AD"/>
    <w:rsid w:val="00871125"/>
    <w:rsid w:val="008711C4"/>
    <w:rsid w:val="008711F3"/>
    <w:rsid w:val="00871210"/>
    <w:rsid w:val="0087127B"/>
    <w:rsid w:val="0087127C"/>
    <w:rsid w:val="0087127F"/>
    <w:rsid w:val="008712C4"/>
    <w:rsid w:val="00871300"/>
    <w:rsid w:val="008713A1"/>
    <w:rsid w:val="00871497"/>
    <w:rsid w:val="008714D1"/>
    <w:rsid w:val="00871587"/>
    <w:rsid w:val="008715E7"/>
    <w:rsid w:val="00871667"/>
    <w:rsid w:val="00871697"/>
    <w:rsid w:val="008716EF"/>
    <w:rsid w:val="0087171A"/>
    <w:rsid w:val="00871951"/>
    <w:rsid w:val="008719CF"/>
    <w:rsid w:val="00871A71"/>
    <w:rsid w:val="00871C2B"/>
    <w:rsid w:val="00871D05"/>
    <w:rsid w:val="00871D53"/>
    <w:rsid w:val="00871DB3"/>
    <w:rsid w:val="00871DD2"/>
    <w:rsid w:val="00871E14"/>
    <w:rsid w:val="00871E70"/>
    <w:rsid w:val="00871E91"/>
    <w:rsid w:val="00871F1E"/>
    <w:rsid w:val="00871F72"/>
    <w:rsid w:val="00871FF3"/>
    <w:rsid w:val="00872003"/>
    <w:rsid w:val="00872004"/>
    <w:rsid w:val="0087201B"/>
    <w:rsid w:val="008720F1"/>
    <w:rsid w:val="00872142"/>
    <w:rsid w:val="008721DF"/>
    <w:rsid w:val="008722EB"/>
    <w:rsid w:val="0087231C"/>
    <w:rsid w:val="0087238B"/>
    <w:rsid w:val="008723B5"/>
    <w:rsid w:val="008724B8"/>
    <w:rsid w:val="008724C6"/>
    <w:rsid w:val="00872505"/>
    <w:rsid w:val="00872599"/>
    <w:rsid w:val="00872610"/>
    <w:rsid w:val="008726BD"/>
    <w:rsid w:val="008726C3"/>
    <w:rsid w:val="0087279B"/>
    <w:rsid w:val="008727BF"/>
    <w:rsid w:val="00872819"/>
    <w:rsid w:val="0087283C"/>
    <w:rsid w:val="008728F5"/>
    <w:rsid w:val="008728F7"/>
    <w:rsid w:val="00872904"/>
    <w:rsid w:val="008729BF"/>
    <w:rsid w:val="008729DD"/>
    <w:rsid w:val="008729E8"/>
    <w:rsid w:val="00872A0D"/>
    <w:rsid w:val="00872A96"/>
    <w:rsid w:val="00872ABE"/>
    <w:rsid w:val="00872AF0"/>
    <w:rsid w:val="00872B20"/>
    <w:rsid w:val="00872B56"/>
    <w:rsid w:val="00872DB4"/>
    <w:rsid w:val="00872E24"/>
    <w:rsid w:val="00872E83"/>
    <w:rsid w:val="00872F66"/>
    <w:rsid w:val="00872FC5"/>
    <w:rsid w:val="0087304B"/>
    <w:rsid w:val="008730B5"/>
    <w:rsid w:val="008730D4"/>
    <w:rsid w:val="008730FC"/>
    <w:rsid w:val="008731EC"/>
    <w:rsid w:val="008732C0"/>
    <w:rsid w:val="008732DB"/>
    <w:rsid w:val="00873334"/>
    <w:rsid w:val="0087333E"/>
    <w:rsid w:val="00873344"/>
    <w:rsid w:val="0087335E"/>
    <w:rsid w:val="00873362"/>
    <w:rsid w:val="00873366"/>
    <w:rsid w:val="00873446"/>
    <w:rsid w:val="00873528"/>
    <w:rsid w:val="00873664"/>
    <w:rsid w:val="008736E8"/>
    <w:rsid w:val="00873714"/>
    <w:rsid w:val="0087377B"/>
    <w:rsid w:val="00873785"/>
    <w:rsid w:val="00873847"/>
    <w:rsid w:val="008739D5"/>
    <w:rsid w:val="00873A9F"/>
    <w:rsid w:val="00873AE2"/>
    <w:rsid w:val="00873AF3"/>
    <w:rsid w:val="00873BDB"/>
    <w:rsid w:val="00873C93"/>
    <w:rsid w:val="00873D24"/>
    <w:rsid w:val="00873DBF"/>
    <w:rsid w:val="00873E18"/>
    <w:rsid w:val="00873E20"/>
    <w:rsid w:val="00873E63"/>
    <w:rsid w:val="00873E9B"/>
    <w:rsid w:val="00873ED5"/>
    <w:rsid w:val="00873F1C"/>
    <w:rsid w:val="00873F6E"/>
    <w:rsid w:val="00873FCB"/>
    <w:rsid w:val="00874078"/>
    <w:rsid w:val="008741AC"/>
    <w:rsid w:val="00874207"/>
    <w:rsid w:val="008742F7"/>
    <w:rsid w:val="0087434D"/>
    <w:rsid w:val="0087434F"/>
    <w:rsid w:val="00874365"/>
    <w:rsid w:val="0087449B"/>
    <w:rsid w:val="008745B8"/>
    <w:rsid w:val="00874634"/>
    <w:rsid w:val="00874679"/>
    <w:rsid w:val="008746FE"/>
    <w:rsid w:val="00874832"/>
    <w:rsid w:val="0087485E"/>
    <w:rsid w:val="00874883"/>
    <w:rsid w:val="008749AA"/>
    <w:rsid w:val="00874A25"/>
    <w:rsid w:val="00874A8E"/>
    <w:rsid w:val="00874AAD"/>
    <w:rsid w:val="00874AB7"/>
    <w:rsid w:val="00874ABA"/>
    <w:rsid w:val="00874C0B"/>
    <w:rsid w:val="00874C34"/>
    <w:rsid w:val="00874CFD"/>
    <w:rsid w:val="00874D5B"/>
    <w:rsid w:val="00874E04"/>
    <w:rsid w:val="00874E2D"/>
    <w:rsid w:val="00874E5B"/>
    <w:rsid w:val="00874EF1"/>
    <w:rsid w:val="00874F04"/>
    <w:rsid w:val="00874F8E"/>
    <w:rsid w:val="00874FC0"/>
    <w:rsid w:val="00874FCE"/>
    <w:rsid w:val="0087514A"/>
    <w:rsid w:val="0087517B"/>
    <w:rsid w:val="008751F1"/>
    <w:rsid w:val="008753AF"/>
    <w:rsid w:val="008753BA"/>
    <w:rsid w:val="008753BF"/>
    <w:rsid w:val="008754F5"/>
    <w:rsid w:val="008754FD"/>
    <w:rsid w:val="00875566"/>
    <w:rsid w:val="00875649"/>
    <w:rsid w:val="008756DC"/>
    <w:rsid w:val="00875840"/>
    <w:rsid w:val="00875950"/>
    <w:rsid w:val="00875AAD"/>
    <w:rsid w:val="00875B50"/>
    <w:rsid w:val="00875C65"/>
    <w:rsid w:val="00875CD0"/>
    <w:rsid w:val="00875D4D"/>
    <w:rsid w:val="00875E36"/>
    <w:rsid w:val="00875E5B"/>
    <w:rsid w:val="00875E70"/>
    <w:rsid w:val="00875E8A"/>
    <w:rsid w:val="00875EA6"/>
    <w:rsid w:val="00875F19"/>
    <w:rsid w:val="00875FBA"/>
    <w:rsid w:val="00876007"/>
    <w:rsid w:val="008760D4"/>
    <w:rsid w:val="0087612F"/>
    <w:rsid w:val="0087613C"/>
    <w:rsid w:val="008761F0"/>
    <w:rsid w:val="00876280"/>
    <w:rsid w:val="008762A8"/>
    <w:rsid w:val="0087630B"/>
    <w:rsid w:val="0087630E"/>
    <w:rsid w:val="00876319"/>
    <w:rsid w:val="00876322"/>
    <w:rsid w:val="00876326"/>
    <w:rsid w:val="0087632F"/>
    <w:rsid w:val="00876340"/>
    <w:rsid w:val="00876386"/>
    <w:rsid w:val="00876503"/>
    <w:rsid w:val="0087650F"/>
    <w:rsid w:val="00876595"/>
    <w:rsid w:val="008765DE"/>
    <w:rsid w:val="0087663D"/>
    <w:rsid w:val="008766A7"/>
    <w:rsid w:val="00876777"/>
    <w:rsid w:val="008768ED"/>
    <w:rsid w:val="008768FF"/>
    <w:rsid w:val="00876930"/>
    <w:rsid w:val="00876A24"/>
    <w:rsid w:val="00876AB8"/>
    <w:rsid w:val="00876ACD"/>
    <w:rsid w:val="00876B63"/>
    <w:rsid w:val="00876C08"/>
    <w:rsid w:val="00876C77"/>
    <w:rsid w:val="00876D69"/>
    <w:rsid w:val="00876DAE"/>
    <w:rsid w:val="00876DD7"/>
    <w:rsid w:val="00876E0F"/>
    <w:rsid w:val="00876E41"/>
    <w:rsid w:val="00876E5E"/>
    <w:rsid w:val="00876EAA"/>
    <w:rsid w:val="00876EF6"/>
    <w:rsid w:val="00876F68"/>
    <w:rsid w:val="00876FA3"/>
    <w:rsid w:val="00877011"/>
    <w:rsid w:val="00877017"/>
    <w:rsid w:val="0087705E"/>
    <w:rsid w:val="0087706F"/>
    <w:rsid w:val="00877099"/>
    <w:rsid w:val="00877204"/>
    <w:rsid w:val="00877267"/>
    <w:rsid w:val="008772FF"/>
    <w:rsid w:val="00877409"/>
    <w:rsid w:val="008774D7"/>
    <w:rsid w:val="008774F2"/>
    <w:rsid w:val="00877515"/>
    <w:rsid w:val="00877542"/>
    <w:rsid w:val="0087765F"/>
    <w:rsid w:val="0087772F"/>
    <w:rsid w:val="008777EC"/>
    <w:rsid w:val="008777FA"/>
    <w:rsid w:val="00877819"/>
    <w:rsid w:val="0087793C"/>
    <w:rsid w:val="00877953"/>
    <w:rsid w:val="00877982"/>
    <w:rsid w:val="00877ADF"/>
    <w:rsid w:val="00877AE1"/>
    <w:rsid w:val="00877AFD"/>
    <w:rsid w:val="00877BF6"/>
    <w:rsid w:val="00877C26"/>
    <w:rsid w:val="00877C7F"/>
    <w:rsid w:val="00877CDE"/>
    <w:rsid w:val="00877CFA"/>
    <w:rsid w:val="00877D82"/>
    <w:rsid w:val="00877E69"/>
    <w:rsid w:val="00877E9A"/>
    <w:rsid w:val="00877F4F"/>
    <w:rsid w:val="00880126"/>
    <w:rsid w:val="008801D7"/>
    <w:rsid w:val="00880201"/>
    <w:rsid w:val="00880224"/>
    <w:rsid w:val="00880304"/>
    <w:rsid w:val="00880381"/>
    <w:rsid w:val="00880453"/>
    <w:rsid w:val="00880493"/>
    <w:rsid w:val="008804A7"/>
    <w:rsid w:val="008805CB"/>
    <w:rsid w:val="0088068D"/>
    <w:rsid w:val="0088084D"/>
    <w:rsid w:val="0088087F"/>
    <w:rsid w:val="00880A0A"/>
    <w:rsid w:val="00880A82"/>
    <w:rsid w:val="00880AA4"/>
    <w:rsid w:val="00880B44"/>
    <w:rsid w:val="00880BB7"/>
    <w:rsid w:val="00880C3A"/>
    <w:rsid w:val="00880D26"/>
    <w:rsid w:val="00880DBD"/>
    <w:rsid w:val="00880E1F"/>
    <w:rsid w:val="00880EB2"/>
    <w:rsid w:val="00881053"/>
    <w:rsid w:val="0088105D"/>
    <w:rsid w:val="00881147"/>
    <w:rsid w:val="008811F5"/>
    <w:rsid w:val="0088122B"/>
    <w:rsid w:val="0088123B"/>
    <w:rsid w:val="008812D3"/>
    <w:rsid w:val="00881368"/>
    <w:rsid w:val="008813CB"/>
    <w:rsid w:val="00881609"/>
    <w:rsid w:val="008816A1"/>
    <w:rsid w:val="008816F3"/>
    <w:rsid w:val="0088172D"/>
    <w:rsid w:val="008817CB"/>
    <w:rsid w:val="008817D1"/>
    <w:rsid w:val="00881814"/>
    <w:rsid w:val="0088189B"/>
    <w:rsid w:val="0088194E"/>
    <w:rsid w:val="008819A9"/>
    <w:rsid w:val="00881A14"/>
    <w:rsid w:val="00881A1F"/>
    <w:rsid w:val="00881AF8"/>
    <w:rsid w:val="00881B70"/>
    <w:rsid w:val="00881C1B"/>
    <w:rsid w:val="00881CAA"/>
    <w:rsid w:val="00881CCC"/>
    <w:rsid w:val="00881CEA"/>
    <w:rsid w:val="00881E00"/>
    <w:rsid w:val="00881E28"/>
    <w:rsid w:val="00881E51"/>
    <w:rsid w:val="00882093"/>
    <w:rsid w:val="008820A7"/>
    <w:rsid w:val="008820B7"/>
    <w:rsid w:val="008820C6"/>
    <w:rsid w:val="00882160"/>
    <w:rsid w:val="0088218E"/>
    <w:rsid w:val="00882230"/>
    <w:rsid w:val="00882232"/>
    <w:rsid w:val="00882317"/>
    <w:rsid w:val="00882343"/>
    <w:rsid w:val="00882357"/>
    <w:rsid w:val="00882402"/>
    <w:rsid w:val="0088248E"/>
    <w:rsid w:val="008824C9"/>
    <w:rsid w:val="0088255F"/>
    <w:rsid w:val="00882579"/>
    <w:rsid w:val="008825E2"/>
    <w:rsid w:val="00882710"/>
    <w:rsid w:val="0088278E"/>
    <w:rsid w:val="00882796"/>
    <w:rsid w:val="008827B4"/>
    <w:rsid w:val="00882845"/>
    <w:rsid w:val="008828A0"/>
    <w:rsid w:val="008828B5"/>
    <w:rsid w:val="008829AD"/>
    <w:rsid w:val="00882A59"/>
    <w:rsid w:val="00882B0A"/>
    <w:rsid w:val="00882BDF"/>
    <w:rsid w:val="00882D3C"/>
    <w:rsid w:val="00882D6D"/>
    <w:rsid w:val="00882DBF"/>
    <w:rsid w:val="00882E94"/>
    <w:rsid w:val="00882EEF"/>
    <w:rsid w:val="00882F67"/>
    <w:rsid w:val="00882FE6"/>
    <w:rsid w:val="00882FED"/>
    <w:rsid w:val="008830C3"/>
    <w:rsid w:val="0088316C"/>
    <w:rsid w:val="008831C8"/>
    <w:rsid w:val="00883325"/>
    <w:rsid w:val="00883447"/>
    <w:rsid w:val="00883541"/>
    <w:rsid w:val="00883664"/>
    <w:rsid w:val="008836F9"/>
    <w:rsid w:val="00883737"/>
    <w:rsid w:val="008837AE"/>
    <w:rsid w:val="008838E1"/>
    <w:rsid w:val="0088390C"/>
    <w:rsid w:val="00883968"/>
    <w:rsid w:val="00883986"/>
    <w:rsid w:val="008839A2"/>
    <w:rsid w:val="008839D3"/>
    <w:rsid w:val="00883A0D"/>
    <w:rsid w:val="00883A4A"/>
    <w:rsid w:val="00883A77"/>
    <w:rsid w:val="00883AC9"/>
    <w:rsid w:val="00883C0E"/>
    <w:rsid w:val="00883C87"/>
    <w:rsid w:val="00883CB9"/>
    <w:rsid w:val="00883CDD"/>
    <w:rsid w:val="00883E0A"/>
    <w:rsid w:val="00883E7E"/>
    <w:rsid w:val="00883EA7"/>
    <w:rsid w:val="00883ECF"/>
    <w:rsid w:val="0088400B"/>
    <w:rsid w:val="008840AA"/>
    <w:rsid w:val="008840FE"/>
    <w:rsid w:val="008840FF"/>
    <w:rsid w:val="0088412C"/>
    <w:rsid w:val="00884279"/>
    <w:rsid w:val="0088435C"/>
    <w:rsid w:val="00884378"/>
    <w:rsid w:val="00884429"/>
    <w:rsid w:val="0088448C"/>
    <w:rsid w:val="00884580"/>
    <w:rsid w:val="0088458A"/>
    <w:rsid w:val="0088458C"/>
    <w:rsid w:val="008845B2"/>
    <w:rsid w:val="008845E0"/>
    <w:rsid w:val="0088462D"/>
    <w:rsid w:val="0088466E"/>
    <w:rsid w:val="00884721"/>
    <w:rsid w:val="008847CC"/>
    <w:rsid w:val="008848AC"/>
    <w:rsid w:val="00884905"/>
    <w:rsid w:val="00884973"/>
    <w:rsid w:val="008849F4"/>
    <w:rsid w:val="00884A21"/>
    <w:rsid w:val="00884A8B"/>
    <w:rsid w:val="00884AA3"/>
    <w:rsid w:val="00884ABE"/>
    <w:rsid w:val="00884AD0"/>
    <w:rsid w:val="00884BFB"/>
    <w:rsid w:val="00884D8C"/>
    <w:rsid w:val="00884E98"/>
    <w:rsid w:val="00884EC7"/>
    <w:rsid w:val="00884EFD"/>
    <w:rsid w:val="00884F15"/>
    <w:rsid w:val="00884FEB"/>
    <w:rsid w:val="0088500B"/>
    <w:rsid w:val="008850CF"/>
    <w:rsid w:val="008851C5"/>
    <w:rsid w:val="0088533A"/>
    <w:rsid w:val="00885493"/>
    <w:rsid w:val="008854B2"/>
    <w:rsid w:val="008854ED"/>
    <w:rsid w:val="00885628"/>
    <w:rsid w:val="0088564F"/>
    <w:rsid w:val="0088568F"/>
    <w:rsid w:val="00885695"/>
    <w:rsid w:val="008856CC"/>
    <w:rsid w:val="00885783"/>
    <w:rsid w:val="008857A1"/>
    <w:rsid w:val="008857DA"/>
    <w:rsid w:val="0088586A"/>
    <w:rsid w:val="0088588D"/>
    <w:rsid w:val="0088589B"/>
    <w:rsid w:val="0088589F"/>
    <w:rsid w:val="008858EF"/>
    <w:rsid w:val="00885A73"/>
    <w:rsid w:val="00885A7F"/>
    <w:rsid w:val="00885AF1"/>
    <w:rsid w:val="00885AF7"/>
    <w:rsid w:val="00885B0D"/>
    <w:rsid w:val="00885B62"/>
    <w:rsid w:val="00885C19"/>
    <w:rsid w:val="00885D80"/>
    <w:rsid w:val="00885DBB"/>
    <w:rsid w:val="00885E05"/>
    <w:rsid w:val="00885EA9"/>
    <w:rsid w:val="00885F4A"/>
    <w:rsid w:val="00885F73"/>
    <w:rsid w:val="00885FEB"/>
    <w:rsid w:val="00886020"/>
    <w:rsid w:val="008860AA"/>
    <w:rsid w:val="008860CE"/>
    <w:rsid w:val="00886128"/>
    <w:rsid w:val="0088628A"/>
    <w:rsid w:val="008862C0"/>
    <w:rsid w:val="00886396"/>
    <w:rsid w:val="0088640E"/>
    <w:rsid w:val="00886450"/>
    <w:rsid w:val="00886555"/>
    <w:rsid w:val="008866C7"/>
    <w:rsid w:val="008866D2"/>
    <w:rsid w:val="00886780"/>
    <w:rsid w:val="0088689C"/>
    <w:rsid w:val="008868AD"/>
    <w:rsid w:val="008868BE"/>
    <w:rsid w:val="0088690E"/>
    <w:rsid w:val="00886A80"/>
    <w:rsid w:val="00886AA3"/>
    <w:rsid w:val="00886B1F"/>
    <w:rsid w:val="00886B3C"/>
    <w:rsid w:val="00886BD8"/>
    <w:rsid w:val="00886C10"/>
    <w:rsid w:val="00886C27"/>
    <w:rsid w:val="00886C8C"/>
    <w:rsid w:val="00886CA6"/>
    <w:rsid w:val="00886CCA"/>
    <w:rsid w:val="00886D4F"/>
    <w:rsid w:val="00886D88"/>
    <w:rsid w:val="00886D90"/>
    <w:rsid w:val="00886DFC"/>
    <w:rsid w:val="00886E2E"/>
    <w:rsid w:val="00886EB0"/>
    <w:rsid w:val="00886EF4"/>
    <w:rsid w:val="00886F05"/>
    <w:rsid w:val="00886F1A"/>
    <w:rsid w:val="00886FE4"/>
    <w:rsid w:val="00887005"/>
    <w:rsid w:val="00887042"/>
    <w:rsid w:val="0088719F"/>
    <w:rsid w:val="008871DE"/>
    <w:rsid w:val="008871E5"/>
    <w:rsid w:val="008872A6"/>
    <w:rsid w:val="008872B5"/>
    <w:rsid w:val="00887307"/>
    <w:rsid w:val="00887440"/>
    <w:rsid w:val="008874EC"/>
    <w:rsid w:val="00887583"/>
    <w:rsid w:val="008877CD"/>
    <w:rsid w:val="008877D2"/>
    <w:rsid w:val="008877EB"/>
    <w:rsid w:val="008878A8"/>
    <w:rsid w:val="008878BD"/>
    <w:rsid w:val="008878C2"/>
    <w:rsid w:val="008878ED"/>
    <w:rsid w:val="00887992"/>
    <w:rsid w:val="008879E1"/>
    <w:rsid w:val="00887A0C"/>
    <w:rsid w:val="00887A39"/>
    <w:rsid w:val="00887ACD"/>
    <w:rsid w:val="00887B75"/>
    <w:rsid w:val="00887C39"/>
    <w:rsid w:val="00887C79"/>
    <w:rsid w:val="00887CBF"/>
    <w:rsid w:val="00887CEF"/>
    <w:rsid w:val="00887E44"/>
    <w:rsid w:val="00887E9A"/>
    <w:rsid w:val="00887EBB"/>
    <w:rsid w:val="00887F0D"/>
    <w:rsid w:val="00887F0E"/>
    <w:rsid w:val="00887F18"/>
    <w:rsid w:val="00887FFD"/>
    <w:rsid w:val="00890007"/>
    <w:rsid w:val="00890035"/>
    <w:rsid w:val="0089009D"/>
    <w:rsid w:val="008900F2"/>
    <w:rsid w:val="0089010C"/>
    <w:rsid w:val="00890168"/>
    <w:rsid w:val="008901D0"/>
    <w:rsid w:val="008902F9"/>
    <w:rsid w:val="008903BE"/>
    <w:rsid w:val="008903C0"/>
    <w:rsid w:val="008903D2"/>
    <w:rsid w:val="008903E9"/>
    <w:rsid w:val="0089043D"/>
    <w:rsid w:val="0089044F"/>
    <w:rsid w:val="00890485"/>
    <w:rsid w:val="008904CA"/>
    <w:rsid w:val="008904DC"/>
    <w:rsid w:val="0089056A"/>
    <w:rsid w:val="008905E5"/>
    <w:rsid w:val="008905FA"/>
    <w:rsid w:val="0089073F"/>
    <w:rsid w:val="008907A2"/>
    <w:rsid w:val="00890805"/>
    <w:rsid w:val="00890806"/>
    <w:rsid w:val="008908B1"/>
    <w:rsid w:val="008908D8"/>
    <w:rsid w:val="008908F8"/>
    <w:rsid w:val="00890902"/>
    <w:rsid w:val="00890AD0"/>
    <w:rsid w:val="00890B0B"/>
    <w:rsid w:val="00890B4E"/>
    <w:rsid w:val="00890BA1"/>
    <w:rsid w:val="00890C15"/>
    <w:rsid w:val="00890C28"/>
    <w:rsid w:val="00890C31"/>
    <w:rsid w:val="00890C54"/>
    <w:rsid w:val="00890C86"/>
    <w:rsid w:val="00890CAC"/>
    <w:rsid w:val="00890CDD"/>
    <w:rsid w:val="00890D8B"/>
    <w:rsid w:val="00890E12"/>
    <w:rsid w:val="0089104F"/>
    <w:rsid w:val="00891088"/>
    <w:rsid w:val="00891089"/>
    <w:rsid w:val="00891093"/>
    <w:rsid w:val="008910B4"/>
    <w:rsid w:val="00891106"/>
    <w:rsid w:val="0089115A"/>
    <w:rsid w:val="008911DA"/>
    <w:rsid w:val="00891260"/>
    <w:rsid w:val="0089127F"/>
    <w:rsid w:val="008912AB"/>
    <w:rsid w:val="008912E2"/>
    <w:rsid w:val="00891332"/>
    <w:rsid w:val="008913F9"/>
    <w:rsid w:val="00891415"/>
    <w:rsid w:val="00891422"/>
    <w:rsid w:val="008914B5"/>
    <w:rsid w:val="0089150E"/>
    <w:rsid w:val="0089153D"/>
    <w:rsid w:val="00891563"/>
    <w:rsid w:val="00891604"/>
    <w:rsid w:val="00891606"/>
    <w:rsid w:val="00891755"/>
    <w:rsid w:val="008917DF"/>
    <w:rsid w:val="00891819"/>
    <w:rsid w:val="0089186C"/>
    <w:rsid w:val="00891A6D"/>
    <w:rsid w:val="00891B67"/>
    <w:rsid w:val="00891BE6"/>
    <w:rsid w:val="00891BFF"/>
    <w:rsid w:val="00891C1B"/>
    <w:rsid w:val="00891C33"/>
    <w:rsid w:val="00891C76"/>
    <w:rsid w:val="00891D7F"/>
    <w:rsid w:val="00891DA4"/>
    <w:rsid w:val="00891DAA"/>
    <w:rsid w:val="00892045"/>
    <w:rsid w:val="0089216C"/>
    <w:rsid w:val="00892217"/>
    <w:rsid w:val="00892308"/>
    <w:rsid w:val="0089232B"/>
    <w:rsid w:val="00892370"/>
    <w:rsid w:val="008923BC"/>
    <w:rsid w:val="0089242F"/>
    <w:rsid w:val="00892461"/>
    <w:rsid w:val="00892590"/>
    <w:rsid w:val="00892638"/>
    <w:rsid w:val="00892689"/>
    <w:rsid w:val="0089272A"/>
    <w:rsid w:val="00892768"/>
    <w:rsid w:val="008927F3"/>
    <w:rsid w:val="00892837"/>
    <w:rsid w:val="00892886"/>
    <w:rsid w:val="0089293A"/>
    <w:rsid w:val="00892AB2"/>
    <w:rsid w:val="00892ABF"/>
    <w:rsid w:val="00892AD6"/>
    <w:rsid w:val="00892B14"/>
    <w:rsid w:val="00892B9D"/>
    <w:rsid w:val="00892BE5"/>
    <w:rsid w:val="00892C19"/>
    <w:rsid w:val="00892C7D"/>
    <w:rsid w:val="00892CCA"/>
    <w:rsid w:val="00892D1F"/>
    <w:rsid w:val="00892DEB"/>
    <w:rsid w:val="00892F26"/>
    <w:rsid w:val="00892F6B"/>
    <w:rsid w:val="00892FB2"/>
    <w:rsid w:val="00892FB7"/>
    <w:rsid w:val="0089311F"/>
    <w:rsid w:val="0089315A"/>
    <w:rsid w:val="0089329C"/>
    <w:rsid w:val="008932DE"/>
    <w:rsid w:val="0089331B"/>
    <w:rsid w:val="00893345"/>
    <w:rsid w:val="0089339E"/>
    <w:rsid w:val="00893448"/>
    <w:rsid w:val="008934CA"/>
    <w:rsid w:val="008934F9"/>
    <w:rsid w:val="0089350D"/>
    <w:rsid w:val="00893512"/>
    <w:rsid w:val="008935DA"/>
    <w:rsid w:val="0089360A"/>
    <w:rsid w:val="00893692"/>
    <w:rsid w:val="0089372E"/>
    <w:rsid w:val="00893756"/>
    <w:rsid w:val="008937C3"/>
    <w:rsid w:val="00893802"/>
    <w:rsid w:val="0089384C"/>
    <w:rsid w:val="008938C6"/>
    <w:rsid w:val="008938DF"/>
    <w:rsid w:val="00893944"/>
    <w:rsid w:val="00893A7C"/>
    <w:rsid w:val="00893A8B"/>
    <w:rsid w:val="00893B4F"/>
    <w:rsid w:val="00893B62"/>
    <w:rsid w:val="00893B78"/>
    <w:rsid w:val="00893B8A"/>
    <w:rsid w:val="00893B9A"/>
    <w:rsid w:val="00893BB2"/>
    <w:rsid w:val="00893BB5"/>
    <w:rsid w:val="00893D45"/>
    <w:rsid w:val="00893DAF"/>
    <w:rsid w:val="00893E47"/>
    <w:rsid w:val="00893E57"/>
    <w:rsid w:val="00893FFE"/>
    <w:rsid w:val="0089437E"/>
    <w:rsid w:val="008943A4"/>
    <w:rsid w:val="008943AF"/>
    <w:rsid w:val="0089443B"/>
    <w:rsid w:val="0089449D"/>
    <w:rsid w:val="008944FD"/>
    <w:rsid w:val="008945B6"/>
    <w:rsid w:val="008945C1"/>
    <w:rsid w:val="00894613"/>
    <w:rsid w:val="0089464C"/>
    <w:rsid w:val="0089478D"/>
    <w:rsid w:val="008948D2"/>
    <w:rsid w:val="008948F0"/>
    <w:rsid w:val="008949A6"/>
    <w:rsid w:val="008949C3"/>
    <w:rsid w:val="00894A2B"/>
    <w:rsid w:val="00894A54"/>
    <w:rsid w:val="00894B43"/>
    <w:rsid w:val="00894BBC"/>
    <w:rsid w:val="00894CCF"/>
    <w:rsid w:val="00894CE0"/>
    <w:rsid w:val="00894D1E"/>
    <w:rsid w:val="00894DAB"/>
    <w:rsid w:val="00894E13"/>
    <w:rsid w:val="00894E3C"/>
    <w:rsid w:val="00894E72"/>
    <w:rsid w:val="00894E81"/>
    <w:rsid w:val="00894F02"/>
    <w:rsid w:val="00894F05"/>
    <w:rsid w:val="00894F36"/>
    <w:rsid w:val="0089505A"/>
    <w:rsid w:val="008950DD"/>
    <w:rsid w:val="008950F7"/>
    <w:rsid w:val="008951AB"/>
    <w:rsid w:val="008951CD"/>
    <w:rsid w:val="0089523C"/>
    <w:rsid w:val="00895339"/>
    <w:rsid w:val="00895366"/>
    <w:rsid w:val="008953DD"/>
    <w:rsid w:val="0089546D"/>
    <w:rsid w:val="008954AC"/>
    <w:rsid w:val="008954FD"/>
    <w:rsid w:val="00895511"/>
    <w:rsid w:val="00895567"/>
    <w:rsid w:val="00895568"/>
    <w:rsid w:val="0089557A"/>
    <w:rsid w:val="00895581"/>
    <w:rsid w:val="00895594"/>
    <w:rsid w:val="00895597"/>
    <w:rsid w:val="00895606"/>
    <w:rsid w:val="0089565D"/>
    <w:rsid w:val="008956CE"/>
    <w:rsid w:val="008956EB"/>
    <w:rsid w:val="0089573B"/>
    <w:rsid w:val="0089579A"/>
    <w:rsid w:val="00895929"/>
    <w:rsid w:val="0089592D"/>
    <w:rsid w:val="00895992"/>
    <w:rsid w:val="008959EC"/>
    <w:rsid w:val="00895A21"/>
    <w:rsid w:val="00895A82"/>
    <w:rsid w:val="00895AD2"/>
    <w:rsid w:val="00895B8D"/>
    <w:rsid w:val="00895BC8"/>
    <w:rsid w:val="00895BFE"/>
    <w:rsid w:val="00895C7E"/>
    <w:rsid w:val="00895CD7"/>
    <w:rsid w:val="00895D52"/>
    <w:rsid w:val="00895D63"/>
    <w:rsid w:val="00895D87"/>
    <w:rsid w:val="00895E51"/>
    <w:rsid w:val="00895E5B"/>
    <w:rsid w:val="00895EF0"/>
    <w:rsid w:val="00895F3D"/>
    <w:rsid w:val="00895F8B"/>
    <w:rsid w:val="0089620C"/>
    <w:rsid w:val="0089637A"/>
    <w:rsid w:val="00896421"/>
    <w:rsid w:val="0089643B"/>
    <w:rsid w:val="00896445"/>
    <w:rsid w:val="0089646C"/>
    <w:rsid w:val="00896494"/>
    <w:rsid w:val="008964AD"/>
    <w:rsid w:val="008964E3"/>
    <w:rsid w:val="00896631"/>
    <w:rsid w:val="00896746"/>
    <w:rsid w:val="0089678B"/>
    <w:rsid w:val="008969D4"/>
    <w:rsid w:val="00896A03"/>
    <w:rsid w:val="00896A70"/>
    <w:rsid w:val="00896AE4"/>
    <w:rsid w:val="00896B09"/>
    <w:rsid w:val="00896B0C"/>
    <w:rsid w:val="00896B24"/>
    <w:rsid w:val="00896BDB"/>
    <w:rsid w:val="00896C0C"/>
    <w:rsid w:val="00896C27"/>
    <w:rsid w:val="00896C43"/>
    <w:rsid w:val="00896CE3"/>
    <w:rsid w:val="00896D80"/>
    <w:rsid w:val="00896DD9"/>
    <w:rsid w:val="00896DDF"/>
    <w:rsid w:val="00896E9A"/>
    <w:rsid w:val="00896EBD"/>
    <w:rsid w:val="00896FF2"/>
    <w:rsid w:val="0089700D"/>
    <w:rsid w:val="00897088"/>
    <w:rsid w:val="00897157"/>
    <w:rsid w:val="00897216"/>
    <w:rsid w:val="008973FC"/>
    <w:rsid w:val="00897505"/>
    <w:rsid w:val="00897521"/>
    <w:rsid w:val="00897562"/>
    <w:rsid w:val="00897592"/>
    <w:rsid w:val="0089764C"/>
    <w:rsid w:val="00897663"/>
    <w:rsid w:val="00897709"/>
    <w:rsid w:val="00897763"/>
    <w:rsid w:val="008977D1"/>
    <w:rsid w:val="008977FE"/>
    <w:rsid w:val="0089784E"/>
    <w:rsid w:val="00897972"/>
    <w:rsid w:val="008979B8"/>
    <w:rsid w:val="00897A2B"/>
    <w:rsid w:val="00897AA4"/>
    <w:rsid w:val="00897AAD"/>
    <w:rsid w:val="00897ABB"/>
    <w:rsid w:val="00897B5C"/>
    <w:rsid w:val="00897B75"/>
    <w:rsid w:val="00897BB2"/>
    <w:rsid w:val="00897BBC"/>
    <w:rsid w:val="00897BEF"/>
    <w:rsid w:val="00897C05"/>
    <w:rsid w:val="00897CB1"/>
    <w:rsid w:val="00897D27"/>
    <w:rsid w:val="00897FAC"/>
    <w:rsid w:val="008A0077"/>
    <w:rsid w:val="008A00FC"/>
    <w:rsid w:val="008A017E"/>
    <w:rsid w:val="008A02C1"/>
    <w:rsid w:val="008A0358"/>
    <w:rsid w:val="008A038C"/>
    <w:rsid w:val="008A03BD"/>
    <w:rsid w:val="008A0427"/>
    <w:rsid w:val="008A0473"/>
    <w:rsid w:val="008A04B0"/>
    <w:rsid w:val="008A04BA"/>
    <w:rsid w:val="008A04EC"/>
    <w:rsid w:val="008A04FE"/>
    <w:rsid w:val="008A05B7"/>
    <w:rsid w:val="008A06CF"/>
    <w:rsid w:val="008A06D8"/>
    <w:rsid w:val="008A06E3"/>
    <w:rsid w:val="008A0716"/>
    <w:rsid w:val="008A0790"/>
    <w:rsid w:val="008A0882"/>
    <w:rsid w:val="008A0925"/>
    <w:rsid w:val="008A0A39"/>
    <w:rsid w:val="008A0BB2"/>
    <w:rsid w:val="008A0BF3"/>
    <w:rsid w:val="008A0C0C"/>
    <w:rsid w:val="008A0C7C"/>
    <w:rsid w:val="008A0CEA"/>
    <w:rsid w:val="008A0E00"/>
    <w:rsid w:val="008A0E76"/>
    <w:rsid w:val="008A0E80"/>
    <w:rsid w:val="008A0F83"/>
    <w:rsid w:val="008A106E"/>
    <w:rsid w:val="008A10CB"/>
    <w:rsid w:val="008A1242"/>
    <w:rsid w:val="008A1278"/>
    <w:rsid w:val="008A1383"/>
    <w:rsid w:val="008A142A"/>
    <w:rsid w:val="008A1467"/>
    <w:rsid w:val="008A14AB"/>
    <w:rsid w:val="008A15A3"/>
    <w:rsid w:val="008A15A5"/>
    <w:rsid w:val="008A15BA"/>
    <w:rsid w:val="008A166B"/>
    <w:rsid w:val="008A169D"/>
    <w:rsid w:val="008A169E"/>
    <w:rsid w:val="008A1710"/>
    <w:rsid w:val="008A1782"/>
    <w:rsid w:val="008A17FD"/>
    <w:rsid w:val="008A18A4"/>
    <w:rsid w:val="008A18CE"/>
    <w:rsid w:val="008A192F"/>
    <w:rsid w:val="008A1A0B"/>
    <w:rsid w:val="008A1C2E"/>
    <w:rsid w:val="008A1CAF"/>
    <w:rsid w:val="008A1CDA"/>
    <w:rsid w:val="008A1D1F"/>
    <w:rsid w:val="008A1D5A"/>
    <w:rsid w:val="008A1D94"/>
    <w:rsid w:val="008A1E0F"/>
    <w:rsid w:val="008A1E7C"/>
    <w:rsid w:val="008A1EFD"/>
    <w:rsid w:val="008A1F14"/>
    <w:rsid w:val="008A1F1D"/>
    <w:rsid w:val="008A1F5D"/>
    <w:rsid w:val="008A1F8D"/>
    <w:rsid w:val="008A1FA8"/>
    <w:rsid w:val="008A1FAE"/>
    <w:rsid w:val="008A2056"/>
    <w:rsid w:val="008A2124"/>
    <w:rsid w:val="008A2151"/>
    <w:rsid w:val="008A2242"/>
    <w:rsid w:val="008A231D"/>
    <w:rsid w:val="008A248F"/>
    <w:rsid w:val="008A2505"/>
    <w:rsid w:val="008A2536"/>
    <w:rsid w:val="008A2597"/>
    <w:rsid w:val="008A259D"/>
    <w:rsid w:val="008A260F"/>
    <w:rsid w:val="008A2633"/>
    <w:rsid w:val="008A26C3"/>
    <w:rsid w:val="008A278F"/>
    <w:rsid w:val="008A27FC"/>
    <w:rsid w:val="008A29CF"/>
    <w:rsid w:val="008A29F9"/>
    <w:rsid w:val="008A2AAF"/>
    <w:rsid w:val="008A2B4D"/>
    <w:rsid w:val="008A2BD9"/>
    <w:rsid w:val="008A2DAA"/>
    <w:rsid w:val="008A2DCE"/>
    <w:rsid w:val="008A2E67"/>
    <w:rsid w:val="008A2EB8"/>
    <w:rsid w:val="008A2F78"/>
    <w:rsid w:val="008A3137"/>
    <w:rsid w:val="008A317C"/>
    <w:rsid w:val="008A3187"/>
    <w:rsid w:val="008A31A4"/>
    <w:rsid w:val="008A31B8"/>
    <w:rsid w:val="008A3201"/>
    <w:rsid w:val="008A320E"/>
    <w:rsid w:val="008A32C1"/>
    <w:rsid w:val="008A32CD"/>
    <w:rsid w:val="008A3412"/>
    <w:rsid w:val="008A351E"/>
    <w:rsid w:val="008A35C4"/>
    <w:rsid w:val="008A3631"/>
    <w:rsid w:val="008A36B5"/>
    <w:rsid w:val="008A3738"/>
    <w:rsid w:val="008A3756"/>
    <w:rsid w:val="008A375D"/>
    <w:rsid w:val="008A37BD"/>
    <w:rsid w:val="008A37CB"/>
    <w:rsid w:val="008A3808"/>
    <w:rsid w:val="008A3876"/>
    <w:rsid w:val="008A38A3"/>
    <w:rsid w:val="008A3907"/>
    <w:rsid w:val="008A3988"/>
    <w:rsid w:val="008A3995"/>
    <w:rsid w:val="008A39C1"/>
    <w:rsid w:val="008A3B1B"/>
    <w:rsid w:val="008A3B29"/>
    <w:rsid w:val="008A3B44"/>
    <w:rsid w:val="008A3BEA"/>
    <w:rsid w:val="008A3CC1"/>
    <w:rsid w:val="008A3CC5"/>
    <w:rsid w:val="008A3CD0"/>
    <w:rsid w:val="008A3D62"/>
    <w:rsid w:val="008A3D6E"/>
    <w:rsid w:val="008A3DAD"/>
    <w:rsid w:val="008A3DCB"/>
    <w:rsid w:val="008A3EA8"/>
    <w:rsid w:val="008A3EAD"/>
    <w:rsid w:val="008A3EC9"/>
    <w:rsid w:val="008A3F33"/>
    <w:rsid w:val="008A3F82"/>
    <w:rsid w:val="008A3FC5"/>
    <w:rsid w:val="008A400B"/>
    <w:rsid w:val="008A4033"/>
    <w:rsid w:val="008A40EF"/>
    <w:rsid w:val="008A41F5"/>
    <w:rsid w:val="008A4237"/>
    <w:rsid w:val="008A4334"/>
    <w:rsid w:val="008A43AA"/>
    <w:rsid w:val="008A43C7"/>
    <w:rsid w:val="008A44C2"/>
    <w:rsid w:val="008A44DF"/>
    <w:rsid w:val="008A4550"/>
    <w:rsid w:val="008A4645"/>
    <w:rsid w:val="008A466F"/>
    <w:rsid w:val="008A4670"/>
    <w:rsid w:val="008A4736"/>
    <w:rsid w:val="008A4756"/>
    <w:rsid w:val="008A48F4"/>
    <w:rsid w:val="008A4909"/>
    <w:rsid w:val="008A4A5A"/>
    <w:rsid w:val="008A4A6E"/>
    <w:rsid w:val="008A4B20"/>
    <w:rsid w:val="008A4B30"/>
    <w:rsid w:val="008A4BAA"/>
    <w:rsid w:val="008A4D01"/>
    <w:rsid w:val="008A4E4C"/>
    <w:rsid w:val="008A4F38"/>
    <w:rsid w:val="008A5091"/>
    <w:rsid w:val="008A5099"/>
    <w:rsid w:val="008A50FC"/>
    <w:rsid w:val="008A5126"/>
    <w:rsid w:val="008A5131"/>
    <w:rsid w:val="008A5152"/>
    <w:rsid w:val="008A51C4"/>
    <w:rsid w:val="008A526B"/>
    <w:rsid w:val="008A5327"/>
    <w:rsid w:val="008A53FD"/>
    <w:rsid w:val="008A5495"/>
    <w:rsid w:val="008A54A1"/>
    <w:rsid w:val="008A54C3"/>
    <w:rsid w:val="008A54CE"/>
    <w:rsid w:val="008A54DE"/>
    <w:rsid w:val="008A5685"/>
    <w:rsid w:val="008A57AF"/>
    <w:rsid w:val="008A57B6"/>
    <w:rsid w:val="008A5803"/>
    <w:rsid w:val="008A5875"/>
    <w:rsid w:val="008A5891"/>
    <w:rsid w:val="008A58D1"/>
    <w:rsid w:val="008A5975"/>
    <w:rsid w:val="008A59F9"/>
    <w:rsid w:val="008A5A0D"/>
    <w:rsid w:val="008A5A20"/>
    <w:rsid w:val="008A5AB4"/>
    <w:rsid w:val="008A5AE3"/>
    <w:rsid w:val="008A5C06"/>
    <w:rsid w:val="008A5C3D"/>
    <w:rsid w:val="008A5C5D"/>
    <w:rsid w:val="008A5CEE"/>
    <w:rsid w:val="008A5D5F"/>
    <w:rsid w:val="008A5DA4"/>
    <w:rsid w:val="008A5DA7"/>
    <w:rsid w:val="008A5DAB"/>
    <w:rsid w:val="008A5E12"/>
    <w:rsid w:val="008A5E79"/>
    <w:rsid w:val="008A5E7E"/>
    <w:rsid w:val="008A5F93"/>
    <w:rsid w:val="008A610E"/>
    <w:rsid w:val="008A6162"/>
    <w:rsid w:val="008A618F"/>
    <w:rsid w:val="008A61DF"/>
    <w:rsid w:val="008A61F3"/>
    <w:rsid w:val="008A6279"/>
    <w:rsid w:val="008A63A3"/>
    <w:rsid w:val="008A6489"/>
    <w:rsid w:val="008A648B"/>
    <w:rsid w:val="008A64A5"/>
    <w:rsid w:val="008A657F"/>
    <w:rsid w:val="008A65AB"/>
    <w:rsid w:val="008A65B2"/>
    <w:rsid w:val="008A65D5"/>
    <w:rsid w:val="008A6645"/>
    <w:rsid w:val="008A6654"/>
    <w:rsid w:val="008A666B"/>
    <w:rsid w:val="008A66B2"/>
    <w:rsid w:val="008A66C4"/>
    <w:rsid w:val="008A6710"/>
    <w:rsid w:val="008A6723"/>
    <w:rsid w:val="008A67A9"/>
    <w:rsid w:val="008A67B2"/>
    <w:rsid w:val="008A67DB"/>
    <w:rsid w:val="008A684D"/>
    <w:rsid w:val="008A688E"/>
    <w:rsid w:val="008A6895"/>
    <w:rsid w:val="008A694A"/>
    <w:rsid w:val="008A6A78"/>
    <w:rsid w:val="008A6AEE"/>
    <w:rsid w:val="008A6B0A"/>
    <w:rsid w:val="008A6B0B"/>
    <w:rsid w:val="008A6B8B"/>
    <w:rsid w:val="008A6BC0"/>
    <w:rsid w:val="008A6BD9"/>
    <w:rsid w:val="008A6C8D"/>
    <w:rsid w:val="008A6ECA"/>
    <w:rsid w:val="008A6FA6"/>
    <w:rsid w:val="008A7083"/>
    <w:rsid w:val="008A70D7"/>
    <w:rsid w:val="008A71EC"/>
    <w:rsid w:val="008A7222"/>
    <w:rsid w:val="008A722A"/>
    <w:rsid w:val="008A7236"/>
    <w:rsid w:val="008A7251"/>
    <w:rsid w:val="008A7255"/>
    <w:rsid w:val="008A72F5"/>
    <w:rsid w:val="008A732B"/>
    <w:rsid w:val="008A738A"/>
    <w:rsid w:val="008A74EB"/>
    <w:rsid w:val="008A74F1"/>
    <w:rsid w:val="008A7517"/>
    <w:rsid w:val="008A7602"/>
    <w:rsid w:val="008A763C"/>
    <w:rsid w:val="008A779C"/>
    <w:rsid w:val="008A77D1"/>
    <w:rsid w:val="008A790B"/>
    <w:rsid w:val="008A79FA"/>
    <w:rsid w:val="008A7A23"/>
    <w:rsid w:val="008A7AAE"/>
    <w:rsid w:val="008A7AE0"/>
    <w:rsid w:val="008A7BA0"/>
    <w:rsid w:val="008A7BE5"/>
    <w:rsid w:val="008A7C31"/>
    <w:rsid w:val="008A7C95"/>
    <w:rsid w:val="008A7CBD"/>
    <w:rsid w:val="008A7DD4"/>
    <w:rsid w:val="008A7DDF"/>
    <w:rsid w:val="008A7DF5"/>
    <w:rsid w:val="008A7E35"/>
    <w:rsid w:val="008A7F7B"/>
    <w:rsid w:val="008B004C"/>
    <w:rsid w:val="008B007C"/>
    <w:rsid w:val="008B00A2"/>
    <w:rsid w:val="008B00F2"/>
    <w:rsid w:val="008B0107"/>
    <w:rsid w:val="008B0160"/>
    <w:rsid w:val="008B019B"/>
    <w:rsid w:val="008B01DB"/>
    <w:rsid w:val="008B0239"/>
    <w:rsid w:val="008B024A"/>
    <w:rsid w:val="008B02BF"/>
    <w:rsid w:val="008B02C6"/>
    <w:rsid w:val="008B02DF"/>
    <w:rsid w:val="008B031E"/>
    <w:rsid w:val="008B0343"/>
    <w:rsid w:val="008B0371"/>
    <w:rsid w:val="008B03CF"/>
    <w:rsid w:val="008B03E7"/>
    <w:rsid w:val="008B04C1"/>
    <w:rsid w:val="008B0583"/>
    <w:rsid w:val="008B06B9"/>
    <w:rsid w:val="008B072A"/>
    <w:rsid w:val="008B07DE"/>
    <w:rsid w:val="008B0803"/>
    <w:rsid w:val="008B0866"/>
    <w:rsid w:val="008B09B8"/>
    <w:rsid w:val="008B09D5"/>
    <w:rsid w:val="008B0A42"/>
    <w:rsid w:val="008B0AA9"/>
    <w:rsid w:val="008B0B78"/>
    <w:rsid w:val="008B0BD2"/>
    <w:rsid w:val="008B0C7B"/>
    <w:rsid w:val="008B0C9E"/>
    <w:rsid w:val="008B0D01"/>
    <w:rsid w:val="008B0D7E"/>
    <w:rsid w:val="008B109B"/>
    <w:rsid w:val="008B11E1"/>
    <w:rsid w:val="008B1290"/>
    <w:rsid w:val="008B1299"/>
    <w:rsid w:val="008B12D7"/>
    <w:rsid w:val="008B135A"/>
    <w:rsid w:val="008B1490"/>
    <w:rsid w:val="008B1503"/>
    <w:rsid w:val="008B152B"/>
    <w:rsid w:val="008B1548"/>
    <w:rsid w:val="008B1556"/>
    <w:rsid w:val="008B15B8"/>
    <w:rsid w:val="008B15C2"/>
    <w:rsid w:val="008B1619"/>
    <w:rsid w:val="008B16E6"/>
    <w:rsid w:val="008B1705"/>
    <w:rsid w:val="008B18F7"/>
    <w:rsid w:val="008B1906"/>
    <w:rsid w:val="008B1922"/>
    <w:rsid w:val="008B1940"/>
    <w:rsid w:val="008B1955"/>
    <w:rsid w:val="008B1A86"/>
    <w:rsid w:val="008B1A98"/>
    <w:rsid w:val="008B1B07"/>
    <w:rsid w:val="008B1B2E"/>
    <w:rsid w:val="008B1B38"/>
    <w:rsid w:val="008B1BAA"/>
    <w:rsid w:val="008B1BAE"/>
    <w:rsid w:val="008B1D7F"/>
    <w:rsid w:val="008B1E01"/>
    <w:rsid w:val="008B1E46"/>
    <w:rsid w:val="008B1E89"/>
    <w:rsid w:val="008B1ED9"/>
    <w:rsid w:val="008B2013"/>
    <w:rsid w:val="008B2050"/>
    <w:rsid w:val="008B211E"/>
    <w:rsid w:val="008B2190"/>
    <w:rsid w:val="008B222B"/>
    <w:rsid w:val="008B2298"/>
    <w:rsid w:val="008B22E8"/>
    <w:rsid w:val="008B2301"/>
    <w:rsid w:val="008B2492"/>
    <w:rsid w:val="008B2628"/>
    <w:rsid w:val="008B266A"/>
    <w:rsid w:val="008B2698"/>
    <w:rsid w:val="008B26CB"/>
    <w:rsid w:val="008B2716"/>
    <w:rsid w:val="008B2837"/>
    <w:rsid w:val="008B2883"/>
    <w:rsid w:val="008B28AA"/>
    <w:rsid w:val="008B291F"/>
    <w:rsid w:val="008B298F"/>
    <w:rsid w:val="008B29A9"/>
    <w:rsid w:val="008B29CC"/>
    <w:rsid w:val="008B2A60"/>
    <w:rsid w:val="008B2ABD"/>
    <w:rsid w:val="008B2ABF"/>
    <w:rsid w:val="008B2B24"/>
    <w:rsid w:val="008B2B5C"/>
    <w:rsid w:val="008B2B65"/>
    <w:rsid w:val="008B2BB4"/>
    <w:rsid w:val="008B2BD3"/>
    <w:rsid w:val="008B2BDA"/>
    <w:rsid w:val="008B2CA2"/>
    <w:rsid w:val="008B2CF9"/>
    <w:rsid w:val="008B2D29"/>
    <w:rsid w:val="008B2DB6"/>
    <w:rsid w:val="008B2ED8"/>
    <w:rsid w:val="008B2FEB"/>
    <w:rsid w:val="008B2FF0"/>
    <w:rsid w:val="008B2FFA"/>
    <w:rsid w:val="008B30D4"/>
    <w:rsid w:val="008B317E"/>
    <w:rsid w:val="008B31CA"/>
    <w:rsid w:val="008B31E9"/>
    <w:rsid w:val="008B3322"/>
    <w:rsid w:val="008B3361"/>
    <w:rsid w:val="008B3387"/>
    <w:rsid w:val="008B33B2"/>
    <w:rsid w:val="008B33CB"/>
    <w:rsid w:val="008B33F9"/>
    <w:rsid w:val="008B347B"/>
    <w:rsid w:val="008B35CF"/>
    <w:rsid w:val="008B35E1"/>
    <w:rsid w:val="008B3649"/>
    <w:rsid w:val="008B369C"/>
    <w:rsid w:val="008B36A9"/>
    <w:rsid w:val="008B36B2"/>
    <w:rsid w:val="008B36C6"/>
    <w:rsid w:val="008B36F6"/>
    <w:rsid w:val="008B378B"/>
    <w:rsid w:val="008B3796"/>
    <w:rsid w:val="008B3798"/>
    <w:rsid w:val="008B38A8"/>
    <w:rsid w:val="008B38BD"/>
    <w:rsid w:val="008B392C"/>
    <w:rsid w:val="008B3934"/>
    <w:rsid w:val="008B3B33"/>
    <w:rsid w:val="008B3BE8"/>
    <w:rsid w:val="008B3C41"/>
    <w:rsid w:val="008B3D0F"/>
    <w:rsid w:val="008B3D4D"/>
    <w:rsid w:val="008B3EAB"/>
    <w:rsid w:val="008B3FD8"/>
    <w:rsid w:val="008B4037"/>
    <w:rsid w:val="008B4054"/>
    <w:rsid w:val="008B4147"/>
    <w:rsid w:val="008B41E4"/>
    <w:rsid w:val="008B41E9"/>
    <w:rsid w:val="008B427E"/>
    <w:rsid w:val="008B429A"/>
    <w:rsid w:val="008B43D3"/>
    <w:rsid w:val="008B43DB"/>
    <w:rsid w:val="008B43F5"/>
    <w:rsid w:val="008B4536"/>
    <w:rsid w:val="008B453D"/>
    <w:rsid w:val="008B4564"/>
    <w:rsid w:val="008B458D"/>
    <w:rsid w:val="008B45E0"/>
    <w:rsid w:val="008B468F"/>
    <w:rsid w:val="008B46F7"/>
    <w:rsid w:val="008B475B"/>
    <w:rsid w:val="008B4787"/>
    <w:rsid w:val="008B47D8"/>
    <w:rsid w:val="008B4820"/>
    <w:rsid w:val="008B488C"/>
    <w:rsid w:val="008B4899"/>
    <w:rsid w:val="008B4902"/>
    <w:rsid w:val="008B495D"/>
    <w:rsid w:val="008B4A26"/>
    <w:rsid w:val="008B4A2B"/>
    <w:rsid w:val="008B4A3E"/>
    <w:rsid w:val="008B4A6E"/>
    <w:rsid w:val="008B4A72"/>
    <w:rsid w:val="008B4A81"/>
    <w:rsid w:val="008B4A96"/>
    <w:rsid w:val="008B4BF0"/>
    <w:rsid w:val="008B4CC1"/>
    <w:rsid w:val="008B4D08"/>
    <w:rsid w:val="008B4E64"/>
    <w:rsid w:val="008B4F59"/>
    <w:rsid w:val="008B4F8A"/>
    <w:rsid w:val="008B501B"/>
    <w:rsid w:val="008B5061"/>
    <w:rsid w:val="008B5070"/>
    <w:rsid w:val="008B5072"/>
    <w:rsid w:val="008B51EA"/>
    <w:rsid w:val="008B529F"/>
    <w:rsid w:val="008B5376"/>
    <w:rsid w:val="008B5460"/>
    <w:rsid w:val="008B54B5"/>
    <w:rsid w:val="008B54CD"/>
    <w:rsid w:val="008B556C"/>
    <w:rsid w:val="008B5570"/>
    <w:rsid w:val="008B5592"/>
    <w:rsid w:val="008B559B"/>
    <w:rsid w:val="008B56BD"/>
    <w:rsid w:val="008B57E8"/>
    <w:rsid w:val="008B5853"/>
    <w:rsid w:val="008B587B"/>
    <w:rsid w:val="008B58DF"/>
    <w:rsid w:val="008B592F"/>
    <w:rsid w:val="008B59E6"/>
    <w:rsid w:val="008B5A28"/>
    <w:rsid w:val="008B5AC9"/>
    <w:rsid w:val="008B5B14"/>
    <w:rsid w:val="008B5B1E"/>
    <w:rsid w:val="008B5B68"/>
    <w:rsid w:val="008B5B79"/>
    <w:rsid w:val="008B5CD1"/>
    <w:rsid w:val="008B5DD7"/>
    <w:rsid w:val="008B5E64"/>
    <w:rsid w:val="008B5ED8"/>
    <w:rsid w:val="008B5F27"/>
    <w:rsid w:val="008B5F3D"/>
    <w:rsid w:val="008B5F7D"/>
    <w:rsid w:val="008B5F8E"/>
    <w:rsid w:val="008B6116"/>
    <w:rsid w:val="008B6122"/>
    <w:rsid w:val="008B61A5"/>
    <w:rsid w:val="008B62EA"/>
    <w:rsid w:val="008B649A"/>
    <w:rsid w:val="008B64A1"/>
    <w:rsid w:val="008B65C4"/>
    <w:rsid w:val="008B664F"/>
    <w:rsid w:val="008B665C"/>
    <w:rsid w:val="008B6681"/>
    <w:rsid w:val="008B66A2"/>
    <w:rsid w:val="008B66CB"/>
    <w:rsid w:val="008B676D"/>
    <w:rsid w:val="008B684E"/>
    <w:rsid w:val="008B68D0"/>
    <w:rsid w:val="008B68D4"/>
    <w:rsid w:val="008B6A0B"/>
    <w:rsid w:val="008B6A42"/>
    <w:rsid w:val="008B6A9B"/>
    <w:rsid w:val="008B6AB7"/>
    <w:rsid w:val="008B6B94"/>
    <w:rsid w:val="008B6BA2"/>
    <w:rsid w:val="008B6BAB"/>
    <w:rsid w:val="008B6CC0"/>
    <w:rsid w:val="008B6D0E"/>
    <w:rsid w:val="008B6D1E"/>
    <w:rsid w:val="008B6D68"/>
    <w:rsid w:val="008B6DBC"/>
    <w:rsid w:val="008B6E01"/>
    <w:rsid w:val="008B706B"/>
    <w:rsid w:val="008B70F7"/>
    <w:rsid w:val="008B7132"/>
    <w:rsid w:val="008B71AD"/>
    <w:rsid w:val="008B71B0"/>
    <w:rsid w:val="008B71C3"/>
    <w:rsid w:val="008B732A"/>
    <w:rsid w:val="008B7342"/>
    <w:rsid w:val="008B74D4"/>
    <w:rsid w:val="008B74E0"/>
    <w:rsid w:val="008B750D"/>
    <w:rsid w:val="008B7537"/>
    <w:rsid w:val="008B7571"/>
    <w:rsid w:val="008B7623"/>
    <w:rsid w:val="008B762D"/>
    <w:rsid w:val="008B76E6"/>
    <w:rsid w:val="008B76E7"/>
    <w:rsid w:val="008B770B"/>
    <w:rsid w:val="008B77A9"/>
    <w:rsid w:val="008B780F"/>
    <w:rsid w:val="008B783F"/>
    <w:rsid w:val="008B7895"/>
    <w:rsid w:val="008B7920"/>
    <w:rsid w:val="008B7998"/>
    <w:rsid w:val="008B79D0"/>
    <w:rsid w:val="008B79EF"/>
    <w:rsid w:val="008B7A8B"/>
    <w:rsid w:val="008B7BB3"/>
    <w:rsid w:val="008B7BBF"/>
    <w:rsid w:val="008B7BC6"/>
    <w:rsid w:val="008B7C11"/>
    <w:rsid w:val="008B7C47"/>
    <w:rsid w:val="008B7C5D"/>
    <w:rsid w:val="008B7C5E"/>
    <w:rsid w:val="008B7D21"/>
    <w:rsid w:val="008B7D6B"/>
    <w:rsid w:val="008B7D7E"/>
    <w:rsid w:val="008B7D95"/>
    <w:rsid w:val="008B7E2D"/>
    <w:rsid w:val="008B7E6E"/>
    <w:rsid w:val="008B7EF2"/>
    <w:rsid w:val="008B7F1D"/>
    <w:rsid w:val="008B7F7C"/>
    <w:rsid w:val="008B7FC1"/>
    <w:rsid w:val="008C0015"/>
    <w:rsid w:val="008C00D3"/>
    <w:rsid w:val="008C00F8"/>
    <w:rsid w:val="008C012D"/>
    <w:rsid w:val="008C0153"/>
    <w:rsid w:val="008C018E"/>
    <w:rsid w:val="008C01CF"/>
    <w:rsid w:val="008C01D6"/>
    <w:rsid w:val="008C027B"/>
    <w:rsid w:val="008C0318"/>
    <w:rsid w:val="008C048C"/>
    <w:rsid w:val="008C04C3"/>
    <w:rsid w:val="008C058C"/>
    <w:rsid w:val="008C0625"/>
    <w:rsid w:val="008C06E2"/>
    <w:rsid w:val="008C0778"/>
    <w:rsid w:val="008C089F"/>
    <w:rsid w:val="008C08E2"/>
    <w:rsid w:val="008C0927"/>
    <w:rsid w:val="008C0937"/>
    <w:rsid w:val="008C09C7"/>
    <w:rsid w:val="008C09FE"/>
    <w:rsid w:val="008C0B2E"/>
    <w:rsid w:val="008C0BCB"/>
    <w:rsid w:val="008C0C34"/>
    <w:rsid w:val="008C0CEB"/>
    <w:rsid w:val="008C0D02"/>
    <w:rsid w:val="008C0D69"/>
    <w:rsid w:val="008C0D71"/>
    <w:rsid w:val="008C0DDF"/>
    <w:rsid w:val="008C0E21"/>
    <w:rsid w:val="008C0F10"/>
    <w:rsid w:val="008C0FF4"/>
    <w:rsid w:val="008C1074"/>
    <w:rsid w:val="008C10D8"/>
    <w:rsid w:val="008C10F1"/>
    <w:rsid w:val="008C1125"/>
    <w:rsid w:val="008C11B2"/>
    <w:rsid w:val="008C11DF"/>
    <w:rsid w:val="008C11EB"/>
    <w:rsid w:val="008C1300"/>
    <w:rsid w:val="008C13D3"/>
    <w:rsid w:val="008C1433"/>
    <w:rsid w:val="008C14F3"/>
    <w:rsid w:val="008C156B"/>
    <w:rsid w:val="008C15D9"/>
    <w:rsid w:val="008C16B6"/>
    <w:rsid w:val="008C17A3"/>
    <w:rsid w:val="008C1829"/>
    <w:rsid w:val="008C187C"/>
    <w:rsid w:val="008C189F"/>
    <w:rsid w:val="008C18A2"/>
    <w:rsid w:val="008C18C0"/>
    <w:rsid w:val="008C1903"/>
    <w:rsid w:val="008C192C"/>
    <w:rsid w:val="008C19D2"/>
    <w:rsid w:val="008C1A52"/>
    <w:rsid w:val="008C1B98"/>
    <w:rsid w:val="008C1B9F"/>
    <w:rsid w:val="008C1C26"/>
    <w:rsid w:val="008C1C74"/>
    <w:rsid w:val="008C1CF4"/>
    <w:rsid w:val="008C1D23"/>
    <w:rsid w:val="008C1D8C"/>
    <w:rsid w:val="008C1DF3"/>
    <w:rsid w:val="008C1E16"/>
    <w:rsid w:val="008C1E97"/>
    <w:rsid w:val="008C1EB9"/>
    <w:rsid w:val="008C1EBF"/>
    <w:rsid w:val="008C1ED5"/>
    <w:rsid w:val="008C1EE3"/>
    <w:rsid w:val="008C2069"/>
    <w:rsid w:val="008C20A6"/>
    <w:rsid w:val="008C21A5"/>
    <w:rsid w:val="008C21EC"/>
    <w:rsid w:val="008C2252"/>
    <w:rsid w:val="008C22CC"/>
    <w:rsid w:val="008C22F1"/>
    <w:rsid w:val="008C2348"/>
    <w:rsid w:val="008C235B"/>
    <w:rsid w:val="008C2368"/>
    <w:rsid w:val="008C23B6"/>
    <w:rsid w:val="008C2533"/>
    <w:rsid w:val="008C25A8"/>
    <w:rsid w:val="008C2612"/>
    <w:rsid w:val="008C26A1"/>
    <w:rsid w:val="008C2783"/>
    <w:rsid w:val="008C29C3"/>
    <w:rsid w:val="008C29D8"/>
    <w:rsid w:val="008C2A20"/>
    <w:rsid w:val="008C2A5C"/>
    <w:rsid w:val="008C2A6E"/>
    <w:rsid w:val="008C2AD6"/>
    <w:rsid w:val="008C2AE8"/>
    <w:rsid w:val="008C2AFA"/>
    <w:rsid w:val="008C2B31"/>
    <w:rsid w:val="008C2C55"/>
    <w:rsid w:val="008C2D26"/>
    <w:rsid w:val="008C2DFD"/>
    <w:rsid w:val="008C2E79"/>
    <w:rsid w:val="008C2EEB"/>
    <w:rsid w:val="008C2F8D"/>
    <w:rsid w:val="008C301B"/>
    <w:rsid w:val="008C30C1"/>
    <w:rsid w:val="008C319F"/>
    <w:rsid w:val="008C31CE"/>
    <w:rsid w:val="008C3217"/>
    <w:rsid w:val="008C3289"/>
    <w:rsid w:val="008C32AE"/>
    <w:rsid w:val="008C330E"/>
    <w:rsid w:val="008C3315"/>
    <w:rsid w:val="008C331F"/>
    <w:rsid w:val="008C3343"/>
    <w:rsid w:val="008C336E"/>
    <w:rsid w:val="008C3388"/>
    <w:rsid w:val="008C3417"/>
    <w:rsid w:val="008C34FD"/>
    <w:rsid w:val="008C3564"/>
    <w:rsid w:val="008C35BE"/>
    <w:rsid w:val="008C35E2"/>
    <w:rsid w:val="008C3613"/>
    <w:rsid w:val="008C3695"/>
    <w:rsid w:val="008C378A"/>
    <w:rsid w:val="008C37E0"/>
    <w:rsid w:val="008C3902"/>
    <w:rsid w:val="008C3908"/>
    <w:rsid w:val="008C3AA2"/>
    <w:rsid w:val="008C3AC3"/>
    <w:rsid w:val="008C3B7A"/>
    <w:rsid w:val="008C3BB7"/>
    <w:rsid w:val="008C3BB8"/>
    <w:rsid w:val="008C3BFF"/>
    <w:rsid w:val="008C3C92"/>
    <w:rsid w:val="008C3CF5"/>
    <w:rsid w:val="008C3D52"/>
    <w:rsid w:val="008C3DC7"/>
    <w:rsid w:val="008C3E25"/>
    <w:rsid w:val="008C3E79"/>
    <w:rsid w:val="008C3F3E"/>
    <w:rsid w:val="008C3F89"/>
    <w:rsid w:val="008C3F99"/>
    <w:rsid w:val="008C3FC8"/>
    <w:rsid w:val="008C3FE3"/>
    <w:rsid w:val="008C417B"/>
    <w:rsid w:val="008C41E9"/>
    <w:rsid w:val="008C4238"/>
    <w:rsid w:val="008C4280"/>
    <w:rsid w:val="008C429E"/>
    <w:rsid w:val="008C42BA"/>
    <w:rsid w:val="008C4359"/>
    <w:rsid w:val="008C44C4"/>
    <w:rsid w:val="008C4526"/>
    <w:rsid w:val="008C4529"/>
    <w:rsid w:val="008C4558"/>
    <w:rsid w:val="008C4579"/>
    <w:rsid w:val="008C45AF"/>
    <w:rsid w:val="008C45D9"/>
    <w:rsid w:val="008C45E1"/>
    <w:rsid w:val="008C4628"/>
    <w:rsid w:val="008C4697"/>
    <w:rsid w:val="008C470F"/>
    <w:rsid w:val="008C47D0"/>
    <w:rsid w:val="008C4825"/>
    <w:rsid w:val="008C48EA"/>
    <w:rsid w:val="008C491B"/>
    <w:rsid w:val="008C4A46"/>
    <w:rsid w:val="008C4B73"/>
    <w:rsid w:val="008C4BD9"/>
    <w:rsid w:val="008C4C4C"/>
    <w:rsid w:val="008C4CA3"/>
    <w:rsid w:val="008C4CAE"/>
    <w:rsid w:val="008C4D64"/>
    <w:rsid w:val="008C4D88"/>
    <w:rsid w:val="008C4D8D"/>
    <w:rsid w:val="008C4DE9"/>
    <w:rsid w:val="008C4FBD"/>
    <w:rsid w:val="008C50CD"/>
    <w:rsid w:val="008C512E"/>
    <w:rsid w:val="008C5141"/>
    <w:rsid w:val="008C51CD"/>
    <w:rsid w:val="008C5259"/>
    <w:rsid w:val="008C528A"/>
    <w:rsid w:val="008C52E0"/>
    <w:rsid w:val="008C5340"/>
    <w:rsid w:val="008C5370"/>
    <w:rsid w:val="008C538A"/>
    <w:rsid w:val="008C53CF"/>
    <w:rsid w:val="008C54D2"/>
    <w:rsid w:val="008C5533"/>
    <w:rsid w:val="008C557D"/>
    <w:rsid w:val="008C5586"/>
    <w:rsid w:val="008C558A"/>
    <w:rsid w:val="008C55C1"/>
    <w:rsid w:val="008C56F7"/>
    <w:rsid w:val="008C579F"/>
    <w:rsid w:val="008C5847"/>
    <w:rsid w:val="008C58B7"/>
    <w:rsid w:val="008C58D3"/>
    <w:rsid w:val="008C5920"/>
    <w:rsid w:val="008C5925"/>
    <w:rsid w:val="008C59D3"/>
    <w:rsid w:val="008C5A46"/>
    <w:rsid w:val="008C5A7E"/>
    <w:rsid w:val="008C5C21"/>
    <w:rsid w:val="008C5C2E"/>
    <w:rsid w:val="008C5D78"/>
    <w:rsid w:val="008C5DC0"/>
    <w:rsid w:val="008C5E0B"/>
    <w:rsid w:val="008C5E83"/>
    <w:rsid w:val="008C5EFC"/>
    <w:rsid w:val="008C5F1B"/>
    <w:rsid w:val="008C5F56"/>
    <w:rsid w:val="008C5FAC"/>
    <w:rsid w:val="008C5FBC"/>
    <w:rsid w:val="008C60CB"/>
    <w:rsid w:val="008C60EF"/>
    <w:rsid w:val="008C6161"/>
    <w:rsid w:val="008C6199"/>
    <w:rsid w:val="008C6282"/>
    <w:rsid w:val="008C62EA"/>
    <w:rsid w:val="008C634C"/>
    <w:rsid w:val="008C63F9"/>
    <w:rsid w:val="008C6444"/>
    <w:rsid w:val="008C6455"/>
    <w:rsid w:val="008C6558"/>
    <w:rsid w:val="008C65F8"/>
    <w:rsid w:val="008C6642"/>
    <w:rsid w:val="008C665E"/>
    <w:rsid w:val="008C66B9"/>
    <w:rsid w:val="008C678D"/>
    <w:rsid w:val="008C67BA"/>
    <w:rsid w:val="008C67BE"/>
    <w:rsid w:val="008C67D7"/>
    <w:rsid w:val="008C68AA"/>
    <w:rsid w:val="008C68F1"/>
    <w:rsid w:val="008C6988"/>
    <w:rsid w:val="008C69B2"/>
    <w:rsid w:val="008C69B7"/>
    <w:rsid w:val="008C6A43"/>
    <w:rsid w:val="008C6AB2"/>
    <w:rsid w:val="008C6B57"/>
    <w:rsid w:val="008C6B7A"/>
    <w:rsid w:val="008C6B7C"/>
    <w:rsid w:val="008C6B89"/>
    <w:rsid w:val="008C6BF0"/>
    <w:rsid w:val="008C6CD2"/>
    <w:rsid w:val="008C6D5D"/>
    <w:rsid w:val="008C6DA6"/>
    <w:rsid w:val="008C6DBD"/>
    <w:rsid w:val="008C6E0C"/>
    <w:rsid w:val="008C6EB9"/>
    <w:rsid w:val="008C6EE2"/>
    <w:rsid w:val="008C6F39"/>
    <w:rsid w:val="008C703B"/>
    <w:rsid w:val="008C706F"/>
    <w:rsid w:val="008C7084"/>
    <w:rsid w:val="008C70A4"/>
    <w:rsid w:val="008C711B"/>
    <w:rsid w:val="008C7336"/>
    <w:rsid w:val="008C73FC"/>
    <w:rsid w:val="008C7457"/>
    <w:rsid w:val="008C74ED"/>
    <w:rsid w:val="008C74FA"/>
    <w:rsid w:val="008C76B0"/>
    <w:rsid w:val="008C77B5"/>
    <w:rsid w:val="008C77F3"/>
    <w:rsid w:val="008C787C"/>
    <w:rsid w:val="008C78C0"/>
    <w:rsid w:val="008C79C2"/>
    <w:rsid w:val="008C7A02"/>
    <w:rsid w:val="008C7A12"/>
    <w:rsid w:val="008C7A23"/>
    <w:rsid w:val="008C7A77"/>
    <w:rsid w:val="008C7AFD"/>
    <w:rsid w:val="008C7B13"/>
    <w:rsid w:val="008C7B7A"/>
    <w:rsid w:val="008C7C50"/>
    <w:rsid w:val="008C7D6E"/>
    <w:rsid w:val="008C7E60"/>
    <w:rsid w:val="008C7E82"/>
    <w:rsid w:val="008C7EAA"/>
    <w:rsid w:val="008C7F65"/>
    <w:rsid w:val="008C7FA7"/>
    <w:rsid w:val="008D0015"/>
    <w:rsid w:val="008D0096"/>
    <w:rsid w:val="008D00C7"/>
    <w:rsid w:val="008D00FC"/>
    <w:rsid w:val="008D012E"/>
    <w:rsid w:val="008D017D"/>
    <w:rsid w:val="008D019A"/>
    <w:rsid w:val="008D0269"/>
    <w:rsid w:val="008D02B6"/>
    <w:rsid w:val="008D032F"/>
    <w:rsid w:val="008D038A"/>
    <w:rsid w:val="008D0412"/>
    <w:rsid w:val="008D0431"/>
    <w:rsid w:val="008D055A"/>
    <w:rsid w:val="008D0568"/>
    <w:rsid w:val="008D0574"/>
    <w:rsid w:val="008D05E3"/>
    <w:rsid w:val="008D060E"/>
    <w:rsid w:val="008D0690"/>
    <w:rsid w:val="008D06CF"/>
    <w:rsid w:val="008D073E"/>
    <w:rsid w:val="008D07BF"/>
    <w:rsid w:val="008D07FB"/>
    <w:rsid w:val="008D0903"/>
    <w:rsid w:val="008D095F"/>
    <w:rsid w:val="008D09E0"/>
    <w:rsid w:val="008D0A5E"/>
    <w:rsid w:val="008D0A75"/>
    <w:rsid w:val="008D0AFB"/>
    <w:rsid w:val="008D0B31"/>
    <w:rsid w:val="008D0B43"/>
    <w:rsid w:val="008D0B69"/>
    <w:rsid w:val="008D0BE2"/>
    <w:rsid w:val="008D0C2D"/>
    <w:rsid w:val="008D0C34"/>
    <w:rsid w:val="008D0CB6"/>
    <w:rsid w:val="008D0CEA"/>
    <w:rsid w:val="008D0D40"/>
    <w:rsid w:val="008D0DEF"/>
    <w:rsid w:val="008D0E1B"/>
    <w:rsid w:val="008D0E3A"/>
    <w:rsid w:val="008D0E46"/>
    <w:rsid w:val="008D0E8E"/>
    <w:rsid w:val="008D0E9C"/>
    <w:rsid w:val="008D0F29"/>
    <w:rsid w:val="008D0F7F"/>
    <w:rsid w:val="008D105A"/>
    <w:rsid w:val="008D105B"/>
    <w:rsid w:val="008D10AA"/>
    <w:rsid w:val="008D10BB"/>
    <w:rsid w:val="008D112E"/>
    <w:rsid w:val="008D11A5"/>
    <w:rsid w:val="008D11AA"/>
    <w:rsid w:val="008D1401"/>
    <w:rsid w:val="008D14BB"/>
    <w:rsid w:val="008D155D"/>
    <w:rsid w:val="008D15DE"/>
    <w:rsid w:val="008D163F"/>
    <w:rsid w:val="008D166C"/>
    <w:rsid w:val="008D1675"/>
    <w:rsid w:val="008D170E"/>
    <w:rsid w:val="008D19A8"/>
    <w:rsid w:val="008D1CDF"/>
    <w:rsid w:val="008D1E20"/>
    <w:rsid w:val="008D1EF1"/>
    <w:rsid w:val="008D1FA5"/>
    <w:rsid w:val="008D1FC0"/>
    <w:rsid w:val="008D2037"/>
    <w:rsid w:val="008D2177"/>
    <w:rsid w:val="008D219A"/>
    <w:rsid w:val="008D2219"/>
    <w:rsid w:val="008D223C"/>
    <w:rsid w:val="008D228D"/>
    <w:rsid w:val="008D241F"/>
    <w:rsid w:val="008D2433"/>
    <w:rsid w:val="008D24C6"/>
    <w:rsid w:val="008D2573"/>
    <w:rsid w:val="008D269A"/>
    <w:rsid w:val="008D26EA"/>
    <w:rsid w:val="008D278A"/>
    <w:rsid w:val="008D27FD"/>
    <w:rsid w:val="008D2871"/>
    <w:rsid w:val="008D2884"/>
    <w:rsid w:val="008D28AE"/>
    <w:rsid w:val="008D2948"/>
    <w:rsid w:val="008D2A0E"/>
    <w:rsid w:val="008D2A10"/>
    <w:rsid w:val="008D2AA7"/>
    <w:rsid w:val="008D2BBD"/>
    <w:rsid w:val="008D2C43"/>
    <w:rsid w:val="008D2C6C"/>
    <w:rsid w:val="008D2C96"/>
    <w:rsid w:val="008D2CA3"/>
    <w:rsid w:val="008D2DAC"/>
    <w:rsid w:val="008D2F41"/>
    <w:rsid w:val="008D2FA0"/>
    <w:rsid w:val="008D2FE7"/>
    <w:rsid w:val="008D3055"/>
    <w:rsid w:val="008D30C8"/>
    <w:rsid w:val="008D30F5"/>
    <w:rsid w:val="008D30FD"/>
    <w:rsid w:val="008D3104"/>
    <w:rsid w:val="008D3179"/>
    <w:rsid w:val="008D31CC"/>
    <w:rsid w:val="008D31F7"/>
    <w:rsid w:val="008D3211"/>
    <w:rsid w:val="008D322E"/>
    <w:rsid w:val="008D3265"/>
    <w:rsid w:val="008D328B"/>
    <w:rsid w:val="008D341D"/>
    <w:rsid w:val="008D3436"/>
    <w:rsid w:val="008D346B"/>
    <w:rsid w:val="008D3484"/>
    <w:rsid w:val="008D3528"/>
    <w:rsid w:val="008D3560"/>
    <w:rsid w:val="008D35AB"/>
    <w:rsid w:val="008D35CE"/>
    <w:rsid w:val="008D361F"/>
    <w:rsid w:val="008D3624"/>
    <w:rsid w:val="008D3692"/>
    <w:rsid w:val="008D36C9"/>
    <w:rsid w:val="008D375A"/>
    <w:rsid w:val="008D375D"/>
    <w:rsid w:val="008D3778"/>
    <w:rsid w:val="008D37B5"/>
    <w:rsid w:val="008D381B"/>
    <w:rsid w:val="008D3872"/>
    <w:rsid w:val="008D387F"/>
    <w:rsid w:val="008D3941"/>
    <w:rsid w:val="008D3A1E"/>
    <w:rsid w:val="008D3A3D"/>
    <w:rsid w:val="008D3A61"/>
    <w:rsid w:val="008D3ABA"/>
    <w:rsid w:val="008D3C3B"/>
    <w:rsid w:val="008D3D27"/>
    <w:rsid w:val="008D3D33"/>
    <w:rsid w:val="008D3DA8"/>
    <w:rsid w:val="008D3E22"/>
    <w:rsid w:val="008D3E27"/>
    <w:rsid w:val="008D3E3A"/>
    <w:rsid w:val="008D3E6B"/>
    <w:rsid w:val="008D3E93"/>
    <w:rsid w:val="008D3EAB"/>
    <w:rsid w:val="008D3ED6"/>
    <w:rsid w:val="008D3F19"/>
    <w:rsid w:val="008D3F2E"/>
    <w:rsid w:val="008D3F4F"/>
    <w:rsid w:val="008D3F9F"/>
    <w:rsid w:val="008D3FDA"/>
    <w:rsid w:val="008D4004"/>
    <w:rsid w:val="008D40A9"/>
    <w:rsid w:val="008D417C"/>
    <w:rsid w:val="008D4245"/>
    <w:rsid w:val="008D433A"/>
    <w:rsid w:val="008D4373"/>
    <w:rsid w:val="008D4386"/>
    <w:rsid w:val="008D43FB"/>
    <w:rsid w:val="008D4421"/>
    <w:rsid w:val="008D4446"/>
    <w:rsid w:val="008D444B"/>
    <w:rsid w:val="008D4483"/>
    <w:rsid w:val="008D449F"/>
    <w:rsid w:val="008D44A7"/>
    <w:rsid w:val="008D44EE"/>
    <w:rsid w:val="008D4524"/>
    <w:rsid w:val="008D45A6"/>
    <w:rsid w:val="008D4619"/>
    <w:rsid w:val="008D4671"/>
    <w:rsid w:val="008D4681"/>
    <w:rsid w:val="008D475D"/>
    <w:rsid w:val="008D47B2"/>
    <w:rsid w:val="008D48C0"/>
    <w:rsid w:val="008D4A25"/>
    <w:rsid w:val="008D4A54"/>
    <w:rsid w:val="008D4B49"/>
    <w:rsid w:val="008D4BB9"/>
    <w:rsid w:val="008D4BC0"/>
    <w:rsid w:val="008D4C19"/>
    <w:rsid w:val="008D4C2D"/>
    <w:rsid w:val="008D4C8D"/>
    <w:rsid w:val="008D4CBE"/>
    <w:rsid w:val="008D4D0A"/>
    <w:rsid w:val="008D4D15"/>
    <w:rsid w:val="008D4D91"/>
    <w:rsid w:val="008D4E56"/>
    <w:rsid w:val="008D4E84"/>
    <w:rsid w:val="008D4FBE"/>
    <w:rsid w:val="008D5088"/>
    <w:rsid w:val="008D50A4"/>
    <w:rsid w:val="008D50A7"/>
    <w:rsid w:val="008D511A"/>
    <w:rsid w:val="008D51D4"/>
    <w:rsid w:val="008D5235"/>
    <w:rsid w:val="008D5312"/>
    <w:rsid w:val="008D5316"/>
    <w:rsid w:val="008D5321"/>
    <w:rsid w:val="008D535A"/>
    <w:rsid w:val="008D53C4"/>
    <w:rsid w:val="008D546D"/>
    <w:rsid w:val="008D5529"/>
    <w:rsid w:val="008D5567"/>
    <w:rsid w:val="008D55F3"/>
    <w:rsid w:val="008D5613"/>
    <w:rsid w:val="008D5710"/>
    <w:rsid w:val="008D58E9"/>
    <w:rsid w:val="008D5913"/>
    <w:rsid w:val="008D59A0"/>
    <w:rsid w:val="008D59B0"/>
    <w:rsid w:val="008D59E7"/>
    <w:rsid w:val="008D5A12"/>
    <w:rsid w:val="008D5AB9"/>
    <w:rsid w:val="008D5C9D"/>
    <w:rsid w:val="008D5CE2"/>
    <w:rsid w:val="008D5D7A"/>
    <w:rsid w:val="008D5E14"/>
    <w:rsid w:val="008D5F83"/>
    <w:rsid w:val="008D6014"/>
    <w:rsid w:val="008D6163"/>
    <w:rsid w:val="008D619C"/>
    <w:rsid w:val="008D62EE"/>
    <w:rsid w:val="008D6301"/>
    <w:rsid w:val="008D631B"/>
    <w:rsid w:val="008D631D"/>
    <w:rsid w:val="008D6340"/>
    <w:rsid w:val="008D63CF"/>
    <w:rsid w:val="008D63E3"/>
    <w:rsid w:val="008D6539"/>
    <w:rsid w:val="008D65D2"/>
    <w:rsid w:val="008D6673"/>
    <w:rsid w:val="008D6695"/>
    <w:rsid w:val="008D66A4"/>
    <w:rsid w:val="008D66AE"/>
    <w:rsid w:val="008D66ED"/>
    <w:rsid w:val="008D66F3"/>
    <w:rsid w:val="008D67CA"/>
    <w:rsid w:val="008D6809"/>
    <w:rsid w:val="008D681B"/>
    <w:rsid w:val="008D6853"/>
    <w:rsid w:val="008D68A4"/>
    <w:rsid w:val="008D68D4"/>
    <w:rsid w:val="008D68D5"/>
    <w:rsid w:val="008D695F"/>
    <w:rsid w:val="008D6A13"/>
    <w:rsid w:val="008D6A29"/>
    <w:rsid w:val="008D6AFA"/>
    <w:rsid w:val="008D6C73"/>
    <w:rsid w:val="008D6D01"/>
    <w:rsid w:val="008D6D25"/>
    <w:rsid w:val="008D6E16"/>
    <w:rsid w:val="008D6E9F"/>
    <w:rsid w:val="008D6EED"/>
    <w:rsid w:val="008D6F5B"/>
    <w:rsid w:val="008D6F7E"/>
    <w:rsid w:val="008D6F99"/>
    <w:rsid w:val="008D70B0"/>
    <w:rsid w:val="008D729C"/>
    <w:rsid w:val="008D73A0"/>
    <w:rsid w:val="008D7432"/>
    <w:rsid w:val="008D7486"/>
    <w:rsid w:val="008D7494"/>
    <w:rsid w:val="008D74D3"/>
    <w:rsid w:val="008D751D"/>
    <w:rsid w:val="008D75CB"/>
    <w:rsid w:val="008D75CE"/>
    <w:rsid w:val="008D75D9"/>
    <w:rsid w:val="008D7631"/>
    <w:rsid w:val="008D763D"/>
    <w:rsid w:val="008D7682"/>
    <w:rsid w:val="008D7695"/>
    <w:rsid w:val="008D7748"/>
    <w:rsid w:val="008D77B2"/>
    <w:rsid w:val="008D77D5"/>
    <w:rsid w:val="008D77D7"/>
    <w:rsid w:val="008D7845"/>
    <w:rsid w:val="008D786E"/>
    <w:rsid w:val="008D7878"/>
    <w:rsid w:val="008D789D"/>
    <w:rsid w:val="008D797A"/>
    <w:rsid w:val="008D7AD3"/>
    <w:rsid w:val="008D7AE4"/>
    <w:rsid w:val="008D7BDE"/>
    <w:rsid w:val="008D7C0F"/>
    <w:rsid w:val="008D7C11"/>
    <w:rsid w:val="008D7C4C"/>
    <w:rsid w:val="008D7CDF"/>
    <w:rsid w:val="008D7DE4"/>
    <w:rsid w:val="008D7EBB"/>
    <w:rsid w:val="008D7EC1"/>
    <w:rsid w:val="008D7EFC"/>
    <w:rsid w:val="008E00A1"/>
    <w:rsid w:val="008E00FC"/>
    <w:rsid w:val="008E011D"/>
    <w:rsid w:val="008E0211"/>
    <w:rsid w:val="008E0224"/>
    <w:rsid w:val="008E0293"/>
    <w:rsid w:val="008E02FD"/>
    <w:rsid w:val="008E0321"/>
    <w:rsid w:val="008E033D"/>
    <w:rsid w:val="008E0344"/>
    <w:rsid w:val="008E0425"/>
    <w:rsid w:val="008E0480"/>
    <w:rsid w:val="008E04F2"/>
    <w:rsid w:val="008E0585"/>
    <w:rsid w:val="008E05AE"/>
    <w:rsid w:val="008E0649"/>
    <w:rsid w:val="008E0652"/>
    <w:rsid w:val="008E06B9"/>
    <w:rsid w:val="008E08D0"/>
    <w:rsid w:val="008E0962"/>
    <w:rsid w:val="008E0964"/>
    <w:rsid w:val="008E0975"/>
    <w:rsid w:val="008E0991"/>
    <w:rsid w:val="008E09F8"/>
    <w:rsid w:val="008E0A11"/>
    <w:rsid w:val="008E0AA9"/>
    <w:rsid w:val="008E0AB2"/>
    <w:rsid w:val="008E0BDC"/>
    <w:rsid w:val="008E0CA0"/>
    <w:rsid w:val="008E0CCD"/>
    <w:rsid w:val="008E0CF9"/>
    <w:rsid w:val="008E0E19"/>
    <w:rsid w:val="008E0E6E"/>
    <w:rsid w:val="008E0E94"/>
    <w:rsid w:val="008E0EE4"/>
    <w:rsid w:val="008E0F41"/>
    <w:rsid w:val="008E0F85"/>
    <w:rsid w:val="008E1037"/>
    <w:rsid w:val="008E10BE"/>
    <w:rsid w:val="008E1133"/>
    <w:rsid w:val="008E114E"/>
    <w:rsid w:val="008E1196"/>
    <w:rsid w:val="008E11E1"/>
    <w:rsid w:val="008E12DC"/>
    <w:rsid w:val="008E131E"/>
    <w:rsid w:val="008E1535"/>
    <w:rsid w:val="008E1560"/>
    <w:rsid w:val="008E159A"/>
    <w:rsid w:val="008E1648"/>
    <w:rsid w:val="008E166E"/>
    <w:rsid w:val="008E1694"/>
    <w:rsid w:val="008E16A0"/>
    <w:rsid w:val="008E1705"/>
    <w:rsid w:val="008E1799"/>
    <w:rsid w:val="008E17A1"/>
    <w:rsid w:val="008E1870"/>
    <w:rsid w:val="008E188D"/>
    <w:rsid w:val="008E1919"/>
    <w:rsid w:val="008E1992"/>
    <w:rsid w:val="008E19DB"/>
    <w:rsid w:val="008E1A02"/>
    <w:rsid w:val="008E1A51"/>
    <w:rsid w:val="008E1B98"/>
    <w:rsid w:val="008E1BF5"/>
    <w:rsid w:val="008E1C13"/>
    <w:rsid w:val="008E1C1A"/>
    <w:rsid w:val="008E1CB5"/>
    <w:rsid w:val="008E1CF1"/>
    <w:rsid w:val="008E1D1B"/>
    <w:rsid w:val="008E1DB9"/>
    <w:rsid w:val="008E1EA0"/>
    <w:rsid w:val="008E1F86"/>
    <w:rsid w:val="008E1FBB"/>
    <w:rsid w:val="008E205D"/>
    <w:rsid w:val="008E20F6"/>
    <w:rsid w:val="008E2165"/>
    <w:rsid w:val="008E21C9"/>
    <w:rsid w:val="008E22B3"/>
    <w:rsid w:val="008E2304"/>
    <w:rsid w:val="008E237E"/>
    <w:rsid w:val="008E2463"/>
    <w:rsid w:val="008E256D"/>
    <w:rsid w:val="008E2599"/>
    <w:rsid w:val="008E2634"/>
    <w:rsid w:val="008E2708"/>
    <w:rsid w:val="008E2721"/>
    <w:rsid w:val="008E2795"/>
    <w:rsid w:val="008E28EF"/>
    <w:rsid w:val="008E28FD"/>
    <w:rsid w:val="008E2945"/>
    <w:rsid w:val="008E2983"/>
    <w:rsid w:val="008E2B50"/>
    <w:rsid w:val="008E2B56"/>
    <w:rsid w:val="008E2B66"/>
    <w:rsid w:val="008E2DA9"/>
    <w:rsid w:val="008E2E0B"/>
    <w:rsid w:val="008E2E88"/>
    <w:rsid w:val="008E2EE2"/>
    <w:rsid w:val="008E2EFB"/>
    <w:rsid w:val="008E2F49"/>
    <w:rsid w:val="008E2FF8"/>
    <w:rsid w:val="008E30A5"/>
    <w:rsid w:val="008E30C7"/>
    <w:rsid w:val="008E3141"/>
    <w:rsid w:val="008E3159"/>
    <w:rsid w:val="008E3191"/>
    <w:rsid w:val="008E3268"/>
    <w:rsid w:val="008E328A"/>
    <w:rsid w:val="008E32E8"/>
    <w:rsid w:val="008E337B"/>
    <w:rsid w:val="008E3463"/>
    <w:rsid w:val="008E3474"/>
    <w:rsid w:val="008E354B"/>
    <w:rsid w:val="008E35CD"/>
    <w:rsid w:val="008E3610"/>
    <w:rsid w:val="008E36FA"/>
    <w:rsid w:val="008E3701"/>
    <w:rsid w:val="008E378D"/>
    <w:rsid w:val="008E37B3"/>
    <w:rsid w:val="008E38C0"/>
    <w:rsid w:val="008E38DD"/>
    <w:rsid w:val="008E3989"/>
    <w:rsid w:val="008E39CB"/>
    <w:rsid w:val="008E3A20"/>
    <w:rsid w:val="008E3AA9"/>
    <w:rsid w:val="008E3AC7"/>
    <w:rsid w:val="008E3ACE"/>
    <w:rsid w:val="008E3B3A"/>
    <w:rsid w:val="008E3B87"/>
    <w:rsid w:val="008E3BA5"/>
    <w:rsid w:val="008E3BCA"/>
    <w:rsid w:val="008E3C67"/>
    <w:rsid w:val="008E3C6F"/>
    <w:rsid w:val="008E3C8A"/>
    <w:rsid w:val="008E3C8F"/>
    <w:rsid w:val="008E3CEE"/>
    <w:rsid w:val="008E3D48"/>
    <w:rsid w:val="008E3D4B"/>
    <w:rsid w:val="008E3D6E"/>
    <w:rsid w:val="008E3D7A"/>
    <w:rsid w:val="008E3E41"/>
    <w:rsid w:val="008E4023"/>
    <w:rsid w:val="008E40DF"/>
    <w:rsid w:val="008E4127"/>
    <w:rsid w:val="008E429B"/>
    <w:rsid w:val="008E42BE"/>
    <w:rsid w:val="008E43BD"/>
    <w:rsid w:val="008E43F3"/>
    <w:rsid w:val="008E4463"/>
    <w:rsid w:val="008E4482"/>
    <w:rsid w:val="008E4483"/>
    <w:rsid w:val="008E44A9"/>
    <w:rsid w:val="008E44BE"/>
    <w:rsid w:val="008E44CE"/>
    <w:rsid w:val="008E456A"/>
    <w:rsid w:val="008E46CE"/>
    <w:rsid w:val="008E4776"/>
    <w:rsid w:val="008E483F"/>
    <w:rsid w:val="008E485E"/>
    <w:rsid w:val="008E4878"/>
    <w:rsid w:val="008E4937"/>
    <w:rsid w:val="008E4950"/>
    <w:rsid w:val="008E4B41"/>
    <w:rsid w:val="008E4B42"/>
    <w:rsid w:val="008E4BCD"/>
    <w:rsid w:val="008E4BD4"/>
    <w:rsid w:val="008E4C07"/>
    <w:rsid w:val="008E4C0E"/>
    <w:rsid w:val="008E4DD9"/>
    <w:rsid w:val="008E4DFB"/>
    <w:rsid w:val="008E4E0D"/>
    <w:rsid w:val="008E4E1D"/>
    <w:rsid w:val="008E4EBD"/>
    <w:rsid w:val="008E4ED2"/>
    <w:rsid w:val="008E4F40"/>
    <w:rsid w:val="008E5071"/>
    <w:rsid w:val="008E50C4"/>
    <w:rsid w:val="008E512B"/>
    <w:rsid w:val="008E5134"/>
    <w:rsid w:val="008E5188"/>
    <w:rsid w:val="008E5223"/>
    <w:rsid w:val="008E52AD"/>
    <w:rsid w:val="008E52D7"/>
    <w:rsid w:val="008E533A"/>
    <w:rsid w:val="008E533E"/>
    <w:rsid w:val="008E53F4"/>
    <w:rsid w:val="008E5525"/>
    <w:rsid w:val="008E5533"/>
    <w:rsid w:val="008E562A"/>
    <w:rsid w:val="008E5638"/>
    <w:rsid w:val="008E5639"/>
    <w:rsid w:val="008E5643"/>
    <w:rsid w:val="008E56B2"/>
    <w:rsid w:val="008E56DF"/>
    <w:rsid w:val="008E5769"/>
    <w:rsid w:val="008E5909"/>
    <w:rsid w:val="008E59D0"/>
    <w:rsid w:val="008E5AF1"/>
    <w:rsid w:val="008E5B1B"/>
    <w:rsid w:val="008E5B2C"/>
    <w:rsid w:val="008E5B76"/>
    <w:rsid w:val="008E5BA1"/>
    <w:rsid w:val="008E5BA7"/>
    <w:rsid w:val="008E5C10"/>
    <w:rsid w:val="008E5C20"/>
    <w:rsid w:val="008E5C55"/>
    <w:rsid w:val="008E5D85"/>
    <w:rsid w:val="008E5D87"/>
    <w:rsid w:val="008E5D90"/>
    <w:rsid w:val="008E5E09"/>
    <w:rsid w:val="008E5E57"/>
    <w:rsid w:val="008E5E5F"/>
    <w:rsid w:val="008E5ED0"/>
    <w:rsid w:val="008E5FFF"/>
    <w:rsid w:val="008E607D"/>
    <w:rsid w:val="008E60EF"/>
    <w:rsid w:val="008E6102"/>
    <w:rsid w:val="008E6182"/>
    <w:rsid w:val="008E622F"/>
    <w:rsid w:val="008E6252"/>
    <w:rsid w:val="008E62B8"/>
    <w:rsid w:val="008E62CC"/>
    <w:rsid w:val="008E63BA"/>
    <w:rsid w:val="008E6440"/>
    <w:rsid w:val="008E645D"/>
    <w:rsid w:val="008E649E"/>
    <w:rsid w:val="008E6506"/>
    <w:rsid w:val="008E653F"/>
    <w:rsid w:val="008E65DD"/>
    <w:rsid w:val="008E6655"/>
    <w:rsid w:val="008E66F5"/>
    <w:rsid w:val="008E66F9"/>
    <w:rsid w:val="008E6752"/>
    <w:rsid w:val="008E6759"/>
    <w:rsid w:val="008E67A8"/>
    <w:rsid w:val="008E67E5"/>
    <w:rsid w:val="008E68CE"/>
    <w:rsid w:val="008E6956"/>
    <w:rsid w:val="008E6AE5"/>
    <w:rsid w:val="008E6B53"/>
    <w:rsid w:val="008E6B7F"/>
    <w:rsid w:val="008E6B92"/>
    <w:rsid w:val="008E6BAE"/>
    <w:rsid w:val="008E6BB7"/>
    <w:rsid w:val="008E6D5B"/>
    <w:rsid w:val="008E6D7D"/>
    <w:rsid w:val="008E6E0C"/>
    <w:rsid w:val="008E6E57"/>
    <w:rsid w:val="008E6F0E"/>
    <w:rsid w:val="008E6F3A"/>
    <w:rsid w:val="008E6FAE"/>
    <w:rsid w:val="008E70A0"/>
    <w:rsid w:val="008E70C4"/>
    <w:rsid w:val="008E7188"/>
    <w:rsid w:val="008E71CC"/>
    <w:rsid w:val="008E720C"/>
    <w:rsid w:val="008E7276"/>
    <w:rsid w:val="008E730C"/>
    <w:rsid w:val="008E7371"/>
    <w:rsid w:val="008E741B"/>
    <w:rsid w:val="008E741E"/>
    <w:rsid w:val="008E7421"/>
    <w:rsid w:val="008E7440"/>
    <w:rsid w:val="008E749F"/>
    <w:rsid w:val="008E74B6"/>
    <w:rsid w:val="008E74DB"/>
    <w:rsid w:val="008E755B"/>
    <w:rsid w:val="008E75B4"/>
    <w:rsid w:val="008E778C"/>
    <w:rsid w:val="008E77A7"/>
    <w:rsid w:val="008E78A5"/>
    <w:rsid w:val="008E78CF"/>
    <w:rsid w:val="008E7905"/>
    <w:rsid w:val="008E795A"/>
    <w:rsid w:val="008E79B0"/>
    <w:rsid w:val="008E79CA"/>
    <w:rsid w:val="008E7A65"/>
    <w:rsid w:val="008E7A9F"/>
    <w:rsid w:val="008E7ABE"/>
    <w:rsid w:val="008E7B78"/>
    <w:rsid w:val="008E7BA9"/>
    <w:rsid w:val="008E7BC0"/>
    <w:rsid w:val="008E7C80"/>
    <w:rsid w:val="008E7CD6"/>
    <w:rsid w:val="008E7DCF"/>
    <w:rsid w:val="008E7E39"/>
    <w:rsid w:val="008E7E9B"/>
    <w:rsid w:val="008F0050"/>
    <w:rsid w:val="008F00AC"/>
    <w:rsid w:val="008F00DD"/>
    <w:rsid w:val="008F0138"/>
    <w:rsid w:val="008F02C4"/>
    <w:rsid w:val="008F02C8"/>
    <w:rsid w:val="008F03E6"/>
    <w:rsid w:val="008F0469"/>
    <w:rsid w:val="008F0545"/>
    <w:rsid w:val="008F057A"/>
    <w:rsid w:val="008F07E1"/>
    <w:rsid w:val="008F083B"/>
    <w:rsid w:val="008F0899"/>
    <w:rsid w:val="008F09C2"/>
    <w:rsid w:val="008F0A0F"/>
    <w:rsid w:val="008F0A6B"/>
    <w:rsid w:val="008F0AF6"/>
    <w:rsid w:val="008F0B27"/>
    <w:rsid w:val="008F0B60"/>
    <w:rsid w:val="008F0BB8"/>
    <w:rsid w:val="008F0D44"/>
    <w:rsid w:val="008F0DEB"/>
    <w:rsid w:val="008F0E1C"/>
    <w:rsid w:val="008F0E8A"/>
    <w:rsid w:val="008F0EA4"/>
    <w:rsid w:val="008F0ECF"/>
    <w:rsid w:val="008F0EF8"/>
    <w:rsid w:val="008F0F82"/>
    <w:rsid w:val="008F102A"/>
    <w:rsid w:val="008F1327"/>
    <w:rsid w:val="008F135A"/>
    <w:rsid w:val="008F13E1"/>
    <w:rsid w:val="008F1441"/>
    <w:rsid w:val="008F14C0"/>
    <w:rsid w:val="008F14EE"/>
    <w:rsid w:val="008F157A"/>
    <w:rsid w:val="008F15EF"/>
    <w:rsid w:val="008F161F"/>
    <w:rsid w:val="008F165F"/>
    <w:rsid w:val="008F1675"/>
    <w:rsid w:val="008F16A4"/>
    <w:rsid w:val="008F184F"/>
    <w:rsid w:val="008F1895"/>
    <w:rsid w:val="008F18C2"/>
    <w:rsid w:val="008F18E6"/>
    <w:rsid w:val="008F199B"/>
    <w:rsid w:val="008F1A14"/>
    <w:rsid w:val="008F1A4A"/>
    <w:rsid w:val="008F1A4F"/>
    <w:rsid w:val="008F1ACC"/>
    <w:rsid w:val="008F1ACD"/>
    <w:rsid w:val="008F1B3A"/>
    <w:rsid w:val="008F1BB1"/>
    <w:rsid w:val="008F1C20"/>
    <w:rsid w:val="008F1C2B"/>
    <w:rsid w:val="008F1CC8"/>
    <w:rsid w:val="008F1D13"/>
    <w:rsid w:val="008F1E06"/>
    <w:rsid w:val="008F1E69"/>
    <w:rsid w:val="008F1F58"/>
    <w:rsid w:val="008F2003"/>
    <w:rsid w:val="008F20FF"/>
    <w:rsid w:val="008F2117"/>
    <w:rsid w:val="008F218D"/>
    <w:rsid w:val="008F2190"/>
    <w:rsid w:val="008F21CC"/>
    <w:rsid w:val="008F2335"/>
    <w:rsid w:val="008F233F"/>
    <w:rsid w:val="008F2367"/>
    <w:rsid w:val="008F236F"/>
    <w:rsid w:val="008F23D2"/>
    <w:rsid w:val="008F253B"/>
    <w:rsid w:val="008F2542"/>
    <w:rsid w:val="008F25B5"/>
    <w:rsid w:val="008F25BA"/>
    <w:rsid w:val="008F25D1"/>
    <w:rsid w:val="008F25E8"/>
    <w:rsid w:val="008F2631"/>
    <w:rsid w:val="008F2676"/>
    <w:rsid w:val="008F26A7"/>
    <w:rsid w:val="008F26EB"/>
    <w:rsid w:val="008F2722"/>
    <w:rsid w:val="008F272E"/>
    <w:rsid w:val="008F27C6"/>
    <w:rsid w:val="008F2859"/>
    <w:rsid w:val="008F2862"/>
    <w:rsid w:val="008F2871"/>
    <w:rsid w:val="008F29EE"/>
    <w:rsid w:val="008F2ABC"/>
    <w:rsid w:val="008F2C47"/>
    <w:rsid w:val="008F2D0D"/>
    <w:rsid w:val="008F2E1F"/>
    <w:rsid w:val="008F2ECA"/>
    <w:rsid w:val="008F2EE7"/>
    <w:rsid w:val="008F2F92"/>
    <w:rsid w:val="008F2FE9"/>
    <w:rsid w:val="008F308C"/>
    <w:rsid w:val="008F3198"/>
    <w:rsid w:val="008F31F6"/>
    <w:rsid w:val="008F3208"/>
    <w:rsid w:val="008F3268"/>
    <w:rsid w:val="008F3296"/>
    <w:rsid w:val="008F339D"/>
    <w:rsid w:val="008F33C6"/>
    <w:rsid w:val="008F34E7"/>
    <w:rsid w:val="008F353C"/>
    <w:rsid w:val="008F35F1"/>
    <w:rsid w:val="008F3703"/>
    <w:rsid w:val="008F3718"/>
    <w:rsid w:val="008F3807"/>
    <w:rsid w:val="008F3813"/>
    <w:rsid w:val="008F3907"/>
    <w:rsid w:val="008F39AA"/>
    <w:rsid w:val="008F39EF"/>
    <w:rsid w:val="008F3A27"/>
    <w:rsid w:val="008F3A3B"/>
    <w:rsid w:val="008F3A41"/>
    <w:rsid w:val="008F3A4E"/>
    <w:rsid w:val="008F3A52"/>
    <w:rsid w:val="008F3AD8"/>
    <w:rsid w:val="008F3B10"/>
    <w:rsid w:val="008F3B1D"/>
    <w:rsid w:val="008F3C5A"/>
    <w:rsid w:val="008F3D11"/>
    <w:rsid w:val="008F3D5D"/>
    <w:rsid w:val="008F3DA2"/>
    <w:rsid w:val="008F3E01"/>
    <w:rsid w:val="008F3E52"/>
    <w:rsid w:val="008F3EB0"/>
    <w:rsid w:val="008F3F5F"/>
    <w:rsid w:val="008F3FE3"/>
    <w:rsid w:val="008F40C9"/>
    <w:rsid w:val="008F412D"/>
    <w:rsid w:val="008F41A7"/>
    <w:rsid w:val="008F41DC"/>
    <w:rsid w:val="008F4242"/>
    <w:rsid w:val="008F4430"/>
    <w:rsid w:val="008F4457"/>
    <w:rsid w:val="008F4466"/>
    <w:rsid w:val="008F4467"/>
    <w:rsid w:val="008F44BD"/>
    <w:rsid w:val="008F4591"/>
    <w:rsid w:val="008F4597"/>
    <w:rsid w:val="008F46CA"/>
    <w:rsid w:val="008F4705"/>
    <w:rsid w:val="008F4839"/>
    <w:rsid w:val="008F491E"/>
    <w:rsid w:val="008F4922"/>
    <w:rsid w:val="008F4963"/>
    <w:rsid w:val="008F49A8"/>
    <w:rsid w:val="008F4A5A"/>
    <w:rsid w:val="008F4AD3"/>
    <w:rsid w:val="008F4AEC"/>
    <w:rsid w:val="008F4B03"/>
    <w:rsid w:val="008F4BE2"/>
    <w:rsid w:val="008F4DF0"/>
    <w:rsid w:val="008F4E0C"/>
    <w:rsid w:val="008F4E40"/>
    <w:rsid w:val="008F4E7C"/>
    <w:rsid w:val="008F5042"/>
    <w:rsid w:val="008F5273"/>
    <w:rsid w:val="008F52BB"/>
    <w:rsid w:val="008F52F8"/>
    <w:rsid w:val="008F542E"/>
    <w:rsid w:val="008F54AD"/>
    <w:rsid w:val="008F54EE"/>
    <w:rsid w:val="008F56A2"/>
    <w:rsid w:val="008F56D9"/>
    <w:rsid w:val="008F5745"/>
    <w:rsid w:val="008F578E"/>
    <w:rsid w:val="008F57AE"/>
    <w:rsid w:val="008F57B3"/>
    <w:rsid w:val="008F5A44"/>
    <w:rsid w:val="008F5AA2"/>
    <w:rsid w:val="008F5B83"/>
    <w:rsid w:val="008F5B97"/>
    <w:rsid w:val="008F5C3D"/>
    <w:rsid w:val="008F5C6B"/>
    <w:rsid w:val="008F5D21"/>
    <w:rsid w:val="008F5D28"/>
    <w:rsid w:val="008F5D4C"/>
    <w:rsid w:val="008F5DF2"/>
    <w:rsid w:val="008F5DF6"/>
    <w:rsid w:val="008F5EA0"/>
    <w:rsid w:val="008F5EB1"/>
    <w:rsid w:val="008F5FB9"/>
    <w:rsid w:val="008F600D"/>
    <w:rsid w:val="008F60C7"/>
    <w:rsid w:val="008F60DA"/>
    <w:rsid w:val="008F61A0"/>
    <w:rsid w:val="008F6200"/>
    <w:rsid w:val="008F6217"/>
    <w:rsid w:val="008F6380"/>
    <w:rsid w:val="008F6417"/>
    <w:rsid w:val="008F64A3"/>
    <w:rsid w:val="008F65A3"/>
    <w:rsid w:val="008F6611"/>
    <w:rsid w:val="008F6631"/>
    <w:rsid w:val="008F6640"/>
    <w:rsid w:val="008F66E4"/>
    <w:rsid w:val="008F6738"/>
    <w:rsid w:val="008F6792"/>
    <w:rsid w:val="008F67A3"/>
    <w:rsid w:val="008F67D3"/>
    <w:rsid w:val="008F683B"/>
    <w:rsid w:val="008F684A"/>
    <w:rsid w:val="008F69F7"/>
    <w:rsid w:val="008F6A25"/>
    <w:rsid w:val="008F6B05"/>
    <w:rsid w:val="008F6B16"/>
    <w:rsid w:val="008F6BA5"/>
    <w:rsid w:val="008F6DA4"/>
    <w:rsid w:val="008F6E43"/>
    <w:rsid w:val="008F6E92"/>
    <w:rsid w:val="008F6E9E"/>
    <w:rsid w:val="008F6F7D"/>
    <w:rsid w:val="008F7065"/>
    <w:rsid w:val="008F7203"/>
    <w:rsid w:val="008F7295"/>
    <w:rsid w:val="008F730F"/>
    <w:rsid w:val="008F7327"/>
    <w:rsid w:val="008F7354"/>
    <w:rsid w:val="008F735F"/>
    <w:rsid w:val="008F7429"/>
    <w:rsid w:val="008F74C5"/>
    <w:rsid w:val="008F74E4"/>
    <w:rsid w:val="008F7548"/>
    <w:rsid w:val="008F75AD"/>
    <w:rsid w:val="008F75D1"/>
    <w:rsid w:val="008F75F7"/>
    <w:rsid w:val="008F765D"/>
    <w:rsid w:val="008F767C"/>
    <w:rsid w:val="008F7683"/>
    <w:rsid w:val="008F769C"/>
    <w:rsid w:val="008F7773"/>
    <w:rsid w:val="008F77BC"/>
    <w:rsid w:val="008F77C7"/>
    <w:rsid w:val="008F77C9"/>
    <w:rsid w:val="008F7811"/>
    <w:rsid w:val="008F785F"/>
    <w:rsid w:val="008F78C8"/>
    <w:rsid w:val="008F790D"/>
    <w:rsid w:val="008F7976"/>
    <w:rsid w:val="008F79EE"/>
    <w:rsid w:val="008F7A67"/>
    <w:rsid w:val="008F7A97"/>
    <w:rsid w:val="008F7AEF"/>
    <w:rsid w:val="008F7B2E"/>
    <w:rsid w:val="008F7CD0"/>
    <w:rsid w:val="008F7D39"/>
    <w:rsid w:val="008F7F5A"/>
    <w:rsid w:val="008F7F82"/>
    <w:rsid w:val="008F7FBE"/>
    <w:rsid w:val="0090016B"/>
    <w:rsid w:val="00900218"/>
    <w:rsid w:val="0090025B"/>
    <w:rsid w:val="00900260"/>
    <w:rsid w:val="00900293"/>
    <w:rsid w:val="009002B7"/>
    <w:rsid w:val="009002D2"/>
    <w:rsid w:val="009002D3"/>
    <w:rsid w:val="00900327"/>
    <w:rsid w:val="00900442"/>
    <w:rsid w:val="00900492"/>
    <w:rsid w:val="009004BA"/>
    <w:rsid w:val="0090050E"/>
    <w:rsid w:val="009005E7"/>
    <w:rsid w:val="009006AA"/>
    <w:rsid w:val="0090070B"/>
    <w:rsid w:val="0090077E"/>
    <w:rsid w:val="0090081B"/>
    <w:rsid w:val="00900850"/>
    <w:rsid w:val="00900854"/>
    <w:rsid w:val="00900882"/>
    <w:rsid w:val="009008BF"/>
    <w:rsid w:val="00900934"/>
    <w:rsid w:val="00900A1F"/>
    <w:rsid w:val="00900A6D"/>
    <w:rsid w:val="00900AD9"/>
    <w:rsid w:val="00900AF3"/>
    <w:rsid w:val="00900B0E"/>
    <w:rsid w:val="00900B61"/>
    <w:rsid w:val="00900CB7"/>
    <w:rsid w:val="00900D41"/>
    <w:rsid w:val="00900D48"/>
    <w:rsid w:val="00900D8E"/>
    <w:rsid w:val="00900E37"/>
    <w:rsid w:val="00900E64"/>
    <w:rsid w:val="00900E97"/>
    <w:rsid w:val="00900F21"/>
    <w:rsid w:val="00900F34"/>
    <w:rsid w:val="00900F3E"/>
    <w:rsid w:val="00900F75"/>
    <w:rsid w:val="009011CA"/>
    <w:rsid w:val="009011D6"/>
    <w:rsid w:val="0090122B"/>
    <w:rsid w:val="0090122C"/>
    <w:rsid w:val="00901249"/>
    <w:rsid w:val="0090126B"/>
    <w:rsid w:val="0090130D"/>
    <w:rsid w:val="00901317"/>
    <w:rsid w:val="0090138F"/>
    <w:rsid w:val="0090143F"/>
    <w:rsid w:val="0090152D"/>
    <w:rsid w:val="009015AD"/>
    <w:rsid w:val="0090160B"/>
    <w:rsid w:val="0090161D"/>
    <w:rsid w:val="009016C3"/>
    <w:rsid w:val="009017C4"/>
    <w:rsid w:val="00901803"/>
    <w:rsid w:val="00901814"/>
    <w:rsid w:val="00901872"/>
    <w:rsid w:val="009018C0"/>
    <w:rsid w:val="009018F4"/>
    <w:rsid w:val="0090198F"/>
    <w:rsid w:val="00901ABC"/>
    <w:rsid w:val="00901B72"/>
    <w:rsid w:val="00901B96"/>
    <w:rsid w:val="00901BDC"/>
    <w:rsid w:val="00901C1A"/>
    <w:rsid w:val="00901C50"/>
    <w:rsid w:val="00901D0D"/>
    <w:rsid w:val="00901D3E"/>
    <w:rsid w:val="00901DA6"/>
    <w:rsid w:val="00901E50"/>
    <w:rsid w:val="00901E62"/>
    <w:rsid w:val="00901EDE"/>
    <w:rsid w:val="00901EF2"/>
    <w:rsid w:val="00901F35"/>
    <w:rsid w:val="00901F5F"/>
    <w:rsid w:val="00901FE4"/>
    <w:rsid w:val="0090211E"/>
    <w:rsid w:val="009021C3"/>
    <w:rsid w:val="009021E4"/>
    <w:rsid w:val="0090220A"/>
    <w:rsid w:val="009022D4"/>
    <w:rsid w:val="0090230D"/>
    <w:rsid w:val="0090237A"/>
    <w:rsid w:val="00902389"/>
    <w:rsid w:val="00902399"/>
    <w:rsid w:val="0090239B"/>
    <w:rsid w:val="009023EA"/>
    <w:rsid w:val="0090240A"/>
    <w:rsid w:val="00902496"/>
    <w:rsid w:val="009024BA"/>
    <w:rsid w:val="00902587"/>
    <w:rsid w:val="009025C3"/>
    <w:rsid w:val="009025F8"/>
    <w:rsid w:val="009026D9"/>
    <w:rsid w:val="00902751"/>
    <w:rsid w:val="009027F4"/>
    <w:rsid w:val="00902821"/>
    <w:rsid w:val="00902850"/>
    <w:rsid w:val="009028B5"/>
    <w:rsid w:val="009028D3"/>
    <w:rsid w:val="00902907"/>
    <w:rsid w:val="00902985"/>
    <w:rsid w:val="0090299F"/>
    <w:rsid w:val="00902A64"/>
    <w:rsid w:val="00902ADD"/>
    <w:rsid w:val="00902B2F"/>
    <w:rsid w:val="00902B34"/>
    <w:rsid w:val="00902D34"/>
    <w:rsid w:val="00902DC2"/>
    <w:rsid w:val="00902DF2"/>
    <w:rsid w:val="009031D3"/>
    <w:rsid w:val="0090323A"/>
    <w:rsid w:val="0090323F"/>
    <w:rsid w:val="00903295"/>
    <w:rsid w:val="0090331C"/>
    <w:rsid w:val="00903321"/>
    <w:rsid w:val="00903411"/>
    <w:rsid w:val="0090349E"/>
    <w:rsid w:val="009035F9"/>
    <w:rsid w:val="0090362E"/>
    <w:rsid w:val="00903731"/>
    <w:rsid w:val="00903769"/>
    <w:rsid w:val="009037F8"/>
    <w:rsid w:val="00903908"/>
    <w:rsid w:val="009039D0"/>
    <w:rsid w:val="00903A28"/>
    <w:rsid w:val="00903A9C"/>
    <w:rsid w:val="00903B23"/>
    <w:rsid w:val="00903BBD"/>
    <w:rsid w:val="00903BC2"/>
    <w:rsid w:val="00903BF5"/>
    <w:rsid w:val="00903C50"/>
    <w:rsid w:val="00903C5D"/>
    <w:rsid w:val="00903C62"/>
    <w:rsid w:val="00903CFC"/>
    <w:rsid w:val="00903DBB"/>
    <w:rsid w:val="00903DCF"/>
    <w:rsid w:val="00903DD6"/>
    <w:rsid w:val="00903E2D"/>
    <w:rsid w:val="00903E54"/>
    <w:rsid w:val="00903E58"/>
    <w:rsid w:val="00903E80"/>
    <w:rsid w:val="00903E8C"/>
    <w:rsid w:val="00903EFC"/>
    <w:rsid w:val="00903F28"/>
    <w:rsid w:val="00903FBE"/>
    <w:rsid w:val="00904041"/>
    <w:rsid w:val="00904080"/>
    <w:rsid w:val="009040FA"/>
    <w:rsid w:val="009041E6"/>
    <w:rsid w:val="009041EF"/>
    <w:rsid w:val="0090427E"/>
    <w:rsid w:val="009042C7"/>
    <w:rsid w:val="00904369"/>
    <w:rsid w:val="009043AF"/>
    <w:rsid w:val="009043E0"/>
    <w:rsid w:val="0090440E"/>
    <w:rsid w:val="00904411"/>
    <w:rsid w:val="009044DA"/>
    <w:rsid w:val="009044EA"/>
    <w:rsid w:val="00904509"/>
    <w:rsid w:val="0090455A"/>
    <w:rsid w:val="0090456F"/>
    <w:rsid w:val="009045F0"/>
    <w:rsid w:val="0090469E"/>
    <w:rsid w:val="00904776"/>
    <w:rsid w:val="0090478B"/>
    <w:rsid w:val="0090485E"/>
    <w:rsid w:val="009048D9"/>
    <w:rsid w:val="00904A61"/>
    <w:rsid w:val="00904A8B"/>
    <w:rsid w:val="00904AD9"/>
    <w:rsid w:val="00904B29"/>
    <w:rsid w:val="00904D12"/>
    <w:rsid w:val="00904F2F"/>
    <w:rsid w:val="00905116"/>
    <w:rsid w:val="0090515F"/>
    <w:rsid w:val="0090517D"/>
    <w:rsid w:val="00905244"/>
    <w:rsid w:val="00905281"/>
    <w:rsid w:val="0090537F"/>
    <w:rsid w:val="009053F7"/>
    <w:rsid w:val="00905528"/>
    <w:rsid w:val="009055A7"/>
    <w:rsid w:val="009056C4"/>
    <w:rsid w:val="00905745"/>
    <w:rsid w:val="00905796"/>
    <w:rsid w:val="009057EA"/>
    <w:rsid w:val="009057F9"/>
    <w:rsid w:val="00905905"/>
    <w:rsid w:val="00905988"/>
    <w:rsid w:val="00905A89"/>
    <w:rsid w:val="00905ACE"/>
    <w:rsid w:val="00905BF0"/>
    <w:rsid w:val="00905C4C"/>
    <w:rsid w:val="00905CBF"/>
    <w:rsid w:val="00905E80"/>
    <w:rsid w:val="00905E9F"/>
    <w:rsid w:val="00905EFC"/>
    <w:rsid w:val="00906037"/>
    <w:rsid w:val="009060CD"/>
    <w:rsid w:val="00906194"/>
    <w:rsid w:val="0090622F"/>
    <w:rsid w:val="00906260"/>
    <w:rsid w:val="009062E8"/>
    <w:rsid w:val="00906397"/>
    <w:rsid w:val="009063A2"/>
    <w:rsid w:val="009063ED"/>
    <w:rsid w:val="009063F8"/>
    <w:rsid w:val="0090645D"/>
    <w:rsid w:val="00906485"/>
    <w:rsid w:val="0090649F"/>
    <w:rsid w:val="009064BC"/>
    <w:rsid w:val="00906582"/>
    <w:rsid w:val="00906625"/>
    <w:rsid w:val="00906626"/>
    <w:rsid w:val="00906634"/>
    <w:rsid w:val="00906713"/>
    <w:rsid w:val="009067E1"/>
    <w:rsid w:val="0090681D"/>
    <w:rsid w:val="00906872"/>
    <w:rsid w:val="0090687E"/>
    <w:rsid w:val="00906897"/>
    <w:rsid w:val="009068EA"/>
    <w:rsid w:val="00906AFA"/>
    <w:rsid w:val="00906B44"/>
    <w:rsid w:val="00906B90"/>
    <w:rsid w:val="00906C1E"/>
    <w:rsid w:val="00906CF1"/>
    <w:rsid w:val="00906D90"/>
    <w:rsid w:val="00906E70"/>
    <w:rsid w:val="00906ED0"/>
    <w:rsid w:val="00906EE2"/>
    <w:rsid w:val="00907094"/>
    <w:rsid w:val="009070F5"/>
    <w:rsid w:val="009071EE"/>
    <w:rsid w:val="00907274"/>
    <w:rsid w:val="00907328"/>
    <w:rsid w:val="00907349"/>
    <w:rsid w:val="009073D1"/>
    <w:rsid w:val="009074C8"/>
    <w:rsid w:val="00907535"/>
    <w:rsid w:val="00907567"/>
    <w:rsid w:val="0090766A"/>
    <w:rsid w:val="00907679"/>
    <w:rsid w:val="009076CE"/>
    <w:rsid w:val="00907731"/>
    <w:rsid w:val="00907814"/>
    <w:rsid w:val="009079B5"/>
    <w:rsid w:val="009079CB"/>
    <w:rsid w:val="00907A43"/>
    <w:rsid w:val="00907A59"/>
    <w:rsid w:val="00907AB2"/>
    <w:rsid w:val="00907ABB"/>
    <w:rsid w:val="00907ADA"/>
    <w:rsid w:val="00907AE4"/>
    <w:rsid w:val="00907B91"/>
    <w:rsid w:val="00907B95"/>
    <w:rsid w:val="00907BA8"/>
    <w:rsid w:val="00907BD9"/>
    <w:rsid w:val="00907CB9"/>
    <w:rsid w:val="00907DC1"/>
    <w:rsid w:val="00907E64"/>
    <w:rsid w:val="00907E77"/>
    <w:rsid w:val="00907F23"/>
    <w:rsid w:val="00907FC9"/>
    <w:rsid w:val="00910012"/>
    <w:rsid w:val="00910115"/>
    <w:rsid w:val="00910201"/>
    <w:rsid w:val="00910282"/>
    <w:rsid w:val="009102B2"/>
    <w:rsid w:val="009102D2"/>
    <w:rsid w:val="009102E8"/>
    <w:rsid w:val="0091031C"/>
    <w:rsid w:val="00910362"/>
    <w:rsid w:val="009104AC"/>
    <w:rsid w:val="009104EA"/>
    <w:rsid w:val="009104F5"/>
    <w:rsid w:val="00910586"/>
    <w:rsid w:val="00910587"/>
    <w:rsid w:val="00910654"/>
    <w:rsid w:val="009106A1"/>
    <w:rsid w:val="009106A9"/>
    <w:rsid w:val="00910769"/>
    <w:rsid w:val="009107A2"/>
    <w:rsid w:val="009107D7"/>
    <w:rsid w:val="00910952"/>
    <w:rsid w:val="00910B35"/>
    <w:rsid w:val="00910BAA"/>
    <w:rsid w:val="00910CC3"/>
    <w:rsid w:val="00910D23"/>
    <w:rsid w:val="00910F61"/>
    <w:rsid w:val="009110C4"/>
    <w:rsid w:val="009112EC"/>
    <w:rsid w:val="0091130B"/>
    <w:rsid w:val="0091131A"/>
    <w:rsid w:val="0091143F"/>
    <w:rsid w:val="00911493"/>
    <w:rsid w:val="00911494"/>
    <w:rsid w:val="00911642"/>
    <w:rsid w:val="0091165F"/>
    <w:rsid w:val="009116A9"/>
    <w:rsid w:val="0091170F"/>
    <w:rsid w:val="009117AB"/>
    <w:rsid w:val="009117FE"/>
    <w:rsid w:val="00911886"/>
    <w:rsid w:val="009118DE"/>
    <w:rsid w:val="00911B19"/>
    <w:rsid w:val="00911BAE"/>
    <w:rsid w:val="00911CB3"/>
    <w:rsid w:val="00911D7A"/>
    <w:rsid w:val="00911DB1"/>
    <w:rsid w:val="00911E74"/>
    <w:rsid w:val="00911F8F"/>
    <w:rsid w:val="00912089"/>
    <w:rsid w:val="009120F6"/>
    <w:rsid w:val="0091217A"/>
    <w:rsid w:val="0091217C"/>
    <w:rsid w:val="00912281"/>
    <w:rsid w:val="009122A9"/>
    <w:rsid w:val="00912348"/>
    <w:rsid w:val="0091236E"/>
    <w:rsid w:val="009123A7"/>
    <w:rsid w:val="0091241F"/>
    <w:rsid w:val="00912450"/>
    <w:rsid w:val="00912465"/>
    <w:rsid w:val="00912503"/>
    <w:rsid w:val="00912569"/>
    <w:rsid w:val="00912590"/>
    <w:rsid w:val="009125A0"/>
    <w:rsid w:val="009125A1"/>
    <w:rsid w:val="00912603"/>
    <w:rsid w:val="00912629"/>
    <w:rsid w:val="00912673"/>
    <w:rsid w:val="009126B6"/>
    <w:rsid w:val="0091282B"/>
    <w:rsid w:val="009128F6"/>
    <w:rsid w:val="009129D6"/>
    <w:rsid w:val="00912A0A"/>
    <w:rsid w:val="00912A7B"/>
    <w:rsid w:val="00912ABA"/>
    <w:rsid w:val="00912B4D"/>
    <w:rsid w:val="00912B84"/>
    <w:rsid w:val="00912C04"/>
    <w:rsid w:val="00912C0A"/>
    <w:rsid w:val="00912C88"/>
    <w:rsid w:val="00912D3E"/>
    <w:rsid w:val="00912D72"/>
    <w:rsid w:val="00912DD0"/>
    <w:rsid w:val="00912DF6"/>
    <w:rsid w:val="00912E09"/>
    <w:rsid w:val="00912E2A"/>
    <w:rsid w:val="00912E87"/>
    <w:rsid w:val="00913012"/>
    <w:rsid w:val="0091311F"/>
    <w:rsid w:val="00913137"/>
    <w:rsid w:val="0091315B"/>
    <w:rsid w:val="009131EE"/>
    <w:rsid w:val="00913218"/>
    <w:rsid w:val="00913336"/>
    <w:rsid w:val="00913393"/>
    <w:rsid w:val="009133E1"/>
    <w:rsid w:val="0091343B"/>
    <w:rsid w:val="0091346B"/>
    <w:rsid w:val="0091348E"/>
    <w:rsid w:val="009134A4"/>
    <w:rsid w:val="009134D7"/>
    <w:rsid w:val="009134E9"/>
    <w:rsid w:val="009135FD"/>
    <w:rsid w:val="0091364A"/>
    <w:rsid w:val="0091369A"/>
    <w:rsid w:val="00913708"/>
    <w:rsid w:val="009137BA"/>
    <w:rsid w:val="009137CB"/>
    <w:rsid w:val="00913807"/>
    <w:rsid w:val="009138DB"/>
    <w:rsid w:val="009138E2"/>
    <w:rsid w:val="00913951"/>
    <w:rsid w:val="00913987"/>
    <w:rsid w:val="00913990"/>
    <w:rsid w:val="009139AD"/>
    <w:rsid w:val="00913A7C"/>
    <w:rsid w:val="00913A99"/>
    <w:rsid w:val="00913AB7"/>
    <w:rsid w:val="00913AD8"/>
    <w:rsid w:val="00913B20"/>
    <w:rsid w:val="00913B31"/>
    <w:rsid w:val="00913B5C"/>
    <w:rsid w:val="00913BD5"/>
    <w:rsid w:val="00913D11"/>
    <w:rsid w:val="00913DC4"/>
    <w:rsid w:val="00913EB4"/>
    <w:rsid w:val="00913ED0"/>
    <w:rsid w:val="00913F32"/>
    <w:rsid w:val="00913F4D"/>
    <w:rsid w:val="00913FCE"/>
    <w:rsid w:val="00913FFB"/>
    <w:rsid w:val="00914080"/>
    <w:rsid w:val="00914156"/>
    <w:rsid w:val="009141B5"/>
    <w:rsid w:val="00914204"/>
    <w:rsid w:val="0091421D"/>
    <w:rsid w:val="00914383"/>
    <w:rsid w:val="009143EA"/>
    <w:rsid w:val="0091444A"/>
    <w:rsid w:val="00914513"/>
    <w:rsid w:val="00914515"/>
    <w:rsid w:val="00914518"/>
    <w:rsid w:val="00914541"/>
    <w:rsid w:val="00914544"/>
    <w:rsid w:val="00914589"/>
    <w:rsid w:val="0091466F"/>
    <w:rsid w:val="00914684"/>
    <w:rsid w:val="00914695"/>
    <w:rsid w:val="00914772"/>
    <w:rsid w:val="0091477C"/>
    <w:rsid w:val="009147BC"/>
    <w:rsid w:val="00914803"/>
    <w:rsid w:val="00914816"/>
    <w:rsid w:val="0091484A"/>
    <w:rsid w:val="0091498B"/>
    <w:rsid w:val="00914A60"/>
    <w:rsid w:val="00914AA9"/>
    <w:rsid w:val="00914B50"/>
    <w:rsid w:val="00914BA9"/>
    <w:rsid w:val="00914CF4"/>
    <w:rsid w:val="00914D3B"/>
    <w:rsid w:val="00914D66"/>
    <w:rsid w:val="00914D7C"/>
    <w:rsid w:val="00914DA6"/>
    <w:rsid w:val="00914E70"/>
    <w:rsid w:val="00914F76"/>
    <w:rsid w:val="00914FD9"/>
    <w:rsid w:val="0091511F"/>
    <w:rsid w:val="0091520F"/>
    <w:rsid w:val="009152B0"/>
    <w:rsid w:val="009152EF"/>
    <w:rsid w:val="009153DE"/>
    <w:rsid w:val="0091542C"/>
    <w:rsid w:val="00915440"/>
    <w:rsid w:val="009154DE"/>
    <w:rsid w:val="009154E8"/>
    <w:rsid w:val="0091559E"/>
    <w:rsid w:val="00915624"/>
    <w:rsid w:val="0091564D"/>
    <w:rsid w:val="00915747"/>
    <w:rsid w:val="0091575B"/>
    <w:rsid w:val="009157D0"/>
    <w:rsid w:val="009157E6"/>
    <w:rsid w:val="009157E8"/>
    <w:rsid w:val="00915846"/>
    <w:rsid w:val="00915896"/>
    <w:rsid w:val="00915905"/>
    <w:rsid w:val="00915923"/>
    <w:rsid w:val="00915995"/>
    <w:rsid w:val="009159AC"/>
    <w:rsid w:val="00915A1D"/>
    <w:rsid w:val="00915A55"/>
    <w:rsid w:val="00915A6C"/>
    <w:rsid w:val="00915ABF"/>
    <w:rsid w:val="00915AFB"/>
    <w:rsid w:val="00915B0A"/>
    <w:rsid w:val="00915C0F"/>
    <w:rsid w:val="00915DBF"/>
    <w:rsid w:val="00915E16"/>
    <w:rsid w:val="00915E74"/>
    <w:rsid w:val="00915EE9"/>
    <w:rsid w:val="00915FDD"/>
    <w:rsid w:val="0091600E"/>
    <w:rsid w:val="0091603F"/>
    <w:rsid w:val="0091615D"/>
    <w:rsid w:val="009161CB"/>
    <w:rsid w:val="009162EB"/>
    <w:rsid w:val="0091632C"/>
    <w:rsid w:val="00916387"/>
    <w:rsid w:val="009164CC"/>
    <w:rsid w:val="00916643"/>
    <w:rsid w:val="00916690"/>
    <w:rsid w:val="0091669E"/>
    <w:rsid w:val="009166BD"/>
    <w:rsid w:val="009166D4"/>
    <w:rsid w:val="00916722"/>
    <w:rsid w:val="00916738"/>
    <w:rsid w:val="0091678E"/>
    <w:rsid w:val="00916790"/>
    <w:rsid w:val="009167A0"/>
    <w:rsid w:val="009167E8"/>
    <w:rsid w:val="0091680F"/>
    <w:rsid w:val="0091683E"/>
    <w:rsid w:val="00916894"/>
    <w:rsid w:val="009168E6"/>
    <w:rsid w:val="009169EB"/>
    <w:rsid w:val="00916A57"/>
    <w:rsid w:val="00916AA4"/>
    <w:rsid w:val="00916B61"/>
    <w:rsid w:val="00916B8B"/>
    <w:rsid w:val="00916C8D"/>
    <w:rsid w:val="00916C93"/>
    <w:rsid w:val="00916C9D"/>
    <w:rsid w:val="00916DFB"/>
    <w:rsid w:val="00916E5B"/>
    <w:rsid w:val="00916EAF"/>
    <w:rsid w:val="00916F3F"/>
    <w:rsid w:val="00916FAA"/>
    <w:rsid w:val="00916FEF"/>
    <w:rsid w:val="0091705D"/>
    <w:rsid w:val="009170C9"/>
    <w:rsid w:val="009170D7"/>
    <w:rsid w:val="009170DD"/>
    <w:rsid w:val="00917187"/>
    <w:rsid w:val="0091720E"/>
    <w:rsid w:val="00917288"/>
    <w:rsid w:val="009174CF"/>
    <w:rsid w:val="009175B5"/>
    <w:rsid w:val="00917626"/>
    <w:rsid w:val="00917652"/>
    <w:rsid w:val="009176B3"/>
    <w:rsid w:val="0091775C"/>
    <w:rsid w:val="00917888"/>
    <w:rsid w:val="009178D0"/>
    <w:rsid w:val="009178E2"/>
    <w:rsid w:val="009179D4"/>
    <w:rsid w:val="00917A23"/>
    <w:rsid w:val="00917A56"/>
    <w:rsid w:val="00917A79"/>
    <w:rsid w:val="00917B8C"/>
    <w:rsid w:val="00917B97"/>
    <w:rsid w:val="00917CC9"/>
    <w:rsid w:val="00917CFD"/>
    <w:rsid w:val="00917DAB"/>
    <w:rsid w:val="00917DAC"/>
    <w:rsid w:val="00917E71"/>
    <w:rsid w:val="00917ED7"/>
    <w:rsid w:val="00917F3F"/>
    <w:rsid w:val="00917F45"/>
    <w:rsid w:val="00917FD2"/>
    <w:rsid w:val="00917FF0"/>
    <w:rsid w:val="00920093"/>
    <w:rsid w:val="0092012D"/>
    <w:rsid w:val="009201B8"/>
    <w:rsid w:val="009201E5"/>
    <w:rsid w:val="00920248"/>
    <w:rsid w:val="009202CA"/>
    <w:rsid w:val="009202D0"/>
    <w:rsid w:val="00920335"/>
    <w:rsid w:val="0092038E"/>
    <w:rsid w:val="009203BD"/>
    <w:rsid w:val="00920459"/>
    <w:rsid w:val="0092051A"/>
    <w:rsid w:val="0092055F"/>
    <w:rsid w:val="0092059A"/>
    <w:rsid w:val="00920642"/>
    <w:rsid w:val="009206DC"/>
    <w:rsid w:val="009206EF"/>
    <w:rsid w:val="009207D5"/>
    <w:rsid w:val="009207FB"/>
    <w:rsid w:val="00920802"/>
    <w:rsid w:val="009208C1"/>
    <w:rsid w:val="00920939"/>
    <w:rsid w:val="009209CB"/>
    <w:rsid w:val="00920A81"/>
    <w:rsid w:val="00920AAA"/>
    <w:rsid w:val="00920AEF"/>
    <w:rsid w:val="00920B15"/>
    <w:rsid w:val="00920B1A"/>
    <w:rsid w:val="00920B2F"/>
    <w:rsid w:val="00920B8C"/>
    <w:rsid w:val="00920C8F"/>
    <w:rsid w:val="00920CF2"/>
    <w:rsid w:val="00920D7A"/>
    <w:rsid w:val="00920DAE"/>
    <w:rsid w:val="00920DCA"/>
    <w:rsid w:val="00920DF4"/>
    <w:rsid w:val="00920EA1"/>
    <w:rsid w:val="00921057"/>
    <w:rsid w:val="00921160"/>
    <w:rsid w:val="009211F3"/>
    <w:rsid w:val="009212EB"/>
    <w:rsid w:val="0092133B"/>
    <w:rsid w:val="00921363"/>
    <w:rsid w:val="009213A9"/>
    <w:rsid w:val="009213B4"/>
    <w:rsid w:val="009214DE"/>
    <w:rsid w:val="00921531"/>
    <w:rsid w:val="00921640"/>
    <w:rsid w:val="0092164C"/>
    <w:rsid w:val="00921730"/>
    <w:rsid w:val="00921751"/>
    <w:rsid w:val="00921771"/>
    <w:rsid w:val="009217BA"/>
    <w:rsid w:val="0092181C"/>
    <w:rsid w:val="0092189B"/>
    <w:rsid w:val="009219B5"/>
    <w:rsid w:val="009219BF"/>
    <w:rsid w:val="00921B1C"/>
    <w:rsid w:val="00921B1E"/>
    <w:rsid w:val="00921B4B"/>
    <w:rsid w:val="00921B57"/>
    <w:rsid w:val="00921C03"/>
    <w:rsid w:val="00921C75"/>
    <w:rsid w:val="00921C87"/>
    <w:rsid w:val="00921CCC"/>
    <w:rsid w:val="00921D96"/>
    <w:rsid w:val="00921E63"/>
    <w:rsid w:val="00921E88"/>
    <w:rsid w:val="00921E8E"/>
    <w:rsid w:val="00921EBB"/>
    <w:rsid w:val="00921ED8"/>
    <w:rsid w:val="0092202A"/>
    <w:rsid w:val="0092204B"/>
    <w:rsid w:val="00922065"/>
    <w:rsid w:val="0092206B"/>
    <w:rsid w:val="00922091"/>
    <w:rsid w:val="009220DC"/>
    <w:rsid w:val="00922115"/>
    <w:rsid w:val="009221CE"/>
    <w:rsid w:val="00922203"/>
    <w:rsid w:val="0092225E"/>
    <w:rsid w:val="0092227B"/>
    <w:rsid w:val="00922297"/>
    <w:rsid w:val="009222CF"/>
    <w:rsid w:val="009223D8"/>
    <w:rsid w:val="009223F5"/>
    <w:rsid w:val="00922449"/>
    <w:rsid w:val="00922472"/>
    <w:rsid w:val="00922496"/>
    <w:rsid w:val="009224BC"/>
    <w:rsid w:val="0092253C"/>
    <w:rsid w:val="0092259A"/>
    <w:rsid w:val="0092265F"/>
    <w:rsid w:val="00922672"/>
    <w:rsid w:val="0092268A"/>
    <w:rsid w:val="009226C3"/>
    <w:rsid w:val="009226C8"/>
    <w:rsid w:val="0092272C"/>
    <w:rsid w:val="0092276D"/>
    <w:rsid w:val="00922777"/>
    <w:rsid w:val="00922788"/>
    <w:rsid w:val="0092282D"/>
    <w:rsid w:val="009228B3"/>
    <w:rsid w:val="009228E1"/>
    <w:rsid w:val="0092291D"/>
    <w:rsid w:val="0092292A"/>
    <w:rsid w:val="009229C4"/>
    <w:rsid w:val="00922A75"/>
    <w:rsid w:val="00922BD3"/>
    <w:rsid w:val="00922E7B"/>
    <w:rsid w:val="00922F3B"/>
    <w:rsid w:val="00922F5C"/>
    <w:rsid w:val="00922F83"/>
    <w:rsid w:val="00922FC5"/>
    <w:rsid w:val="00923076"/>
    <w:rsid w:val="00923083"/>
    <w:rsid w:val="00923159"/>
    <w:rsid w:val="009231AD"/>
    <w:rsid w:val="009231E6"/>
    <w:rsid w:val="00923257"/>
    <w:rsid w:val="00923405"/>
    <w:rsid w:val="0092346D"/>
    <w:rsid w:val="009234CD"/>
    <w:rsid w:val="0092350B"/>
    <w:rsid w:val="009235A3"/>
    <w:rsid w:val="00923638"/>
    <w:rsid w:val="0092365C"/>
    <w:rsid w:val="009236FF"/>
    <w:rsid w:val="00923711"/>
    <w:rsid w:val="00923726"/>
    <w:rsid w:val="00923732"/>
    <w:rsid w:val="009237B0"/>
    <w:rsid w:val="00923835"/>
    <w:rsid w:val="00923876"/>
    <w:rsid w:val="00923906"/>
    <w:rsid w:val="00923984"/>
    <w:rsid w:val="009239FB"/>
    <w:rsid w:val="00923A62"/>
    <w:rsid w:val="00923A9B"/>
    <w:rsid w:val="00923AC3"/>
    <w:rsid w:val="00923BB7"/>
    <w:rsid w:val="00923C45"/>
    <w:rsid w:val="00923C6D"/>
    <w:rsid w:val="00923C81"/>
    <w:rsid w:val="00923D7F"/>
    <w:rsid w:val="00923DD5"/>
    <w:rsid w:val="00923E7F"/>
    <w:rsid w:val="00923EDF"/>
    <w:rsid w:val="00923FA2"/>
    <w:rsid w:val="00924040"/>
    <w:rsid w:val="0092404B"/>
    <w:rsid w:val="0092407F"/>
    <w:rsid w:val="009240EC"/>
    <w:rsid w:val="00924123"/>
    <w:rsid w:val="009241EE"/>
    <w:rsid w:val="00924365"/>
    <w:rsid w:val="009243C7"/>
    <w:rsid w:val="009243CD"/>
    <w:rsid w:val="00924416"/>
    <w:rsid w:val="0092443B"/>
    <w:rsid w:val="00924553"/>
    <w:rsid w:val="00924612"/>
    <w:rsid w:val="0092474B"/>
    <w:rsid w:val="0092478E"/>
    <w:rsid w:val="009247BA"/>
    <w:rsid w:val="0092481D"/>
    <w:rsid w:val="0092487C"/>
    <w:rsid w:val="00924907"/>
    <w:rsid w:val="00924921"/>
    <w:rsid w:val="00924A00"/>
    <w:rsid w:val="00924A54"/>
    <w:rsid w:val="00924AC3"/>
    <w:rsid w:val="00924AE4"/>
    <w:rsid w:val="00924B60"/>
    <w:rsid w:val="00924B6C"/>
    <w:rsid w:val="00924BA4"/>
    <w:rsid w:val="00924BC6"/>
    <w:rsid w:val="00924C82"/>
    <w:rsid w:val="00924CB0"/>
    <w:rsid w:val="00924D64"/>
    <w:rsid w:val="00924DA6"/>
    <w:rsid w:val="00924DA7"/>
    <w:rsid w:val="00924DAC"/>
    <w:rsid w:val="00924DE8"/>
    <w:rsid w:val="00924DF2"/>
    <w:rsid w:val="00924DF8"/>
    <w:rsid w:val="00924DFA"/>
    <w:rsid w:val="00924E01"/>
    <w:rsid w:val="00924EAE"/>
    <w:rsid w:val="00924F59"/>
    <w:rsid w:val="00924F8F"/>
    <w:rsid w:val="00924FA5"/>
    <w:rsid w:val="0092501B"/>
    <w:rsid w:val="009250B4"/>
    <w:rsid w:val="00925145"/>
    <w:rsid w:val="0092523B"/>
    <w:rsid w:val="00925240"/>
    <w:rsid w:val="0092525E"/>
    <w:rsid w:val="00925294"/>
    <w:rsid w:val="009252CE"/>
    <w:rsid w:val="009252FB"/>
    <w:rsid w:val="00925340"/>
    <w:rsid w:val="00925387"/>
    <w:rsid w:val="00925395"/>
    <w:rsid w:val="00925417"/>
    <w:rsid w:val="009254AE"/>
    <w:rsid w:val="009254CC"/>
    <w:rsid w:val="00925509"/>
    <w:rsid w:val="0092554A"/>
    <w:rsid w:val="0092554E"/>
    <w:rsid w:val="009255B6"/>
    <w:rsid w:val="009255EA"/>
    <w:rsid w:val="0092567F"/>
    <w:rsid w:val="009256C2"/>
    <w:rsid w:val="00925706"/>
    <w:rsid w:val="009258E0"/>
    <w:rsid w:val="00925924"/>
    <w:rsid w:val="0092598F"/>
    <w:rsid w:val="00925A3A"/>
    <w:rsid w:val="00925A90"/>
    <w:rsid w:val="00925AA4"/>
    <w:rsid w:val="00925AB0"/>
    <w:rsid w:val="00925AF5"/>
    <w:rsid w:val="00925BA2"/>
    <w:rsid w:val="00925BF9"/>
    <w:rsid w:val="00925C1D"/>
    <w:rsid w:val="00925D0D"/>
    <w:rsid w:val="00925D56"/>
    <w:rsid w:val="00925D5A"/>
    <w:rsid w:val="00925D5B"/>
    <w:rsid w:val="00925D8A"/>
    <w:rsid w:val="00925E42"/>
    <w:rsid w:val="00925EF8"/>
    <w:rsid w:val="00925F08"/>
    <w:rsid w:val="00925F33"/>
    <w:rsid w:val="0092605E"/>
    <w:rsid w:val="00926109"/>
    <w:rsid w:val="00926121"/>
    <w:rsid w:val="009261AC"/>
    <w:rsid w:val="00926291"/>
    <w:rsid w:val="00926330"/>
    <w:rsid w:val="0092639B"/>
    <w:rsid w:val="00926455"/>
    <w:rsid w:val="0092653D"/>
    <w:rsid w:val="009265F0"/>
    <w:rsid w:val="009265FE"/>
    <w:rsid w:val="0092670E"/>
    <w:rsid w:val="0092678D"/>
    <w:rsid w:val="00926847"/>
    <w:rsid w:val="0092688C"/>
    <w:rsid w:val="009268C1"/>
    <w:rsid w:val="00926900"/>
    <w:rsid w:val="00926976"/>
    <w:rsid w:val="009269C4"/>
    <w:rsid w:val="00926A54"/>
    <w:rsid w:val="00926B7C"/>
    <w:rsid w:val="00926C37"/>
    <w:rsid w:val="00926C46"/>
    <w:rsid w:val="00926D16"/>
    <w:rsid w:val="00926E49"/>
    <w:rsid w:val="00926E4A"/>
    <w:rsid w:val="00926E55"/>
    <w:rsid w:val="00926EF7"/>
    <w:rsid w:val="00926F02"/>
    <w:rsid w:val="0092703A"/>
    <w:rsid w:val="0092703F"/>
    <w:rsid w:val="009271DA"/>
    <w:rsid w:val="00927264"/>
    <w:rsid w:val="009272AF"/>
    <w:rsid w:val="009272F8"/>
    <w:rsid w:val="0092735C"/>
    <w:rsid w:val="0092738C"/>
    <w:rsid w:val="009273AA"/>
    <w:rsid w:val="009273C5"/>
    <w:rsid w:val="009274BA"/>
    <w:rsid w:val="009274BF"/>
    <w:rsid w:val="0092762E"/>
    <w:rsid w:val="00927642"/>
    <w:rsid w:val="0092764B"/>
    <w:rsid w:val="00927703"/>
    <w:rsid w:val="00927770"/>
    <w:rsid w:val="009277CA"/>
    <w:rsid w:val="009277D7"/>
    <w:rsid w:val="00927853"/>
    <w:rsid w:val="00927881"/>
    <w:rsid w:val="009278AC"/>
    <w:rsid w:val="00927A3E"/>
    <w:rsid w:val="00927A47"/>
    <w:rsid w:val="00927A4A"/>
    <w:rsid w:val="00927A59"/>
    <w:rsid w:val="00927B7D"/>
    <w:rsid w:val="00927B96"/>
    <w:rsid w:val="00927BC8"/>
    <w:rsid w:val="00927D15"/>
    <w:rsid w:val="00927D25"/>
    <w:rsid w:val="00927D45"/>
    <w:rsid w:val="00927D48"/>
    <w:rsid w:val="00927D80"/>
    <w:rsid w:val="00927EBD"/>
    <w:rsid w:val="00927FA8"/>
    <w:rsid w:val="00927FBF"/>
    <w:rsid w:val="0093003F"/>
    <w:rsid w:val="00930051"/>
    <w:rsid w:val="009300F3"/>
    <w:rsid w:val="009301BF"/>
    <w:rsid w:val="00930223"/>
    <w:rsid w:val="0093034F"/>
    <w:rsid w:val="009303BE"/>
    <w:rsid w:val="009303CA"/>
    <w:rsid w:val="00930443"/>
    <w:rsid w:val="0093045F"/>
    <w:rsid w:val="0093046E"/>
    <w:rsid w:val="00930506"/>
    <w:rsid w:val="00930563"/>
    <w:rsid w:val="009307AF"/>
    <w:rsid w:val="009307CF"/>
    <w:rsid w:val="009307E1"/>
    <w:rsid w:val="00930839"/>
    <w:rsid w:val="0093083D"/>
    <w:rsid w:val="009308E5"/>
    <w:rsid w:val="009308E9"/>
    <w:rsid w:val="00930969"/>
    <w:rsid w:val="009309BC"/>
    <w:rsid w:val="00930ABE"/>
    <w:rsid w:val="00930BA5"/>
    <w:rsid w:val="00930CA4"/>
    <w:rsid w:val="00930CB1"/>
    <w:rsid w:val="00930EFB"/>
    <w:rsid w:val="00931038"/>
    <w:rsid w:val="0093106C"/>
    <w:rsid w:val="0093122C"/>
    <w:rsid w:val="00931241"/>
    <w:rsid w:val="00931338"/>
    <w:rsid w:val="00931384"/>
    <w:rsid w:val="0093141B"/>
    <w:rsid w:val="0093148E"/>
    <w:rsid w:val="0093155B"/>
    <w:rsid w:val="009316CC"/>
    <w:rsid w:val="009316ED"/>
    <w:rsid w:val="00931768"/>
    <w:rsid w:val="009317AF"/>
    <w:rsid w:val="00931816"/>
    <w:rsid w:val="00931898"/>
    <w:rsid w:val="009318F4"/>
    <w:rsid w:val="00931942"/>
    <w:rsid w:val="00931943"/>
    <w:rsid w:val="0093196A"/>
    <w:rsid w:val="00931A66"/>
    <w:rsid w:val="00931ABA"/>
    <w:rsid w:val="00931B6F"/>
    <w:rsid w:val="00931B81"/>
    <w:rsid w:val="00931CF3"/>
    <w:rsid w:val="00931DC8"/>
    <w:rsid w:val="00931DD1"/>
    <w:rsid w:val="00931DD8"/>
    <w:rsid w:val="00931F0D"/>
    <w:rsid w:val="00931F57"/>
    <w:rsid w:val="0093205E"/>
    <w:rsid w:val="0093207E"/>
    <w:rsid w:val="00932270"/>
    <w:rsid w:val="009322B8"/>
    <w:rsid w:val="0093237E"/>
    <w:rsid w:val="00932382"/>
    <w:rsid w:val="009323C6"/>
    <w:rsid w:val="0093243D"/>
    <w:rsid w:val="009325A5"/>
    <w:rsid w:val="00932653"/>
    <w:rsid w:val="0093269D"/>
    <w:rsid w:val="009326AC"/>
    <w:rsid w:val="009326F3"/>
    <w:rsid w:val="009327C4"/>
    <w:rsid w:val="0093282A"/>
    <w:rsid w:val="00932889"/>
    <w:rsid w:val="00932984"/>
    <w:rsid w:val="009329C5"/>
    <w:rsid w:val="009329CA"/>
    <w:rsid w:val="009329CE"/>
    <w:rsid w:val="00932A92"/>
    <w:rsid w:val="00932AE2"/>
    <w:rsid w:val="00932B40"/>
    <w:rsid w:val="00932B47"/>
    <w:rsid w:val="00932CEA"/>
    <w:rsid w:val="00932D68"/>
    <w:rsid w:val="00932E51"/>
    <w:rsid w:val="00932E5A"/>
    <w:rsid w:val="00932F42"/>
    <w:rsid w:val="00932F90"/>
    <w:rsid w:val="00932FBD"/>
    <w:rsid w:val="009330FA"/>
    <w:rsid w:val="009331FC"/>
    <w:rsid w:val="0093320D"/>
    <w:rsid w:val="0093322C"/>
    <w:rsid w:val="0093332A"/>
    <w:rsid w:val="009333EE"/>
    <w:rsid w:val="00933447"/>
    <w:rsid w:val="0093348E"/>
    <w:rsid w:val="0093349F"/>
    <w:rsid w:val="009334B9"/>
    <w:rsid w:val="009334BF"/>
    <w:rsid w:val="009334CB"/>
    <w:rsid w:val="00933620"/>
    <w:rsid w:val="0093364A"/>
    <w:rsid w:val="0093368B"/>
    <w:rsid w:val="009337C1"/>
    <w:rsid w:val="0093389F"/>
    <w:rsid w:val="0093393A"/>
    <w:rsid w:val="00933981"/>
    <w:rsid w:val="009339B4"/>
    <w:rsid w:val="00933A30"/>
    <w:rsid w:val="00933AA6"/>
    <w:rsid w:val="00933ADA"/>
    <w:rsid w:val="00933AE5"/>
    <w:rsid w:val="00933B79"/>
    <w:rsid w:val="00933BA9"/>
    <w:rsid w:val="00933BD5"/>
    <w:rsid w:val="00933C03"/>
    <w:rsid w:val="00933C08"/>
    <w:rsid w:val="00933C60"/>
    <w:rsid w:val="00933CB7"/>
    <w:rsid w:val="00933CB9"/>
    <w:rsid w:val="00933D5D"/>
    <w:rsid w:val="00933E52"/>
    <w:rsid w:val="00933E5D"/>
    <w:rsid w:val="00933F06"/>
    <w:rsid w:val="00933F44"/>
    <w:rsid w:val="00933FC6"/>
    <w:rsid w:val="00934016"/>
    <w:rsid w:val="00934034"/>
    <w:rsid w:val="00934084"/>
    <w:rsid w:val="009340C7"/>
    <w:rsid w:val="009341A0"/>
    <w:rsid w:val="009341F1"/>
    <w:rsid w:val="00934317"/>
    <w:rsid w:val="00934376"/>
    <w:rsid w:val="009343AC"/>
    <w:rsid w:val="009344FA"/>
    <w:rsid w:val="00934585"/>
    <w:rsid w:val="009345B4"/>
    <w:rsid w:val="009345DA"/>
    <w:rsid w:val="0093463F"/>
    <w:rsid w:val="0093465A"/>
    <w:rsid w:val="009346C5"/>
    <w:rsid w:val="00934732"/>
    <w:rsid w:val="0093478D"/>
    <w:rsid w:val="009347A7"/>
    <w:rsid w:val="009347E6"/>
    <w:rsid w:val="00934810"/>
    <w:rsid w:val="0093489B"/>
    <w:rsid w:val="009348A6"/>
    <w:rsid w:val="00934912"/>
    <w:rsid w:val="00934936"/>
    <w:rsid w:val="0093496F"/>
    <w:rsid w:val="00934982"/>
    <w:rsid w:val="009349B9"/>
    <w:rsid w:val="00934AC7"/>
    <w:rsid w:val="00934B30"/>
    <w:rsid w:val="00934B40"/>
    <w:rsid w:val="00934C0B"/>
    <w:rsid w:val="00934C41"/>
    <w:rsid w:val="00934C89"/>
    <w:rsid w:val="00934D43"/>
    <w:rsid w:val="00934EB8"/>
    <w:rsid w:val="00934F04"/>
    <w:rsid w:val="00934FB5"/>
    <w:rsid w:val="00935039"/>
    <w:rsid w:val="0093508A"/>
    <w:rsid w:val="009350F3"/>
    <w:rsid w:val="0093517E"/>
    <w:rsid w:val="0093534E"/>
    <w:rsid w:val="00935509"/>
    <w:rsid w:val="0093556C"/>
    <w:rsid w:val="009355DC"/>
    <w:rsid w:val="00935671"/>
    <w:rsid w:val="00935727"/>
    <w:rsid w:val="0093574A"/>
    <w:rsid w:val="00935844"/>
    <w:rsid w:val="0093586E"/>
    <w:rsid w:val="00935883"/>
    <w:rsid w:val="009358AD"/>
    <w:rsid w:val="00935A79"/>
    <w:rsid w:val="00935A8A"/>
    <w:rsid w:val="00935BC3"/>
    <w:rsid w:val="00935C30"/>
    <w:rsid w:val="00935CB3"/>
    <w:rsid w:val="00935CC0"/>
    <w:rsid w:val="00935CF2"/>
    <w:rsid w:val="00935D96"/>
    <w:rsid w:val="00935D9A"/>
    <w:rsid w:val="00935DCD"/>
    <w:rsid w:val="00935E4F"/>
    <w:rsid w:val="00935FE7"/>
    <w:rsid w:val="0093601A"/>
    <w:rsid w:val="00936030"/>
    <w:rsid w:val="0093604E"/>
    <w:rsid w:val="009360CE"/>
    <w:rsid w:val="00936111"/>
    <w:rsid w:val="0093611A"/>
    <w:rsid w:val="00936186"/>
    <w:rsid w:val="009362EB"/>
    <w:rsid w:val="0093634A"/>
    <w:rsid w:val="00936400"/>
    <w:rsid w:val="00936420"/>
    <w:rsid w:val="009364D8"/>
    <w:rsid w:val="00936547"/>
    <w:rsid w:val="0093654E"/>
    <w:rsid w:val="00936569"/>
    <w:rsid w:val="00936616"/>
    <w:rsid w:val="0093663C"/>
    <w:rsid w:val="00936651"/>
    <w:rsid w:val="00936685"/>
    <w:rsid w:val="0093673E"/>
    <w:rsid w:val="00936747"/>
    <w:rsid w:val="009367DD"/>
    <w:rsid w:val="0093684B"/>
    <w:rsid w:val="0093687A"/>
    <w:rsid w:val="00936992"/>
    <w:rsid w:val="009369C8"/>
    <w:rsid w:val="00936A15"/>
    <w:rsid w:val="00936AEE"/>
    <w:rsid w:val="00936B14"/>
    <w:rsid w:val="00936B73"/>
    <w:rsid w:val="00936BB3"/>
    <w:rsid w:val="00936BCC"/>
    <w:rsid w:val="00936C31"/>
    <w:rsid w:val="00936CF3"/>
    <w:rsid w:val="00936D59"/>
    <w:rsid w:val="00936EE9"/>
    <w:rsid w:val="00936EF2"/>
    <w:rsid w:val="009370C6"/>
    <w:rsid w:val="009371DF"/>
    <w:rsid w:val="00937526"/>
    <w:rsid w:val="0093754B"/>
    <w:rsid w:val="009376A7"/>
    <w:rsid w:val="009376E5"/>
    <w:rsid w:val="009378CC"/>
    <w:rsid w:val="00937AC6"/>
    <w:rsid w:val="00937ACD"/>
    <w:rsid w:val="00937B2D"/>
    <w:rsid w:val="00937B6A"/>
    <w:rsid w:val="00937BBD"/>
    <w:rsid w:val="00937D46"/>
    <w:rsid w:val="00937E80"/>
    <w:rsid w:val="00937E88"/>
    <w:rsid w:val="00937F9E"/>
    <w:rsid w:val="00937F9F"/>
    <w:rsid w:val="0094004F"/>
    <w:rsid w:val="009400B8"/>
    <w:rsid w:val="00940113"/>
    <w:rsid w:val="00940316"/>
    <w:rsid w:val="00940362"/>
    <w:rsid w:val="00940440"/>
    <w:rsid w:val="00940447"/>
    <w:rsid w:val="00940474"/>
    <w:rsid w:val="00940482"/>
    <w:rsid w:val="009404AB"/>
    <w:rsid w:val="0094052B"/>
    <w:rsid w:val="00940583"/>
    <w:rsid w:val="0094059D"/>
    <w:rsid w:val="009405B3"/>
    <w:rsid w:val="00940607"/>
    <w:rsid w:val="0094065E"/>
    <w:rsid w:val="00940689"/>
    <w:rsid w:val="00940706"/>
    <w:rsid w:val="00940746"/>
    <w:rsid w:val="0094076A"/>
    <w:rsid w:val="009408EF"/>
    <w:rsid w:val="00940956"/>
    <w:rsid w:val="009409FD"/>
    <w:rsid w:val="009409FE"/>
    <w:rsid w:val="00940A18"/>
    <w:rsid w:val="00940A47"/>
    <w:rsid w:val="00940AE8"/>
    <w:rsid w:val="00940B97"/>
    <w:rsid w:val="00940BCF"/>
    <w:rsid w:val="00940C03"/>
    <w:rsid w:val="00940C21"/>
    <w:rsid w:val="00940D14"/>
    <w:rsid w:val="00940D3D"/>
    <w:rsid w:val="00940DA2"/>
    <w:rsid w:val="00940DF4"/>
    <w:rsid w:val="00940EEB"/>
    <w:rsid w:val="009410DF"/>
    <w:rsid w:val="0094110C"/>
    <w:rsid w:val="00941144"/>
    <w:rsid w:val="009411C8"/>
    <w:rsid w:val="009412B9"/>
    <w:rsid w:val="00941373"/>
    <w:rsid w:val="00941378"/>
    <w:rsid w:val="009413C2"/>
    <w:rsid w:val="009413EE"/>
    <w:rsid w:val="0094149F"/>
    <w:rsid w:val="0094152F"/>
    <w:rsid w:val="00941563"/>
    <w:rsid w:val="009415D2"/>
    <w:rsid w:val="009415F5"/>
    <w:rsid w:val="00941638"/>
    <w:rsid w:val="00941667"/>
    <w:rsid w:val="009416D7"/>
    <w:rsid w:val="009416F9"/>
    <w:rsid w:val="009417AF"/>
    <w:rsid w:val="009418D8"/>
    <w:rsid w:val="00941963"/>
    <w:rsid w:val="00941A26"/>
    <w:rsid w:val="00941A3F"/>
    <w:rsid w:val="00941C75"/>
    <w:rsid w:val="00941D17"/>
    <w:rsid w:val="00941D36"/>
    <w:rsid w:val="00941E19"/>
    <w:rsid w:val="00941E8B"/>
    <w:rsid w:val="00941FBC"/>
    <w:rsid w:val="00941FD2"/>
    <w:rsid w:val="00941FE2"/>
    <w:rsid w:val="00942284"/>
    <w:rsid w:val="009422DA"/>
    <w:rsid w:val="009423EE"/>
    <w:rsid w:val="009423EF"/>
    <w:rsid w:val="00942552"/>
    <w:rsid w:val="0094258E"/>
    <w:rsid w:val="0094265C"/>
    <w:rsid w:val="00942660"/>
    <w:rsid w:val="00942763"/>
    <w:rsid w:val="009427A1"/>
    <w:rsid w:val="009427EC"/>
    <w:rsid w:val="009427F3"/>
    <w:rsid w:val="009428EB"/>
    <w:rsid w:val="00942952"/>
    <w:rsid w:val="00942A51"/>
    <w:rsid w:val="00942A94"/>
    <w:rsid w:val="00942C04"/>
    <w:rsid w:val="00942C24"/>
    <w:rsid w:val="00942D06"/>
    <w:rsid w:val="00942D77"/>
    <w:rsid w:val="00942E20"/>
    <w:rsid w:val="00942E74"/>
    <w:rsid w:val="00942EF7"/>
    <w:rsid w:val="00942FB7"/>
    <w:rsid w:val="00942FDA"/>
    <w:rsid w:val="00942FE5"/>
    <w:rsid w:val="009431D2"/>
    <w:rsid w:val="009431FF"/>
    <w:rsid w:val="00943243"/>
    <w:rsid w:val="0094327D"/>
    <w:rsid w:val="00943386"/>
    <w:rsid w:val="009433F9"/>
    <w:rsid w:val="00943490"/>
    <w:rsid w:val="00943493"/>
    <w:rsid w:val="00943503"/>
    <w:rsid w:val="00943602"/>
    <w:rsid w:val="0094363A"/>
    <w:rsid w:val="00943714"/>
    <w:rsid w:val="00943734"/>
    <w:rsid w:val="00943755"/>
    <w:rsid w:val="0094384F"/>
    <w:rsid w:val="009438A7"/>
    <w:rsid w:val="009438E7"/>
    <w:rsid w:val="00943903"/>
    <w:rsid w:val="009439E8"/>
    <w:rsid w:val="00943A0C"/>
    <w:rsid w:val="00943A55"/>
    <w:rsid w:val="00943AC3"/>
    <w:rsid w:val="00943BCA"/>
    <w:rsid w:val="00943BEE"/>
    <w:rsid w:val="00943D96"/>
    <w:rsid w:val="00943DB4"/>
    <w:rsid w:val="00943DDD"/>
    <w:rsid w:val="00943E27"/>
    <w:rsid w:val="00943E62"/>
    <w:rsid w:val="00943FCB"/>
    <w:rsid w:val="00944071"/>
    <w:rsid w:val="0094414F"/>
    <w:rsid w:val="00944166"/>
    <w:rsid w:val="00944196"/>
    <w:rsid w:val="00944213"/>
    <w:rsid w:val="00944218"/>
    <w:rsid w:val="0094429A"/>
    <w:rsid w:val="00944312"/>
    <w:rsid w:val="009443FC"/>
    <w:rsid w:val="0094440A"/>
    <w:rsid w:val="00944483"/>
    <w:rsid w:val="0094451F"/>
    <w:rsid w:val="0094454E"/>
    <w:rsid w:val="00944578"/>
    <w:rsid w:val="00944592"/>
    <w:rsid w:val="0094462D"/>
    <w:rsid w:val="00944649"/>
    <w:rsid w:val="0094485E"/>
    <w:rsid w:val="00944A63"/>
    <w:rsid w:val="00944A77"/>
    <w:rsid w:val="00944A93"/>
    <w:rsid w:val="00944A9A"/>
    <w:rsid w:val="00944AA6"/>
    <w:rsid w:val="00944B93"/>
    <w:rsid w:val="00944C18"/>
    <w:rsid w:val="00944C8B"/>
    <w:rsid w:val="00944C91"/>
    <w:rsid w:val="00944D1B"/>
    <w:rsid w:val="00944D5B"/>
    <w:rsid w:val="00944DFF"/>
    <w:rsid w:val="00944EC3"/>
    <w:rsid w:val="00944EDA"/>
    <w:rsid w:val="00944F0E"/>
    <w:rsid w:val="00944F13"/>
    <w:rsid w:val="00944F45"/>
    <w:rsid w:val="00944FB9"/>
    <w:rsid w:val="00944FD2"/>
    <w:rsid w:val="00945008"/>
    <w:rsid w:val="0094502C"/>
    <w:rsid w:val="00945098"/>
    <w:rsid w:val="009450AE"/>
    <w:rsid w:val="009450F4"/>
    <w:rsid w:val="00945156"/>
    <w:rsid w:val="00945195"/>
    <w:rsid w:val="009451B1"/>
    <w:rsid w:val="009452F5"/>
    <w:rsid w:val="00945356"/>
    <w:rsid w:val="0094548E"/>
    <w:rsid w:val="009454AA"/>
    <w:rsid w:val="009454AE"/>
    <w:rsid w:val="00945623"/>
    <w:rsid w:val="00945640"/>
    <w:rsid w:val="00945685"/>
    <w:rsid w:val="0094578D"/>
    <w:rsid w:val="009457AA"/>
    <w:rsid w:val="0094585B"/>
    <w:rsid w:val="0094587B"/>
    <w:rsid w:val="009458A1"/>
    <w:rsid w:val="009458AA"/>
    <w:rsid w:val="0094593A"/>
    <w:rsid w:val="0094597C"/>
    <w:rsid w:val="009459C1"/>
    <w:rsid w:val="009459DD"/>
    <w:rsid w:val="00945A11"/>
    <w:rsid w:val="00945A87"/>
    <w:rsid w:val="00945A97"/>
    <w:rsid w:val="00945AA7"/>
    <w:rsid w:val="00945B0D"/>
    <w:rsid w:val="00945B48"/>
    <w:rsid w:val="00945BBA"/>
    <w:rsid w:val="00945C27"/>
    <w:rsid w:val="00945C2C"/>
    <w:rsid w:val="00945DDF"/>
    <w:rsid w:val="00945E2D"/>
    <w:rsid w:val="00945EA3"/>
    <w:rsid w:val="00945F7F"/>
    <w:rsid w:val="0094602E"/>
    <w:rsid w:val="009460F4"/>
    <w:rsid w:val="0094614D"/>
    <w:rsid w:val="00946152"/>
    <w:rsid w:val="00946169"/>
    <w:rsid w:val="009464E6"/>
    <w:rsid w:val="0094650E"/>
    <w:rsid w:val="00946625"/>
    <w:rsid w:val="00946645"/>
    <w:rsid w:val="009467E4"/>
    <w:rsid w:val="00946814"/>
    <w:rsid w:val="0094682D"/>
    <w:rsid w:val="009468B0"/>
    <w:rsid w:val="009469DA"/>
    <w:rsid w:val="009469EA"/>
    <w:rsid w:val="00946A04"/>
    <w:rsid w:val="00946AD3"/>
    <w:rsid w:val="00946BFC"/>
    <w:rsid w:val="00946BFE"/>
    <w:rsid w:val="00946C36"/>
    <w:rsid w:val="00946C3C"/>
    <w:rsid w:val="00946CEE"/>
    <w:rsid w:val="00946D80"/>
    <w:rsid w:val="00946DCF"/>
    <w:rsid w:val="00946DFF"/>
    <w:rsid w:val="00946E7C"/>
    <w:rsid w:val="00946F25"/>
    <w:rsid w:val="00946F73"/>
    <w:rsid w:val="009470E1"/>
    <w:rsid w:val="0094713F"/>
    <w:rsid w:val="00947162"/>
    <w:rsid w:val="00947286"/>
    <w:rsid w:val="009472D4"/>
    <w:rsid w:val="00947455"/>
    <w:rsid w:val="009474B9"/>
    <w:rsid w:val="00947541"/>
    <w:rsid w:val="00947595"/>
    <w:rsid w:val="0094765C"/>
    <w:rsid w:val="00947739"/>
    <w:rsid w:val="009477F0"/>
    <w:rsid w:val="009478B8"/>
    <w:rsid w:val="009478D4"/>
    <w:rsid w:val="00947929"/>
    <w:rsid w:val="009479DB"/>
    <w:rsid w:val="009479DD"/>
    <w:rsid w:val="009479EC"/>
    <w:rsid w:val="00947A52"/>
    <w:rsid w:val="00947AA8"/>
    <w:rsid w:val="00947AB4"/>
    <w:rsid w:val="00947AC2"/>
    <w:rsid w:val="00947B28"/>
    <w:rsid w:val="00947BBC"/>
    <w:rsid w:val="00947C25"/>
    <w:rsid w:val="00947C2C"/>
    <w:rsid w:val="00947CA5"/>
    <w:rsid w:val="00947DF8"/>
    <w:rsid w:val="00947E53"/>
    <w:rsid w:val="00947E92"/>
    <w:rsid w:val="00947F40"/>
    <w:rsid w:val="00950075"/>
    <w:rsid w:val="0095013F"/>
    <w:rsid w:val="009501AA"/>
    <w:rsid w:val="009502CA"/>
    <w:rsid w:val="0095033F"/>
    <w:rsid w:val="00950385"/>
    <w:rsid w:val="0095038C"/>
    <w:rsid w:val="00950550"/>
    <w:rsid w:val="009506CB"/>
    <w:rsid w:val="009508D9"/>
    <w:rsid w:val="00950975"/>
    <w:rsid w:val="00950A74"/>
    <w:rsid w:val="00950A9C"/>
    <w:rsid w:val="00950AED"/>
    <w:rsid w:val="00950B29"/>
    <w:rsid w:val="00950B31"/>
    <w:rsid w:val="00950B67"/>
    <w:rsid w:val="00950C1E"/>
    <w:rsid w:val="00950C2B"/>
    <w:rsid w:val="00950C38"/>
    <w:rsid w:val="00950DF0"/>
    <w:rsid w:val="00950EC1"/>
    <w:rsid w:val="00950F0F"/>
    <w:rsid w:val="00950F1E"/>
    <w:rsid w:val="00950F86"/>
    <w:rsid w:val="00950FDA"/>
    <w:rsid w:val="0095106B"/>
    <w:rsid w:val="0095113A"/>
    <w:rsid w:val="0095113F"/>
    <w:rsid w:val="00951141"/>
    <w:rsid w:val="009511C9"/>
    <w:rsid w:val="00951212"/>
    <w:rsid w:val="00951239"/>
    <w:rsid w:val="00951279"/>
    <w:rsid w:val="00951344"/>
    <w:rsid w:val="0095138E"/>
    <w:rsid w:val="009513D1"/>
    <w:rsid w:val="0095144E"/>
    <w:rsid w:val="009514DA"/>
    <w:rsid w:val="009514FB"/>
    <w:rsid w:val="0095150D"/>
    <w:rsid w:val="00951531"/>
    <w:rsid w:val="009515C0"/>
    <w:rsid w:val="00951617"/>
    <w:rsid w:val="00951697"/>
    <w:rsid w:val="009516D5"/>
    <w:rsid w:val="009516D9"/>
    <w:rsid w:val="00951861"/>
    <w:rsid w:val="009518E3"/>
    <w:rsid w:val="009518F4"/>
    <w:rsid w:val="00951995"/>
    <w:rsid w:val="009519D6"/>
    <w:rsid w:val="00951A0D"/>
    <w:rsid w:val="00951A62"/>
    <w:rsid w:val="00951A6C"/>
    <w:rsid w:val="00951BB2"/>
    <w:rsid w:val="00951BDB"/>
    <w:rsid w:val="00951C2F"/>
    <w:rsid w:val="00951C8F"/>
    <w:rsid w:val="00951D05"/>
    <w:rsid w:val="00951D53"/>
    <w:rsid w:val="00951D6C"/>
    <w:rsid w:val="00951DA5"/>
    <w:rsid w:val="00951E1E"/>
    <w:rsid w:val="00951EC0"/>
    <w:rsid w:val="009520C4"/>
    <w:rsid w:val="00952175"/>
    <w:rsid w:val="00952221"/>
    <w:rsid w:val="0095224C"/>
    <w:rsid w:val="00952484"/>
    <w:rsid w:val="009524CB"/>
    <w:rsid w:val="00952590"/>
    <w:rsid w:val="00952700"/>
    <w:rsid w:val="00952761"/>
    <w:rsid w:val="00952763"/>
    <w:rsid w:val="0095289D"/>
    <w:rsid w:val="0095291E"/>
    <w:rsid w:val="009529F3"/>
    <w:rsid w:val="00952A48"/>
    <w:rsid w:val="00952ADA"/>
    <w:rsid w:val="00952B4B"/>
    <w:rsid w:val="00952C35"/>
    <w:rsid w:val="00952C7D"/>
    <w:rsid w:val="00952C92"/>
    <w:rsid w:val="00952D28"/>
    <w:rsid w:val="00952D2B"/>
    <w:rsid w:val="00952D40"/>
    <w:rsid w:val="00952E20"/>
    <w:rsid w:val="00952FD7"/>
    <w:rsid w:val="00952FF6"/>
    <w:rsid w:val="00953021"/>
    <w:rsid w:val="009530CC"/>
    <w:rsid w:val="00953101"/>
    <w:rsid w:val="009531F4"/>
    <w:rsid w:val="0095325F"/>
    <w:rsid w:val="00953521"/>
    <w:rsid w:val="009535B7"/>
    <w:rsid w:val="00953748"/>
    <w:rsid w:val="0095374A"/>
    <w:rsid w:val="00953756"/>
    <w:rsid w:val="00953797"/>
    <w:rsid w:val="0095379F"/>
    <w:rsid w:val="0095391F"/>
    <w:rsid w:val="00953954"/>
    <w:rsid w:val="009539C7"/>
    <w:rsid w:val="009539DE"/>
    <w:rsid w:val="00953B24"/>
    <w:rsid w:val="00953B56"/>
    <w:rsid w:val="00953BB6"/>
    <w:rsid w:val="00953C56"/>
    <w:rsid w:val="00953D12"/>
    <w:rsid w:val="00953D45"/>
    <w:rsid w:val="00953D6A"/>
    <w:rsid w:val="00953E6B"/>
    <w:rsid w:val="00953E89"/>
    <w:rsid w:val="00953F58"/>
    <w:rsid w:val="00953FB0"/>
    <w:rsid w:val="00953FB6"/>
    <w:rsid w:val="00953FBD"/>
    <w:rsid w:val="009540BF"/>
    <w:rsid w:val="00954104"/>
    <w:rsid w:val="00954121"/>
    <w:rsid w:val="00954188"/>
    <w:rsid w:val="009542DE"/>
    <w:rsid w:val="009542FC"/>
    <w:rsid w:val="00954320"/>
    <w:rsid w:val="0095435C"/>
    <w:rsid w:val="009543F2"/>
    <w:rsid w:val="00954491"/>
    <w:rsid w:val="009544F5"/>
    <w:rsid w:val="00954568"/>
    <w:rsid w:val="009546DF"/>
    <w:rsid w:val="00954733"/>
    <w:rsid w:val="00954737"/>
    <w:rsid w:val="00954789"/>
    <w:rsid w:val="0095489E"/>
    <w:rsid w:val="00954A70"/>
    <w:rsid w:val="00954BA8"/>
    <w:rsid w:val="00954BCA"/>
    <w:rsid w:val="00954D2F"/>
    <w:rsid w:val="00954D81"/>
    <w:rsid w:val="00954DC8"/>
    <w:rsid w:val="00954E62"/>
    <w:rsid w:val="00954EB8"/>
    <w:rsid w:val="00954EB9"/>
    <w:rsid w:val="00954EC2"/>
    <w:rsid w:val="00954F30"/>
    <w:rsid w:val="00954F52"/>
    <w:rsid w:val="00954FA1"/>
    <w:rsid w:val="00954FF1"/>
    <w:rsid w:val="0095509F"/>
    <w:rsid w:val="009550B2"/>
    <w:rsid w:val="009551DB"/>
    <w:rsid w:val="00955341"/>
    <w:rsid w:val="00955382"/>
    <w:rsid w:val="00955567"/>
    <w:rsid w:val="00955596"/>
    <w:rsid w:val="00955705"/>
    <w:rsid w:val="00955743"/>
    <w:rsid w:val="0095584E"/>
    <w:rsid w:val="0095594B"/>
    <w:rsid w:val="00955970"/>
    <w:rsid w:val="0095599A"/>
    <w:rsid w:val="009559AE"/>
    <w:rsid w:val="009559ED"/>
    <w:rsid w:val="00955A04"/>
    <w:rsid w:val="00955AC1"/>
    <w:rsid w:val="00955C49"/>
    <w:rsid w:val="00955CA2"/>
    <w:rsid w:val="00955CCB"/>
    <w:rsid w:val="00955DDE"/>
    <w:rsid w:val="00955EBD"/>
    <w:rsid w:val="00955ECC"/>
    <w:rsid w:val="00955F19"/>
    <w:rsid w:val="00955F58"/>
    <w:rsid w:val="00955F72"/>
    <w:rsid w:val="00955F8D"/>
    <w:rsid w:val="00956028"/>
    <w:rsid w:val="0095609B"/>
    <w:rsid w:val="009560B4"/>
    <w:rsid w:val="009560B9"/>
    <w:rsid w:val="00956134"/>
    <w:rsid w:val="00956149"/>
    <w:rsid w:val="00956152"/>
    <w:rsid w:val="009562EE"/>
    <w:rsid w:val="009563FF"/>
    <w:rsid w:val="00956419"/>
    <w:rsid w:val="00956509"/>
    <w:rsid w:val="00956555"/>
    <w:rsid w:val="00956566"/>
    <w:rsid w:val="00956572"/>
    <w:rsid w:val="00956574"/>
    <w:rsid w:val="00956579"/>
    <w:rsid w:val="00956594"/>
    <w:rsid w:val="00956651"/>
    <w:rsid w:val="00956771"/>
    <w:rsid w:val="0095677A"/>
    <w:rsid w:val="0095677B"/>
    <w:rsid w:val="0095685A"/>
    <w:rsid w:val="009568C8"/>
    <w:rsid w:val="009568FC"/>
    <w:rsid w:val="009569A8"/>
    <w:rsid w:val="009569DC"/>
    <w:rsid w:val="009569F8"/>
    <w:rsid w:val="00956A0E"/>
    <w:rsid w:val="00956A30"/>
    <w:rsid w:val="00956A3E"/>
    <w:rsid w:val="00956A90"/>
    <w:rsid w:val="00956B11"/>
    <w:rsid w:val="00956B7C"/>
    <w:rsid w:val="00956B95"/>
    <w:rsid w:val="00956BE1"/>
    <w:rsid w:val="00956C87"/>
    <w:rsid w:val="00956CAE"/>
    <w:rsid w:val="00956CF9"/>
    <w:rsid w:val="00956D75"/>
    <w:rsid w:val="00956E21"/>
    <w:rsid w:val="00956E9A"/>
    <w:rsid w:val="00956EFA"/>
    <w:rsid w:val="00956F4E"/>
    <w:rsid w:val="00956F73"/>
    <w:rsid w:val="00956F7D"/>
    <w:rsid w:val="0095718F"/>
    <w:rsid w:val="0095727C"/>
    <w:rsid w:val="0095731E"/>
    <w:rsid w:val="009574D0"/>
    <w:rsid w:val="009576D3"/>
    <w:rsid w:val="009578D0"/>
    <w:rsid w:val="00957A05"/>
    <w:rsid w:val="00957A07"/>
    <w:rsid w:val="00957A49"/>
    <w:rsid w:val="00957A68"/>
    <w:rsid w:val="00957AD4"/>
    <w:rsid w:val="00957B90"/>
    <w:rsid w:val="00957CBD"/>
    <w:rsid w:val="00957D03"/>
    <w:rsid w:val="00957D69"/>
    <w:rsid w:val="00957D7D"/>
    <w:rsid w:val="00957D8D"/>
    <w:rsid w:val="00957DCB"/>
    <w:rsid w:val="00957E25"/>
    <w:rsid w:val="00957EBE"/>
    <w:rsid w:val="00957EF8"/>
    <w:rsid w:val="00957F74"/>
    <w:rsid w:val="00957F8D"/>
    <w:rsid w:val="00957F95"/>
    <w:rsid w:val="0096006A"/>
    <w:rsid w:val="00960092"/>
    <w:rsid w:val="009600E2"/>
    <w:rsid w:val="009600EE"/>
    <w:rsid w:val="0096023B"/>
    <w:rsid w:val="0096024A"/>
    <w:rsid w:val="00960274"/>
    <w:rsid w:val="009602F6"/>
    <w:rsid w:val="00960322"/>
    <w:rsid w:val="00960324"/>
    <w:rsid w:val="0096032C"/>
    <w:rsid w:val="0096033C"/>
    <w:rsid w:val="00960416"/>
    <w:rsid w:val="009604E5"/>
    <w:rsid w:val="0096055F"/>
    <w:rsid w:val="0096056B"/>
    <w:rsid w:val="0096058B"/>
    <w:rsid w:val="009605A6"/>
    <w:rsid w:val="00960680"/>
    <w:rsid w:val="00960691"/>
    <w:rsid w:val="009606E3"/>
    <w:rsid w:val="00960710"/>
    <w:rsid w:val="00960773"/>
    <w:rsid w:val="0096081D"/>
    <w:rsid w:val="0096085C"/>
    <w:rsid w:val="009608E9"/>
    <w:rsid w:val="00960965"/>
    <w:rsid w:val="00960A34"/>
    <w:rsid w:val="00960A4C"/>
    <w:rsid w:val="00960A87"/>
    <w:rsid w:val="00960AC9"/>
    <w:rsid w:val="00960ACA"/>
    <w:rsid w:val="00960AEB"/>
    <w:rsid w:val="00960B7B"/>
    <w:rsid w:val="00960B9D"/>
    <w:rsid w:val="00960B9F"/>
    <w:rsid w:val="00960BD1"/>
    <w:rsid w:val="00960BE5"/>
    <w:rsid w:val="00960C1D"/>
    <w:rsid w:val="00960C55"/>
    <w:rsid w:val="00960C61"/>
    <w:rsid w:val="00960C73"/>
    <w:rsid w:val="00960C8F"/>
    <w:rsid w:val="00960CD9"/>
    <w:rsid w:val="00960CEC"/>
    <w:rsid w:val="00960CFB"/>
    <w:rsid w:val="00960DFE"/>
    <w:rsid w:val="00960E89"/>
    <w:rsid w:val="00961048"/>
    <w:rsid w:val="00961145"/>
    <w:rsid w:val="00961189"/>
    <w:rsid w:val="009611C1"/>
    <w:rsid w:val="0096134B"/>
    <w:rsid w:val="00961377"/>
    <w:rsid w:val="00961445"/>
    <w:rsid w:val="0096172B"/>
    <w:rsid w:val="00961781"/>
    <w:rsid w:val="00961796"/>
    <w:rsid w:val="009617BB"/>
    <w:rsid w:val="009617E6"/>
    <w:rsid w:val="009618A3"/>
    <w:rsid w:val="009618A8"/>
    <w:rsid w:val="00961944"/>
    <w:rsid w:val="00961979"/>
    <w:rsid w:val="009619F9"/>
    <w:rsid w:val="00961A12"/>
    <w:rsid w:val="00961A73"/>
    <w:rsid w:val="00961AB2"/>
    <w:rsid w:val="00961AC0"/>
    <w:rsid w:val="00961B9E"/>
    <w:rsid w:val="00961C1D"/>
    <w:rsid w:val="00961D01"/>
    <w:rsid w:val="00961D0B"/>
    <w:rsid w:val="00961D1A"/>
    <w:rsid w:val="00961DAE"/>
    <w:rsid w:val="00961E41"/>
    <w:rsid w:val="00961E5D"/>
    <w:rsid w:val="00961E8C"/>
    <w:rsid w:val="00961E9D"/>
    <w:rsid w:val="00961EC0"/>
    <w:rsid w:val="00961EE3"/>
    <w:rsid w:val="00961F4A"/>
    <w:rsid w:val="00961F57"/>
    <w:rsid w:val="00961F61"/>
    <w:rsid w:val="00961F8B"/>
    <w:rsid w:val="00961FB3"/>
    <w:rsid w:val="00961FBC"/>
    <w:rsid w:val="00961FD3"/>
    <w:rsid w:val="0096200B"/>
    <w:rsid w:val="00962010"/>
    <w:rsid w:val="009621C5"/>
    <w:rsid w:val="009621EA"/>
    <w:rsid w:val="0096222E"/>
    <w:rsid w:val="009622D4"/>
    <w:rsid w:val="00962301"/>
    <w:rsid w:val="00962383"/>
    <w:rsid w:val="0096247F"/>
    <w:rsid w:val="00962486"/>
    <w:rsid w:val="009624C1"/>
    <w:rsid w:val="009624C3"/>
    <w:rsid w:val="009625AE"/>
    <w:rsid w:val="00962698"/>
    <w:rsid w:val="009626AA"/>
    <w:rsid w:val="0096271F"/>
    <w:rsid w:val="009627A7"/>
    <w:rsid w:val="00962870"/>
    <w:rsid w:val="009628D3"/>
    <w:rsid w:val="009628F2"/>
    <w:rsid w:val="0096290E"/>
    <w:rsid w:val="00962954"/>
    <w:rsid w:val="00962958"/>
    <w:rsid w:val="00962A77"/>
    <w:rsid w:val="00962B51"/>
    <w:rsid w:val="00962BFC"/>
    <w:rsid w:val="00962CC1"/>
    <w:rsid w:val="00962CDA"/>
    <w:rsid w:val="00962DCF"/>
    <w:rsid w:val="00962E9F"/>
    <w:rsid w:val="00963072"/>
    <w:rsid w:val="009630F0"/>
    <w:rsid w:val="009630FF"/>
    <w:rsid w:val="0096317F"/>
    <w:rsid w:val="00963200"/>
    <w:rsid w:val="0096329E"/>
    <w:rsid w:val="0096331B"/>
    <w:rsid w:val="0096332D"/>
    <w:rsid w:val="0096340C"/>
    <w:rsid w:val="0096344A"/>
    <w:rsid w:val="0096344C"/>
    <w:rsid w:val="009634B5"/>
    <w:rsid w:val="009634CF"/>
    <w:rsid w:val="009634E6"/>
    <w:rsid w:val="0096352C"/>
    <w:rsid w:val="0096358E"/>
    <w:rsid w:val="009636D5"/>
    <w:rsid w:val="00963732"/>
    <w:rsid w:val="0096387E"/>
    <w:rsid w:val="00963AC4"/>
    <w:rsid w:val="00963AC5"/>
    <w:rsid w:val="00963AD9"/>
    <w:rsid w:val="00963C04"/>
    <w:rsid w:val="00963C0F"/>
    <w:rsid w:val="00963C68"/>
    <w:rsid w:val="00963C88"/>
    <w:rsid w:val="00963D5C"/>
    <w:rsid w:val="00963D8A"/>
    <w:rsid w:val="00963E7C"/>
    <w:rsid w:val="00963E8E"/>
    <w:rsid w:val="00963EC5"/>
    <w:rsid w:val="00963EE7"/>
    <w:rsid w:val="00963F01"/>
    <w:rsid w:val="00963F7C"/>
    <w:rsid w:val="00963F88"/>
    <w:rsid w:val="00963FC8"/>
    <w:rsid w:val="00964007"/>
    <w:rsid w:val="009640B4"/>
    <w:rsid w:val="00964105"/>
    <w:rsid w:val="00964222"/>
    <w:rsid w:val="0096422E"/>
    <w:rsid w:val="0096423A"/>
    <w:rsid w:val="00964256"/>
    <w:rsid w:val="0096432E"/>
    <w:rsid w:val="00964347"/>
    <w:rsid w:val="009643BC"/>
    <w:rsid w:val="00964483"/>
    <w:rsid w:val="009644F5"/>
    <w:rsid w:val="0096452A"/>
    <w:rsid w:val="00964580"/>
    <w:rsid w:val="009645C6"/>
    <w:rsid w:val="0096460F"/>
    <w:rsid w:val="00964676"/>
    <w:rsid w:val="009646A2"/>
    <w:rsid w:val="009646AE"/>
    <w:rsid w:val="009646C4"/>
    <w:rsid w:val="009646CA"/>
    <w:rsid w:val="0096486A"/>
    <w:rsid w:val="00964898"/>
    <w:rsid w:val="009648F2"/>
    <w:rsid w:val="0096496B"/>
    <w:rsid w:val="00964997"/>
    <w:rsid w:val="00964A09"/>
    <w:rsid w:val="00964A38"/>
    <w:rsid w:val="00964ACC"/>
    <w:rsid w:val="00964AE1"/>
    <w:rsid w:val="00964B31"/>
    <w:rsid w:val="00964B8B"/>
    <w:rsid w:val="00964CEB"/>
    <w:rsid w:val="00964DF8"/>
    <w:rsid w:val="00964E24"/>
    <w:rsid w:val="00964E2E"/>
    <w:rsid w:val="00964F4E"/>
    <w:rsid w:val="00965021"/>
    <w:rsid w:val="009650ED"/>
    <w:rsid w:val="009650FC"/>
    <w:rsid w:val="0096515B"/>
    <w:rsid w:val="009651B8"/>
    <w:rsid w:val="00965225"/>
    <w:rsid w:val="009652AB"/>
    <w:rsid w:val="009652BD"/>
    <w:rsid w:val="00965353"/>
    <w:rsid w:val="0096535E"/>
    <w:rsid w:val="009653B4"/>
    <w:rsid w:val="009653DC"/>
    <w:rsid w:val="009653F4"/>
    <w:rsid w:val="0096546B"/>
    <w:rsid w:val="009655D7"/>
    <w:rsid w:val="00965677"/>
    <w:rsid w:val="009657D4"/>
    <w:rsid w:val="00965811"/>
    <w:rsid w:val="00965896"/>
    <w:rsid w:val="0096595C"/>
    <w:rsid w:val="00965983"/>
    <w:rsid w:val="009659AF"/>
    <w:rsid w:val="009659B0"/>
    <w:rsid w:val="00965A76"/>
    <w:rsid w:val="00965A8D"/>
    <w:rsid w:val="00965B27"/>
    <w:rsid w:val="00965B8B"/>
    <w:rsid w:val="00965CAE"/>
    <w:rsid w:val="00965DF2"/>
    <w:rsid w:val="00965E14"/>
    <w:rsid w:val="00965E44"/>
    <w:rsid w:val="00966156"/>
    <w:rsid w:val="009661AB"/>
    <w:rsid w:val="009662CC"/>
    <w:rsid w:val="00966357"/>
    <w:rsid w:val="00966381"/>
    <w:rsid w:val="009663A2"/>
    <w:rsid w:val="00966498"/>
    <w:rsid w:val="00966513"/>
    <w:rsid w:val="00966555"/>
    <w:rsid w:val="009665E3"/>
    <w:rsid w:val="0096664D"/>
    <w:rsid w:val="00966683"/>
    <w:rsid w:val="009666B1"/>
    <w:rsid w:val="009666BF"/>
    <w:rsid w:val="0096672B"/>
    <w:rsid w:val="00966730"/>
    <w:rsid w:val="00966787"/>
    <w:rsid w:val="0096690B"/>
    <w:rsid w:val="0096691E"/>
    <w:rsid w:val="00966991"/>
    <w:rsid w:val="0096699B"/>
    <w:rsid w:val="009669C7"/>
    <w:rsid w:val="00966A98"/>
    <w:rsid w:val="00966ACB"/>
    <w:rsid w:val="00966B51"/>
    <w:rsid w:val="00966B9A"/>
    <w:rsid w:val="00966DD8"/>
    <w:rsid w:val="00966DFF"/>
    <w:rsid w:val="00966F0E"/>
    <w:rsid w:val="00966F18"/>
    <w:rsid w:val="00966FEB"/>
    <w:rsid w:val="00967002"/>
    <w:rsid w:val="00967040"/>
    <w:rsid w:val="00967125"/>
    <w:rsid w:val="0096714B"/>
    <w:rsid w:val="00967206"/>
    <w:rsid w:val="0096725A"/>
    <w:rsid w:val="009672A2"/>
    <w:rsid w:val="009672A7"/>
    <w:rsid w:val="009672A8"/>
    <w:rsid w:val="009672AC"/>
    <w:rsid w:val="00967412"/>
    <w:rsid w:val="00967563"/>
    <w:rsid w:val="009675B7"/>
    <w:rsid w:val="00967651"/>
    <w:rsid w:val="009676A6"/>
    <w:rsid w:val="00967713"/>
    <w:rsid w:val="0096779F"/>
    <w:rsid w:val="009677B5"/>
    <w:rsid w:val="0096782C"/>
    <w:rsid w:val="00967939"/>
    <w:rsid w:val="00967A5C"/>
    <w:rsid w:val="00967A9B"/>
    <w:rsid w:val="00967B43"/>
    <w:rsid w:val="00967BBE"/>
    <w:rsid w:val="00967C34"/>
    <w:rsid w:val="00967C3B"/>
    <w:rsid w:val="00967C3F"/>
    <w:rsid w:val="00967C45"/>
    <w:rsid w:val="00967C49"/>
    <w:rsid w:val="00967CF8"/>
    <w:rsid w:val="00967D66"/>
    <w:rsid w:val="00967DB8"/>
    <w:rsid w:val="00967E6F"/>
    <w:rsid w:val="00967EC0"/>
    <w:rsid w:val="00967EDD"/>
    <w:rsid w:val="00967EE8"/>
    <w:rsid w:val="00967EFA"/>
    <w:rsid w:val="00967F2D"/>
    <w:rsid w:val="00967F35"/>
    <w:rsid w:val="00967F78"/>
    <w:rsid w:val="0097007B"/>
    <w:rsid w:val="0097016A"/>
    <w:rsid w:val="009701D6"/>
    <w:rsid w:val="00970207"/>
    <w:rsid w:val="0097020A"/>
    <w:rsid w:val="0097055B"/>
    <w:rsid w:val="00970582"/>
    <w:rsid w:val="0097061F"/>
    <w:rsid w:val="00970641"/>
    <w:rsid w:val="009706ED"/>
    <w:rsid w:val="00970908"/>
    <w:rsid w:val="00970929"/>
    <w:rsid w:val="0097097C"/>
    <w:rsid w:val="00970A44"/>
    <w:rsid w:val="00970BC3"/>
    <w:rsid w:val="00970C33"/>
    <w:rsid w:val="00970C61"/>
    <w:rsid w:val="00970C88"/>
    <w:rsid w:val="00970CCB"/>
    <w:rsid w:val="00970D39"/>
    <w:rsid w:val="00970E19"/>
    <w:rsid w:val="00970E8F"/>
    <w:rsid w:val="00970ECC"/>
    <w:rsid w:val="00970F00"/>
    <w:rsid w:val="00970F20"/>
    <w:rsid w:val="00970F3A"/>
    <w:rsid w:val="00970F84"/>
    <w:rsid w:val="00970FA3"/>
    <w:rsid w:val="0097101F"/>
    <w:rsid w:val="009710CF"/>
    <w:rsid w:val="009710D4"/>
    <w:rsid w:val="00971115"/>
    <w:rsid w:val="00971206"/>
    <w:rsid w:val="0097126D"/>
    <w:rsid w:val="009712D7"/>
    <w:rsid w:val="00971308"/>
    <w:rsid w:val="0097130E"/>
    <w:rsid w:val="00971349"/>
    <w:rsid w:val="0097136D"/>
    <w:rsid w:val="009713D2"/>
    <w:rsid w:val="00971538"/>
    <w:rsid w:val="00971568"/>
    <w:rsid w:val="00971585"/>
    <w:rsid w:val="0097158C"/>
    <w:rsid w:val="00971621"/>
    <w:rsid w:val="00971661"/>
    <w:rsid w:val="009716EE"/>
    <w:rsid w:val="00971896"/>
    <w:rsid w:val="009718CF"/>
    <w:rsid w:val="009719E7"/>
    <w:rsid w:val="009719FB"/>
    <w:rsid w:val="00971A6F"/>
    <w:rsid w:val="00971B5B"/>
    <w:rsid w:val="00971B73"/>
    <w:rsid w:val="00971BAE"/>
    <w:rsid w:val="00971BB3"/>
    <w:rsid w:val="00971C45"/>
    <w:rsid w:val="00971D37"/>
    <w:rsid w:val="00971D3A"/>
    <w:rsid w:val="00971D5E"/>
    <w:rsid w:val="00971D89"/>
    <w:rsid w:val="00971DFE"/>
    <w:rsid w:val="00971E0C"/>
    <w:rsid w:val="00971E11"/>
    <w:rsid w:val="00971F1E"/>
    <w:rsid w:val="00971F7F"/>
    <w:rsid w:val="00971FDB"/>
    <w:rsid w:val="0097201D"/>
    <w:rsid w:val="009720AD"/>
    <w:rsid w:val="00972102"/>
    <w:rsid w:val="0097215D"/>
    <w:rsid w:val="0097217B"/>
    <w:rsid w:val="00972184"/>
    <w:rsid w:val="009721C4"/>
    <w:rsid w:val="009721DD"/>
    <w:rsid w:val="00972216"/>
    <w:rsid w:val="00972219"/>
    <w:rsid w:val="009722A3"/>
    <w:rsid w:val="0097231B"/>
    <w:rsid w:val="009723B0"/>
    <w:rsid w:val="00972525"/>
    <w:rsid w:val="00972542"/>
    <w:rsid w:val="009725BF"/>
    <w:rsid w:val="00972615"/>
    <w:rsid w:val="009726B9"/>
    <w:rsid w:val="00972749"/>
    <w:rsid w:val="00972767"/>
    <w:rsid w:val="00972768"/>
    <w:rsid w:val="0097276A"/>
    <w:rsid w:val="0097284F"/>
    <w:rsid w:val="009728E2"/>
    <w:rsid w:val="0097294E"/>
    <w:rsid w:val="00972962"/>
    <w:rsid w:val="009729EF"/>
    <w:rsid w:val="00972A1E"/>
    <w:rsid w:val="00972A35"/>
    <w:rsid w:val="00972A9E"/>
    <w:rsid w:val="00972BB8"/>
    <w:rsid w:val="00972CA7"/>
    <w:rsid w:val="00972D5E"/>
    <w:rsid w:val="00972E48"/>
    <w:rsid w:val="00972EF8"/>
    <w:rsid w:val="00972F75"/>
    <w:rsid w:val="00972FDC"/>
    <w:rsid w:val="0097303C"/>
    <w:rsid w:val="00973061"/>
    <w:rsid w:val="00973084"/>
    <w:rsid w:val="009730A3"/>
    <w:rsid w:val="009730C6"/>
    <w:rsid w:val="0097312D"/>
    <w:rsid w:val="009731E8"/>
    <w:rsid w:val="0097322F"/>
    <w:rsid w:val="00973279"/>
    <w:rsid w:val="009732F9"/>
    <w:rsid w:val="00973348"/>
    <w:rsid w:val="00973357"/>
    <w:rsid w:val="009733DF"/>
    <w:rsid w:val="0097340E"/>
    <w:rsid w:val="0097349F"/>
    <w:rsid w:val="009734D9"/>
    <w:rsid w:val="0097351B"/>
    <w:rsid w:val="0097369F"/>
    <w:rsid w:val="00973709"/>
    <w:rsid w:val="00973796"/>
    <w:rsid w:val="00973868"/>
    <w:rsid w:val="009738D8"/>
    <w:rsid w:val="009739D8"/>
    <w:rsid w:val="00973B29"/>
    <w:rsid w:val="00973B9F"/>
    <w:rsid w:val="00973C05"/>
    <w:rsid w:val="00973CFD"/>
    <w:rsid w:val="00973D43"/>
    <w:rsid w:val="00973D9B"/>
    <w:rsid w:val="00973DAD"/>
    <w:rsid w:val="00973DFB"/>
    <w:rsid w:val="00973E3F"/>
    <w:rsid w:val="00973F1E"/>
    <w:rsid w:val="00973FD0"/>
    <w:rsid w:val="00973FFF"/>
    <w:rsid w:val="009741F9"/>
    <w:rsid w:val="009742E3"/>
    <w:rsid w:val="00974337"/>
    <w:rsid w:val="00974476"/>
    <w:rsid w:val="0097447F"/>
    <w:rsid w:val="00974547"/>
    <w:rsid w:val="0097454E"/>
    <w:rsid w:val="0097456E"/>
    <w:rsid w:val="0097458E"/>
    <w:rsid w:val="0097464D"/>
    <w:rsid w:val="009746C0"/>
    <w:rsid w:val="0097472B"/>
    <w:rsid w:val="009747F5"/>
    <w:rsid w:val="0097480A"/>
    <w:rsid w:val="00974931"/>
    <w:rsid w:val="00974936"/>
    <w:rsid w:val="00974979"/>
    <w:rsid w:val="00974A10"/>
    <w:rsid w:val="00974A20"/>
    <w:rsid w:val="00974A82"/>
    <w:rsid w:val="00974AA9"/>
    <w:rsid w:val="00974AE4"/>
    <w:rsid w:val="00974B20"/>
    <w:rsid w:val="00974B44"/>
    <w:rsid w:val="00974B8C"/>
    <w:rsid w:val="00974C10"/>
    <w:rsid w:val="00974D37"/>
    <w:rsid w:val="00974DA2"/>
    <w:rsid w:val="00974DEA"/>
    <w:rsid w:val="00974FEC"/>
    <w:rsid w:val="0097501E"/>
    <w:rsid w:val="009750F9"/>
    <w:rsid w:val="009751FD"/>
    <w:rsid w:val="0097531C"/>
    <w:rsid w:val="0097532B"/>
    <w:rsid w:val="00975379"/>
    <w:rsid w:val="009753B7"/>
    <w:rsid w:val="009753C9"/>
    <w:rsid w:val="009753D8"/>
    <w:rsid w:val="009753E4"/>
    <w:rsid w:val="009753E6"/>
    <w:rsid w:val="00975488"/>
    <w:rsid w:val="00975489"/>
    <w:rsid w:val="0097548C"/>
    <w:rsid w:val="00975492"/>
    <w:rsid w:val="00975556"/>
    <w:rsid w:val="00975688"/>
    <w:rsid w:val="0097575C"/>
    <w:rsid w:val="0097577C"/>
    <w:rsid w:val="00975782"/>
    <w:rsid w:val="009757BA"/>
    <w:rsid w:val="00975826"/>
    <w:rsid w:val="00975876"/>
    <w:rsid w:val="009758D9"/>
    <w:rsid w:val="00975A4B"/>
    <w:rsid w:val="00975ABD"/>
    <w:rsid w:val="00975BB0"/>
    <w:rsid w:val="00975D28"/>
    <w:rsid w:val="00975D3C"/>
    <w:rsid w:val="00975D5F"/>
    <w:rsid w:val="00975E59"/>
    <w:rsid w:val="00975E80"/>
    <w:rsid w:val="00975F5F"/>
    <w:rsid w:val="00975FE1"/>
    <w:rsid w:val="00976056"/>
    <w:rsid w:val="0097607A"/>
    <w:rsid w:val="00976093"/>
    <w:rsid w:val="00976163"/>
    <w:rsid w:val="0097616C"/>
    <w:rsid w:val="0097630E"/>
    <w:rsid w:val="00976371"/>
    <w:rsid w:val="00976393"/>
    <w:rsid w:val="009764FB"/>
    <w:rsid w:val="00976559"/>
    <w:rsid w:val="00976578"/>
    <w:rsid w:val="00976705"/>
    <w:rsid w:val="0097699D"/>
    <w:rsid w:val="009769F3"/>
    <w:rsid w:val="009769F5"/>
    <w:rsid w:val="00976A6D"/>
    <w:rsid w:val="00976AE0"/>
    <w:rsid w:val="00976B4C"/>
    <w:rsid w:val="00976BAC"/>
    <w:rsid w:val="00976BCB"/>
    <w:rsid w:val="00976BFA"/>
    <w:rsid w:val="00976C37"/>
    <w:rsid w:val="00976C70"/>
    <w:rsid w:val="00976CB9"/>
    <w:rsid w:val="00976CFB"/>
    <w:rsid w:val="00976D61"/>
    <w:rsid w:val="00976D6F"/>
    <w:rsid w:val="00976DA3"/>
    <w:rsid w:val="00976DEA"/>
    <w:rsid w:val="00976EE4"/>
    <w:rsid w:val="00976F77"/>
    <w:rsid w:val="00976F78"/>
    <w:rsid w:val="00976FBA"/>
    <w:rsid w:val="00977017"/>
    <w:rsid w:val="00977079"/>
    <w:rsid w:val="009770F6"/>
    <w:rsid w:val="009770F8"/>
    <w:rsid w:val="009770F9"/>
    <w:rsid w:val="009772E3"/>
    <w:rsid w:val="00977326"/>
    <w:rsid w:val="00977424"/>
    <w:rsid w:val="00977496"/>
    <w:rsid w:val="009774BC"/>
    <w:rsid w:val="009774EF"/>
    <w:rsid w:val="0097758A"/>
    <w:rsid w:val="00977694"/>
    <w:rsid w:val="00977697"/>
    <w:rsid w:val="009776A8"/>
    <w:rsid w:val="00977744"/>
    <w:rsid w:val="0097777C"/>
    <w:rsid w:val="00977788"/>
    <w:rsid w:val="00977813"/>
    <w:rsid w:val="00977842"/>
    <w:rsid w:val="009778DE"/>
    <w:rsid w:val="00977910"/>
    <w:rsid w:val="009779E5"/>
    <w:rsid w:val="00977B97"/>
    <w:rsid w:val="00977BA1"/>
    <w:rsid w:val="00977D1B"/>
    <w:rsid w:val="00977D22"/>
    <w:rsid w:val="00977D9E"/>
    <w:rsid w:val="00977E04"/>
    <w:rsid w:val="00977E93"/>
    <w:rsid w:val="00977EA5"/>
    <w:rsid w:val="00977F51"/>
    <w:rsid w:val="00977F70"/>
    <w:rsid w:val="00977F7F"/>
    <w:rsid w:val="00977FC9"/>
    <w:rsid w:val="00977FDA"/>
    <w:rsid w:val="00980048"/>
    <w:rsid w:val="00980051"/>
    <w:rsid w:val="00980075"/>
    <w:rsid w:val="009800E1"/>
    <w:rsid w:val="009800EB"/>
    <w:rsid w:val="00980117"/>
    <w:rsid w:val="0098038A"/>
    <w:rsid w:val="009803FE"/>
    <w:rsid w:val="0098042B"/>
    <w:rsid w:val="009804A3"/>
    <w:rsid w:val="009804BD"/>
    <w:rsid w:val="009804D8"/>
    <w:rsid w:val="009804E9"/>
    <w:rsid w:val="009804EC"/>
    <w:rsid w:val="00980504"/>
    <w:rsid w:val="00980508"/>
    <w:rsid w:val="0098051B"/>
    <w:rsid w:val="0098056C"/>
    <w:rsid w:val="00980579"/>
    <w:rsid w:val="00980781"/>
    <w:rsid w:val="00980865"/>
    <w:rsid w:val="0098097A"/>
    <w:rsid w:val="00980B03"/>
    <w:rsid w:val="00980B51"/>
    <w:rsid w:val="00980C60"/>
    <w:rsid w:val="00980C81"/>
    <w:rsid w:val="00980C98"/>
    <w:rsid w:val="00980D1C"/>
    <w:rsid w:val="00980D46"/>
    <w:rsid w:val="00980E90"/>
    <w:rsid w:val="00980F3F"/>
    <w:rsid w:val="00980F63"/>
    <w:rsid w:val="0098102D"/>
    <w:rsid w:val="0098107B"/>
    <w:rsid w:val="009810B5"/>
    <w:rsid w:val="009810E8"/>
    <w:rsid w:val="00981304"/>
    <w:rsid w:val="00981398"/>
    <w:rsid w:val="00981431"/>
    <w:rsid w:val="00981447"/>
    <w:rsid w:val="009814D0"/>
    <w:rsid w:val="009814DD"/>
    <w:rsid w:val="00981548"/>
    <w:rsid w:val="0098159F"/>
    <w:rsid w:val="009815A1"/>
    <w:rsid w:val="00981617"/>
    <w:rsid w:val="0098165B"/>
    <w:rsid w:val="00981764"/>
    <w:rsid w:val="00981798"/>
    <w:rsid w:val="009817A5"/>
    <w:rsid w:val="009817BA"/>
    <w:rsid w:val="009817D7"/>
    <w:rsid w:val="00981863"/>
    <w:rsid w:val="00981A38"/>
    <w:rsid w:val="00981A69"/>
    <w:rsid w:val="00981B05"/>
    <w:rsid w:val="00981BCE"/>
    <w:rsid w:val="00981C85"/>
    <w:rsid w:val="00981C97"/>
    <w:rsid w:val="00981D74"/>
    <w:rsid w:val="00981DBA"/>
    <w:rsid w:val="00981DF3"/>
    <w:rsid w:val="00981E7B"/>
    <w:rsid w:val="00981EDD"/>
    <w:rsid w:val="00981F3C"/>
    <w:rsid w:val="00981F5E"/>
    <w:rsid w:val="00981FBC"/>
    <w:rsid w:val="0098203F"/>
    <w:rsid w:val="00982068"/>
    <w:rsid w:val="00982074"/>
    <w:rsid w:val="00982099"/>
    <w:rsid w:val="009820E4"/>
    <w:rsid w:val="00982148"/>
    <w:rsid w:val="00982164"/>
    <w:rsid w:val="009821C7"/>
    <w:rsid w:val="00982229"/>
    <w:rsid w:val="009822A2"/>
    <w:rsid w:val="00982397"/>
    <w:rsid w:val="009823A0"/>
    <w:rsid w:val="009823AD"/>
    <w:rsid w:val="009823B2"/>
    <w:rsid w:val="009823B9"/>
    <w:rsid w:val="009824E6"/>
    <w:rsid w:val="009824E7"/>
    <w:rsid w:val="009825ED"/>
    <w:rsid w:val="009825F4"/>
    <w:rsid w:val="0098262F"/>
    <w:rsid w:val="009827E5"/>
    <w:rsid w:val="00982818"/>
    <w:rsid w:val="009828A6"/>
    <w:rsid w:val="009828B3"/>
    <w:rsid w:val="009828BD"/>
    <w:rsid w:val="009829B3"/>
    <w:rsid w:val="009829B7"/>
    <w:rsid w:val="009829CF"/>
    <w:rsid w:val="00982A02"/>
    <w:rsid w:val="00982A0E"/>
    <w:rsid w:val="00982C3B"/>
    <w:rsid w:val="00982C55"/>
    <w:rsid w:val="00982D1A"/>
    <w:rsid w:val="00982E4D"/>
    <w:rsid w:val="00982F04"/>
    <w:rsid w:val="00982FA1"/>
    <w:rsid w:val="00982FF3"/>
    <w:rsid w:val="0098301B"/>
    <w:rsid w:val="009830D3"/>
    <w:rsid w:val="00983174"/>
    <w:rsid w:val="009831CB"/>
    <w:rsid w:val="00983246"/>
    <w:rsid w:val="00983276"/>
    <w:rsid w:val="009832C4"/>
    <w:rsid w:val="009832ED"/>
    <w:rsid w:val="00983343"/>
    <w:rsid w:val="009834D1"/>
    <w:rsid w:val="00983522"/>
    <w:rsid w:val="0098355B"/>
    <w:rsid w:val="00983764"/>
    <w:rsid w:val="00983844"/>
    <w:rsid w:val="00983885"/>
    <w:rsid w:val="00983915"/>
    <w:rsid w:val="00983A1A"/>
    <w:rsid w:val="00983A39"/>
    <w:rsid w:val="00983AE5"/>
    <w:rsid w:val="00983B71"/>
    <w:rsid w:val="00983B7A"/>
    <w:rsid w:val="00983BCD"/>
    <w:rsid w:val="00983BD3"/>
    <w:rsid w:val="00983BDB"/>
    <w:rsid w:val="00983C5C"/>
    <w:rsid w:val="00983C98"/>
    <w:rsid w:val="00983D35"/>
    <w:rsid w:val="00983E2D"/>
    <w:rsid w:val="00983EC3"/>
    <w:rsid w:val="00983F19"/>
    <w:rsid w:val="00983F36"/>
    <w:rsid w:val="00983F81"/>
    <w:rsid w:val="00983FF8"/>
    <w:rsid w:val="0098402D"/>
    <w:rsid w:val="00984067"/>
    <w:rsid w:val="009841AB"/>
    <w:rsid w:val="00984237"/>
    <w:rsid w:val="009843F6"/>
    <w:rsid w:val="00984433"/>
    <w:rsid w:val="0098448D"/>
    <w:rsid w:val="00984531"/>
    <w:rsid w:val="00984562"/>
    <w:rsid w:val="00984602"/>
    <w:rsid w:val="00984773"/>
    <w:rsid w:val="009847A2"/>
    <w:rsid w:val="009847B2"/>
    <w:rsid w:val="00984845"/>
    <w:rsid w:val="00984859"/>
    <w:rsid w:val="009848A0"/>
    <w:rsid w:val="009848B9"/>
    <w:rsid w:val="009848DC"/>
    <w:rsid w:val="00984A54"/>
    <w:rsid w:val="00984A6A"/>
    <w:rsid w:val="00984A7A"/>
    <w:rsid w:val="00984A8F"/>
    <w:rsid w:val="00984B85"/>
    <w:rsid w:val="00984B95"/>
    <w:rsid w:val="00984BDA"/>
    <w:rsid w:val="00984BF2"/>
    <w:rsid w:val="00984C06"/>
    <w:rsid w:val="00984C0B"/>
    <w:rsid w:val="00984C0E"/>
    <w:rsid w:val="00984C7C"/>
    <w:rsid w:val="00984CEB"/>
    <w:rsid w:val="00984CEC"/>
    <w:rsid w:val="0098529B"/>
    <w:rsid w:val="00985302"/>
    <w:rsid w:val="0098534E"/>
    <w:rsid w:val="0098537B"/>
    <w:rsid w:val="009853C9"/>
    <w:rsid w:val="00985628"/>
    <w:rsid w:val="0098563C"/>
    <w:rsid w:val="0098565D"/>
    <w:rsid w:val="00985697"/>
    <w:rsid w:val="009856EC"/>
    <w:rsid w:val="0098571A"/>
    <w:rsid w:val="009857AB"/>
    <w:rsid w:val="009857F5"/>
    <w:rsid w:val="009858E9"/>
    <w:rsid w:val="0098594D"/>
    <w:rsid w:val="00985962"/>
    <w:rsid w:val="00985A37"/>
    <w:rsid w:val="00985A39"/>
    <w:rsid w:val="00985AB1"/>
    <w:rsid w:val="00985AB3"/>
    <w:rsid w:val="00985AED"/>
    <w:rsid w:val="00985C4A"/>
    <w:rsid w:val="00985D76"/>
    <w:rsid w:val="00985DB8"/>
    <w:rsid w:val="00985E0E"/>
    <w:rsid w:val="00985E82"/>
    <w:rsid w:val="00985F1D"/>
    <w:rsid w:val="00985F39"/>
    <w:rsid w:val="00985F61"/>
    <w:rsid w:val="00985F70"/>
    <w:rsid w:val="00985FBB"/>
    <w:rsid w:val="00985FE9"/>
    <w:rsid w:val="00986032"/>
    <w:rsid w:val="0098603B"/>
    <w:rsid w:val="00986087"/>
    <w:rsid w:val="009860D0"/>
    <w:rsid w:val="00986122"/>
    <w:rsid w:val="0098616D"/>
    <w:rsid w:val="00986262"/>
    <w:rsid w:val="009862B6"/>
    <w:rsid w:val="009862FD"/>
    <w:rsid w:val="00986314"/>
    <w:rsid w:val="00986350"/>
    <w:rsid w:val="009863F1"/>
    <w:rsid w:val="0098653D"/>
    <w:rsid w:val="00986562"/>
    <w:rsid w:val="00986595"/>
    <w:rsid w:val="00986688"/>
    <w:rsid w:val="009866A2"/>
    <w:rsid w:val="009866B9"/>
    <w:rsid w:val="0098683E"/>
    <w:rsid w:val="0098683F"/>
    <w:rsid w:val="00986859"/>
    <w:rsid w:val="009868D1"/>
    <w:rsid w:val="009868F1"/>
    <w:rsid w:val="0098691A"/>
    <w:rsid w:val="009869B0"/>
    <w:rsid w:val="009869C5"/>
    <w:rsid w:val="009869F0"/>
    <w:rsid w:val="00986A48"/>
    <w:rsid w:val="00986A7A"/>
    <w:rsid w:val="00986B0A"/>
    <w:rsid w:val="00986B1D"/>
    <w:rsid w:val="00986B2F"/>
    <w:rsid w:val="00986BBF"/>
    <w:rsid w:val="00986BDC"/>
    <w:rsid w:val="00986C0B"/>
    <w:rsid w:val="00986C25"/>
    <w:rsid w:val="00986CBC"/>
    <w:rsid w:val="00986CD2"/>
    <w:rsid w:val="00986E1D"/>
    <w:rsid w:val="00986F67"/>
    <w:rsid w:val="00986F99"/>
    <w:rsid w:val="00986FD3"/>
    <w:rsid w:val="00987004"/>
    <w:rsid w:val="0098703A"/>
    <w:rsid w:val="009870E6"/>
    <w:rsid w:val="009871A8"/>
    <w:rsid w:val="009871DD"/>
    <w:rsid w:val="00987230"/>
    <w:rsid w:val="0098727D"/>
    <w:rsid w:val="0098736C"/>
    <w:rsid w:val="00987382"/>
    <w:rsid w:val="00987408"/>
    <w:rsid w:val="009874EF"/>
    <w:rsid w:val="009874FE"/>
    <w:rsid w:val="00987562"/>
    <w:rsid w:val="0098756E"/>
    <w:rsid w:val="009875A4"/>
    <w:rsid w:val="009876B4"/>
    <w:rsid w:val="009876C1"/>
    <w:rsid w:val="00987707"/>
    <w:rsid w:val="0098783E"/>
    <w:rsid w:val="00987912"/>
    <w:rsid w:val="00987A0A"/>
    <w:rsid w:val="00987A1F"/>
    <w:rsid w:val="00987A55"/>
    <w:rsid w:val="00987AF4"/>
    <w:rsid w:val="00987B36"/>
    <w:rsid w:val="00987B54"/>
    <w:rsid w:val="00987C21"/>
    <w:rsid w:val="00987D52"/>
    <w:rsid w:val="00987D7A"/>
    <w:rsid w:val="00987DBE"/>
    <w:rsid w:val="00987E25"/>
    <w:rsid w:val="00987E68"/>
    <w:rsid w:val="00987E99"/>
    <w:rsid w:val="00987F34"/>
    <w:rsid w:val="00987F94"/>
    <w:rsid w:val="00987FE6"/>
    <w:rsid w:val="00990035"/>
    <w:rsid w:val="00990097"/>
    <w:rsid w:val="009901A7"/>
    <w:rsid w:val="009901B9"/>
    <w:rsid w:val="0099027B"/>
    <w:rsid w:val="00990293"/>
    <w:rsid w:val="009902EB"/>
    <w:rsid w:val="009903A4"/>
    <w:rsid w:val="00990445"/>
    <w:rsid w:val="009904A8"/>
    <w:rsid w:val="0099056B"/>
    <w:rsid w:val="00990636"/>
    <w:rsid w:val="009906A6"/>
    <w:rsid w:val="009906E7"/>
    <w:rsid w:val="009906F1"/>
    <w:rsid w:val="009906F9"/>
    <w:rsid w:val="0099074D"/>
    <w:rsid w:val="00990901"/>
    <w:rsid w:val="00990910"/>
    <w:rsid w:val="0099091C"/>
    <w:rsid w:val="0099091F"/>
    <w:rsid w:val="0099096C"/>
    <w:rsid w:val="0099097F"/>
    <w:rsid w:val="009909F6"/>
    <w:rsid w:val="00990A09"/>
    <w:rsid w:val="00990AF3"/>
    <w:rsid w:val="00990B59"/>
    <w:rsid w:val="00990BA3"/>
    <w:rsid w:val="00990BF3"/>
    <w:rsid w:val="00990BFD"/>
    <w:rsid w:val="00990C80"/>
    <w:rsid w:val="00990D03"/>
    <w:rsid w:val="00990F63"/>
    <w:rsid w:val="00990F7B"/>
    <w:rsid w:val="00990F99"/>
    <w:rsid w:val="0099102B"/>
    <w:rsid w:val="009910EC"/>
    <w:rsid w:val="009911AE"/>
    <w:rsid w:val="009911B8"/>
    <w:rsid w:val="009911CE"/>
    <w:rsid w:val="0099128E"/>
    <w:rsid w:val="009912E7"/>
    <w:rsid w:val="00991346"/>
    <w:rsid w:val="009914C6"/>
    <w:rsid w:val="009915DF"/>
    <w:rsid w:val="009916E6"/>
    <w:rsid w:val="00991A0F"/>
    <w:rsid w:val="00991AB6"/>
    <w:rsid w:val="00991AF7"/>
    <w:rsid w:val="00991B41"/>
    <w:rsid w:val="00991B65"/>
    <w:rsid w:val="00991B81"/>
    <w:rsid w:val="00991BA1"/>
    <w:rsid w:val="00991BB0"/>
    <w:rsid w:val="00991C39"/>
    <w:rsid w:val="00991D6C"/>
    <w:rsid w:val="00991E45"/>
    <w:rsid w:val="00991E7D"/>
    <w:rsid w:val="00991EFA"/>
    <w:rsid w:val="00992036"/>
    <w:rsid w:val="00992081"/>
    <w:rsid w:val="00992098"/>
    <w:rsid w:val="009920E2"/>
    <w:rsid w:val="0099210C"/>
    <w:rsid w:val="009921DE"/>
    <w:rsid w:val="009921F6"/>
    <w:rsid w:val="009922D7"/>
    <w:rsid w:val="009922EF"/>
    <w:rsid w:val="00992367"/>
    <w:rsid w:val="009923F3"/>
    <w:rsid w:val="009924D9"/>
    <w:rsid w:val="00992595"/>
    <w:rsid w:val="00992599"/>
    <w:rsid w:val="009925DD"/>
    <w:rsid w:val="00992606"/>
    <w:rsid w:val="0099267A"/>
    <w:rsid w:val="0099267F"/>
    <w:rsid w:val="00992701"/>
    <w:rsid w:val="0099272A"/>
    <w:rsid w:val="009927A2"/>
    <w:rsid w:val="009927FA"/>
    <w:rsid w:val="00992807"/>
    <w:rsid w:val="00992827"/>
    <w:rsid w:val="0099284A"/>
    <w:rsid w:val="00992861"/>
    <w:rsid w:val="00992897"/>
    <w:rsid w:val="00992955"/>
    <w:rsid w:val="00992A36"/>
    <w:rsid w:val="00992A42"/>
    <w:rsid w:val="00992B24"/>
    <w:rsid w:val="00992BAF"/>
    <w:rsid w:val="00992BE9"/>
    <w:rsid w:val="00992C3D"/>
    <w:rsid w:val="00992D56"/>
    <w:rsid w:val="00992DAE"/>
    <w:rsid w:val="00992DEA"/>
    <w:rsid w:val="00992DF1"/>
    <w:rsid w:val="00992E76"/>
    <w:rsid w:val="00992F19"/>
    <w:rsid w:val="00992F1C"/>
    <w:rsid w:val="00992FC1"/>
    <w:rsid w:val="00992FD3"/>
    <w:rsid w:val="0099304C"/>
    <w:rsid w:val="009932BD"/>
    <w:rsid w:val="009932F5"/>
    <w:rsid w:val="00993430"/>
    <w:rsid w:val="0099347F"/>
    <w:rsid w:val="00993577"/>
    <w:rsid w:val="009936FB"/>
    <w:rsid w:val="009937B4"/>
    <w:rsid w:val="009937EA"/>
    <w:rsid w:val="00993873"/>
    <w:rsid w:val="009938F3"/>
    <w:rsid w:val="00993A10"/>
    <w:rsid w:val="00993A12"/>
    <w:rsid w:val="00993A3E"/>
    <w:rsid w:val="00993A48"/>
    <w:rsid w:val="00993B70"/>
    <w:rsid w:val="00993BCB"/>
    <w:rsid w:val="00993C7C"/>
    <w:rsid w:val="00993D10"/>
    <w:rsid w:val="00993D17"/>
    <w:rsid w:val="00993D73"/>
    <w:rsid w:val="00993EBB"/>
    <w:rsid w:val="00993EC1"/>
    <w:rsid w:val="00993F63"/>
    <w:rsid w:val="00994021"/>
    <w:rsid w:val="0099403C"/>
    <w:rsid w:val="00994095"/>
    <w:rsid w:val="009940B8"/>
    <w:rsid w:val="009940EF"/>
    <w:rsid w:val="0099413B"/>
    <w:rsid w:val="00994184"/>
    <w:rsid w:val="00994230"/>
    <w:rsid w:val="00994282"/>
    <w:rsid w:val="00994327"/>
    <w:rsid w:val="0099437C"/>
    <w:rsid w:val="009944D2"/>
    <w:rsid w:val="009944D3"/>
    <w:rsid w:val="009944E4"/>
    <w:rsid w:val="009945EE"/>
    <w:rsid w:val="009945F5"/>
    <w:rsid w:val="009946B0"/>
    <w:rsid w:val="0099481C"/>
    <w:rsid w:val="0099485B"/>
    <w:rsid w:val="009948D8"/>
    <w:rsid w:val="009949C6"/>
    <w:rsid w:val="00994A3C"/>
    <w:rsid w:val="00994AA3"/>
    <w:rsid w:val="00994ABA"/>
    <w:rsid w:val="00994ABF"/>
    <w:rsid w:val="00994AD4"/>
    <w:rsid w:val="00994B12"/>
    <w:rsid w:val="00994B4D"/>
    <w:rsid w:val="00994B53"/>
    <w:rsid w:val="00994BD8"/>
    <w:rsid w:val="00994CB5"/>
    <w:rsid w:val="00994CD6"/>
    <w:rsid w:val="00994CE5"/>
    <w:rsid w:val="00994D05"/>
    <w:rsid w:val="00994D3B"/>
    <w:rsid w:val="00994D45"/>
    <w:rsid w:val="00994D93"/>
    <w:rsid w:val="00994DF0"/>
    <w:rsid w:val="00994E6D"/>
    <w:rsid w:val="00994EB9"/>
    <w:rsid w:val="00994F10"/>
    <w:rsid w:val="00994F9F"/>
    <w:rsid w:val="00995062"/>
    <w:rsid w:val="009950DC"/>
    <w:rsid w:val="00995155"/>
    <w:rsid w:val="00995200"/>
    <w:rsid w:val="00995569"/>
    <w:rsid w:val="009955BB"/>
    <w:rsid w:val="009955CE"/>
    <w:rsid w:val="00995657"/>
    <w:rsid w:val="00995750"/>
    <w:rsid w:val="009957CD"/>
    <w:rsid w:val="009958D7"/>
    <w:rsid w:val="00995942"/>
    <w:rsid w:val="0099597C"/>
    <w:rsid w:val="00995995"/>
    <w:rsid w:val="00995A5E"/>
    <w:rsid w:val="00995A65"/>
    <w:rsid w:val="00995A95"/>
    <w:rsid w:val="00995AF6"/>
    <w:rsid w:val="00995BF8"/>
    <w:rsid w:val="00995C4B"/>
    <w:rsid w:val="00995C74"/>
    <w:rsid w:val="00995C9E"/>
    <w:rsid w:val="00995D59"/>
    <w:rsid w:val="00995E9B"/>
    <w:rsid w:val="00995F20"/>
    <w:rsid w:val="00995F29"/>
    <w:rsid w:val="00995F71"/>
    <w:rsid w:val="00995F87"/>
    <w:rsid w:val="00996166"/>
    <w:rsid w:val="00996202"/>
    <w:rsid w:val="00996261"/>
    <w:rsid w:val="00996285"/>
    <w:rsid w:val="00996308"/>
    <w:rsid w:val="00996332"/>
    <w:rsid w:val="0099639C"/>
    <w:rsid w:val="009964B8"/>
    <w:rsid w:val="009964CE"/>
    <w:rsid w:val="00996623"/>
    <w:rsid w:val="009966BF"/>
    <w:rsid w:val="00996736"/>
    <w:rsid w:val="00996741"/>
    <w:rsid w:val="00996839"/>
    <w:rsid w:val="009968FE"/>
    <w:rsid w:val="00996A49"/>
    <w:rsid w:val="00996A74"/>
    <w:rsid w:val="00996AED"/>
    <w:rsid w:val="00996B59"/>
    <w:rsid w:val="00996B87"/>
    <w:rsid w:val="00996BBC"/>
    <w:rsid w:val="00996BC3"/>
    <w:rsid w:val="00996BF7"/>
    <w:rsid w:val="00996C00"/>
    <w:rsid w:val="00996C84"/>
    <w:rsid w:val="00996D21"/>
    <w:rsid w:val="00996DBE"/>
    <w:rsid w:val="00996E71"/>
    <w:rsid w:val="00996EBB"/>
    <w:rsid w:val="00996ED4"/>
    <w:rsid w:val="00996F6B"/>
    <w:rsid w:val="00997090"/>
    <w:rsid w:val="00997093"/>
    <w:rsid w:val="009970BE"/>
    <w:rsid w:val="00997318"/>
    <w:rsid w:val="00997377"/>
    <w:rsid w:val="0099738C"/>
    <w:rsid w:val="009974FE"/>
    <w:rsid w:val="00997500"/>
    <w:rsid w:val="00997504"/>
    <w:rsid w:val="00997547"/>
    <w:rsid w:val="00997579"/>
    <w:rsid w:val="00997617"/>
    <w:rsid w:val="00997684"/>
    <w:rsid w:val="00997757"/>
    <w:rsid w:val="00997777"/>
    <w:rsid w:val="009978FA"/>
    <w:rsid w:val="00997999"/>
    <w:rsid w:val="00997A0C"/>
    <w:rsid w:val="00997AA9"/>
    <w:rsid w:val="00997AF8"/>
    <w:rsid w:val="00997B50"/>
    <w:rsid w:val="00997B55"/>
    <w:rsid w:val="00997B7A"/>
    <w:rsid w:val="00997BB5"/>
    <w:rsid w:val="00997C61"/>
    <w:rsid w:val="00997C6B"/>
    <w:rsid w:val="00997CE6"/>
    <w:rsid w:val="00997DBA"/>
    <w:rsid w:val="00997DC1"/>
    <w:rsid w:val="00997F50"/>
    <w:rsid w:val="00997F52"/>
    <w:rsid w:val="00997FF0"/>
    <w:rsid w:val="00997FF4"/>
    <w:rsid w:val="009A007E"/>
    <w:rsid w:val="009A02E3"/>
    <w:rsid w:val="009A0351"/>
    <w:rsid w:val="009A03A1"/>
    <w:rsid w:val="009A03CD"/>
    <w:rsid w:val="009A04AC"/>
    <w:rsid w:val="009A051E"/>
    <w:rsid w:val="009A0539"/>
    <w:rsid w:val="009A0550"/>
    <w:rsid w:val="009A0627"/>
    <w:rsid w:val="009A0631"/>
    <w:rsid w:val="009A0715"/>
    <w:rsid w:val="009A073F"/>
    <w:rsid w:val="009A074C"/>
    <w:rsid w:val="009A080D"/>
    <w:rsid w:val="009A0834"/>
    <w:rsid w:val="009A083C"/>
    <w:rsid w:val="009A0846"/>
    <w:rsid w:val="009A084B"/>
    <w:rsid w:val="009A0A9A"/>
    <w:rsid w:val="009A0AB0"/>
    <w:rsid w:val="009A0B6F"/>
    <w:rsid w:val="009A0BDD"/>
    <w:rsid w:val="009A0C7B"/>
    <w:rsid w:val="009A0CCB"/>
    <w:rsid w:val="009A0CD0"/>
    <w:rsid w:val="009A0CDC"/>
    <w:rsid w:val="009A0CF6"/>
    <w:rsid w:val="009A0D3F"/>
    <w:rsid w:val="009A0D45"/>
    <w:rsid w:val="009A0D59"/>
    <w:rsid w:val="009A0E85"/>
    <w:rsid w:val="009A0EAE"/>
    <w:rsid w:val="009A0ED4"/>
    <w:rsid w:val="009A0F07"/>
    <w:rsid w:val="009A0F8C"/>
    <w:rsid w:val="009A1011"/>
    <w:rsid w:val="009A1141"/>
    <w:rsid w:val="009A1180"/>
    <w:rsid w:val="009A1231"/>
    <w:rsid w:val="009A1257"/>
    <w:rsid w:val="009A1281"/>
    <w:rsid w:val="009A138A"/>
    <w:rsid w:val="009A13CB"/>
    <w:rsid w:val="009A13CC"/>
    <w:rsid w:val="009A144D"/>
    <w:rsid w:val="009A15B8"/>
    <w:rsid w:val="009A15BF"/>
    <w:rsid w:val="009A1696"/>
    <w:rsid w:val="009A172C"/>
    <w:rsid w:val="009A1744"/>
    <w:rsid w:val="009A17BD"/>
    <w:rsid w:val="009A17FA"/>
    <w:rsid w:val="009A1875"/>
    <w:rsid w:val="009A18AB"/>
    <w:rsid w:val="009A18AC"/>
    <w:rsid w:val="009A1928"/>
    <w:rsid w:val="009A1959"/>
    <w:rsid w:val="009A1985"/>
    <w:rsid w:val="009A1996"/>
    <w:rsid w:val="009A1A18"/>
    <w:rsid w:val="009A1A28"/>
    <w:rsid w:val="009A1B7D"/>
    <w:rsid w:val="009A1B85"/>
    <w:rsid w:val="009A1BDA"/>
    <w:rsid w:val="009A1C4E"/>
    <w:rsid w:val="009A1C6F"/>
    <w:rsid w:val="009A1CC8"/>
    <w:rsid w:val="009A1CD6"/>
    <w:rsid w:val="009A1D42"/>
    <w:rsid w:val="009A1DDF"/>
    <w:rsid w:val="009A1E34"/>
    <w:rsid w:val="009A1ED7"/>
    <w:rsid w:val="009A1F0B"/>
    <w:rsid w:val="009A1F4D"/>
    <w:rsid w:val="009A1F71"/>
    <w:rsid w:val="009A1FAD"/>
    <w:rsid w:val="009A1FB0"/>
    <w:rsid w:val="009A1FD0"/>
    <w:rsid w:val="009A203A"/>
    <w:rsid w:val="009A2050"/>
    <w:rsid w:val="009A23A2"/>
    <w:rsid w:val="009A23A6"/>
    <w:rsid w:val="009A2458"/>
    <w:rsid w:val="009A2490"/>
    <w:rsid w:val="009A2543"/>
    <w:rsid w:val="009A254A"/>
    <w:rsid w:val="009A25BB"/>
    <w:rsid w:val="009A25F4"/>
    <w:rsid w:val="009A267D"/>
    <w:rsid w:val="009A2707"/>
    <w:rsid w:val="009A27B6"/>
    <w:rsid w:val="009A27DC"/>
    <w:rsid w:val="009A27E6"/>
    <w:rsid w:val="009A28C4"/>
    <w:rsid w:val="009A294D"/>
    <w:rsid w:val="009A2968"/>
    <w:rsid w:val="009A2972"/>
    <w:rsid w:val="009A2979"/>
    <w:rsid w:val="009A298C"/>
    <w:rsid w:val="009A29A9"/>
    <w:rsid w:val="009A29BD"/>
    <w:rsid w:val="009A29CE"/>
    <w:rsid w:val="009A2A1E"/>
    <w:rsid w:val="009A2A2F"/>
    <w:rsid w:val="009A2AD6"/>
    <w:rsid w:val="009A2B72"/>
    <w:rsid w:val="009A2BC0"/>
    <w:rsid w:val="009A2BED"/>
    <w:rsid w:val="009A2C0E"/>
    <w:rsid w:val="009A2C8D"/>
    <w:rsid w:val="009A2D05"/>
    <w:rsid w:val="009A2D1A"/>
    <w:rsid w:val="009A2E2D"/>
    <w:rsid w:val="009A2E59"/>
    <w:rsid w:val="009A2F92"/>
    <w:rsid w:val="009A302D"/>
    <w:rsid w:val="009A30E2"/>
    <w:rsid w:val="009A31C7"/>
    <w:rsid w:val="009A32BD"/>
    <w:rsid w:val="009A32FF"/>
    <w:rsid w:val="009A3339"/>
    <w:rsid w:val="009A339A"/>
    <w:rsid w:val="009A33EB"/>
    <w:rsid w:val="009A3423"/>
    <w:rsid w:val="009A345D"/>
    <w:rsid w:val="009A34AF"/>
    <w:rsid w:val="009A34DF"/>
    <w:rsid w:val="009A3508"/>
    <w:rsid w:val="009A368A"/>
    <w:rsid w:val="009A36B6"/>
    <w:rsid w:val="009A370E"/>
    <w:rsid w:val="009A3792"/>
    <w:rsid w:val="009A37EC"/>
    <w:rsid w:val="009A3835"/>
    <w:rsid w:val="009A3901"/>
    <w:rsid w:val="009A3A4C"/>
    <w:rsid w:val="009A3AD0"/>
    <w:rsid w:val="009A3B7D"/>
    <w:rsid w:val="009A3BA4"/>
    <w:rsid w:val="009A3C3F"/>
    <w:rsid w:val="009A3CBB"/>
    <w:rsid w:val="009A3CCC"/>
    <w:rsid w:val="009A3D3D"/>
    <w:rsid w:val="009A3DE7"/>
    <w:rsid w:val="009A3E3A"/>
    <w:rsid w:val="009A3E85"/>
    <w:rsid w:val="009A3F02"/>
    <w:rsid w:val="009A3F45"/>
    <w:rsid w:val="009A3F4D"/>
    <w:rsid w:val="009A4034"/>
    <w:rsid w:val="009A4074"/>
    <w:rsid w:val="009A40B9"/>
    <w:rsid w:val="009A4101"/>
    <w:rsid w:val="009A4114"/>
    <w:rsid w:val="009A4125"/>
    <w:rsid w:val="009A428D"/>
    <w:rsid w:val="009A42EB"/>
    <w:rsid w:val="009A42FA"/>
    <w:rsid w:val="009A4472"/>
    <w:rsid w:val="009A4499"/>
    <w:rsid w:val="009A462A"/>
    <w:rsid w:val="009A4658"/>
    <w:rsid w:val="009A46B8"/>
    <w:rsid w:val="009A4705"/>
    <w:rsid w:val="009A4758"/>
    <w:rsid w:val="009A47A0"/>
    <w:rsid w:val="009A4858"/>
    <w:rsid w:val="009A4923"/>
    <w:rsid w:val="009A492A"/>
    <w:rsid w:val="009A49B9"/>
    <w:rsid w:val="009A49F9"/>
    <w:rsid w:val="009A4A61"/>
    <w:rsid w:val="009A4A62"/>
    <w:rsid w:val="009A4AF4"/>
    <w:rsid w:val="009A4CAF"/>
    <w:rsid w:val="009A4CB9"/>
    <w:rsid w:val="009A4E29"/>
    <w:rsid w:val="009A4EB0"/>
    <w:rsid w:val="009A4F96"/>
    <w:rsid w:val="009A5101"/>
    <w:rsid w:val="009A5108"/>
    <w:rsid w:val="009A5122"/>
    <w:rsid w:val="009A51AD"/>
    <w:rsid w:val="009A53D4"/>
    <w:rsid w:val="009A5417"/>
    <w:rsid w:val="009A54BB"/>
    <w:rsid w:val="009A5533"/>
    <w:rsid w:val="009A5555"/>
    <w:rsid w:val="009A5592"/>
    <w:rsid w:val="009A5620"/>
    <w:rsid w:val="009A568E"/>
    <w:rsid w:val="009A5776"/>
    <w:rsid w:val="009A57A2"/>
    <w:rsid w:val="009A57BA"/>
    <w:rsid w:val="009A57F7"/>
    <w:rsid w:val="009A590F"/>
    <w:rsid w:val="009A5918"/>
    <w:rsid w:val="009A5946"/>
    <w:rsid w:val="009A597D"/>
    <w:rsid w:val="009A5A1F"/>
    <w:rsid w:val="009A5A77"/>
    <w:rsid w:val="009A5AC5"/>
    <w:rsid w:val="009A5B6A"/>
    <w:rsid w:val="009A5BB3"/>
    <w:rsid w:val="009A5C43"/>
    <w:rsid w:val="009A5D3D"/>
    <w:rsid w:val="009A5D91"/>
    <w:rsid w:val="009A5E57"/>
    <w:rsid w:val="009A5EBF"/>
    <w:rsid w:val="009A5F43"/>
    <w:rsid w:val="009A5F65"/>
    <w:rsid w:val="009A6036"/>
    <w:rsid w:val="009A608A"/>
    <w:rsid w:val="009A61AF"/>
    <w:rsid w:val="009A61B1"/>
    <w:rsid w:val="009A63A8"/>
    <w:rsid w:val="009A63AA"/>
    <w:rsid w:val="009A6420"/>
    <w:rsid w:val="009A6421"/>
    <w:rsid w:val="009A6476"/>
    <w:rsid w:val="009A6490"/>
    <w:rsid w:val="009A64BC"/>
    <w:rsid w:val="009A64F7"/>
    <w:rsid w:val="009A659D"/>
    <w:rsid w:val="009A6808"/>
    <w:rsid w:val="009A691A"/>
    <w:rsid w:val="009A6942"/>
    <w:rsid w:val="009A6993"/>
    <w:rsid w:val="009A69A5"/>
    <w:rsid w:val="009A69DF"/>
    <w:rsid w:val="009A6A42"/>
    <w:rsid w:val="009A6A68"/>
    <w:rsid w:val="009A6AB5"/>
    <w:rsid w:val="009A6D3C"/>
    <w:rsid w:val="009A6E2B"/>
    <w:rsid w:val="009A7068"/>
    <w:rsid w:val="009A711F"/>
    <w:rsid w:val="009A7159"/>
    <w:rsid w:val="009A717E"/>
    <w:rsid w:val="009A71B3"/>
    <w:rsid w:val="009A71E1"/>
    <w:rsid w:val="009A71FC"/>
    <w:rsid w:val="009A7206"/>
    <w:rsid w:val="009A726B"/>
    <w:rsid w:val="009A728A"/>
    <w:rsid w:val="009A72CC"/>
    <w:rsid w:val="009A72CD"/>
    <w:rsid w:val="009A73D9"/>
    <w:rsid w:val="009A7438"/>
    <w:rsid w:val="009A7487"/>
    <w:rsid w:val="009A74B8"/>
    <w:rsid w:val="009A7528"/>
    <w:rsid w:val="009A7641"/>
    <w:rsid w:val="009A76B4"/>
    <w:rsid w:val="009A7714"/>
    <w:rsid w:val="009A7783"/>
    <w:rsid w:val="009A77DB"/>
    <w:rsid w:val="009A784A"/>
    <w:rsid w:val="009A7A05"/>
    <w:rsid w:val="009A7CEC"/>
    <w:rsid w:val="009A7D4D"/>
    <w:rsid w:val="009A7D5B"/>
    <w:rsid w:val="009A7D7D"/>
    <w:rsid w:val="009A7D9E"/>
    <w:rsid w:val="009A7DDE"/>
    <w:rsid w:val="009A7DF7"/>
    <w:rsid w:val="009A7E81"/>
    <w:rsid w:val="009B0149"/>
    <w:rsid w:val="009B0159"/>
    <w:rsid w:val="009B01B1"/>
    <w:rsid w:val="009B01E7"/>
    <w:rsid w:val="009B0236"/>
    <w:rsid w:val="009B02AE"/>
    <w:rsid w:val="009B0345"/>
    <w:rsid w:val="009B0393"/>
    <w:rsid w:val="009B03E0"/>
    <w:rsid w:val="009B0493"/>
    <w:rsid w:val="009B0494"/>
    <w:rsid w:val="009B04A7"/>
    <w:rsid w:val="009B0591"/>
    <w:rsid w:val="009B05A6"/>
    <w:rsid w:val="009B0667"/>
    <w:rsid w:val="009B06AB"/>
    <w:rsid w:val="009B06DE"/>
    <w:rsid w:val="009B06EB"/>
    <w:rsid w:val="009B0780"/>
    <w:rsid w:val="009B07B1"/>
    <w:rsid w:val="009B07EC"/>
    <w:rsid w:val="009B08D8"/>
    <w:rsid w:val="009B0AE7"/>
    <w:rsid w:val="009B0B35"/>
    <w:rsid w:val="009B0B4A"/>
    <w:rsid w:val="009B0BB6"/>
    <w:rsid w:val="009B0BE8"/>
    <w:rsid w:val="009B0BF0"/>
    <w:rsid w:val="009B0C09"/>
    <w:rsid w:val="009B0CAE"/>
    <w:rsid w:val="009B0D6C"/>
    <w:rsid w:val="009B0DEA"/>
    <w:rsid w:val="009B0EB4"/>
    <w:rsid w:val="009B0ECC"/>
    <w:rsid w:val="009B0F49"/>
    <w:rsid w:val="009B0FAD"/>
    <w:rsid w:val="009B10D2"/>
    <w:rsid w:val="009B1113"/>
    <w:rsid w:val="009B111D"/>
    <w:rsid w:val="009B114C"/>
    <w:rsid w:val="009B1244"/>
    <w:rsid w:val="009B1271"/>
    <w:rsid w:val="009B13F1"/>
    <w:rsid w:val="009B1408"/>
    <w:rsid w:val="009B1513"/>
    <w:rsid w:val="009B15D2"/>
    <w:rsid w:val="009B161C"/>
    <w:rsid w:val="009B162D"/>
    <w:rsid w:val="009B162E"/>
    <w:rsid w:val="009B1760"/>
    <w:rsid w:val="009B1770"/>
    <w:rsid w:val="009B186A"/>
    <w:rsid w:val="009B187F"/>
    <w:rsid w:val="009B18CF"/>
    <w:rsid w:val="009B18DB"/>
    <w:rsid w:val="009B19B1"/>
    <w:rsid w:val="009B1A46"/>
    <w:rsid w:val="009B1AB3"/>
    <w:rsid w:val="009B1AEB"/>
    <w:rsid w:val="009B1B0E"/>
    <w:rsid w:val="009B1B3D"/>
    <w:rsid w:val="009B1B84"/>
    <w:rsid w:val="009B1CA7"/>
    <w:rsid w:val="009B1DBF"/>
    <w:rsid w:val="009B1EBD"/>
    <w:rsid w:val="009B1EC2"/>
    <w:rsid w:val="009B1EDF"/>
    <w:rsid w:val="009B1F4A"/>
    <w:rsid w:val="009B2087"/>
    <w:rsid w:val="009B2147"/>
    <w:rsid w:val="009B216C"/>
    <w:rsid w:val="009B21E5"/>
    <w:rsid w:val="009B2283"/>
    <w:rsid w:val="009B22A3"/>
    <w:rsid w:val="009B2318"/>
    <w:rsid w:val="009B2321"/>
    <w:rsid w:val="009B24C3"/>
    <w:rsid w:val="009B24EE"/>
    <w:rsid w:val="009B2604"/>
    <w:rsid w:val="009B265B"/>
    <w:rsid w:val="009B2679"/>
    <w:rsid w:val="009B27A3"/>
    <w:rsid w:val="009B27D1"/>
    <w:rsid w:val="009B285D"/>
    <w:rsid w:val="009B29AF"/>
    <w:rsid w:val="009B29B1"/>
    <w:rsid w:val="009B2A48"/>
    <w:rsid w:val="009B2A85"/>
    <w:rsid w:val="009B2AF5"/>
    <w:rsid w:val="009B2C2A"/>
    <w:rsid w:val="009B2D3B"/>
    <w:rsid w:val="009B3003"/>
    <w:rsid w:val="009B3023"/>
    <w:rsid w:val="009B3061"/>
    <w:rsid w:val="009B30B5"/>
    <w:rsid w:val="009B30CC"/>
    <w:rsid w:val="009B3175"/>
    <w:rsid w:val="009B319C"/>
    <w:rsid w:val="009B31A1"/>
    <w:rsid w:val="009B31A2"/>
    <w:rsid w:val="009B31E0"/>
    <w:rsid w:val="009B3215"/>
    <w:rsid w:val="009B329F"/>
    <w:rsid w:val="009B32BE"/>
    <w:rsid w:val="009B32C1"/>
    <w:rsid w:val="009B3316"/>
    <w:rsid w:val="009B332B"/>
    <w:rsid w:val="009B3439"/>
    <w:rsid w:val="009B3445"/>
    <w:rsid w:val="009B3518"/>
    <w:rsid w:val="009B3588"/>
    <w:rsid w:val="009B3645"/>
    <w:rsid w:val="009B3665"/>
    <w:rsid w:val="009B36F3"/>
    <w:rsid w:val="009B3717"/>
    <w:rsid w:val="009B372D"/>
    <w:rsid w:val="009B3747"/>
    <w:rsid w:val="009B374D"/>
    <w:rsid w:val="009B3779"/>
    <w:rsid w:val="009B3789"/>
    <w:rsid w:val="009B38B8"/>
    <w:rsid w:val="009B3917"/>
    <w:rsid w:val="009B3A2B"/>
    <w:rsid w:val="009B3A3C"/>
    <w:rsid w:val="009B3AB1"/>
    <w:rsid w:val="009B3B21"/>
    <w:rsid w:val="009B3D1C"/>
    <w:rsid w:val="009B3D3F"/>
    <w:rsid w:val="009B3D8C"/>
    <w:rsid w:val="009B3ECA"/>
    <w:rsid w:val="009B3F13"/>
    <w:rsid w:val="009B3FD3"/>
    <w:rsid w:val="009B404D"/>
    <w:rsid w:val="009B4068"/>
    <w:rsid w:val="009B4076"/>
    <w:rsid w:val="009B4097"/>
    <w:rsid w:val="009B40F0"/>
    <w:rsid w:val="009B40F1"/>
    <w:rsid w:val="009B4119"/>
    <w:rsid w:val="009B4287"/>
    <w:rsid w:val="009B42F5"/>
    <w:rsid w:val="009B432A"/>
    <w:rsid w:val="009B4346"/>
    <w:rsid w:val="009B439C"/>
    <w:rsid w:val="009B43A7"/>
    <w:rsid w:val="009B43C3"/>
    <w:rsid w:val="009B43CB"/>
    <w:rsid w:val="009B44BA"/>
    <w:rsid w:val="009B4568"/>
    <w:rsid w:val="009B45B9"/>
    <w:rsid w:val="009B4616"/>
    <w:rsid w:val="009B4636"/>
    <w:rsid w:val="009B463F"/>
    <w:rsid w:val="009B4798"/>
    <w:rsid w:val="009B47C6"/>
    <w:rsid w:val="009B487B"/>
    <w:rsid w:val="009B48B5"/>
    <w:rsid w:val="009B48F0"/>
    <w:rsid w:val="009B4975"/>
    <w:rsid w:val="009B49A0"/>
    <w:rsid w:val="009B4A8E"/>
    <w:rsid w:val="009B4ACF"/>
    <w:rsid w:val="009B4AFA"/>
    <w:rsid w:val="009B4B47"/>
    <w:rsid w:val="009B4B69"/>
    <w:rsid w:val="009B4BEE"/>
    <w:rsid w:val="009B4BF8"/>
    <w:rsid w:val="009B4BFA"/>
    <w:rsid w:val="009B4CF0"/>
    <w:rsid w:val="009B4DB3"/>
    <w:rsid w:val="009B4DDD"/>
    <w:rsid w:val="009B4E1C"/>
    <w:rsid w:val="009B4EEF"/>
    <w:rsid w:val="009B4FD1"/>
    <w:rsid w:val="009B5163"/>
    <w:rsid w:val="009B518C"/>
    <w:rsid w:val="009B5212"/>
    <w:rsid w:val="009B521C"/>
    <w:rsid w:val="009B527B"/>
    <w:rsid w:val="009B52A9"/>
    <w:rsid w:val="009B52FD"/>
    <w:rsid w:val="009B5386"/>
    <w:rsid w:val="009B538E"/>
    <w:rsid w:val="009B53DE"/>
    <w:rsid w:val="009B549E"/>
    <w:rsid w:val="009B54B3"/>
    <w:rsid w:val="009B550E"/>
    <w:rsid w:val="009B5515"/>
    <w:rsid w:val="009B5557"/>
    <w:rsid w:val="009B5635"/>
    <w:rsid w:val="009B563C"/>
    <w:rsid w:val="009B56A8"/>
    <w:rsid w:val="009B56AA"/>
    <w:rsid w:val="009B56B2"/>
    <w:rsid w:val="009B571A"/>
    <w:rsid w:val="009B57E7"/>
    <w:rsid w:val="009B58D4"/>
    <w:rsid w:val="009B58E9"/>
    <w:rsid w:val="009B58F7"/>
    <w:rsid w:val="009B5998"/>
    <w:rsid w:val="009B5A56"/>
    <w:rsid w:val="009B5AA7"/>
    <w:rsid w:val="009B5B4B"/>
    <w:rsid w:val="009B5BB2"/>
    <w:rsid w:val="009B5BD9"/>
    <w:rsid w:val="009B5CC2"/>
    <w:rsid w:val="009B5CE2"/>
    <w:rsid w:val="009B5CE3"/>
    <w:rsid w:val="009B5D05"/>
    <w:rsid w:val="009B5D3B"/>
    <w:rsid w:val="009B5EFE"/>
    <w:rsid w:val="009B5F64"/>
    <w:rsid w:val="009B5F9E"/>
    <w:rsid w:val="009B5FD6"/>
    <w:rsid w:val="009B60B1"/>
    <w:rsid w:val="009B60E9"/>
    <w:rsid w:val="009B61D8"/>
    <w:rsid w:val="009B634B"/>
    <w:rsid w:val="009B637C"/>
    <w:rsid w:val="009B63B7"/>
    <w:rsid w:val="009B6470"/>
    <w:rsid w:val="009B6473"/>
    <w:rsid w:val="009B64F3"/>
    <w:rsid w:val="009B6501"/>
    <w:rsid w:val="009B6568"/>
    <w:rsid w:val="009B658C"/>
    <w:rsid w:val="009B6592"/>
    <w:rsid w:val="009B6596"/>
    <w:rsid w:val="009B66CA"/>
    <w:rsid w:val="009B66CD"/>
    <w:rsid w:val="009B66FD"/>
    <w:rsid w:val="009B67BB"/>
    <w:rsid w:val="009B685B"/>
    <w:rsid w:val="009B692E"/>
    <w:rsid w:val="009B6A01"/>
    <w:rsid w:val="009B6A18"/>
    <w:rsid w:val="009B6A34"/>
    <w:rsid w:val="009B6A5F"/>
    <w:rsid w:val="009B6AD4"/>
    <w:rsid w:val="009B6B2A"/>
    <w:rsid w:val="009B6BAD"/>
    <w:rsid w:val="009B6C38"/>
    <w:rsid w:val="009B6D02"/>
    <w:rsid w:val="009B6D5C"/>
    <w:rsid w:val="009B6E00"/>
    <w:rsid w:val="009B6E12"/>
    <w:rsid w:val="009B6EAB"/>
    <w:rsid w:val="009B6ECB"/>
    <w:rsid w:val="009B6F41"/>
    <w:rsid w:val="009B6FCD"/>
    <w:rsid w:val="009B6FE9"/>
    <w:rsid w:val="009B7001"/>
    <w:rsid w:val="009B706E"/>
    <w:rsid w:val="009B7075"/>
    <w:rsid w:val="009B70AF"/>
    <w:rsid w:val="009B70CD"/>
    <w:rsid w:val="009B71F7"/>
    <w:rsid w:val="009B7283"/>
    <w:rsid w:val="009B7292"/>
    <w:rsid w:val="009B72CA"/>
    <w:rsid w:val="009B7349"/>
    <w:rsid w:val="009B74BC"/>
    <w:rsid w:val="009B756B"/>
    <w:rsid w:val="009B75A3"/>
    <w:rsid w:val="009B762E"/>
    <w:rsid w:val="009B774D"/>
    <w:rsid w:val="009B78B3"/>
    <w:rsid w:val="009B7A0B"/>
    <w:rsid w:val="009B7A75"/>
    <w:rsid w:val="009B7B98"/>
    <w:rsid w:val="009B7C06"/>
    <w:rsid w:val="009B7C3B"/>
    <w:rsid w:val="009B7C5C"/>
    <w:rsid w:val="009B7CAA"/>
    <w:rsid w:val="009B7E21"/>
    <w:rsid w:val="009B7E92"/>
    <w:rsid w:val="009B7EE8"/>
    <w:rsid w:val="009B7F97"/>
    <w:rsid w:val="009C002E"/>
    <w:rsid w:val="009C00F1"/>
    <w:rsid w:val="009C013C"/>
    <w:rsid w:val="009C01CF"/>
    <w:rsid w:val="009C01F7"/>
    <w:rsid w:val="009C022C"/>
    <w:rsid w:val="009C024D"/>
    <w:rsid w:val="009C027E"/>
    <w:rsid w:val="009C029E"/>
    <w:rsid w:val="009C02B7"/>
    <w:rsid w:val="009C04B8"/>
    <w:rsid w:val="009C04DD"/>
    <w:rsid w:val="009C0536"/>
    <w:rsid w:val="009C060B"/>
    <w:rsid w:val="009C06EE"/>
    <w:rsid w:val="009C082C"/>
    <w:rsid w:val="009C0831"/>
    <w:rsid w:val="009C08F0"/>
    <w:rsid w:val="009C08FE"/>
    <w:rsid w:val="009C0937"/>
    <w:rsid w:val="009C0A57"/>
    <w:rsid w:val="009C0CA2"/>
    <w:rsid w:val="009C0D44"/>
    <w:rsid w:val="009C0D5B"/>
    <w:rsid w:val="009C0D5E"/>
    <w:rsid w:val="009C0F67"/>
    <w:rsid w:val="009C0F81"/>
    <w:rsid w:val="009C0F8B"/>
    <w:rsid w:val="009C0FAA"/>
    <w:rsid w:val="009C0FDC"/>
    <w:rsid w:val="009C0FFE"/>
    <w:rsid w:val="009C103D"/>
    <w:rsid w:val="009C10A3"/>
    <w:rsid w:val="009C1159"/>
    <w:rsid w:val="009C1208"/>
    <w:rsid w:val="009C12A8"/>
    <w:rsid w:val="009C12E1"/>
    <w:rsid w:val="009C13A6"/>
    <w:rsid w:val="009C13BD"/>
    <w:rsid w:val="009C13C0"/>
    <w:rsid w:val="009C1479"/>
    <w:rsid w:val="009C14A1"/>
    <w:rsid w:val="009C14F4"/>
    <w:rsid w:val="009C15F0"/>
    <w:rsid w:val="009C16A0"/>
    <w:rsid w:val="009C16C6"/>
    <w:rsid w:val="009C16F2"/>
    <w:rsid w:val="009C1711"/>
    <w:rsid w:val="009C1816"/>
    <w:rsid w:val="009C1828"/>
    <w:rsid w:val="009C18D7"/>
    <w:rsid w:val="009C199D"/>
    <w:rsid w:val="009C1A00"/>
    <w:rsid w:val="009C1A0F"/>
    <w:rsid w:val="009C1A54"/>
    <w:rsid w:val="009C1A78"/>
    <w:rsid w:val="009C1B04"/>
    <w:rsid w:val="009C1BE8"/>
    <w:rsid w:val="009C1C29"/>
    <w:rsid w:val="009C1CD2"/>
    <w:rsid w:val="009C1D62"/>
    <w:rsid w:val="009C1DC2"/>
    <w:rsid w:val="009C1FB9"/>
    <w:rsid w:val="009C1FC4"/>
    <w:rsid w:val="009C20DA"/>
    <w:rsid w:val="009C212C"/>
    <w:rsid w:val="009C21D1"/>
    <w:rsid w:val="009C2201"/>
    <w:rsid w:val="009C222F"/>
    <w:rsid w:val="009C2301"/>
    <w:rsid w:val="009C2352"/>
    <w:rsid w:val="009C2383"/>
    <w:rsid w:val="009C2459"/>
    <w:rsid w:val="009C246D"/>
    <w:rsid w:val="009C24E4"/>
    <w:rsid w:val="009C2500"/>
    <w:rsid w:val="009C2596"/>
    <w:rsid w:val="009C25A5"/>
    <w:rsid w:val="009C25F1"/>
    <w:rsid w:val="009C2840"/>
    <w:rsid w:val="009C2852"/>
    <w:rsid w:val="009C28F9"/>
    <w:rsid w:val="009C2952"/>
    <w:rsid w:val="009C296E"/>
    <w:rsid w:val="009C2994"/>
    <w:rsid w:val="009C2A28"/>
    <w:rsid w:val="009C2B67"/>
    <w:rsid w:val="009C2B74"/>
    <w:rsid w:val="009C2C08"/>
    <w:rsid w:val="009C2CC5"/>
    <w:rsid w:val="009C2D53"/>
    <w:rsid w:val="009C2DA9"/>
    <w:rsid w:val="009C2DEC"/>
    <w:rsid w:val="009C2F29"/>
    <w:rsid w:val="009C2F75"/>
    <w:rsid w:val="009C3031"/>
    <w:rsid w:val="009C3143"/>
    <w:rsid w:val="009C31C8"/>
    <w:rsid w:val="009C3212"/>
    <w:rsid w:val="009C3246"/>
    <w:rsid w:val="009C3252"/>
    <w:rsid w:val="009C326D"/>
    <w:rsid w:val="009C3275"/>
    <w:rsid w:val="009C3317"/>
    <w:rsid w:val="009C3379"/>
    <w:rsid w:val="009C33D7"/>
    <w:rsid w:val="009C3462"/>
    <w:rsid w:val="009C349C"/>
    <w:rsid w:val="009C3568"/>
    <w:rsid w:val="009C356B"/>
    <w:rsid w:val="009C3571"/>
    <w:rsid w:val="009C3682"/>
    <w:rsid w:val="009C381F"/>
    <w:rsid w:val="009C383F"/>
    <w:rsid w:val="009C39A2"/>
    <w:rsid w:val="009C39D3"/>
    <w:rsid w:val="009C39F0"/>
    <w:rsid w:val="009C3A14"/>
    <w:rsid w:val="009C3A90"/>
    <w:rsid w:val="009C3A97"/>
    <w:rsid w:val="009C3AE0"/>
    <w:rsid w:val="009C3B45"/>
    <w:rsid w:val="009C3B62"/>
    <w:rsid w:val="009C3BC9"/>
    <w:rsid w:val="009C3C1B"/>
    <w:rsid w:val="009C3CA2"/>
    <w:rsid w:val="009C3CF0"/>
    <w:rsid w:val="009C3D58"/>
    <w:rsid w:val="009C3D9D"/>
    <w:rsid w:val="009C3F72"/>
    <w:rsid w:val="009C406F"/>
    <w:rsid w:val="009C40E2"/>
    <w:rsid w:val="009C41E1"/>
    <w:rsid w:val="009C41EB"/>
    <w:rsid w:val="009C4209"/>
    <w:rsid w:val="009C4230"/>
    <w:rsid w:val="009C4297"/>
    <w:rsid w:val="009C429F"/>
    <w:rsid w:val="009C431B"/>
    <w:rsid w:val="009C437A"/>
    <w:rsid w:val="009C43B4"/>
    <w:rsid w:val="009C4425"/>
    <w:rsid w:val="009C4446"/>
    <w:rsid w:val="009C445B"/>
    <w:rsid w:val="009C45AC"/>
    <w:rsid w:val="009C4626"/>
    <w:rsid w:val="009C4699"/>
    <w:rsid w:val="009C46FD"/>
    <w:rsid w:val="009C4791"/>
    <w:rsid w:val="009C47AF"/>
    <w:rsid w:val="009C481E"/>
    <w:rsid w:val="009C4859"/>
    <w:rsid w:val="009C489A"/>
    <w:rsid w:val="009C48CD"/>
    <w:rsid w:val="009C4A73"/>
    <w:rsid w:val="009C4A94"/>
    <w:rsid w:val="009C4AD6"/>
    <w:rsid w:val="009C4B7E"/>
    <w:rsid w:val="009C4B90"/>
    <w:rsid w:val="009C4B95"/>
    <w:rsid w:val="009C4BBB"/>
    <w:rsid w:val="009C4C20"/>
    <w:rsid w:val="009C4C2F"/>
    <w:rsid w:val="009C4CE3"/>
    <w:rsid w:val="009C4CFE"/>
    <w:rsid w:val="009C4D8A"/>
    <w:rsid w:val="009C4D9A"/>
    <w:rsid w:val="009C4DBC"/>
    <w:rsid w:val="009C4E1A"/>
    <w:rsid w:val="009C50D2"/>
    <w:rsid w:val="009C5141"/>
    <w:rsid w:val="009C51D5"/>
    <w:rsid w:val="009C5211"/>
    <w:rsid w:val="009C5369"/>
    <w:rsid w:val="009C5370"/>
    <w:rsid w:val="009C53CA"/>
    <w:rsid w:val="009C540D"/>
    <w:rsid w:val="009C5428"/>
    <w:rsid w:val="009C549A"/>
    <w:rsid w:val="009C54CD"/>
    <w:rsid w:val="009C54F3"/>
    <w:rsid w:val="009C5557"/>
    <w:rsid w:val="009C556F"/>
    <w:rsid w:val="009C55E5"/>
    <w:rsid w:val="009C55E6"/>
    <w:rsid w:val="009C55E9"/>
    <w:rsid w:val="009C5641"/>
    <w:rsid w:val="009C56D0"/>
    <w:rsid w:val="009C56D8"/>
    <w:rsid w:val="009C57A3"/>
    <w:rsid w:val="009C57A8"/>
    <w:rsid w:val="009C58E5"/>
    <w:rsid w:val="009C5920"/>
    <w:rsid w:val="009C597A"/>
    <w:rsid w:val="009C5998"/>
    <w:rsid w:val="009C5A13"/>
    <w:rsid w:val="009C5B40"/>
    <w:rsid w:val="009C5BB6"/>
    <w:rsid w:val="009C5C1F"/>
    <w:rsid w:val="009C5D84"/>
    <w:rsid w:val="009C5E1D"/>
    <w:rsid w:val="009C5F72"/>
    <w:rsid w:val="009C6092"/>
    <w:rsid w:val="009C61B3"/>
    <w:rsid w:val="009C6227"/>
    <w:rsid w:val="009C6299"/>
    <w:rsid w:val="009C62B9"/>
    <w:rsid w:val="009C63A4"/>
    <w:rsid w:val="009C6445"/>
    <w:rsid w:val="009C655D"/>
    <w:rsid w:val="009C656A"/>
    <w:rsid w:val="009C6582"/>
    <w:rsid w:val="009C658F"/>
    <w:rsid w:val="009C6603"/>
    <w:rsid w:val="009C667A"/>
    <w:rsid w:val="009C6714"/>
    <w:rsid w:val="009C6877"/>
    <w:rsid w:val="009C687F"/>
    <w:rsid w:val="009C68E0"/>
    <w:rsid w:val="009C6966"/>
    <w:rsid w:val="009C69C2"/>
    <w:rsid w:val="009C69C9"/>
    <w:rsid w:val="009C6A1D"/>
    <w:rsid w:val="009C6A3F"/>
    <w:rsid w:val="009C6B5B"/>
    <w:rsid w:val="009C6B68"/>
    <w:rsid w:val="009C6BD3"/>
    <w:rsid w:val="009C6C9F"/>
    <w:rsid w:val="009C6CAC"/>
    <w:rsid w:val="009C6D5D"/>
    <w:rsid w:val="009C6DBC"/>
    <w:rsid w:val="009C6F81"/>
    <w:rsid w:val="009C6FA8"/>
    <w:rsid w:val="009C700B"/>
    <w:rsid w:val="009C701E"/>
    <w:rsid w:val="009C703B"/>
    <w:rsid w:val="009C7054"/>
    <w:rsid w:val="009C7092"/>
    <w:rsid w:val="009C70C6"/>
    <w:rsid w:val="009C70D0"/>
    <w:rsid w:val="009C70FE"/>
    <w:rsid w:val="009C715A"/>
    <w:rsid w:val="009C7223"/>
    <w:rsid w:val="009C7267"/>
    <w:rsid w:val="009C729E"/>
    <w:rsid w:val="009C734A"/>
    <w:rsid w:val="009C73BE"/>
    <w:rsid w:val="009C7432"/>
    <w:rsid w:val="009C756A"/>
    <w:rsid w:val="009C75C6"/>
    <w:rsid w:val="009C75DF"/>
    <w:rsid w:val="009C76DB"/>
    <w:rsid w:val="009C76DD"/>
    <w:rsid w:val="009C76F1"/>
    <w:rsid w:val="009C7882"/>
    <w:rsid w:val="009C7948"/>
    <w:rsid w:val="009C7ADF"/>
    <w:rsid w:val="009C7BD2"/>
    <w:rsid w:val="009C7C70"/>
    <w:rsid w:val="009C7C9D"/>
    <w:rsid w:val="009C7D34"/>
    <w:rsid w:val="009C7D3A"/>
    <w:rsid w:val="009C7E31"/>
    <w:rsid w:val="009C7E41"/>
    <w:rsid w:val="009C7F72"/>
    <w:rsid w:val="009D00C4"/>
    <w:rsid w:val="009D00E0"/>
    <w:rsid w:val="009D00EB"/>
    <w:rsid w:val="009D00FE"/>
    <w:rsid w:val="009D011A"/>
    <w:rsid w:val="009D013F"/>
    <w:rsid w:val="009D01F5"/>
    <w:rsid w:val="009D0241"/>
    <w:rsid w:val="009D0275"/>
    <w:rsid w:val="009D0372"/>
    <w:rsid w:val="009D0417"/>
    <w:rsid w:val="009D0610"/>
    <w:rsid w:val="009D0659"/>
    <w:rsid w:val="009D0732"/>
    <w:rsid w:val="009D073A"/>
    <w:rsid w:val="009D0759"/>
    <w:rsid w:val="009D07E3"/>
    <w:rsid w:val="009D07F0"/>
    <w:rsid w:val="009D08F0"/>
    <w:rsid w:val="009D08F6"/>
    <w:rsid w:val="009D099E"/>
    <w:rsid w:val="009D0A11"/>
    <w:rsid w:val="009D0AF7"/>
    <w:rsid w:val="009D0B01"/>
    <w:rsid w:val="009D0B32"/>
    <w:rsid w:val="009D0B8E"/>
    <w:rsid w:val="009D0C71"/>
    <w:rsid w:val="009D0D37"/>
    <w:rsid w:val="009D0DEA"/>
    <w:rsid w:val="009D0DF6"/>
    <w:rsid w:val="009D0ED7"/>
    <w:rsid w:val="009D0F2A"/>
    <w:rsid w:val="009D1134"/>
    <w:rsid w:val="009D11D8"/>
    <w:rsid w:val="009D129A"/>
    <w:rsid w:val="009D1368"/>
    <w:rsid w:val="009D14B5"/>
    <w:rsid w:val="009D15F4"/>
    <w:rsid w:val="009D1679"/>
    <w:rsid w:val="009D1817"/>
    <w:rsid w:val="009D1852"/>
    <w:rsid w:val="009D18A3"/>
    <w:rsid w:val="009D18EC"/>
    <w:rsid w:val="009D19CF"/>
    <w:rsid w:val="009D1A87"/>
    <w:rsid w:val="009D1B64"/>
    <w:rsid w:val="009D1BCC"/>
    <w:rsid w:val="009D1BEE"/>
    <w:rsid w:val="009D1C9A"/>
    <w:rsid w:val="009D1D90"/>
    <w:rsid w:val="009D1DD7"/>
    <w:rsid w:val="009D1E99"/>
    <w:rsid w:val="009D1EE3"/>
    <w:rsid w:val="009D1F5F"/>
    <w:rsid w:val="009D1F65"/>
    <w:rsid w:val="009D1FAF"/>
    <w:rsid w:val="009D20C1"/>
    <w:rsid w:val="009D20C4"/>
    <w:rsid w:val="009D212A"/>
    <w:rsid w:val="009D21AC"/>
    <w:rsid w:val="009D21CB"/>
    <w:rsid w:val="009D21D9"/>
    <w:rsid w:val="009D22BF"/>
    <w:rsid w:val="009D22EC"/>
    <w:rsid w:val="009D233C"/>
    <w:rsid w:val="009D243C"/>
    <w:rsid w:val="009D24FA"/>
    <w:rsid w:val="009D25DB"/>
    <w:rsid w:val="009D26AA"/>
    <w:rsid w:val="009D279A"/>
    <w:rsid w:val="009D2839"/>
    <w:rsid w:val="009D29DF"/>
    <w:rsid w:val="009D2AB4"/>
    <w:rsid w:val="009D2B15"/>
    <w:rsid w:val="009D2B36"/>
    <w:rsid w:val="009D2BA6"/>
    <w:rsid w:val="009D2BB7"/>
    <w:rsid w:val="009D2C52"/>
    <w:rsid w:val="009D2C89"/>
    <w:rsid w:val="009D2CB0"/>
    <w:rsid w:val="009D2E53"/>
    <w:rsid w:val="009D2E7F"/>
    <w:rsid w:val="009D2EDB"/>
    <w:rsid w:val="009D2F26"/>
    <w:rsid w:val="009D2F63"/>
    <w:rsid w:val="009D2F72"/>
    <w:rsid w:val="009D2F9F"/>
    <w:rsid w:val="009D2FAD"/>
    <w:rsid w:val="009D3001"/>
    <w:rsid w:val="009D3027"/>
    <w:rsid w:val="009D3076"/>
    <w:rsid w:val="009D3087"/>
    <w:rsid w:val="009D3130"/>
    <w:rsid w:val="009D3159"/>
    <w:rsid w:val="009D31A3"/>
    <w:rsid w:val="009D324F"/>
    <w:rsid w:val="009D3251"/>
    <w:rsid w:val="009D32EC"/>
    <w:rsid w:val="009D3365"/>
    <w:rsid w:val="009D33B8"/>
    <w:rsid w:val="009D3437"/>
    <w:rsid w:val="009D34AD"/>
    <w:rsid w:val="009D34D9"/>
    <w:rsid w:val="009D3534"/>
    <w:rsid w:val="009D357C"/>
    <w:rsid w:val="009D3747"/>
    <w:rsid w:val="009D37CD"/>
    <w:rsid w:val="009D37DB"/>
    <w:rsid w:val="009D3847"/>
    <w:rsid w:val="009D38A1"/>
    <w:rsid w:val="009D38E1"/>
    <w:rsid w:val="009D392D"/>
    <w:rsid w:val="009D395C"/>
    <w:rsid w:val="009D3A0A"/>
    <w:rsid w:val="009D3A5E"/>
    <w:rsid w:val="009D3A95"/>
    <w:rsid w:val="009D3AF6"/>
    <w:rsid w:val="009D3B09"/>
    <w:rsid w:val="009D3B6B"/>
    <w:rsid w:val="009D3C3C"/>
    <w:rsid w:val="009D3CC5"/>
    <w:rsid w:val="009D3CCD"/>
    <w:rsid w:val="009D3D1F"/>
    <w:rsid w:val="009D3E25"/>
    <w:rsid w:val="009D3E5F"/>
    <w:rsid w:val="009D3E96"/>
    <w:rsid w:val="009D3F05"/>
    <w:rsid w:val="009D3F1E"/>
    <w:rsid w:val="009D4057"/>
    <w:rsid w:val="009D4096"/>
    <w:rsid w:val="009D4123"/>
    <w:rsid w:val="009D4170"/>
    <w:rsid w:val="009D41EA"/>
    <w:rsid w:val="009D4233"/>
    <w:rsid w:val="009D424A"/>
    <w:rsid w:val="009D429C"/>
    <w:rsid w:val="009D4324"/>
    <w:rsid w:val="009D433B"/>
    <w:rsid w:val="009D4352"/>
    <w:rsid w:val="009D4380"/>
    <w:rsid w:val="009D4421"/>
    <w:rsid w:val="009D4488"/>
    <w:rsid w:val="009D44D1"/>
    <w:rsid w:val="009D44F8"/>
    <w:rsid w:val="009D452D"/>
    <w:rsid w:val="009D4549"/>
    <w:rsid w:val="009D45BF"/>
    <w:rsid w:val="009D4627"/>
    <w:rsid w:val="009D46F4"/>
    <w:rsid w:val="009D4732"/>
    <w:rsid w:val="009D4759"/>
    <w:rsid w:val="009D4778"/>
    <w:rsid w:val="009D478A"/>
    <w:rsid w:val="009D4844"/>
    <w:rsid w:val="009D4858"/>
    <w:rsid w:val="009D49C1"/>
    <w:rsid w:val="009D49EA"/>
    <w:rsid w:val="009D49FB"/>
    <w:rsid w:val="009D4AA7"/>
    <w:rsid w:val="009D4AE4"/>
    <w:rsid w:val="009D4B4C"/>
    <w:rsid w:val="009D4B75"/>
    <w:rsid w:val="009D4BA1"/>
    <w:rsid w:val="009D4BB9"/>
    <w:rsid w:val="009D4BE7"/>
    <w:rsid w:val="009D4C05"/>
    <w:rsid w:val="009D4C8E"/>
    <w:rsid w:val="009D4D8E"/>
    <w:rsid w:val="009D4DDF"/>
    <w:rsid w:val="009D4EA9"/>
    <w:rsid w:val="009D4F30"/>
    <w:rsid w:val="009D4F6A"/>
    <w:rsid w:val="009D4F71"/>
    <w:rsid w:val="009D4F8F"/>
    <w:rsid w:val="009D501A"/>
    <w:rsid w:val="009D505D"/>
    <w:rsid w:val="009D50A9"/>
    <w:rsid w:val="009D50B2"/>
    <w:rsid w:val="009D5122"/>
    <w:rsid w:val="009D5169"/>
    <w:rsid w:val="009D5178"/>
    <w:rsid w:val="009D51B7"/>
    <w:rsid w:val="009D5216"/>
    <w:rsid w:val="009D5230"/>
    <w:rsid w:val="009D52C1"/>
    <w:rsid w:val="009D54ED"/>
    <w:rsid w:val="009D5534"/>
    <w:rsid w:val="009D563E"/>
    <w:rsid w:val="009D5688"/>
    <w:rsid w:val="009D568B"/>
    <w:rsid w:val="009D579C"/>
    <w:rsid w:val="009D57CB"/>
    <w:rsid w:val="009D5809"/>
    <w:rsid w:val="009D58CE"/>
    <w:rsid w:val="009D58FA"/>
    <w:rsid w:val="009D5B3B"/>
    <w:rsid w:val="009D5B6D"/>
    <w:rsid w:val="009D5BE7"/>
    <w:rsid w:val="009D5C27"/>
    <w:rsid w:val="009D5C51"/>
    <w:rsid w:val="009D5C75"/>
    <w:rsid w:val="009D5C98"/>
    <w:rsid w:val="009D5C9A"/>
    <w:rsid w:val="009D5CAF"/>
    <w:rsid w:val="009D5D22"/>
    <w:rsid w:val="009D5D63"/>
    <w:rsid w:val="009D5D81"/>
    <w:rsid w:val="009D5DAA"/>
    <w:rsid w:val="009D5E1C"/>
    <w:rsid w:val="009D5ECA"/>
    <w:rsid w:val="009D5EE8"/>
    <w:rsid w:val="009D5EF7"/>
    <w:rsid w:val="009D5F26"/>
    <w:rsid w:val="009D5F75"/>
    <w:rsid w:val="009D60E0"/>
    <w:rsid w:val="009D61C9"/>
    <w:rsid w:val="009D6238"/>
    <w:rsid w:val="009D629C"/>
    <w:rsid w:val="009D62E2"/>
    <w:rsid w:val="009D635C"/>
    <w:rsid w:val="009D642D"/>
    <w:rsid w:val="009D657C"/>
    <w:rsid w:val="009D667A"/>
    <w:rsid w:val="009D673A"/>
    <w:rsid w:val="009D6789"/>
    <w:rsid w:val="009D67CA"/>
    <w:rsid w:val="009D693B"/>
    <w:rsid w:val="009D6978"/>
    <w:rsid w:val="009D6A0C"/>
    <w:rsid w:val="009D6A37"/>
    <w:rsid w:val="009D6B17"/>
    <w:rsid w:val="009D6B5E"/>
    <w:rsid w:val="009D6C4E"/>
    <w:rsid w:val="009D6D6A"/>
    <w:rsid w:val="009D6DA5"/>
    <w:rsid w:val="009D6E0D"/>
    <w:rsid w:val="009D6E2B"/>
    <w:rsid w:val="009D6EDE"/>
    <w:rsid w:val="009D6F33"/>
    <w:rsid w:val="009D7003"/>
    <w:rsid w:val="009D700D"/>
    <w:rsid w:val="009D704F"/>
    <w:rsid w:val="009D7081"/>
    <w:rsid w:val="009D7096"/>
    <w:rsid w:val="009D710F"/>
    <w:rsid w:val="009D7143"/>
    <w:rsid w:val="009D7181"/>
    <w:rsid w:val="009D71AF"/>
    <w:rsid w:val="009D7383"/>
    <w:rsid w:val="009D745A"/>
    <w:rsid w:val="009D7554"/>
    <w:rsid w:val="009D7565"/>
    <w:rsid w:val="009D75BF"/>
    <w:rsid w:val="009D7636"/>
    <w:rsid w:val="009D763C"/>
    <w:rsid w:val="009D768A"/>
    <w:rsid w:val="009D76FF"/>
    <w:rsid w:val="009D78FF"/>
    <w:rsid w:val="009D7979"/>
    <w:rsid w:val="009D79AF"/>
    <w:rsid w:val="009D7B20"/>
    <w:rsid w:val="009D7BB9"/>
    <w:rsid w:val="009D7BC3"/>
    <w:rsid w:val="009D7C41"/>
    <w:rsid w:val="009D7C69"/>
    <w:rsid w:val="009D7CCE"/>
    <w:rsid w:val="009D7DF9"/>
    <w:rsid w:val="009D7FA1"/>
    <w:rsid w:val="009E003E"/>
    <w:rsid w:val="009E0042"/>
    <w:rsid w:val="009E0068"/>
    <w:rsid w:val="009E0130"/>
    <w:rsid w:val="009E0182"/>
    <w:rsid w:val="009E0225"/>
    <w:rsid w:val="009E0233"/>
    <w:rsid w:val="009E025D"/>
    <w:rsid w:val="009E04B4"/>
    <w:rsid w:val="009E04BE"/>
    <w:rsid w:val="009E04CE"/>
    <w:rsid w:val="009E0541"/>
    <w:rsid w:val="009E0543"/>
    <w:rsid w:val="009E0555"/>
    <w:rsid w:val="009E0638"/>
    <w:rsid w:val="009E066D"/>
    <w:rsid w:val="009E067B"/>
    <w:rsid w:val="009E0730"/>
    <w:rsid w:val="009E0862"/>
    <w:rsid w:val="009E0869"/>
    <w:rsid w:val="009E0878"/>
    <w:rsid w:val="009E08A5"/>
    <w:rsid w:val="009E094B"/>
    <w:rsid w:val="009E098F"/>
    <w:rsid w:val="009E09FC"/>
    <w:rsid w:val="009E0A1C"/>
    <w:rsid w:val="009E0A4F"/>
    <w:rsid w:val="009E0A77"/>
    <w:rsid w:val="009E0A78"/>
    <w:rsid w:val="009E0ADC"/>
    <w:rsid w:val="009E0AE1"/>
    <w:rsid w:val="009E0B21"/>
    <w:rsid w:val="009E0C26"/>
    <w:rsid w:val="009E0CA8"/>
    <w:rsid w:val="009E0D12"/>
    <w:rsid w:val="009E0D2C"/>
    <w:rsid w:val="009E0D63"/>
    <w:rsid w:val="009E0DAF"/>
    <w:rsid w:val="009E0E5E"/>
    <w:rsid w:val="009E0ED9"/>
    <w:rsid w:val="009E0F6F"/>
    <w:rsid w:val="009E0F74"/>
    <w:rsid w:val="009E0FEB"/>
    <w:rsid w:val="009E0FFF"/>
    <w:rsid w:val="009E1052"/>
    <w:rsid w:val="009E1159"/>
    <w:rsid w:val="009E1211"/>
    <w:rsid w:val="009E1299"/>
    <w:rsid w:val="009E12B6"/>
    <w:rsid w:val="009E12C6"/>
    <w:rsid w:val="009E133E"/>
    <w:rsid w:val="009E139E"/>
    <w:rsid w:val="009E1433"/>
    <w:rsid w:val="009E14BC"/>
    <w:rsid w:val="009E150C"/>
    <w:rsid w:val="009E151B"/>
    <w:rsid w:val="009E1530"/>
    <w:rsid w:val="009E1533"/>
    <w:rsid w:val="009E1577"/>
    <w:rsid w:val="009E157B"/>
    <w:rsid w:val="009E15CB"/>
    <w:rsid w:val="009E17C0"/>
    <w:rsid w:val="009E183A"/>
    <w:rsid w:val="009E1862"/>
    <w:rsid w:val="009E18DE"/>
    <w:rsid w:val="009E193F"/>
    <w:rsid w:val="009E19F0"/>
    <w:rsid w:val="009E1A92"/>
    <w:rsid w:val="009E1B83"/>
    <w:rsid w:val="009E1B9B"/>
    <w:rsid w:val="009E1BEB"/>
    <w:rsid w:val="009E1BF5"/>
    <w:rsid w:val="009E1D45"/>
    <w:rsid w:val="009E1D80"/>
    <w:rsid w:val="009E1E3E"/>
    <w:rsid w:val="009E1E4C"/>
    <w:rsid w:val="009E1EE6"/>
    <w:rsid w:val="009E1F3B"/>
    <w:rsid w:val="009E206F"/>
    <w:rsid w:val="009E2164"/>
    <w:rsid w:val="009E217A"/>
    <w:rsid w:val="009E2268"/>
    <w:rsid w:val="009E226A"/>
    <w:rsid w:val="009E22A4"/>
    <w:rsid w:val="009E2386"/>
    <w:rsid w:val="009E239F"/>
    <w:rsid w:val="009E23AD"/>
    <w:rsid w:val="009E23AE"/>
    <w:rsid w:val="009E2515"/>
    <w:rsid w:val="009E256C"/>
    <w:rsid w:val="009E25B5"/>
    <w:rsid w:val="009E25DD"/>
    <w:rsid w:val="009E26B1"/>
    <w:rsid w:val="009E2767"/>
    <w:rsid w:val="009E2793"/>
    <w:rsid w:val="009E27A1"/>
    <w:rsid w:val="009E27E4"/>
    <w:rsid w:val="009E2815"/>
    <w:rsid w:val="009E284A"/>
    <w:rsid w:val="009E287A"/>
    <w:rsid w:val="009E2895"/>
    <w:rsid w:val="009E2905"/>
    <w:rsid w:val="009E2906"/>
    <w:rsid w:val="009E293A"/>
    <w:rsid w:val="009E2975"/>
    <w:rsid w:val="009E299B"/>
    <w:rsid w:val="009E29EB"/>
    <w:rsid w:val="009E2A9F"/>
    <w:rsid w:val="009E2C4B"/>
    <w:rsid w:val="009E2C7C"/>
    <w:rsid w:val="009E2CFD"/>
    <w:rsid w:val="009E2D45"/>
    <w:rsid w:val="009E2E10"/>
    <w:rsid w:val="009E2E15"/>
    <w:rsid w:val="009E2FCB"/>
    <w:rsid w:val="009E3024"/>
    <w:rsid w:val="009E3065"/>
    <w:rsid w:val="009E306C"/>
    <w:rsid w:val="009E3107"/>
    <w:rsid w:val="009E31A6"/>
    <w:rsid w:val="009E31AA"/>
    <w:rsid w:val="009E31F7"/>
    <w:rsid w:val="009E3220"/>
    <w:rsid w:val="009E3543"/>
    <w:rsid w:val="009E35FE"/>
    <w:rsid w:val="009E3822"/>
    <w:rsid w:val="009E3846"/>
    <w:rsid w:val="009E38AE"/>
    <w:rsid w:val="009E3958"/>
    <w:rsid w:val="009E39B1"/>
    <w:rsid w:val="009E39E6"/>
    <w:rsid w:val="009E3BE9"/>
    <w:rsid w:val="009E3DC2"/>
    <w:rsid w:val="009E3E25"/>
    <w:rsid w:val="009E3E4F"/>
    <w:rsid w:val="009E3E94"/>
    <w:rsid w:val="009E3F34"/>
    <w:rsid w:val="009E3FB4"/>
    <w:rsid w:val="009E4009"/>
    <w:rsid w:val="009E4045"/>
    <w:rsid w:val="009E40D7"/>
    <w:rsid w:val="009E40DC"/>
    <w:rsid w:val="009E40E6"/>
    <w:rsid w:val="009E40FA"/>
    <w:rsid w:val="009E4102"/>
    <w:rsid w:val="009E415D"/>
    <w:rsid w:val="009E4164"/>
    <w:rsid w:val="009E41EA"/>
    <w:rsid w:val="009E4380"/>
    <w:rsid w:val="009E43FB"/>
    <w:rsid w:val="009E447D"/>
    <w:rsid w:val="009E4557"/>
    <w:rsid w:val="009E4601"/>
    <w:rsid w:val="009E4724"/>
    <w:rsid w:val="009E4776"/>
    <w:rsid w:val="009E487C"/>
    <w:rsid w:val="009E48FF"/>
    <w:rsid w:val="009E493B"/>
    <w:rsid w:val="009E49C6"/>
    <w:rsid w:val="009E4A9E"/>
    <w:rsid w:val="009E4AD6"/>
    <w:rsid w:val="009E4B4E"/>
    <w:rsid w:val="009E4B6D"/>
    <w:rsid w:val="009E4C04"/>
    <w:rsid w:val="009E4C0F"/>
    <w:rsid w:val="009E4C74"/>
    <w:rsid w:val="009E4C93"/>
    <w:rsid w:val="009E4D0F"/>
    <w:rsid w:val="009E4DC7"/>
    <w:rsid w:val="009E4ED0"/>
    <w:rsid w:val="009E501F"/>
    <w:rsid w:val="009E5144"/>
    <w:rsid w:val="009E5189"/>
    <w:rsid w:val="009E51A2"/>
    <w:rsid w:val="009E52A4"/>
    <w:rsid w:val="009E52AD"/>
    <w:rsid w:val="009E52B1"/>
    <w:rsid w:val="009E52D9"/>
    <w:rsid w:val="009E53BA"/>
    <w:rsid w:val="009E5450"/>
    <w:rsid w:val="009E5464"/>
    <w:rsid w:val="009E546D"/>
    <w:rsid w:val="009E54A9"/>
    <w:rsid w:val="009E54BC"/>
    <w:rsid w:val="009E5511"/>
    <w:rsid w:val="009E5597"/>
    <w:rsid w:val="009E55CD"/>
    <w:rsid w:val="009E5603"/>
    <w:rsid w:val="009E5724"/>
    <w:rsid w:val="009E57F2"/>
    <w:rsid w:val="009E5897"/>
    <w:rsid w:val="009E58C4"/>
    <w:rsid w:val="009E5960"/>
    <w:rsid w:val="009E5A10"/>
    <w:rsid w:val="009E5A48"/>
    <w:rsid w:val="009E5A5B"/>
    <w:rsid w:val="009E5BD7"/>
    <w:rsid w:val="009E5C13"/>
    <w:rsid w:val="009E5D67"/>
    <w:rsid w:val="009E5D9D"/>
    <w:rsid w:val="009E5E1D"/>
    <w:rsid w:val="009E5F5E"/>
    <w:rsid w:val="009E6048"/>
    <w:rsid w:val="009E6052"/>
    <w:rsid w:val="009E6060"/>
    <w:rsid w:val="009E6179"/>
    <w:rsid w:val="009E61C4"/>
    <w:rsid w:val="009E6201"/>
    <w:rsid w:val="009E620C"/>
    <w:rsid w:val="009E6267"/>
    <w:rsid w:val="009E62EA"/>
    <w:rsid w:val="009E6324"/>
    <w:rsid w:val="009E6367"/>
    <w:rsid w:val="009E640D"/>
    <w:rsid w:val="009E642B"/>
    <w:rsid w:val="009E6536"/>
    <w:rsid w:val="009E6560"/>
    <w:rsid w:val="009E65A6"/>
    <w:rsid w:val="009E669B"/>
    <w:rsid w:val="009E66FC"/>
    <w:rsid w:val="009E679E"/>
    <w:rsid w:val="009E6802"/>
    <w:rsid w:val="009E684F"/>
    <w:rsid w:val="009E6852"/>
    <w:rsid w:val="009E688C"/>
    <w:rsid w:val="009E6984"/>
    <w:rsid w:val="009E699C"/>
    <w:rsid w:val="009E6A0F"/>
    <w:rsid w:val="009E6A63"/>
    <w:rsid w:val="009E6B0A"/>
    <w:rsid w:val="009E6B29"/>
    <w:rsid w:val="009E6BDA"/>
    <w:rsid w:val="009E6C00"/>
    <w:rsid w:val="009E6C79"/>
    <w:rsid w:val="009E6C97"/>
    <w:rsid w:val="009E6D42"/>
    <w:rsid w:val="009E6E18"/>
    <w:rsid w:val="009E6E2E"/>
    <w:rsid w:val="009E6E57"/>
    <w:rsid w:val="009E6E8B"/>
    <w:rsid w:val="009E6E93"/>
    <w:rsid w:val="009E6E9C"/>
    <w:rsid w:val="009E6F0A"/>
    <w:rsid w:val="009E6F30"/>
    <w:rsid w:val="009E7094"/>
    <w:rsid w:val="009E710F"/>
    <w:rsid w:val="009E72DD"/>
    <w:rsid w:val="009E72FD"/>
    <w:rsid w:val="009E7312"/>
    <w:rsid w:val="009E733D"/>
    <w:rsid w:val="009E73D2"/>
    <w:rsid w:val="009E73F4"/>
    <w:rsid w:val="009E75D5"/>
    <w:rsid w:val="009E7628"/>
    <w:rsid w:val="009E765D"/>
    <w:rsid w:val="009E76AE"/>
    <w:rsid w:val="009E76CA"/>
    <w:rsid w:val="009E77A8"/>
    <w:rsid w:val="009E7803"/>
    <w:rsid w:val="009E78AA"/>
    <w:rsid w:val="009E78D7"/>
    <w:rsid w:val="009E7985"/>
    <w:rsid w:val="009E7AFE"/>
    <w:rsid w:val="009E7B11"/>
    <w:rsid w:val="009E7B37"/>
    <w:rsid w:val="009E7B80"/>
    <w:rsid w:val="009E7B94"/>
    <w:rsid w:val="009E7BA3"/>
    <w:rsid w:val="009E7BBE"/>
    <w:rsid w:val="009E7BF7"/>
    <w:rsid w:val="009E7D19"/>
    <w:rsid w:val="009E7D1F"/>
    <w:rsid w:val="009E7D3C"/>
    <w:rsid w:val="009E7D58"/>
    <w:rsid w:val="009E7DB1"/>
    <w:rsid w:val="009E7E4D"/>
    <w:rsid w:val="009E7FD0"/>
    <w:rsid w:val="009F0015"/>
    <w:rsid w:val="009F0025"/>
    <w:rsid w:val="009F0168"/>
    <w:rsid w:val="009F019E"/>
    <w:rsid w:val="009F01DD"/>
    <w:rsid w:val="009F01E6"/>
    <w:rsid w:val="009F01EC"/>
    <w:rsid w:val="009F0319"/>
    <w:rsid w:val="009F0391"/>
    <w:rsid w:val="009F0395"/>
    <w:rsid w:val="009F03F1"/>
    <w:rsid w:val="009F043A"/>
    <w:rsid w:val="009F046E"/>
    <w:rsid w:val="009F05A6"/>
    <w:rsid w:val="009F05AD"/>
    <w:rsid w:val="009F0700"/>
    <w:rsid w:val="009F074C"/>
    <w:rsid w:val="009F080D"/>
    <w:rsid w:val="009F082A"/>
    <w:rsid w:val="009F08B1"/>
    <w:rsid w:val="009F08E3"/>
    <w:rsid w:val="009F095F"/>
    <w:rsid w:val="009F09B7"/>
    <w:rsid w:val="009F09DE"/>
    <w:rsid w:val="009F09EB"/>
    <w:rsid w:val="009F0ADC"/>
    <w:rsid w:val="009F0BBF"/>
    <w:rsid w:val="009F0BD4"/>
    <w:rsid w:val="009F0BDF"/>
    <w:rsid w:val="009F0C0C"/>
    <w:rsid w:val="009F0C4D"/>
    <w:rsid w:val="009F0C68"/>
    <w:rsid w:val="009F0D56"/>
    <w:rsid w:val="009F0E48"/>
    <w:rsid w:val="009F0E68"/>
    <w:rsid w:val="009F0EAD"/>
    <w:rsid w:val="009F0F35"/>
    <w:rsid w:val="009F0F41"/>
    <w:rsid w:val="009F0FE1"/>
    <w:rsid w:val="009F1004"/>
    <w:rsid w:val="009F1044"/>
    <w:rsid w:val="009F1061"/>
    <w:rsid w:val="009F126A"/>
    <w:rsid w:val="009F12A7"/>
    <w:rsid w:val="009F12D0"/>
    <w:rsid w:val="009F12F9"/>
    <w:rsid w:val="009F136E"/>
    <w:rsid w:val="009F1436"/>
    <w:rsid w:val="009F14CA"/>
    <w:rsid w:val="009F1516"/>
    <w:rsid w:val="009F1524"/>
    <w:rsid w:val="009F16CB"/>
    <w:rsid w:val="009F174D"/>
    <w:rsid w:val="009F18AD"/>
    <w:rsid w:val="009F18E0"/>
    <w:rsid w:val="009F19BB"/>
    <w:rsid w:val="009F1B30"/>
    <w:rsid w:val="009F1B4C"/>
    <w:rsid w:val="009F1B9E"/>
    <w:rsid w:val="009F1C9F"/>
    <w:rsid w:val="009F1CBA"/>
    <w:rsid w:val="009F1D06"/>
    <w:rsid w:val="009F1D36"/>
    <w:rsid w:val="009F1E93"/>
    <w:rsid w:val="009F2255"/>
    <w:rsid w:val="009F22C1"/>
    <w:rsid w:val="009F23E2"/>
    <w:rsid w:val="009F24DA"/>
    <w:rsid w:val="009F25C5"/>
    <w:rsid w:val="009F2642"/>
    <w:rsid w:val="009F2682"/>
    <w:rsid w:val="009F26D2"/>
    <w:rsid w:val="009F27A7"/>
    <w:rsid w:val="009F27B4"/>
    <w:rsid w:val="009F27BC"/>
    <w:rsid w:val="009F27D3"/>
    <w:rsid w:val="009F27F4"/>
    <w:rsid w:val="009F2826"/>
    <w:rsid w:val="009F28FB"/>
    <w:rsid w:val="009F2943"/>
    <w:rsid w:val="009F298F"/>
    <w:rsid w:val="009F29F0"/>
    <w:rsid w:val="009F29F7"/>
    <w:rsid w:val="009F2ACC"/>
    <w:rsid w:val="009F2B95"/>
    <w:rsid w:val="009F2BAD"/>
    <w:rsid w:val="009F2BBA"/>
    <w:rsid w:val="009F2C02"/>
    <w:rsid w:val="009F2CB5"/>
    <w:rsid w:val="009F2D84"/>
    <w:rsid w:val="009F2D9A"/>
    <w:rsid w:val="009F2E5B"/>
    <w:rsid w:val="009F2F11"/>
    <w:rsid w:val="009F2F1D"/>
    <w:rsid w:val="009F2F9B"/>
    <w:rsid w:val="009F303C"/>
    <w:rsid w:val="009F304E"/>
    <w:rsid w:val="009F31A8"/>
    <w:rsid w:val="009F31D6"/>
    <w:rsid w:val="009F3208"/>
    <w:rsid w:val="009F323C"/>
    <w:rsid w:val="009F330A"/>
    <w:rsid w:val="009F3398"/>
    <w:rsid w:val="009F33D9"/>
    <w:rsid w:val="009F34B9"/>
    <w:rsid w:val="009F34CF"/>
    <w:rsid w:val="009F3501"/>
    <w:rsid w:val="009F357A"/>
    <w:rsid w:val="009F357B"/>
    <w:rsid w:val="009F35D4"/>
    <w:rsid w:val="009F36BB"/>
    <w:rsid w:val="009F378B"/>
    <w:rsid w:val="009F37B5"/>
    <w:rsid w:val="009F3885"/>
    <w:rsid w:val="009F38B3"/>
    <w:rsid w:val="009F3905"/>
    <w:rsid w:val="009F39BD"/>
    <w:rsid w:val="009F3B00"/>
    <w:rsid w:val="009F3B04"/>
    <w:rsid w:val="009F3B40"/>
    <w:rsid w:val="009F3B61"/>
    <w:rsid w:val="009F3CCF"/>
    <w:rsid w:val="009F3CD2"/>
    <w:rsid w:val="009F3D1F"/>
    <w:rsid w:val="009F3D44"/>
    <w:rsid w:val="009F3D84"/>
    <w:rsid w:val="009F3DB3"/>
    <w:rsid w:val="009F3DC5"/>
    <w:rsid w:val="009F3DFA"/>
    <w:rsid w:val="009F3E63"/>
    <w:rsid w:val="009F3EBF"/>
    <w:rsid w:val="009F3F0A"/>
    <w:rsid w:val="009F3F1F"/>
    <w:rsid w:val="009F3FD3"/>
    <w:rsid w:val="009F414F"/>
    <w:rsid w:val="009F41F9"/>
    <w:rsid w:val="009F422D"/>
    <w:rsid w:val="009F4376"/>
    <w:rsid w:val="009F4428"/>
    <w:rsid w:val="009F453A"/>
    <w:rsid w:val="009F4566"/>
    <w:rsid w:val="009F4727"/>
    <w:rsid w:val="009F4752"/>
    <w:rsid w:val="009F4770"/>
    <w:rsid w:val="009F47B2"/>
    <w:rsid w:val="009F4808"/>
    <w:rsid w:val="009F485C"/>
    <w:rsid w:val="009F485E"/>
    <w:rsid w:val="009F4993"/>
    <w:rsid w:val="009F49F6"/>
    <w:rsid w:val="009F4A6B"/>
    <w:rsid w:val="009F4A78"/>
    <w:rsid w:val="009F4B56"/>
    <w:rsid w:val="009F4B70"/>
    <w:rsid w:val="009F4BD9"/>
    <w:rsid w:val="009F4DD7"/>
    <w:rsid w:val="009F4E0A"/>
    <w:rsid w:val="009F4E34"/>
    <w:rsid w:val="009F4E99"/>
    <w:rsid w:val="009F4EBA"/>
    <w:rsid w:val="009F4EE4"/>
    <w:rsid w:val="009F4F0A"/>
    <w:rsid w:val="009F4F6D"/>
    <w:rsid w:val="009F4F72"/>
    <w:rsid w:val="009F4F88"/>
    <w:rsid w:val="009F4FAE"/>
    <w:rsid w:val="009F4FB1"/>
    <w:rsid w:val="009F500F"/>
    <w:rsid w:val="009F505C"/>
    <w:rsid w:val="009F508B"/>
    <w:rsid w:val="009F5091"/>
    <w:rsid w:val="009F50A1"/>
    <w:rsid w:val="009F50C3"/>
    <w:rsid w:val="009F50CF"/>
    <w:rsid w:val="009F511B"/>
    <w:rsid w:val="009F5164"/>
    <w:rsid w:val="009F51F6"/>
    <w:rsid w:val="009F521F"/>
    <w:rsid w:val="009F5234"/>
    <w:rsid w:val="009F5278"/>
    <w:rsid w:val="009F531D"/>
    <w:rsid w:val="009F5346"/>
    <w:rsid w:val="009F538B"/>
    <w:rsid w:val="009F53CF"/>
    <w:rsid w:val="009F549F"/>
    <w:rsid w:val="009F5592"/>
    <w:rsid w:val="009F57A2"/>
    <w:rsid w:val="009F57A4"/>
    <w:rsid w:val="009F57C6"/>
    <w:rsid w:val="009F5850"/>
    <w:rsid w:val="009F586F"/>
    <w:rsid w:val="009F5889"/>
    <w:rsid w:val="009F594F"/>
    <w:rsid w:val="009F59B6"/>
    <w:rsid w:val="009F5A41"/>
    <w:rsid w:val="009F5A5C"/>
    <w:rsid w:val="009F5B42"/>
    <w:rsid w:val="009F5B8E"/>
    <w:rsid w:val="009F5C08"/>
    <w:rsid w:val="009F5D05"/>
    <w:rsid w:val="009F5D24"/>
    <w:rsid w:val="009F5D45"/>
    <w:rsid w:val="009F5D6E"/>
    <w:rsid w:val="009F5DCE"/>
    <w:rsid w:val="009F5DDB"/>
    <w:rsid w:val="009F5F05"/>
    <w:rsid w:val="009F5F0E"/>
    <w:rsid w:val="009F5F25"/>
    <w:rsid w:val="009F5F64"/>
    <w:rsid w:val="009F601C"/>
    <w:rsid w:val="009F603B"/>
    <w:rsid w:val="009F6065"/>
    <w:rsid w:val="009F6082"/>
    <w:rsid w:val="009F613F"/>
    <w:rsid w:val="009F6198"/>
    <w:rsid w:val="009F626B"/>
    <w:rsid w:val="009F633E"/>
    <w:rsid w:val="009F63F8"/>
    <w:rsid w:val="009F6472"/>
    <w:rsid w:val="009F64A4"/>
    <w:rsid w:val="009F64B1"/>
    <w:rsid w:val="009F6759"/>
    <w:rsid w:val="009F6782"/>
    <w:rsid w:val="009F67D9"/>
    <w:rsid w:val="009F69BB"/>
    <w:rsid w:val="009F6A08"/>
    <w:rsid w:val="009F6ABC"/>
    <w:rsid w:val="009F6B12"/>
    <w:rsid w:val="009F6B2D"/>
    <w:rsid w:val="009F6B68"/>
    <w:rsid w:val="009F6C14"/>
    <w:rsid w:val="009F6C5E"/>
    <w:rsid w:val="009F6CDF"/>
    <w:rsid w:val="009F6D5C"/>
    <w:rsid w:val="009F6DBF"/>
    <w:rsid w:val="009F6DC8"/>
    <w:rsid w:val="009F6E06"/>
    <w:rsid w:val="009F6E14"/>
    <w:rsid w:val="009F6E38"/>
    <w:rsid w:val="009F6F4C"/>
    <w:rsid w:val="009F7032"/>
    <w:rsid w:val="009F70AF"/>
    <w:rsid w:val="009F7101"/>
    <w:rsid w:val="009F74EF"/>
    <w:rsid w:val="009F75A1"/>
    <w:rsid w:val="009F7617"/>
    <w:rsid w:val="009F762C"/>
    <w:rsid w:val="009F7645"/>
    <w:rsid w:val="009F76B4"/>
    <w:rsid w:val="009F76EB"/>
    <w:rsid w:val="009F771F"/>
    <w:rsid w:val="009F7738"/>
    <w:rsid w:val="009F77D1"/>
    <w:rsid w:val="009F7853"/>
    <w:rsid w:val="009F7A76"/>
    <w:rsid w:val="009F7A8A"/>
    <w:rsid w:val="009F7B22"/>
    <w:rsid w:val="009F7BB4"/>
    <w:rsid w:val="009F7BFB"/>
    <w:rsid w:val="009F7C8C"/>
    <w:rsid w:val="009F7CDC"/>
    <w:rsid w:val="009F7D58"/>
    <w:rsid w:val="009F7DF3"/>
    <w:rsid w:val="009F7F80"/>
    <w:rsid w:val="009F7F94"/>
    <w:rsid w:val="009F7FA4"/>
    <w:rsid w:val="00A0003A"/>
    <w:rsid w:val="00A0003C"/>
    <w:rsid w:val="00A00074"/>
    <w:rsid w:val="00A0011F"/>
    <w:rsid w:val="00A0012C"/>
    <w:rsid w:val="00A00200"/>
    <w:rsid w:val="00A00217"/>
    <w:rsid w:val="00A00248"/>
    <w:rsid w:val="00A00250"/>
    <w:rsid w:val="00A00264"/>
    <w:rsid w:val="00A00268"/>
    <w:rsid w:val="00A002B1"/>
    <w:rsid w:val="00A002FE"/>
    <w:rsid w:val="00A00354"/>
    <w:rsid w:val="00A00421"/>
    <w:rsid w:val="00A00444"/>
    <w:rsid w:val="00A0047C"/>
    <w:rsid w:val="00A004A1"/>
    <w:rsid w:val="00A0061E"/>
    <w:rsid w:val="00A00684"/>
    <w:rsid w:val="00A00713"/>
    <w:rsid w:val="00A00741"/>
    <w:rsid w:val="00A007FD"/>
    <w:rsid w:val="00A00853"/>
    <w:rsid w:val="00A008E8"/>
    <w:rsid w:val="00A00923"/>
    <w:rsid w:val="00A009EB"/>
    <w:rsid w:val="00A00A07"/>
    <w:rsid w:val="00A00C96"/>
    <w:rsid w:val="00A00DD7"/>
    <w:rsid w:val="00A00E4B"/>
    <w:rsid w:val="00A00EC4"/>
    <w:rsid w:val="00A00F16"/>
    <w:rsid w:val="00A00F41"/>
    <w:rsid w:val="00A00F79"/>
    <w:rsid w:val="00A00F7E"/>
    <w:rsid w:val="00A01012"/>
    <w:rsid w:val="00A0111F"/>
    <w:rsid w:val="00A011B2"/>
    <w:rsid w:val="00A011C2"/>
    <w:rsid w:val="00A011D7"/>
    <w:rsid w:val="00A01275"/>
    <w:rsid w:val="00A013C7"/>
    <w:rsid w:val="00A014A5"/>
    <w:rsid w:val="00A01514"/>
    <w:rsid w:val="00A015CD"/>
    <w:rsid w:val="00A016A4"/>
    <w:rsid w:val="00A01787"/>
    <w:rsid w:val="00A01830"/>
    <w:rsid w:val="00A0184C"/>
    <w:rsid w:val="00A01863"/>
    <w:rsid w:val="00A018A2"/>
    <w:rsid w:val="00A018CA"/>
    <w:rsid w:val="00A019CF"/>
    <w:rsid w:val="00A019D5"/>
    <w:rsid w:val="00A01BE5"/>
    <w:rsid w:val="00A01C48"/>
    <w:rsid w:val="00A01CEB"/>
    <w:rsid w:val="00A01D4E"/>
    <w:rsid w:val="00A01DC0"/>
    <w:rsid w:val="00A01DCF"/>
    <w:rsid w:val="00A01DF9"/>
    <w:rsid w:val="00A01E71"/>
    <w:rsid w:val="00A01EB6"/>
    <w:rsid w:val="00A01EC4"/>
    <w:rsid w:val="00A01EFD"/>
    <w:rsid w:val="00A01F0E"/>
    <w:rsid w:val="00A01F92"/>
    <w:rsid w:val="00A01FB3"/>
    <w:rsid w:val="00A020D3"/>
    <w:rsid w:val="00A02174"/>
    <w:rsid w:val="00A021BF"/>
    <w:rsid w:val="00A02236"/>
    <w:rsid w:val="00A0226D"/>
    <w:rsid w:val="00A02270"/>
    <w:rsid w:val="00A02336"/>
    <w:rsid w:val="00A02342"/>
    <w:rsid w:val="00A02381"/>
    <w:rsid w:val="00A023AD"/>
    <w:rsid w:val="00A023E9"/>
    <w:rsid w:val="00A02445"/>
    <w:rsid w:val="00A02475"/>
    <w:rsid w:val="00A02492"/>
    <w:rsid w:val="00A0251D"/>
    <w:rsid w:val="00A02532"/>
    <w:rsid w:val="00A02574"/>
    <w:rsid w:val="00A02593"/>
    <w:rsid w:val="00A02624"/>
    <w:rsid w:val="00A0267F"/>
    <w:rsid w:val="00A026BA"/>
    <w:rsid w:val="00A02705"/>
    <w:rsid w:val="00A0275E"/>
    <w:rsid w:val="00A027AE"/>
    <w:rsid w:val="00A027AF"/>
    <w:rsid w:val="00A027B7"/>
    <w:rsid w:val="00A02852"/>
    <w:rsid w:val="00A0289E"/>
    <w:rsid w:val="00A028AE"/>
    <w:rsid w:val="00A02973"/>
    <w:rsid w:val="00A029C6"/>
    <w:rsid w:val="00A029FC"/>
    <w:rsid w:val="00A02A87"/>
    <w:rsid w:val="00A02ACE"/>
    <w:rsid w:val="00A02B6C"/>
    <w:rsid w:val="00A02BEF"/>
    <w:rsid w:val="00A02C65"/>
    <w:rsid w:val="00A02CE1"/>
    <w:rsid w:val="00A02D01"/>
    <w:rsid w:val="00A02DB7"/>
    <w:rsid w:val="00A02E74"/>
    <w:rsid w:val="00A02E93"/>
    <w:rsid w:val="00A02EE1"/>
    <w:rsid w:val="00A02F03"/>
    <w:rsid w:val="00A02F50"/>
    <w:rsid w:val="00A02FB0"/>
    <w:rsid w:val="00A02FF5"/>
    <w:rsid w:val="00A0301C"/>
    <w:rsid w:val="00A030DC"/>
    <w:rsid w:val="00A031FC"/>
    <w:rsid w:val="00A03290"/>
    <w:rsid w:val="00A032DD"/>
    <w:rsid w:val="00A032E2"/>
    <w:rsid w:val="00A0339E"/>
    <w:rsid w:val="00A033E4"/>
    <w:rsid w:val="00A033EC"/>
    <w:rsid w:val="00A0340A"/>
    <w:rsid w:val="00A0346B"/>
    <w:rsid w:val="00A03512"/>
    <w:rsid w:val="00A03590"/>
    <w:rsid w:val="00A037BE"/>
    <w:rsid w:val="00A0381F"/>
    <w:rsid w:val="00A03861"/>
    <w:rsid w:val="00A039F3"/>
    <w:rsid w:val="00A03A77"/>
    <w:rsid w:val="00A03B12"/>
    <w:rsid w:val="00A03B44"/>
    <w:rsid w:val="00A03CF4"/>
    <w:rsid w:val="00A03EBA"/>
    <w:rsid w:val="00A03F36"/>
    <w:rsid w:val="00A03F6B"/>
    <w:rsid w:val="00A03F6E"/>
    <w:rsid w:val="00A03FCC"/>
    <w:rsid w:val="00A0410D"/>
    <w:rsid w:val="00A04133"/>
    <w:rsid w:val="00A04188"/>
    <w:rsid w:val="00A0418F"/>
    <w:rsid w:val="00A04246"/>
    <w:rsid w:val="00A042A3"/>
    <w:rsid w:val="00A04334"/>
    <w:rsid w:val="00A0434D"/>
    <w:rsid w:val="00A0439C"/>
    <w:rsid w:val="00A043CD"/>
    <w:rsid w:val="00A044B4"/>
    <w:rsid w:val="00A045A3"/>
    <w:rsid w:val="00A0460D"/>
    <w:rsid w:val="00A04637"/>
    <w:rsid w:val="00A04706"/>
    <w:rsid w:val="00A04708"/>
    <w:rsid w:val="00A048A0"/>
    <w:rsid w:val="00A04978"/>
    <w:rsid w:val="00A04994"/>
    <w:rsid w:val="00A049B7"/>
    <w:rsid w:val="00A049FF"/>
    <w:rsid w:val="00A04A52"/>
    <w:rsid w:val="00A04B44"/>
    <w:rsid w:val="00A04B4E"/>
    <w:rsid w:val="00A04C54"/>
    <w:rsid w:val="00A04C58"/>
    <w:rsid w:val="00A04C5F"/>
    <w:rsid w:val="00A04D06"/>
    <w:rsid w:val="00A04D68"/>
    <w:rsid w:val="00A04E61"/>
    <w:rsid w:val="00A04ECB"/>
    <w:rsid w:val="00A04F83"/>
    <w:rsid w:val="00A05047"/>
    <w:rsid w:val="00A050A3"/>
    <w:rsid w:val="00A050A6"/>
    <w:rsid w:val="00A051D1"/>
    <w:rsid w:val="00A0527B"/>
    <w:rsid w:val="00A052FB"/>
    <w:rsid w:val="00A05315"/>
    <w:rsid w:val="00A053BD"/>
    <w:rsid w:val="00A053C7"/>
    <w:rsid w:val="00A053F5"/>
    <w:rsid w:val="00A05417"/>
    <w:rsid w:val="00A05574"/>
    <w:rsid w:val="00A05646"/>
    <w:rsid w:val="00A05698"/>
    <w:rsid w:val="00A05705"/>
    <w:rsid w:val="00A0570B"/>
    <w:rsid w:val="00A057E9"/>
    <w:rsid w:val="00A05904"/>
    <w:rsid w:val="00A05A41"/>
    <w:rsid w:val="00A05B3C"/>
    <w:rsid w:val="00A05B5E"/>
    <w:rsid w:val="00A05B64"/>
    <w:rsid w:val="00A05B82"/>
    <w:rsid w:val="00A05BFA"/>
    <w:rsid w:val="00A05C20"/>
    <w:rsid w:val="00A05D3D"/>
    <w:rsid w:val="00A05D4F"/>
    <w:rsid w:val="00A05E71"/>
    <w:rsid w:val="00A05E78"/>
    <w:rsid w:val="00A05ED8"/>
    <w:rsid w:val="00A05F0E"/>
    <w:rsid w:val="00A05F3E"/>
    <w:rsid w:val="00A05F8F"/>
    <w:rsid w:val="00A05FFD"/>
    <w:rsid w:val="00A060C0"/>
    <w:rsid w:val="00A0619F"/>
    <w:rsid w:val="00A06269"/>
    <w:rsid w:val="00A0633C"/>
    <w:rsid w:val="00A06416"/>
    <w:rsid w:val="00A064B8"/>
    <w:rsid w:val="00A064C9"/>
    <w:rsid w:val="00A06563"/>
    <w:rsid w:val="00A06575"/>
    <w:rsid w:val="00A06590"/>
    <w:rsid w:val="00A065AA"/>
    <w:rsid w:val="00A065C6"/>
    <w:rsid w:val="00A065E3"/>
    <w:rsid w:val="00A065EC"/>
    <w:rsid w:val="00A06644"/>
    <w:rsid w:val="00A06734"/>
    <w:rsid w:val="00A0678F"/>
    <w:rsid w:val="00A0683A"/>
    <w:rsid w:val="00A0683B"/>
    <w:rsid w:val="00A0684E"/>
    <w:rsid w:val="00A06868"/>
    <w:rsid w:val="00A06882"/>
    <w:rsid w:val="00A06914"/>
    <w:rsid w:val="00A069C5"/>
    <w:rsid w:val="00A06AAE"/>
    <w:rsid w:val="00A06AE5"/>
    <w:rsid w:val="00A06BAF"/>
    <w:rsid w:val="00A06BDD"/>
    <w:rsid w:val="00A06C98"/>
    <w:rsid w:val="00A06CC8"/>
    <w:rsid w:val="00A06D89"/>
    <w:rsid w:val="00A06E31"/>
    <w:rsid w:val="00A06E4D"/>
    <w:rsid w:val="00A06F40"/>
    <w:rsid w:val="00A0701B"/>
    <w:rsid w:val="00A070CC"/>
    <w:rsid w:val="00A070D4"/>
    <w:rsid w:val="00A07168"/>
    <w:rsid w:val="00A072C5"/>
    <w:rsid w:val="00A072F5"/>
    <w:rsid w:val="00A07307"/>
    <w:rsid w:val="00A0731E"/>
    <w:rsid w:val="00A074DE"/>
    <w:rsid w:val="00A074FA"/>
    <w:rsid w:val="00A0752F"/>
    <w:rsid w:val="00A0753D"/>
    <w:rsid w:val="00A07546"/>
    <w:rsid w:val="00A076C9"/>
    <w:rsid w:val="00A07718"/>
    <w:rsid w:val="00A077CE"/>
    <w:rsid w:val="00A07856"/>
    <w:rsid w:val="00A078F6"/>
    <w:rsid w:val="00A0792F"/>
    <w:rsid w:val="00A07A0E"/>
    <w:rsid w:val="00A07B70"/>
    <w:rsid w:val="00A07B93"/>
    <w:rsid w:val="00A07BCA"/>
    <w:rsid w:val="00A07C37"/>
    <w:rsid w:val="00A07C64"/>
    <w:rsid w:val="00A07CA0"/>
    <w:rsid w:val="00A07D90"/>
    <w:rsid w:val="00A07D96"/>
    <w:rsid w:val="00A07DAD"/>
    <w:rsid w:val="00A07DB0"/>
    <w:rsid w:val="00A07DBC"/>
    <w:rsid w:val="00A1008F"/>
    <w:rsid w:val="00A10149"/>
    <w:rsid w:val="00A101A0"/>
    <w:rsid w:val="00A1022E"/>
    <w:rsid w:val="00A102F7"/>
    <w:rsid w:val="00A10353"/>
    <w:rsid w:val="00A10391"/>
    <w:rsid w:val="00A103BE"/>
    <w:rsid w:val="00A103C1"/>
    <w:rsid w:val="00A10527"/>
    <w:rsid w:val="00A10581"/>
    <w:rsid w:val="00A105A1"/>
    <w:rsid w:val="00A106A5"/>
    <w:rsid w:val="00A1073E"/>
    <w:rsid w:val="00A10816"/>
    <w:rsid w:val="00A1090E"/>
    <w:rsid w:val="00A109E3"/>
    <w:rsid w:val="00A10C1D"/>
    <w:rsid w:val="00A10CB7"/>
    <w:rsid w:val="00A10D65"/>
    <w:rsid w:val="00A10D7E"/>
    <w:rsid w:val="00A10E34"/>
    <w:rsid w:val="00A10E9B"/>
    <w:rsid w:val="00A10EB5"/>
    <w:rsid w:val="00A10EC4"/>
    <w:rsid w:val="00A10ED2"/>
    <w:rsid w:val="00A11005"/>
    <w:rsid w:val="00A11025"/>
    <w:rsid w:val="00A1103E"/>
    <w:rsid w:val="00A11068"/>
    <w:rsid w:val="00A110C2"/>
    <w:rsid w:val="00A110EF"/>
    <w:rsid w:val="00A110FF"/>
    <w:rsid w:val="00A1117A"/>
    <w:rsid w:val="00A11297"/>
    <w:rsid w:val="00A112EF"/>
    <w:rsid w:val="00A113C3"/>
    <w:rsid w:val="00A113FB"/>
    <w:rsid w:val="00A1154A"/>
    <w:rsid w:val="00A11583"/>
    <w:rsid w:val="00A116EC"/>
    <w:rsid w:val="00A117DA"/>
    <w:rsid w:val="00A1192C"/>
    <w:rsid w:val="00A11ABB"/>
    <w:rsid w:val="00A11AF0"/>
    <w:rsid w:val="00A11BEE"/>
    <w:rsid w:val="00A11C82"/>
    <w:rsid w:val="00A11CA6"/>
    <w:rsid w:val="00A11D07"/>
    <w:rsid w:val="00A11D48"/>
    <w:rsid w:val="00A11D4B"/>
    <w:rsid w:val="00A11D50"/>
    <w:rsid w:val="00A11D89"/>
    <w:rsid w:val="00A11F65"/>
    <w:rsid w:val="00A11FEB"/>
    <w:rsid w:val="00A1214F"/>
    <w:rsid w:val="00A12150"/>
    <w:rsid w:val="00A1215C"/>
    <w:rsid w:val="00A12206"/>
    <w:rsid w:val="00A12277"/>
    <w:rsid w:val="00A1229A"/>
    <w:rsid w:val="00A12367"/>
    <w:rsid w:val="00A123ED"/>
    <w:rsid w:val="00A123F9"/>
    <w:rsid w:val="00A124BB"/>
    <w:rsid w:val="00A124F7"/>
    <w:rsid w:val="00A1256D"/>
    <w:rsid w:val="00A1268E"/>
    <w:rsid w:val="00A126F3"/>
    <w:rsid w:val="00A126FE"/>
    <w:rsid w:val="00A12769"/>
    <w:rsid w:val="00A12811"/>
    <w:rsid w:val="00A128E3"/>
    <w:rsid w:val="00A12983"/>
    <w:rsid w:val="00A129A4"/>
    <w:rsid w:val="00A129D6"/>
    <w:rsid w:val="00A12CC2"/>
    <w:rsid w:val="00A12D99"/>
    <w:rsid w:val="00A12E78"/>
    <w:rsid w:val="00A12E91"/>
    <w:rsid w:val="00A12E9A"/>
    <w:rsid w:val="00A12ED3"/>
    <w:rsid w:val="00A12F41"/>
    <w:rsid w:val="00A13058"/>
    <w:rsid w:val="00A130B9"/>
    <w:rsid w:val="00A1315B"/>
    <w:rsid w:val="00A131BF"/>
    <w:rsid w:val="00A131DD"/>
    <w:rsid w:val="00A13298"/>
    <w:rsid w:val="00A132AA"/>
    <w:rsid w:val="00A1331F"/>
    <w:rsid w:val="00A13334"/>
    <w:rsid w:val="00A133EF"/>
    <w:rsid w:val="00A13448"/>
    <w:rsid w:val="00A1344F"/>
    <w:rsid w:val="00A134FE"/>
    <w:rsid w:val="00A13527"/>
    <w:rsid w:val="00A13604"/>
    <w:rsid w:val="00A1361B"/>
    <w:rsid w:val="00A136D6"/>
    <w:rsid w:val="00A1372B"/>
    <w:rsid w:val="00A1379A"/>
    <w:rsid w:val="00A13892"/>
    <w:rsid w:val="00A13A32"/>
    <w:rsid w:val="00A13A59"/>
    <w:rsid w:val="00A13A95"/>
    <w:rsid w:val="00A13AF8"/>
    <w:rsid w:val="00A13B81"/>
    <w:rsid w:val="00A13D16"/>
    <w:rsid w:val="00A13D67"/>
    <w:rsid w:val="00A13D7A"/>
    <w:rsid w:val="00A13D9C"/>
    <w:rsid w:val="00A13DDF"/>
    <w:rsid w:val="00A13E28"/>
    <w:rsid w:val="00A13E52"/>
    <w:rsid w:val="00A13F0B"/>
    <w:rsid w:val="00A13F47"/>
    <w:rsid w:val="00A13FF0"/>
    <w:rsid w:val="00A14058"/>
    <w:rsid w:val="00A14068"/>
    <w:rsid w:val="00A14069"/>
    <w:rsid w:val="00A140CD"/>
    <w:rsid w:val="00A14167"/>
    <w:rsid w:val="00A141A6"/>
    <w:rsid w:val="00A141B2"/>
    <w:rsid w:val="00A141FD"/>
    <w:rsid w:val="00A143DB"/>
    <w:rsid w:val="00A14548"/>
    <w:rsid w:val="00A145E0"/>
    <w:rsid w:val="00A1460F"/>
    <w:rsid w:val="00A1473D"/>
    <w:rsid w:val="00A14754"/>
    <w:rsid w:val="00A147A0"/>
    <w:rsid w:val="00A1482A"/>
    <w:rsid w:val="00A14893"/>
    <w:rsid w:val="00A148C7"/>
    <w:rsid w:val="00A148CC"/>
    <w:rsid w:val="00A14965"/>
    <w:rsid w:val="00A14979"/>
    <w:rsid w:val="00A149F0"/>
    <w:rsid w:val="00A149FE"/>
    <w:rsid w:val="00A14A44"/>
    <w:rsid w:val="00A14A64"/>
    <w:rsid w:val="00A14A65"/>
    <w:rsid w:val="00A14A9F"/>
    <w:rsid w:val="00A14AD2"/>
    <w:rsid w:val="00A14C81"/>
    <w:rsid w:val="00A14CBF"/>
    <w:rsid w:val="00A14D3A"/>
    <w:rsid w:val="00A14E52"/>
    <w:rsid w:val="00A14FB5"/>
    <w:rsid w:val="00A14FC6"/>
    <w:rsid w:val="00A151A2"/>
    <w:rsid w:val="00A151C9"/>
    <w:rsid w:val="00A152F8"/>
    <w:rsid w:val="00A15483"/>
    <w:rsid w:val="00A1559E"/>
    <w:rsid w:val="00A155C1"/>
    <w:rsid w:val="00A1566B"/>
    <w:rsid w:val="00A156CB"/>
    <w:rsid w:val="00A156CE"/>
    <w:rsid w:val="00A15712"/>
    <w:rsid w:val="00A15844"/>
    <w:rsid w:val="00A158B3"/>
    <w:rsid w:val="00A15A09"/>
    <w:rsid w:val="00A15BA0"/>
    <w:rsid w:val="00A15BBF"/>
    <w:rsid w:val="00A15BCC"/>
    <w:rsid w:val="00A15C11"/>
    <w:rsid w:val="00A15C83"/>
    <w:rsid w:val="00A15D02"/>
    <w:rsid w:val="00A15E3F"/>
    <w:rsid w:val="00A15E9E"/>
    <w:rsid w:val="00A15ED5"/>
    <w:rsid w:val="00A15EE4"/>
    <w:rsid w:val="00A15EF8"/>
    <w:rsid w:val="00A15F7F"/>
    <w:rsid w:val="00A15F96"/>
    <w:rsid w:val="00A1600A"/>
    <w:rsid w:val="00A1601B"/>
    <w:rsid w:val="00A161B7"/>
    <w:rsid w:val="00A161C5"/>
    <w:rsid w:val="00A1623B"/>
    <w:rsid w:val="00A162C9"/>
    <w:rsid w:val="00A1650C"/>
    <w:rsid w:val="00A16518"/>
    <w:rsid w:val="00A1655D"/>
    <w:rsid w:val="00A1662B"/>
    <w:rsid w:val="00A16664"/>
    <w:rsid w:val="00A16705"/>
    <w:rsid w:val="00A16708"/>
    <w:rsid w:val="00A16782"/>
    <w:rsid w:val="00A16838"/>
    <w:rsid w:val="00A16881"/>
    <w:rsid w:val="00A1688D"/>
    <w:rsid w:val="00A16AAC"/>
    <w:rsid w:val="00A16B3B"/>
    <w:rsid w:val="00A16B7F"/>
    <w:rsid w:val="00A16C02"/>
    <w:rsid w:val="00A16C0C"/>
    <w:rsid w:val="00A16EF9"/>
    <w:rsid w:val="00A16F2F"/>
    <w:rsid w:val="00A16FA9"/>
    <w:rsid w:val="00A16FAA"/>
    <w:rsid w:val="00A170FD"/>
    <w:rsid w:val="00A171EF"/>
    <w:rsid w:val="00A172DB"/>
    <w:rsid w:val="00A172E4"/>
    <w:rsid w:val="00A17334"/>
    <w:rsid w:val="00A17438"/>
    <w:rsid w:val="00A174C2"/>
    <w:rsid w:val="00A1758D"/>
    <w:rsid w:val="00A175B4"/>
    <w:rsid w:val="00A176C5"/>
    <w:rsid w:val="00A176E2"/>
    <w:rsid w:val="00A1774F"/>
    <w:rsid w:val="00A17752"/>
    <w:rsid w:val="00A17768"/>
    <w:rsid w:val="00A1778A"/>
    <w:rsid w:val="00A177A4"/>
    <w:rsid w:val="00A177CD"/>
    <w:rsid w:val="00A177E3"/>
    <w:rsid w:val="00A177F5"/>
    <w:rsid w:val="00A17882"/>
    <w:rsid w:val="00A17894"/>
    <w:rsid w:val="00A17A2E"/>
    <w:rsid w:val="00A17A40"/>
    <w:rsid w:val="00A17ADE"/>
    <w:rsid w:val="00A17B33"/>
    <w:rsid w:val="00A17BE2"/>
    <w:rsid w:val="00A17C03"/>
    <w:rsid w:val="00A17C58"/>
    <w:rsid w:val="00A17CC9"/>
    <w:rsid w:val="00A17CE5"/>
    <w:rsid w:val="00A17D7A"/>
    <w:rsid w:val="00A17DED"/>
    <w:rsid w:val="00A17E05"/>
    <w:rsid w:val="00A17ED4"/>
    <w:rsid w:val="00A17F84"/>
    <w:rsid w:val="00A17F94"/>
    <w:rsid w:val="00A17FE0"/>
    <w:rsid w:val="00A20008"/>
    <w:rsid w:val="00A2007C"/>
    <w:rsid w:val="00A20088"/>
    <w:rsid w:val="00A2008C"/>
    <w:rsid w:val="00A200B0"/>
    <w:rsid w:val="00A20137"/>
    <w:rsid w:val="00A20338"/>
    <w:rsid w:val="00A2035D"/>
    <w:rsid w:val="00A2046B"/>
    <w:rsid w:val="00A2049F"/>
    <w:rsid w:val="00A204DE"/>
    <w:rsid w:val="00A20623"/>
    <w:rsid w:val="00A206DE"/>
    <w:rsid w:val="00A208C2"/>
    <w:rsid w:val="00A2090C"/>
    <w:rsid w:val="00A2095E"/>
    <w:rsid w:val="00A20A13"/>
    <w:rsid w:val="00A20A2D"/>
    <w:rsid w:val="00A20A2F"/>
    <w:rsid w:val="00A20AAD"/>
    <w:rsid w:val="00A20AB2"/>
    <w:rsid w:val="00A20AF5"/>
    <w:rsid w:val="00A20B22"/>
    <w:rsid w:val="00A20B54"/>
    <w:rsid w:val="00A20BD6"/>
    <w:rsid w:val="00A20C36"/>
    <w:rsid w:val="00A20CC4"/>
    <w:rsid w:val="00A20D49"/>
    <w:rsid w:val="00A20DBB"/>
    <w:rsid w:val="00A20E6F"/>
    <w:rsid w:val="00A20F02"/>
    <w:rsid w:val="00A20F20"/>
    <w:rsid w:val="00A20F54"/>
    <w:rsid w:val="00A20FFE"/>
    <w:rsid w:val="00A21141"/>
    <w:rsid w:val="00A212CE"/>
    <w:rsid w:val="00A213AA"/>
    <w:rsid w:val="00A213ED"/>
    <w:rsid w:val="00A214B2"/>
    <w:rsid w:val="00A214EE"/>
    <w:rsid w:val="00A216EB"/>
    <w:rsid w:val="00A2170D"/>
    <w:rsid w:val="00A2182F"/>
    <w:rsid w:val="00A21914"/>
    <w:rsid w:val="00A219CF"/>
    <w:rsid w:val="00A21AC6"/>
    <w:rsid w:val="00A21B3C"/>
    <w:rsid w:val="00A21B59"/>
    <w:rsid w:val="00A21BA2"/>
    <w:rsid w:val="00A21DF0"/>
    <w:rsid w:val="00A21E91"/>
    <w:rsid w:val="00A21EFC"/>
    <w:rsid w:val="00A21F96"/>
    <w:rsid w:val="00A22087"/>
    <w:rsid w:val="00A2212F"/>
    <w:rsid w:val="00A2216C"/>
    <w:rsid w:val="00A221AF"/>
    <w:rsid w:val="00A221DD"/>
    <w:rsid w:val="00A2222B"/>
    <w:rsid w:val="00A223CA"/>
    <w:rsid w:val="00A2244E"/>
    <w:rsid w:val="00A224AE"/>
    <w:rsid w:val="00A22546"/>
    <w:rsid w:val="00A225A5"/>
    <w:rsid w:val="00A2263A"/>
    <w:rsid w:val="00A226F2"/>
    <w:rsid w:val="00A2270D"/>
    <w:rsid w:val="00A2277B"/>
    <w:rsid w:val="00A22890"/>
    <w:rsid w:val="00A228F4"/>
    <w:rsid w:val="00A2295F"/>
    <w:rsid w:val="00A22977"/>
    <w:rsid w:val="00A2297E"/>
    <w:rsid w:val="00A22A11"/>
    <w:rsid w:val="00A22B07"/>
    <w:rsid w:val="00A22B9B"/>
    <w:rsid w:val="00A22BC8"/>
    <w:rsid w:val="00A22C1E"/>
    <w:rsid w:val="00A22C2C"/>
    <w:rsid w:val="00A22C90"/>
    <w:rsid w:val="00A22CAF"/>
    <w:rsid w:val="00A22CF6"/>
    <w:rsid w:val="00A22E8C"/>
    <w:rsid w:val="00A22EA9"/>
    <w:rsid w:val="00A22F37"/>
    <w:rsid w:val="00A22F67"/>
    <w:rsid w:val="00A2303C"/>
    <w:rsid w:val="00A231F7"/>
    <w:rsid w:val="00A23268"/>
    <w:rsid w:val="00A23433"/>
    <w:rsid w:val="00A23470"/>
    <w:rsid w:val="00A234BA"/>
    <w:rsid w:val="00A234C0"/>
    <w:rsid w:val="00A23547"/>
    <w:rsid w:val="00A2357E"/>
    <w:rsid w:val="00A235A5"/>
    <w:rsid w:val="00A235EA"/>
    <w:rsid w:val="00A235FC"/>
    <w:rsid w:val="00A236FD"/>
    <w:rsid w:val="00A23735"/>
    <w:rsid w:val="00A237AC"/>
    <w:rsid w:val="00A237B9"/>
    <w:rsid w:val="00A23880"/>
    <w:rsid w:val="00A2389C"/>
    <w:rsid w:val="00A238D5"/>
    <w:rsid w:val="00A239F0"/>
    <w:rsid w:val="00A23A23"/>
    <w:rsid w:val="00A23A8A"/>
    <w:rsid w:val="00A23B37"/>
    <w:rsid w:val="00A23B6E"/>
    <w:rsid w:val="00A23BF7"/>
    <w:rsid w:val="00A23C5B"/>
    <w:rsid w:val="00A23CFB"/>
    <w:rsid w:val="00A23D51"/>
    <w:rsid w:val="00A23D74"/>
    <w:rsid w:val="00A23E2A"/>
    <w:rsid w:val="00A23E68"/>
    <w:rsid w:val="00A23F35"/>
    <w:rsid w:val="00A24044"/>
    <w:rsid w:val="00A24049"/>
    <w:rsid w:val="00A24085"/>
    <w:rsid w:val="00A2414B"/>
    <w:rsid w:val="00A242F8"/>
    <w:rsid w:val="00A24338"/>
    <w:rsid w:val="00A24379"/>
    <w:rsid w:val="00A243C7"/>
    <w:rsid w:val="00A243F7"/>
    <w:rsid w:val="00A2443F"/>
    <w:rsid w:val="00A24469"/>
    <w:rsid w:val="00A24476"/>
    <w:rsid w:val="00A244ED"/>
    <w:rsid w:val="00A24586"/>
    <w:rsid w:val="00A245E1"/>
    <w:rsid w:val="00A246DF"/>
    <w:rsid w:val="00A2473B"/>
    <w:rsid w:val="00A2482B"/>
    <w:rsid w:val="00A248E6"/>
    <w:rsid w:val="00A249B5"/>
    <w:rsid w:val="00A24A4F"/>
    <w:rsid w:val="00A24AEB"/>
    <w:rsid w:val="00A24B28"/>
    <w:rsid w:val="00A24B29"/>
    <w:rsid w:val="00A24B8D"/>
    <w:rsid w:val="00A24BD3"/>
    <w:rsid w:val="00A24C21"/>
    <w:rsid w:val="00A24C55"/>
    <w:rsid w:val="00A24C72"/>
    <w:rsid w:val="00A24CCA"/>
    <w:rsid w:val="00A24D67"/>
    <w:rsid w:val="00A24D68"/>
    <w:rsid w:val="00A24D7A"/>
    <w:rsid w:val="00A24DE0"/>
    <w:rsid w:val="00A24E07"/>
    <w:rsid w:val="00A24E1A"/>
    <w:rsid w:val="00A24EAF"/>
    <w:rsid w:val="00A24F7F"/>
    <w:rsid w:val="00A24FC5"/>
    <w:rsid w:val="00A24FF7"/>
    <w:rsid w:val="00A2500A"/>
    <w:rsid w:val="00A2501D"/>
    <w:rsid w:val="00A2509C"/>
    <w:rsid w:val="00A25161"/>
    <w:rsid w:val="00A25288"/>
    <w:rsid w:val="00A25342"/>
    <w:rsid w:val="00A25352"/>
    <w:rsid w:val="00A25388"/>
    <w:rsid w:val="00A25492"/>
    <w:rsid w:val="00A255EC"/>
    <w:rsid w:val="00A2564A"/>
    <w:rsid w:val="00A256A1"/>
    <w:rsid w:val="00A256D4"/>
    <w:rsid w:val="00A25740"/>
    <w:rsid w:val="00A2576A"/>
    <w:rsid w:val="00A25784"/>
    <w:rsid w:val="00A25796"/>
    <w:rsid w:val="00A25799"/>
    <w:rsid w:val="00A2583E"/>
    <w:rsid w:val="00A25931"/>
    <w:rsid w:val="00A25987"/>
    <w:rsid w:val="00A25B05"/>
    <w:rsid w:val="00A25C39"/>
    <w:rsid w:val="00A25CF4"/>
    <w:rsid w:val="00A25D65"/>
    <w:rsid w:val="00A25DE6"/>
    <w:rsid w:val="00A25DF9"/>
    <w:rsid w:val="00A25E64"/>
    <w:rsid w:val="00A25E8E"/>
    <w:rsid w:val="00A25F3A"/>
    <w:rsid w:val="00A262BF"/>
    <w:rsid w:val="00A262F6"/>
    <w:rsid w:val="00A2631C"/>
    <w:rsid w:val="00A2648F"/>
    <w:rsid w:val="00A264A1"/>
    <w:rsid w:val="00A264C2"/>
    <w:rsid w:val="00A26529"/>
    <w:rsid w:val="00A2652D"/>
    <w:rsid w:val="00A265A5"/>
    <w:rsid w:val="00A265B0"/>
    <w:rsid w:val="00A26606"/>
    <w:rsid w:val="00A2660C"/>
    <w:rsid w:val="00A26650"/>
    <w:rsid w:val="00A26678"/>
    <w:rsid w:val="00A266A4"/>
    <w:rsid w:val="00A26846"/>
    <w:rsid w:val="00A268D2"/>
    <w:rsid w:val="00A26931"/>
    <w:rsid w:val="00A26A1C"/>
    <w:rsid w:val="00A26A87"/>
    <w:rsid w:val="00A26A93"/>
    <w:rsid w:val="00A26B43"/>
    <w:rsid w:val="00A26B78"/>
    <w:rsid w:val="00A26BBE"/>
    <w:rsid w:val="00A26BE8"/>
    <w:rsid w:val="00A26C49"/>
    <w:rsid w:val="00A26C72"/>
    <w:rsid w:val="00A26C83"/>
    <w:rsid w:val="00A26D14"/>
    <w:rsid w:val="00A26E31"/>
    <w:rsid w:val="00A26E74"/>
    <w:rsid w:val="00A26ED3"/>
    <w:rsid w:val="00A2708A"/>
    <w:rsid w:val="00A270EC"/>
    <w:rsid w:val="00A27299"/>
    <w:rsid w:val="00A2729B"/>
    <w:rsid w:val="00A272E5"/>
    <w:rsid w:val="00A272EE"/>
    <w:rsid w:val="00A273C2"/>
    <w:rsid w:val="00A27439"/>
    <w:rsid w:val="00A2745F"/>
    <w:rsid w:val="00A27490"/>
    <w:rsid w:val="00A274E2"/>
    <w:rsid w:val="00A27525"/>
    <w:rsid w:val="00A276E1"/>
    <w:rsid w:val="00A27703"/>
    <w:rsid w:val="00A27776"/>
    <w:rsid w:val="00A2780C"/>
    <w:rsid w:val="00A27875"/>
    <w:rsid w:val="00A27933"/>
    <w:rsid w:val="00A27998"/>
    <w:rsid w:val="00A27AA1"/>
    <w:rsid w:val="00A27ABC"/>
    <w:rsid w:val="00A27AFB"/>
    <w:rsid w:val="00A27B0A"/>
    <w:rsid w:val="00A27B3B"/>
    <w:rsid w:val="00A27B60"/>
    <w:rsid w:val="00A27C39"/>
    <w:rsid w:val="00A27D3F"/>
    <w:rsid w:val="00A27D4B"/>
    <w:rsid w:val="00A27D8C"/>
    <w:rsid w:val="00A27D9A"/>
    <w:rsid w:val="00A27D9B"/>
    <w:rsid w:val="00A27DD3"/>
    <w:rsid w:val="00A27DDD"/>
    <w:rsid w:val="00A27F3F"/>
    <w:rsid w:val="00A27F5D"/>
    <w:rsid w:val="00A27F9A"/>
    <w:rsid w:val="00A30041"/>
    <w:rsid w:val="00A3012B"/>
    <w:rsid w:val="00A30138"/>
    <w:rsid w:val="00A301CC"/>
    <w:rsid w:val="00A301E8"/>
    <w:rsid w:val="00A30221"/>
    <w:rsid w:val="00A303B6"/>
    <w:rsid w:val="00A303B8"/>
    <w:rsid w:val="00A30493"/>
    <w:rsid w:val="00A304E7"/>
    <w:rsid w:val="00A3054D"/>
    <w:rsid w:val="00A3060E"/>
    <w:rsid w:val="00A3063F"/>
    <w:rsid w:val="00A30761"/>
    <w:rsid w:val="00A307AE"/>
    <w:rsid w:val="00A307BF"/>
    <w:rsid w:val="00A30830"/>
    <w:rsid w:val="00A308DE"/>
    <w:rsid w:val="00A308F0"/>
    <w:rsid w:val="00A30ABF"/>
    <w:rsid w:val="00A30BB3"/>
    <w:rsid w:val="00A30C18"/>
    <w:rsid w:val="00A30C27"/>
    <w:rsid w:val="00A30CCE"/>
    <w:rsid w:val="00A30D18"/>
    <w:rsid w:val="00A30D29"/>
    <w:rsid w:val="00A30D9F"/>
    <w:rsid w:val="00A30DAE"/>
    <w:rsid w:val="00A30DEA"/>
    <w:rsid w:val="00A30F6D"/>
    <w:rsid w:val="00A30F70"/>
    <w:rsid w:val="00A310DE"/>
    <w:rsid w:val="00A31274"/>
    <w:rsid w:val="00A31362"/>
    <w:rsid w:val="00A3150C"/>
    <w:rsid w:val="00A315B3"/>
    <w:rsid w:val="00A315B7"/>
    <w:rsid w:val="00A31650"/>
    <w:rsid w:val="00A31656"/>
    <w:rsid w:val="00A31671"/>
    <w:rsid w:val="00A31690"/>
    <w:rsid w:val="00A316BD"/>
    <w:rsid w:val="00A316C0"/>
    <w:rsid w:val="00A316C8"/>
    <w:rsid w:val="00A316E6"/>
    <w:rsid w:val="00A31787"/>
    <w:rsid w:val="00A317AA"/>
    <w:rsid w:val="00A318CB"/>
    <w:rsid w:val="00A318D9"/>
    <w:rsid w:val="00A31950"/>
    <w:rsid w:val="00A3196F"/>
    <w:rsid w:val="00A31983"/>
    <w:rsid w:val="00A31A79"/>
    <w:rsid w:val="00A31AA6"/>
    <w:rsid w:val="00A31C3D"/>
    <w:rsid w:val="00A31D32"/>
    <w:rsid w:val="00A31D40"/>
    <w:rsid w:val="00A31D7C"/>
    <w:rsid w:val="00A31E66"/>
    <w:rsid w:val="00A31EEC"/>
    <w:rsid w:val="00A31EF7"/>
    <w:rsid w:val="00A31F3E"/>
    <w:rsid w:val="00A31F45"/>
    <w:rsid w:val="00A3205B"/>
    <w:rsid w:val="00A3211D"/>
    <w:rsid w:val="00A32136"/>
    <w:rsid w:val="00A321E4"/>
    <w:rsid w:val="00A321FC"/>
    <w:rsid w:val="00A3223B"/>
    <w:rsid w:val="00A322F9"/>
    <w:rsid w:val="00A32321"/>
    <w:rsid w:val="00A323FD"/>
    <w:rsid w:val="00A32498"/>
    <w:rsid w:val="00A324AB"/>
    <w:rsid w:val="00A32558"/>
    <w:rsid w:val="00A325B7"/>
    <w:rsid w:val="00A325E9"/>
    <w:rsid w:val="00A325FD"/>
    <w:rsid w:val="00A32633"/>
    <w:rsid w:val="00A32640"/>
    <w:rsid w:val="00A32777"/>
    <w:rsid w:val="00A32804"/>
    <w:rsid w:val="00A328F2"/>
    <w:rsid w:val="00A32A09"/>
    <w:rsid w:val="00A32A1C"/>
    <w:rsid w:val="00A32A6C"/>
    <w:rsid w:val="00A32AFF"/>
    <w:rsid w:val="00A32B1F"/>
    <w:rsid w:val="00A32B20"/>
    <w:rsid w:val="00A32B43"/>
    <w:rsid w:val="00A32B75"/>
    <w:rsid w:val="00A32BF7"/>
    <w:rsid w:val="00A32C50"/>
    <w:rsid w:val="00A32C53"/>
    <w:rsid w:val="00A32C99"/>
    <w:rsid w:val="00A32D6C"/>
    <w:rsid w:val="00A32D9D"/>
    <w:rsid w:val="00A32DEF"/>
    <w:rsid w:val="00A32E30"/>
    <w:rsid w:val="00A32F4C"/>
    <w:rsid w:val="00A32F5B"/>
    <w:rsid w:val="00A330E3"/>
    <w:rsid w:val="00A3314D"/>
    <w:rsid w:val="00A33191"/>
    <w:rsid w:val="00A331DC"/>
    <w:rsid w:val="00A332E7"/>
    <w:rsid w:val="00A33306"/>
    <w:rsid w:val="00A3350D"/>
    <w:rsid w:val="00A336F5"/>
    <w:rsid w:val="00A3375E"/>
    <w:rsid w:val="00A33946"/>
    <w:rsid w:val="00A339B1"/>
    <w:rsid w:val="00A339E4"/>
    <w:rsid w:val="00A33A33"/>
    <w:rsid w:val="00A33A8C"/>
    <w:rsid w:val="00A33AE2"/>
    <w:rsid w:val="00A33C71"/>
    <w:rsid w:val="00A33D6B"/>
    <w:rsid w:val="00A33D94"/>
    <w:rsid w:val="00A33EF8"/>
    <w:rsid w:val="00A3416A"/>
    <w:rsid w:val="00A34177"/>
    <w:rsid w:val="00A341BA"/>
    <w:rsid w:val="00A3422F"/>
    <w:rsid w:val="00A342A0"/>
    <w:rsid w:val="00A342F8"/>
    <w:rsid w:val="00A343D2"/>
    <w:rsid w:val="00A343D3"/>
    <w:rsid w:val="00A343D6"/>
    <w:rsid w:val="00A3447C"/>
    <w:rsid w:val="00A3462C"/>
    <w:rsid w:val="00A3469A"/>
    <w:rsid w:val="00A347DE"/>
    <w:rsid w:val="00A3487A"/>
    <w:rsid w:val="00A348A5"/>
    <w:rsid w:val="00A348AF"/>
    <w:rsid w:val="00A348CD"/>
    <w:rsid w:val="00A34A7E"/>
    <w:rsid w:val="00A34A91"/>
    <w:rsid w:val="00A34B34"/>
    <w:rsid w:val="00A34B6E"/>
    <w:rsid w:val="00A34BA1"/>
    <w:rsid w:val="00A34BA2"/>
    <w:rsid w:val="00A34C19"/>
    <w:rsid w:val="00A34C1A"/>
    <w:rsid w:val="00A34CFF"/>
    <w:rsid w:val="00A34DF9"/>
    <w:rsid w:val="00A34EC4"/>
    <w:rsid w:val="00A34EEF"/>
    <w:rsid w:val="00A34F0B"/>
    <w:rsid w:val="00A34F15"/>
    <w:rsid w:val="00A34F76"/>
    <w:rsid w:val="00A34F95"/>
    <w:rsid w:val="00A35001"/>
    <w:rsid w:val="00A35046"/>
    <w:rsid w:val="00A35111"/>
    <w:rsid w:val="00A35141"/>
    <w:rsid w:val="00A351B8"/>
    <w:rsid w:val="00A351ED"/>
    <w:rsid w:val="00A351F7"/>
    <w:rsid w:val="00A352AC"/>
    <w:rsid w:val="00A352B2"/>
    <w:rsid w:val="00A353E2"/>
    <w:rsid w:val="00A35402"/>
    <w:rsid w:val="00A35554"/>
    <w:rsid w:val="00A3557E"/>
    <w:rsid w:val="00A35584"/>
    <w:rsid w:val="00A3559F"/>
    <w:rsid w:val="00A355A3"/>
    <w:rsid w:val="00A355A7"/>
    <w:rsid w:val="00A356AA"/>
    <w:rsid w:val="00A3570A"/>
    <w:rsid w:val="00A358A6"/>
    <w:rsid w:val="00A3598C"/>
    <w:rsid w:val="00A35A3A"/>
    <w:rsid w:val="00A35B10"/>
    <w:rsid w:val="00A35CF5"/>
    <w:rsid w:val="00A35DBC"/>
    <w:rsid w:val="00A35E0D"/>
    <w:rsid w:val="00A35F39"/>
    <w:rsid w:val="00A35F65"/>
    <w:rsid w:val="00A35FBF"/>
    <w:rsid w:val="00A36011"/>
    <w:rsid w:val="00A3602D"/>
    <w:rsid w:val="00A36043"/>
    <w:rsid w:val="00A36048"/>
    <w:rsid w:val="00A360C0"/>
    <w:rsid w:val="00A36112"/>
    <w:rsid w:val="00A36141"/>
    <w:rsid w:val="00A36183"/>
    <w:rsid w:val="00A36200"/>
    <w:rsid w:val="00A362E2"/>
    <w:rsid w:val="00A3639E"/>
    <w:rsid w:val="00A363C5"/>
    <w:rsid w:val="00A365F4"/>
    <w:rsid w:val="00A36672"/>
    <w:rsid w:val="00A3668B"/>
    <w:rsid w:val="00A3678F"/>
    <w:rsid w:val="00A36794"/>
    <w:rsid w:val="00A367CB"/>
    <w:rsid w:val="00A367F3"/>
    <w:rsid w:val="00A368B3"/>
    <w:rsid w:val="00A368D6"/>
    <w:rsid w:val="00A36925"/>
    <w:rsid w:val="00A3693A"/>
    <w:rsid w:val="00A3693B"/>
    <w:rsid w:val="00A3694B"/>
    <w:rsid w:val="00A369B6"/>
    <w:rsid w:val="00A369C2"/>
    <w:rsid w:val="00A369D3"/>
    <w:rsid w:val="00A369DB"/>
    <w:rsid w:val="00A369E7"/>
    <w:rsid w:val="00A36A3C"/>
    <w:rsid w:val="00A36BBF"/>
    <w:rsid w:val="00A36C01"/>
    <w:rsid w:val="00A36C0A"/>
    <w:rsid w:val="00A36C48"/>
    <w:rsid w:val="00A36CE0"/>
    <w:rsid w:val="00A36D1E"/>
    <w:rsid w:val="00A36E0D"/>
    <w:rsid w:val="00A36E7E"/>
    <w:rsid w:val="00A36E87"/>
    <w:rsid w:val="00A36F4A"/>
    <w:rsid w:val="00A36FB4"/>
    <w:rsid w:val="00A370DA"/>
    <w:rsid w:val="00A3713F"/>
    <w:rsid w:val="00A37141"/>
    <w:rsid w:val="00A371E0"/>
    <w:rsid w:val="00A37211"/>
    <w:rsid w:val="00A37245"/>
    <w:rsid w:val="00A372DC"/>
    <w:rsid w:val="00A372F1"/>
    <w:rsid w:val="00A373BA"/>
    <w:rsid w:val="00A373E7"/>
    <w:rsid w:val="00A373ED"/>
    <w:rsid w:val="00A374EC"/>
    <w:rsid w:val="00A374FA"/>
    <w:rsid w:val="00A37567"/>
    <w:rsid w:val="00A37582"/>
    <w:rsid w:val="00A375FE"/>
    <w:rsid w:val="00A376CD"/>
    <w:rsid w:val="00A376E8"/>
    <w:rsid w:val="00A377C1"/>
    <w:rsid w:val="00A37809"/>
    <w:rsid w:val="00A37820"/>
    <w:rsid w:val="00A378B7"/>
    <w:rsid w:val="00A379FA"/>
    <w:rsid w:val="00A37A37"/>
    <w:rsid w:val="00A37A9C"/>
    <w:rsid w:val="00A37BA6"/>
    <w:rsid w:val="00A37C70"/>
    <w:rsid w:val="00A37D5F"/>
    <w:rsid w:val="00A37DD7"/>
    <w:rsid w:val="00A37E18"/>
    <w:rsid w:val="00A37E91"/>
    <w:rsid w:val="00A37F69"/>
    <w:rsid w:val="00A37F7E"/>
    <w:rsid w:val="00A40067"/>
    <w:rsid w:val="00A40082"/>
    <w:rsid w:val="00A40087"/>
    <w:rsid w:val="00A4012F"/>
    <w:rsid w:val="00A401BE"/>
    <w:rsid w:val="00A40204"/>
    <w:rsid w:val="00A4021C"/>
    <w:rsid w:val="00A4032E"/>
    <w:rsid w:val="00A40359"/>
    <w:rsid w:val="00A40361"/>
    <w:rsid w:val="00A40380"/>
    <w:rsid w:val="00A403C4"/>
    <w:rsid w:val="00A40506"/>
    <w:rsid w:val="00A40624"/>
    <w:rsid w:val="00A40634"/>
    <w:rsid w:val="00A40642"/>
    <w:rsid w:val="00A406B3"/>
    <w:rsid w:val="00A40888"/>
    <w:rsid w:val="00A40A0B"/>
    <w:rsid w:val="00A40A22"/>
    <w:rsid w:val="00A40A31"/>
    <w:rsid w:val="00A40A52"/>
    <w:rsid w:val="00A40A6C"/>
    <w:rsid w:val="00A40B1B"/>
    <w:rsid w:val="00A40B70"/>
    <w:rsid w:val="00A40B7C"/>
    <w:rsid w:val="00A40BA1"/>
    <w:rsid w:val="00A40C08"/>
    <w:rsid w:val="00A40CC0"/>
    <w:rsid w:val="00A40D06"/>
    <w:rsid w:val="00A40D62"/>
    <w:rsid w:val="00A40D8D"/>
    <w:rsid w:val="00A40DE7"/>
    <w:rsid w:val="00A40E06"/>
    <w:rsid w:val="00A40F36"/>
    <w:rsid w:val="00A40F8A"/>
    <w:rsid w:val="00A40FBF"/>
    <w:rsid w:val="00A41035"/>
    <w:rsid w:val="00A4103D"/>
    <w:rsid w:val="00A410CF"/>
    <w:rsid w:val="00A4117D"/>
    <w:rsid w:val="00A411A0"/>
    <w:rsid w:val="00A411EB"/>
    <w:rsid w:val="00A4123B"/>
    <w:rsid w:val="00A412BB"/>
    <w:rsid w:val="00A413CC"/>
    <w:rsid w:val="00A413DC"/>
    <w:rsid w:val="00A4155F"/>
    <w:rsid w:val="00A41585"/>
    <w:rsid w:val="00A415DA"/>
    <w:rsid w:val="00A41658"/>
    <w:rsid w:val="00A41761"/>
    <w:rsid w:val="00A417A6"/>
    <w:rsid w:val="00A417C6"/>
    <w:rsid w:val="00A417D3"/>
    <w:rsid w:val="00A4181A"/>
    <w:rsid w:val="00A4182A"/>
    <w:rsid w:val="00A4187E"/>
    <w:rsid w:val="00A41881"/>
    <w:rsid w:val="00A418E7"/>
    <w:rsid w:val="00A41966"/>
    <w:rsid w:val="00A4199B"/>
    <w:rsid w:val="00A419A4"/>
    <w:rsid w:val="00A419DE"/>
    <w:rsid w:val="00A41A8B"/>
    <w:rsid w:val="00A41A91"/>
    <w:rsid w:val="00A41AA3"/>
    <w:rsid w:val="00A41AD3"/>
    <w:rsid w:val="00A41B64"/>
    <w:rsid w:val="00A41B89"/>
    <w:rsid w:val="00A41BA4"/>
    <w:rsid w:val="00A41C00"/>
    <w:rsid w:val="00A41CCC"/>
    <w:rsid w:val="00A41D14"/>
    <w:rsid w:val="00A41F16"/>
    <w:rsid w:val="00A41F3D"/>
    <w:rsid w:val="00A41F79"/>
    <w:rsid w:val="00A41FA1"/>
    <w:rsid w:val="00A41FF6"/>
    <w:rsid w:val="00A41FFB"/>
    <w:rsid w:val="00A42028"/>
    <w:rsid w:val="00A420BF"/>
    <w:rsid w:val="00A420CD"/>
    <w:rsid w:val="00A420DB"/>
    <w:rsid w:val="00A42121"/>
    <w:rsid w:val="00A42136"/>
    <w:rsid w:val="00A42248"/>
    <w:rsid w:val="00A422DE"/>
    <w:rsid w:val="00A422F7"/>
    <w:rsid w:val="00A42321"/>
    <w:rsid w:val="00A42383"/>
    <w:rsid w:val="00A42401"/>
    <w:rsid w:val="00A4243C"/>
    <w:rsid w:val="00A424DB"/>
    <w:rsid w:val="00A42673"/>
    <w:rsid w:val="00A42877"/>
    <w:rsid w:val="00A42899"/>
    <w:rsid w:val="00A428AC"/>
    <w:rsid w:val="00A428C5"/>
    <w:rsid w:val="00A42994"/>
    <w:rsid w:val="00A429A3"/>
    <w:rsid w:val="00A42A5C"/>
    <w:rsid w:val="00A42A88"/>
    <w:rsid w:val="00A42AA8"/>
    <w:rsid w:val="00A42AC2"/>
    <w:rsid w:val="00A42B18"/>
    <w:rsid w:val="00A42C6C"/>
    <w:rsid w:val="00A42C8A"/>
    <w:rsid w:val="00A42E0F"/>
    <w:rsid w:val="00A42F9B"/>
    <w:rsid w:val="00A42FD1"/>
    <w:rsid w:val="00A43013"/>
    <w:rsid w:val="00A43045"/>
    <w:rsid w:val="00A4305F"/>
    <w:rsid w:val="00A4307C"/>
    <w:rsid w:val="00A430AE"/>
    <w:rsid w:val="00A430BE"/>
    <w:rsid w:val="00A43124"/>
    <w:rsid w:val="00A4312A"/>
    <w:rsid w:val="00A431E8"/>
    <w:rsid w:val="00A432B5"/>
    <w:rsid w:val="00A433E9"/>
    <w:rsid w:val="00A43454"/>
    <w:rsid w:val="00A43521"/>
    <w:rsid w:val="00A43530"/>
    <w:rsid w:val="00A43583"/>
    <w:rsid w:val="00A435A5"/>
    <w:rsid w:val="00A43652"/>
    <w:rsid w:val="00A4368A"/>
    <w:rsid w:val="00A438C5"/>
    <w:rsid w:val="00A43919"/>
    <w:rsid w:val="00A43938"/>
    <w:rsid w:val="00A4394C"/>
    <w:rsid w:val="00A43A5F"/>
    <w:rsid w:val="00A43AA2"/>
    <w:rsid w:val="00A43AB9"/>
    <w:rsid w:val="00A43ADE"/>
    <w:rsid w:val="00A43AE2"/>
    <w:rsid w:val="00A43B87"/>
    <w:rsid w:val="00A43BFE"/>
    <w:rsid w:val="00A43CB6"/>
    <w:rsid w:val="00A43CD5"/>
    <w:rsid w:val="00A43D4F"/>
    <w:rsid w:val="00A4400C"/>
    <w:rsid w:val="00A440B3"/>
    <w:rsid w:val="00A441A5"/>
    <w:rsid w:val="00A4420B"/>
    <w:rsid w:val="00A442CE"/>
    <w:rsid w:val="00A44341"/>
    <w:rsid w:val="00A44355"/>
    <w:rsid w:val="00A4438F"/>
    <w:rsid w:val="00A443D2"/>
    <w:rsid w:val="00A44595"/>
    <w:rsid w:val="00A445DA"/>
    <w:rsid w:val="00A44606"/>
    <w:rsid w:val="00A447B4"/>
    <w:rsid w:val="00A4483E"/>
    <w:rsid w:val="00A44860"/>
    <w:rsid w:val="00A448FE"/>
    <w:rsid w:val="00A44971"/>
    <w:rsid w:val="00A4499D"/>
    <w:rsid w:val="00A44A08"/>
    <w:rsid w:val="00A44A29"/>
    <w:rsid w:val="00A44A4B"/>
    <w:rsid w:val="00A44A93"/>
    <w:rsid w:val="00A44A9A"/>
    <w:rsid w:val="00A44B87"/>
    <w:rsid w:val="00A44B93"/>
    <w:rsid w:val="00A44BFD"/>
    <w:rsid w:val="00A44C0C"/>
    <w:rsid w:val="00A44C19"/>
    <w:rsid w:val="00A44C75"/>
    <w:rsid w:val="00A44DCD"/>
    <w:rsid w:val="00A44FEE"/>
    <w:rsid w:val="00A4506A"/>
    <w:rsid w:val="00A4519D"/>
    <w:rsid w:val="00A451D2"/>
    <w:rsid w:val="00A451F0"/>
    <w:rsid w:val="00A45332"/>
    <w:rsid w:val="00A45446"/>
    <w:rsid w:val="00A4548F"/>
    <w:rsid w:val="00A454D7"/>
    <w:rsid w:val="00A454EE"/>
    <w:rsid w:val="00A4558B"/>
    <w:rsid w:val="00A455B2"/>
    <w:rsid w:val="00A455FA"/>
    <w:rsid w:val="00A45646"/>
    <w:rsid w:val="00A45658"/>
    <w:rsid w:val="00A45704"/>
    <w:rsid w:val="00A4571F"/>
    <w:rsid w:val="00A4578B"/>
    <w:rsid w:val="00A457CA"/>
    <w:rsid w:val="00A457DB"/>
    <w:rsid w:val="00A4582F"/>
    <w:rsid w:val="00A459E4"/>
    <w:rsid w:val="00A45A3D"/>
    <w:rsid w:val="00A45A44"/>
    <w:rsid w:val="00A45ABB"/>
    <w:rsid w:val="00A45ACB"/>
    <w:rsid w:val="00A45BAF"/>
    <w:rsid w:val="00A45C7A"/>
    <w:rsid w:val="00A45D2D"/>
    <w:rsid w:val="00A45DE1"/>
    <w:rsid w:val="00A45E29"/>
    <w:rsid w:val="00A45F18"/>
    <w:rsid w:val="00A45F3A"/>
    <w:rsid w:val="00A45F74"/>
    <w:rsid w:val="00A45FFF"/>
    <w:rsid w:val="00A4613D"/>
    <w:rsid w:val="00A4619D"/>
    <w:rsid w:val="00A461BE"/>
    <w:rsid w:val="00A461FA"/>
    <w:rsid w:val="00A462FF"/>
    <w:rsid w:val="00A46339"/>
    <w:rsid w:val="00A46364"/>
    <w:rsid w:val="00A465A7"/>
    <w:rsid w:val="00A465E0"/>
    <w:rsid w:val="00A466F1"/>
    <w:rsid w:val="00A4673C"/>
    <w:rsid w:val="00A46742"/>
    <w:rsid w:val="00A4681F"/>
    <w:rsid w:val="00A46940"/>
    <w:rsid w:val="00A46B14"/>
    <w:rsid w:val="00A46BFE"/>
    <w:rsid w:val="00A46C1E"/>
    <w:rsid w:val="00A46C22"/>
    <w:rsid w:val="00A46C6D"/>
    <w:rsid w:val="00A46D00"/>
    <w:rsid w:val="00A46D49"/>
    <w:rsid w:val="00A46E20"/>
    <w:rsid w:val="00A46E3D"/>
    <w:rsid w:val="00A46F47"/>
    <w:rsid w:val="00A46F73"/>
    <w:rsid w:val="00A46F82"/>
    <w:rsid w:val="00A47011"/>
    <w:rsid w:val="00A47042"/>
    <w:rsid w:val="00A47055"/>
    <w:rsid w:val="00A4728B"/>
    <w:rsid w:val="00A472A9"/>
    <w:rsid w:val="00A4733C"/>
    <w:rsid w:val="00A473C0"/>
    <w:rsid w:val="00A473C6"/>
    <w:rsid w:val="00A474DA"/>
    <w:rsid w:val="00A474F1"/>
    <w:rsid w:val="00A475D3"/>
    <w:rsid w:val="00A475E2"/>
    <w:rsid w:val="00A47606"/>
    <w:rsid w:val="00A47665"/>
    <w:rsid w:val="00A47682"/>
    <w:rsid w:val="00A47778"/>
    <w:rsid w:val="00A4778E"/>
    <w:rsid w:val="00A4790A"/>
    <w:rsid w:val="00A4797F"/>
    <w:rsid w:val="00A479E7"/>
    <w:rsid w:val="00A47A7A"/>
    <w:rsid w:val="00A47AA5"/>
    <w:rsid w:val="00A47AF8"/>
    <w:rsid w:val="00A47C0D"/>
    <w:rsid w:val="00A47C6D"/>
    <w:rsid w:val="00A47C72"/>
    <w:rsid w:val="00A47CB9"/>
    <w:rsid w:val="00A47CF0"/>
    <w:rsid w:val="00A47D61"/>
    <w:rsid w:val="00A47F32"/>
    <w:rsid w:val="00A47F47"/>
    <w:rsid w:val="00A47FC6"/>
    <w:rsid w:val="00A500C3"/>
    <w:rsid w:val="00A50187"/>
    <w:rsid w:val="00A50215"/>
    <w:rsid w:val="00A5029A"/>
    <w:rsid w:val="00A50325"/>
    <w:rsid w:val="00A50340"/>
    <w:rsid w:val="00A5038A"/>
    <w:rsid w:val="00A50421"/>
    <w:rsid w:val="00A50423"/>
    <w:rsid w:val="00A5047B"/>
    <w:rsid w:val="00A504B0"/>
    <w:rsid w:val="00A504C4"/>
    <w:rsid w:val="00A50533"/>
    <w:rsid w:val="00A505C1"/>
    <w:rsid w:val="00A505C7"/>
    <w:rsid w:val="00A505CA"/>
    <w:rsid w:val="00A50644"/>
    <w:rsid w:val="00A5066C"/>
    <w:rsid w:val="00A506AC"/>
    <w:rsid w:val="00A5088D"/>
    <w:rsid w:val="00A5093F"/>
    <w:rsid w:val="00A509C4"/>
    <w:rsid w:val="00A509D5"/>
    <w:rsid w:val="00A50AB1"/>
    <w:rsid w:val="00A50C70"/>
    <w:rsid w:val="00A50D86"/>
    <w:rsid w:val="00A50E38"/>
    <w:rsid w:val="00A50E63"/>
    <w:rsid w:val="00A50F30"/>
    <w:rsid w:val="00A50FA9"/>
    <w:rsid w:val="00A5101B"/>
    <w:rsid w:val="00A51027"/>
    <w:rsid w:val="00A5102A"/>
    <w:rsid w:val="00A5103C"/>
    <w:rsid w:val="00A51079"/>
    <w:rsid w:val="00A510B4"/>
    <w:rsid w:val="00A511B7"/>
    <w:rsid w:val="00A51226"/>
    <w:rsid w:val="00A5122F"/>
    <w:rsid w:val="00A51230"/>
    <w:rsid w:val="00A512FA"/>
    <w:rsid w:val="00A51312"/>
    <w:rsid w:val="00A513F9"/>
    <w:rsid w:val="00A51440"/>
    <w:rsid w:val="00A5145E"/>
    <w:rsid w:val="00A514E5"/>
    <w:rsid w:val="00A5153C"/>
    <w:rsid w:val="00A5154D"/>
    <w:rsid w:val="00A516C5"/>
    <w:rsid w:val="00A5173D"/>
    <w:rsid w:val="00A517CA"/>
    <w:rsid w:val="00A517D0"/>
    <w:rsid w:val="00A5181E"/>
    <w:rsid w:val="00A51828"/>
    <w:rsid w:val="00A5188F"/>
    <w:rsid w:val="00A519E6"/>
    <w:rsid w:val="00A51A2F"/>
    <w:rsid w:val="00A51A4E"/>
    <w:rsid w:val="00A51A95"/>
    <w:rsid w:val="00A51BB0"/>
    <w:rsid w:val="00A51C63"/>
    <w:rsid w:val="00A51CAB"/>
    <w:rsid w:val="00A51CDE"/>
    <w:rsid w:val="00A51D96"/>
    <w:rsid w:val="00A51EA4"/>
    <w:rsid w:val="00A51EAF"/>
    <w:rsid w:val="00A51EB3"/>
    <w:rsid w:val="00A51F5B"/>
    <w:rsid w:val="00A52086"/>
    <w:rsid w:val="00A520FD"/>
    <w:rsid w:val="00A5214B"/>
    <w:rsid w:val="00A52415"/>
    <w:rsid w:val="00A52569"/>
    <w:rsid w:val="00A525CE"/>
    <w:rsid w:val="00A52650"/>
    <w:rsid w:val="00A5266E"/>
    <w:rsid w:val="00A52683"/>
    <w:rsid w:val="00A5269D"/>
    <w:rsid w:val="00A526C1"/>
    <w:rsid w:val="00A52732"/>
    <w:rsid w:val="00A52773"/>
    <w:rsid w:val="00A527C9"/>
    <w:rsid w:val="00A5282B"/>
    <w:rsid w:val="00A528BB"/>
    <w:rsid w:val="00A52B09"/>
    <w:rsid w:val="00A52B4B"/>
    <w:rsid w:val="00A52B8B"/>
    <w:rsid w:val="00A52BA5"/>
    <w:rsid w:val="00A52BF3"/>
    <w:rsid w:val="00A52C0B"/>
    <w:rsid w:val="00A52CED"/>
    <w:rsid w:val="00A52D42"/>
    <w:rsid w:val="00A52DBE"/>
    <w:rsid w:val="00A52DC0"/>
    <w:rsid w:val="00A52E08"/>
    <w:rsid w:val="00A52E1E"/>
    <w:rsid w:val="00A52E28"/>
    <w:rsid w:val="00A52EA1"/>
    <w:rsid w:val="00A52F61"/>
    <w:rsid w:val="00A52F97"/>
    <w:rsid w:val="00A52FA8"/>
    <w:rsid w:val="00A530D1"/>
    <w:rsid w:val="00A5313A"/>
    <w:rsid w:val="00A531DC"/>
    <w:rsid w:val="00A53222"/>
    <w:rsid w:val="00A53358"/>
    <w:rsid w:val="00A53381"/>
    <w:rsid w:val="00A533A7"/>
    <w:rsid w:val="00A533ED"/>
    <w:rsid w:val="00A53430"/>
    <w:rsid w:val="00A53490"/>
    <w:rsid w:val="00A534BD"/>
    <w:rsid w:val="00A534F2"/>
    <w:rsid w:val="00A534F3"/>
    <w:rsid w:val="00A53521"/>
    <w:rsid w:val="00A5363E"/>
    <w:rsid w:val="00A5366D"/>
    <w:rsid w:val="00A5367B"/>
    <w:rsid w:val="00A536D4"/>
    <w:rsid w:val="00A5384B"/>
    <w:rsid w:val="00A53892"/>
    <w:rsid w:val="00A538CD"/>
    <w:rsid w:val="00A53941"/>
    <w:rsid w:val="00A539F7"/>
    <w:rsid w:val="00A53C6F"/>
    <w:rsid w:val="00A53CB4"/>
    <w:rsid w:val="00A53CD6"/>
    <w:rsid w:val="00A53E27"/>
    <w:rsid w:val="00A53E2F"/>
    <w:rsid w:val="00A53E86"/>
    <w:rsid w:val="00A53FE4"/>
    <w:rsid w:val="00A54034"/>
    <w:rsid w:val="00A540CC"/>
    <w:rsid w:val="00A5413C"/>
    <w:rsid w:val="00A54216"/>
    <w:rsid w:val="00A54440"/>
    <w:rsid w:val="00A54476"/>
    <w:rsid w:val="00A5456A"/>
    <w:rsid w:val="00A545B9"/>
    <w:rsid w:val="00A54651"/>
    <w:rsid w:val="00A546C6"/>
    <w:rsid w:val="00A546D3"/>
    <w:rsid w:val="00A54731"/>
    <w:rsid w:val="00A54760"/>
    <w:rsid w:val="00A54793"/>
    <w:rsid w:val="00A547BF"/>
    <w:rsid w:val="00A5482E"/>
    <w:rsid w:val="00A5483B"/>
    <w:rsid w:val="00A548D1"/>
    <w:rsid w:val="00A548E7"/>
    <w:rsid w:val="00A54924"/>
    <w:rsid w:val="00A54958"/>
    <w:rsid w:val="00A549C4"/>
    <w:rsid w:val="00A54A42"/>
    <w:rsid w:val="00A54B0A"/>
    <w:rsid w:val="00A54B51"/>
    <w:rsid w:val="00A54B91"/>
    <w:rsid w:val="00A54BA2"/>
    <w:rsid w:val="00A54D01"/>
    <w:rsid w:val="00A54DAE"/>
    <w:rsid w:val="00A54DB9"/>
    <w:rsid w:val="00A54DE8"/>
    <w:rsid w:val="00A54E17"/>
    <w:rsid w:val="00A54EC9"/>
    <w:rsid w:val="00A54F3B"/>
    <w:rsid w:val="00A54F74"/>
    <w:rsid w:val="00A550FD"/>
    <w:rsid w:val="00A55129"/>
    <w:rsid w:val="00A5528B"/>
    <w:rsid w:val="00A55342"/>
    <w:rsid w:val="00A553C6"/>
    <w:rsid w:val="00A55547"/>
    <w:rsid w:val="00A55566"/>
    <w:rsid w:val="00A55573"/>
    <w:rsid w:val="00A555BB"/>
    <w:rsid w:val="00A55602"/>
    <w:rsid w:val="00A5560E"/>
    <w:rsid w:val="00A5561B"/>
    <w:rsid w:val="00A5562A"/>
    <w:rsid w:val="00A55652"/>
    <w:rsid w:val="00A55703"/>
    <w:rsid w:val="00A5571C"/>
    <w:rsid w:val="00A55754"/>
    <w:rsid w:val="00A5581F"/>
    <w:rsid w:val="00A558C9"/>
    <w:rsid w:val="00A558F7"/>
    <w:rsid w:val="00A55B49"/>
    <w:rsid w:val="00A55BB0"/>
    <w:rsid w:val="00A55C44"/>
    <w:rsid w:val="00A55C97"/>
    <w:rsid w:val="00A55D5F"/>
    <w:rsid w:val="00A55DFC"/>
    <w:rsid w:val="00A55E63"/>
    <w:rsid w:val="00A55EA4"/>
    <w:rsid w:val="00A55EE8"/>
    <w:rsid w:val="00A55F5B"/>
    <w:rsid w:val="00A55F6D"/>
    <w:rsid w:val="00A560B1"/>
    <w:rsid w:val="00A56112"/>
    <w:rsid w:val="00A563A0"/>
    <w:rsid w:val="00A563F1"/>
    <w:rsid w:val="00A56436"/>
    <w:rsid w:val="00A5649F"/>
    <w:rsid w:val="00A564E5"/>
    <w:rsid w:val="00A565A9"/>
    <w:rsid w:val="00A5669C"/>
    <w:rsid w:val="00A56704"/>
    <w:rsid w:val="00A56878"/>
    <w:rsid w:val="00A56886"/>
    <w:rsid w:val="00A5690E"/>
    <w:rsid w:val="00A56A56"/>
    <w:rsid w:val="00A56B84"/>
    <w:rsid w:val="00A56C1F"/>
    <w:rsid w:val="00A56C90"/>
    <w:rsid w:val="00A56DB5"/>
    <w:rsid w:val="00A56E29"/>
    <w:rsid w:val="00A56E2C"/>
    <w:rsid w:val="00A56F12"/>
    <w:rsid w:val="00A56F45"/>
    <w:rsid w:val="00A56FBA"/>
    <w:rsid w:val="00A57058"/>
    <w:rsid w:val="00A57091"/>
    <w:rsid w:val="00A570BF"/>
    <w:rsid w:val="00A571B9"/>
    <w:rsid w:val="00A571E3"/>
    <w:rsid w:val="00A57246"/>
    <w:rsid w:val="00A57276"/>
    <w:rsid w:val="00A57313"/>
    <w:rsid w:val="00A57377"/>
    <w:rsid w:val="00A573A6"/>
    <w:rsid w:val="00A573D3"/>
    <w:rsid w:val="00A57512"/>
    <w:rsid w:val="00A57649"/>
    <w:rsid w:val="00A576AF"/>
    <w:rsid w:val="00A57722"/>
    <w:rsid w:val="00A5791C"/>
    <w:rsid w:val="00A579C8"/>
    <w:rsid w:val="00A57A9C"/>
    <w:rsid w:val="00A57B3E"/>
    <w:rsid w:val="00A57BA9"/>
    <w:rsid w:val="00A57BDB"/>
    <w:rsid w:val="00A57C14"/>
    <w:rsid w:val="00A57C75"/>
    <w:rsid w:val="00A57C98"/>
    <w:rsid w:val="00A57CF5"/>
    <w:rsid w:val="00A57D22"/>
    <w:rsid w:val="00A57D7C"/>
    <w:rsid w:val="00A57D92"/>
    <w:rsid w:val="00A57D9C"/>
    <w:rsid w:val="00A57DB7"/>
    <w:rsid w:val="00A57E2B"/>
    <w:rsid w:val="00A57F9C"/>
    <w:rsid w:val="00A57FB9"/>
    <w:rsid w:val="00A6001D"/>
    <w:rsid w:val="00A600F9"/>
    <w:rsid w:val="00A60109"/>
    <w:rsid w:val="00A60165"/>
    <w:rsid w:val="00A60199"/>
    <w:rsid w:val="00A60263"/>
    <w:rsid w:val="00A60349"/>
    <w:rsid w:val="00A60389"/>
    <w:rsid w:val="00A604DC"/>
    <w:rsid w:val="00A604EF"/>
    <w:rsid w:val="00A60576"/>
    <w:rsid w:val="00A60644"/>
    <w:rsid w:val="00A60717"/>
    <w:rsid w:val="00A6096C"/>
    <w:rsid w:val="00A60984"/>
    <w:rsid w:val="00A609E7"/>
    <w:rsid w:val="00A60A29"/>
    <w:rsid w:val="00A60A3A"/>
    <w:rsid w:val="00A60A55"/>
    <w:rsid w:val="00A60AA3"/>
    <w:rsid w:val="00A60D63"/>
    <w:rsid w:val="00A60E0F"/>
    <w:rsid w:val="00A60EE3"/>
    <w:rsid w:val="00A60EE7"/>
    <w:rsid w:val="00A60F17"/>
    <w:rsid w:val="00A60F8F"/>
    <w:rsid w:val="00A60FC3"/>
    <w:rsid w:val="00A61026"/>
    <w:rsid w:val="00A6109B"/>
    <w:rsid w:val="00A610A1"/>
    <w:rsid w:val="00A6120C"/>
    <w:rsid w:val="00A61257"/>
    <w:rsid w:val="00A61278"/>
    <w:rsid w:val="00A612ED"/>
    <w:rsid w:val="00A6133A"/>
    <w:rsid w:val="00A61352"/>
    <w:rsid w:val="00A61396"/>
    <w:rsid w:val="00A613E9"/>
    <w:rsid w:val="00A6144C"/>
    <w:rsid w:val="00A614CB"/>
    <w:rsid w:val="00A6153A"/>
    <w:rsid w:val="00A6153E"/>
    <w:rsid w:val="00A61589"/>
    <w:rsid w:val="00A615A3"/>
    <w:rsid w:val="00A6160E"/>
    <w:rsid w:val="00A6164F"/>
    <w:rsid w:val="00A616CC"/>
    <w:rsid w:val="00A616F7"/>
    <w:rsid w:val="00A61833"/>
    <w:rsid w:val="00A6183C"/>
    <w:rsid w:val="00A61873"/>
    <w:rsid w:val="00A6188C"/>
    <w:rsid w:val="00A6194D"/>
    <w:rsid w:val="00A61995"/>
    <w:rsid w:val="00A619C3"/>
    <w:rsid w:val="00A61A32"/>
    <w:rsid w:val="00A61B81"/>
    <w:rsid w:val="00A61BCC"/>
    <w:rsid w:val="00A61BD6"/>
    <w:rsid w:val="00A61C12"/>
    <w:rsid w:val="00A61C15"/>
    <w:rsid w:val="00A61D8C"/>
    <w:rsid w:val="00A61EB8"/>
    <w:rsid w:val="00A61EE1"/>
    <w:rsid w:val="00A6203A"/>
    <w:rsid w:val="00A620C4"/>
    <w:rsid w:val="00A62117"/>
    <w:rsid w:val="00A621F1"/>
    <w:rsid w:val="00A622A7"/>
    <w:rsid w:val="00A622D1"/>
    <w:rsid w:val="00A62346"/>
    <w:rsid w:val="00A6250C"/>
    <w:rsid w:val="00A6258B"/>
    <w:rsid w:val="00A625A5"/>
    <w:rsid w:val="00A62643"/>
    <w:rsid w:val="00A6264F"/>
    <w:rsid w:val="00A62654"/>
    <w:rsid w:val="00A62658"/>
    <w:rsid w:val="00A62683"/>
    <w:rsid w:val="00A62685"/>
    <w:rsid w:val="00A62690"/>
    <w:rsid w:val="00A62794"/>
    <w:rsid w:val="00A62929"/>
    <w:rsid w:val="00A6292D"/>
    <w:rsid w:val="00A6295C"/>
    <w:rsid w:val="00A629B0"/>
    <w:rsid w:val="00A629D1"/>
    <w:rsid w:val="00A62A2B"/>
    <w:rsid w:val="00A62AC2"/>
    <w:rsid w:val="00A62AE1"/>
    <w:rsid w:val="00A62AE5"/>
    <w:rsid w:val="00A62B19"/>
    <w:rsid w:val="00A62B3A"/>
    <w:rsid w:val="00A62B41"/>
    <w:rsid w:val="00A62BE3"/>
    <w:rsid w:val="00A62C36"/>
    <w:rsid w:val="00A62C6C"/>
    <w:rsid w:val="00A62C93"/>
    <w:rsid w:val="00A62CD4"/>
    <w:rsid w:val="00A62E60"/>
    <w:rsid w:val="00A62FAA"/>
    <w:rsid w:val="00A62FB7"/>
    <w:rsid w:val="00A62FD0"/>
    <w:rsid w:val="00A6318D"/>
    <w:rsid w:val="00A631D1"/>
    <w:rsid w:val="00A631F5"/>
    <w:rsid w:val="00A63286"/>
    <w:rsid w:val="00A632C9"/>
    <w:rsid w:val="00A633D4"/>
    <w:rsid w:val="00A63420"/>
    <w:rsid w:val="00A63609"/>
    <w:rsid w:val="00A6361B"/>
    <w:rsid w:val="00A63663"/>
    <w:rsid w:val="00A636F5"/>
    <w:rsid w:val="00A6371B"/>
    <w:rsid w:val="00A63734"/>
    <w:rsid w:val="00A6376D"/>
    <w:rsid w:val="00A637CB"/>
    <w:rsid w:val="00A63879"/>
    <w:rsid w:val="00A6387F"/>
    <w:rsid w:val="00A63AB6"/>
    <w:rsid w:val="00A63C03"/>
    <w:rsid w:val="00A63C7E"/>
    <w:rsid w:val="00A63CC2"/>
    <w:rsid w:val="00A63CC4"/>
    <w:rsid w:val="00A63CC6"/>
    <w:rsid w:val="00A63D06"/>
    <w:rsid w:val="00A63D26"/>
    <w:rsid w:val="00A63DC9"/>
    <w:rsid w:val="00A63E1A"/>
    <w:rsid w:val="00A63E3A"/>
    <w:rsid w:val="00A63E66"/>
    <w:rsid w:val="00A63F0F"/>
    <w:rsid w:val="00A63F3A"/>
    <w:rsid w:val="00A63F80"/>
    <w:rsid w:val="00A63FC0"/>
    <w:rsid w:val="00A63FF1"/>
    <w:rsid w:val="00A64013"/>
    <w:rsid w:val="00A64024"/>
    <w:rsid w:val="00A64050"/>
    <w:rsid w:val="00A64068"/>
    <w:rsid w:val="00A64100"/>
    <w:rsid w:val="00A641EF"/>
    <w:rsid w:val="00A6424B"/>
    <w:rsid w:val="00A64261"/>
    <w:rsid w:val="00A64285"/>
    <w:rsid w:val="00A643A6"/>
    <w:rsid w:val="00A64428"/>
    <w:rsid w:val="00A64467"/>
    <w:rsid w:val="00A6446E"/>
    <w:rsid w:val="00A644C2"/>
    <w:rsid w:val="00A64644"/>
    <w:rsid w:val="00A6464F"/>
    <w:rsid w:val="00A64650"/>
    <w:rsid w:val="00A6473A"/>
    <w:rsid w:val="00A64740"/>
    <w:rsid w:val="00A647C4"/>
    <w:rsid w:val="00A6483D"/>
    <w:rsid w:val="00A6488E"/>
    <w:rsid w:val="00A649C1"/>
    <w:rsid w:val="00A649D8"/>
    <w:rsid w:val="00A64A09"/>
    <w:rsid w:val="00A64A35"/>
    <w:rsid w:val="00A64A39"/>
    <w:rsid w:val="00A64A41"/>
    <w:rsid w:val="00A64A49"/>
    <w:rsid w:val="00A64A60"/>
    <w:rsid w:val="00A64A78"/>
    <w:rsid w:val="00A64A91"/>
    <w:rsid w:val="00A64AB2"/>
    <w:rsid w:val="00A64ADE"/>
    <w:rsid w:val="00A64C3B"/>
    <w:rsid w:val="00A64CC1"/>
    <w:rsid w:val="00A64CF4"/>
    <w:rsid w:val="00A64E20"/>
    <w:rsid w:val="00A64EC8"/>
    <w:rsid w:val="00A64F72"/>
    <w:rsid w:val="00A64F9E"/>
    <w:rsid w:val="00A64FF2"/>
    <w:rsid w:val="00A64FF7"/>
    <w:rsid w:val="00A64FFD"/>
    <w:rsid w:val="00A65076"/>
    <w:rsid w:val="00A65144"/>
    <w:rsid w:val="00A65201"/>
    <w:rsid w:val="00A6520D"/>
    <w:rsid w:val="00A6527C"/>
    <w:rsid w:val="00A652FD"/>
    <w:rsid w:val="00A6538D"/>
    <w:rsid w:val="00A6542B"/>
    <w:rsid w:val="00A65443"/>
    <w:rsid w:val="00A65491"/>
    <w:rsid w:val="00A65495"/>
    <w:rsid w:val="00A654C5"/>
    <w:rsid w:val="00A654F5"/>
    <w:rsid w:val="00A654F6"/>
    <w:rsid w:val="00A65502"/>
    <w:rsid w:val="00A6550C"/>
    <w:rsid w:val="00A655DE"/>
    <w:rsid w:val="00A65774"/>
    <w:rsid w:val="00A65799"/>
    <w:rsid w:val="00A658FF"/>
    <w:rsid w:val="00A65B19"/>
    <w:rsid w:val="00A65B64"/>
    <w:rsid w:val="00A65BC5"/>
    <w:rsid w:val="00A65D4E"/>
    <w:rsid w:val="00A65D73"/>
    <w:rsid w:val="00A65DEA"/>
    <w:rsid w:val="00A65E5A"/>
    <w:rsid w:val="00A65ED9"/>
    <w:rsid w:val="00A65F14"/>
    <w:rsid w:val="00A65F41"/>
    <w:rsid w:val="00A65F81"/>
    <w:rsid w:val="00A65FF7"/>
    <w:rsid w:val="00A66014"/>
    <w:rsid w:val="00A66058"/>
    <w:rsid w:val="00A660CF"/>
    <w:rsid w:val="00A66168"/>
    <w:rsid w:val="00A6620F"/>
    <w:rsid w:val="00A66253"/>
    <w:rsid w:val="00A66282"/>
    <w:rsid w:val="00A66295"/>
    <w:rsid w:val="00A662ED"/>
    <w:rsid w:val="00A66306"/>
    <w:rsid w:val="00A66357"/>
    <w:rsid w:val="00A663D4"/>
    <w:rsid w:val="00A6641B"/>
    <w:rsid w:val="00A66431"/>
    <w:rsid w:val="00A6649C"/>
    <w:rsid w:val="00A66576"/>
    <w:rsid w:val="00A66591"/>
    <w:rsid w:val="00A665B1"/>
    <w:rsid w:val="00A665B5"/>
    <w:rsid w:val="00A665BC"/>
    <w:rsid w:val="00A665C2"/>
    <w:rsid w:val="00A6663E"/>
    <w:rsid w:val="00A6667C"/>
    <w:rsid w:val="00A666C2"/>
    <w:rsid w:val="00A66712"/>
    <w:rsid w:val="00A6674D"/>
    <w:rsid w:val="00A667C1"/>
    <w:rsid w:val="00A667ED"/>
    <w:rsid w:val="00A667F2"/>
    <w:rsid w:val="00A6686E"/>
    <w:rsid w:val="00A668A7"/>
    <w:rsid w:val="00A66900"/>
    <w:rsid w:val="00A66934"/>
    <w:rsid w:val="00A669BE"/>
    <w:rsid w:val="00A669DB"/>
    <w:rsid w:val="00A66A23"/>
    <w:rsid w:val="00A66A37"/>
    <w:rsid w:val="00A66A41"/>
    <w:rsid w:val="00A66A6E"/>
    <w:rsid w:val="00A66AD0"/>
    <w:rsid w:val="00A66B47"/>
    <w:rsid w:val="00A66BE9"/>
    <w:rsid w:val="00A66BFA"/>
    <w:rsid w:val="00A66C9E"/>
    <w:rsid w:val="00A66CC8"/>
    <w:rsid w:val="00A66D14"/>
    <w:rsid w:val="00A66D18"/>
    <w:rsid w:val="00A66DE2"/>
    <w:rsid w:val="00A66E37"/>
    <w:rsid w:val="00A66E4C"/>
    <w:rsid w:val="00A66E5E"/>
    <w:rsid w:val="00A66E95"/>
    <w:rsid w:val="00A66EC6"/>
    <w:rsid w:val="00A66F33"/>
    <w:rsid w:val="00A66F49"/>
    <w:rsid w:val="00A66FC4"/>
    <w:rsid w:val="00A67112"/>
    <w:rsid w:val="00A6713A"/>
    <w:rsid w:val="00A671D7"/>
    <w:rsid w:val="00A6727B"/>
    <w:rsid w:val="00A673E4"/>
    <w:rsid w:val="00A67439"/>
    <w:rsid w:val="00A67493"/>
    <w:rsid w:val="00A67632"/>
    <w:rsid w:val="00A67755"/>
    <w:rsid w:val="00A6777D"/>
    <w:rsid w:val="00A6779B"/>
    <w:rsid w:val="00A67811"/>
    <w:rsid w:val="00A6788C"/>
    <w:rsid w:val="00A678CC"/>
    <w:rsid w:val="00A678F2"/>
    <w:rsid w:val="00A679B1"/>
    <w:rsid w:val="00A67A14"/>
    <w:rsid w:val="00A67A3A"/>
    <w:rsid w:val="00A67A4A"/>
    <w:rsid w:val="00A67A9A"/>
    <w:rsid w:val="00A67AA6"/>
    <w:rsid w:val="00A67AAA"/>
    <w:rsid w:val="00A67BBC"/>
    <w:rsid w:val="00A67C1C"/>
    <w:rsid w:val="00A67C98"/>
    <w:rsid w:val="00A67CDF"/>
    <w:rsid w:val="00A67DD9"/>
    <w:rsid w:val="00A67EE4"/>
    <w:rsid w:val="00A67EE9"/>
    <w:rsid w:val="00A67F81"/>
    <w:rsid w:val="00A700E8"/>
    <w:rsid w:val="00A70131"/>
    <w:rsid w:val="00A7025F"/>
    <w:rsid w:val="00A702BE"/>
    <w:rsid w:val="00A703E3"/>
    <w:rsid w:val="00A70443"/>
    <w:rsid w:val="00A70483"/>
    <w:rsid w:val="00A70543"/>
    <w:rsid w:val="00A70586"/>
    <w:rsid w:val="00A706C9"/>
    <w:rsid w:val="00A707D0"/>
    <w:rsid w:val="00A707F4"/>
    <w:rsid w:val="00A70831"/>
    <w:rsid w:val="00A7085A"/>
    <w:rsid w:val="00A70892"/>
    <w:rsid w:val="00A7091D"/>
    <w:rsid w:val="00A70975"/>
    <w:rsid w:val="00A70985"/>
    <w:rsid w:val="00A709D5"/>
    <w:rsid w:val="00A709EE"/>
    <w:rsid w:val="00A70A24"/>
    <w:rsid w:val="00A70A4D"/>
    <w:rsid w:val="00A70B0C"/>
    <w:rsid w:val="00A70BB9"/>
    <w:rsid w:val="00A70BC3"/>
    <w:rsid w:val="00A70BE6"/>
    <w:rsid w:val="00A70BEA"/>
    <w:rsid w:val="00A70BF4"/>
    <w:rsid w:val="00A70C1D"/>
    <w:rsid w:val="00A70C98"/>
    <w:rsid w:val="00A70DE4"/>
    <w:rsid w:val="00A70EF8"/>
    <w:rsid w:val="00A70EFF"/>
    <w:rsid w:val="00A70F17"/>
    <w:rsid w:val="00A70F48"/>
    <w:rsid w:val="00A70F7E"/>
    <w:rsid w:val="00A70FAD"/>
    <w:rsid w:val="00A70FE9"/>
    <w:rsid w:val="00A710D4"/>
    <w:rsid w:val="00A711B4"/>
    <w:rsid w:val="00A71295"/>
    <w:rsid w:val="00A71296"/>
    <w:rsid w:val="00A71394"/>
    <w:rsid w:val="00A7144D"/>
    <w:rsid w:val="00A71483"/>
    <w:rsid w:val="00A714F1"/>
    <w:rsid w:val="00A71587"/>
    <w:rsid w:val="00A71605"/>
    <w:rsid w:val="00A7162A"/>
    <w:rsid w:val="00A71697"/>
    <w:rsid w:val="00A716CC"/>
    <w:rsid w:val="00A71702"/>
    <w:rsid w:val="00A7176F"/>
    <w:rsid w:val="00A7192B"/>
    <w:rsid w:val="00A71A24"/>
    <w:rsid w:val="00A71AF3"/>
    <w:rsid w:val="00A71B13"/>
    <w:rsid w:val="00A71B6B"/>
    <w:rsid w:val="00A71C56"/>
    <w:rsid w:val="00A71CCA"/>
    <w:rsid w:val="00A71D6C"/>
    <w:rsid w:val="00A71E41"/>
    <w:rsid w:val="00A71E73"/>
    <w:rsid w:val="00A71E9F"/>
    <w:rsid w:val="00A71F4D"/>
    <w:rsid w:val="00A71F6E"/>
    <w:rsid w:val="00A72118"/>
    <w:rsid w:val="00A7215E"/>
    <w:rsid w:val="00A72283"/>
    <w:rsid w:val="00A7228E"/>
    <w:rsid w:val="00A72346"/>
    <w:rsid w:val="00A72350"/>
    <w:rsid w:val="00A723ED"/>
    <w:rsid w:val="00A72551"/>
    <w:rsid w:val="00A725EE"/>
    <w:rsid w:val="00A72604"/>
    <w:rsid w:val="00A72676"/>
    <w:rsid w:val="00A72757"/>
    <w:rsid w:val="00A72767"/>
    <w:rsid w:val="00A727F5"/>
    <w:rsid w:val="00A72842"/>
    <w:rsid w:val="00A728A2"/>
    <w:rsid w:val="00A72942"/>
    <w:rsid w:val="00A729BD"/>
    <w:rsid w:val="00A729F1"/>
    <w:rsid w:val="00A72AC1"/>
    <w:rsid w:val="00A72B42"/>
    <w:rsid w:val="00A72C4E"/>
    <w:rsid w:val="00A72C65"/>
    <w:rsid w:val="00A72E6F"/>
    <w:rsid w:val="00A72EB2"/>
    <w:rsid w:val="00A72F0E"/>
    <w:rsid w:val="00A7303D"/>
    <w:rsid w:val="00A730E0"/>
    <w:rsid w:val="00A730E1"/>
    <w:rsid w:val="00A7313D"/>
    <w:rsid w:val="00A7314F"/>
    <w:rsid w:val="00A73171"/>
    <w:rsid w:val="00A731D1"/>
    <w:rsid w:val="00A731DC"/>
    <w:rsid w:val="00A73315"/>
    <w:rsid w:val="00A734A2"/>
    <w:rsid w:val="00A734B7"/>
    <w:rsid w:val="00A734D8"/>
    <w:rsid w:val="00A73504"/>
    <w:rsid w:val="00A73535"/>
    <w:rsid w:val="00A73593"/>
    <w:rsid w:val="00A736DE"/>
    <w:rsid w:val="00A7370B"/>
    <w:rsid w:val="00A737BB"/>
    <w:rsid w:val="00A737EF"/>
    <w:rsid w:val="00A738E1"/>
    <w:rsid w:val="00A739BF"/>
    <w:rsid w:val="00A73A09"/>
    <w:rsid w:val="00A73A66"/>
    <w:rsid w:val="00A73AEC"/>
    <w:rsid w:val="00A73B08"/>
    <w:rsid w:val="00A73B10"/>
    <w:rsid w:val="00A73B73"/>
    <w:rsid w:val="00A73BD1"/>
    <w:rsid w:val="00A73CBB"/>
    <w:rsid w:val="00A73CCD"/>
    <w:rsid w:val="00A73D2C"/>
    <w:rsid w:val="00A73D2E"/>
    <w:rsid w:val="00A73D4B"/>
    <w:rsid w:val="00A73D71"/>
    <w:rsid w:val="00A73DEF"/>
    <w:rsid w:val="00A73E81"/>
    <w:rsid w:val="00A7403F"/>
    <w:rsid w:val="00A74044"/>
    <w:rsid w:val="00A74094"/>
    <w:rsid w:val="00A74122"/>
    <w:rsid w:val="00A74130"/>
    <w:rsid w:val="00A741C8"/>
    <w:rsid w:val="00A741DC"/>
    <w:rsid w:val="00A74241"/>
    <w:rsid w:val="00A742B6"/>
    <w:rsid w:val="00A742E4"/>
    <w:rsid w:val="00A74308"/>
    <w:rsid w:val="00A7435E"/>
    <w:rsid w:val="00A74375"/>
    <w:rsid w:val="00A74400"/>
    <w:rsid w:val="00A74404"/>
    <w:rsid w:val="00A744DF"/>
    <w:rsid w:val="00A744F3"/>
    <w:rsid w:val="00A74571"/>
    <w:rsid w:val="00A74610"/>
    <w:rsid w:val="00A7467B"/>
    <w:rsid w:val="00A746E7"/>
    <w:rsid w:val="00A74812"/>
    <w:rsid w:val="00A748C3"/>
    <w:rsid w:val="00A7490B"/>
    <w:rsid w:val="00A74ACD"/>
    <w:rsid w:val="00A74ADE"/>
    <w:rsid w:val="00A74AFB"/>
    <w:rsid w:val="00A74B4C"/>
    <w:rsid w:val="00A74BAC"/>
    <w:rsid w:val="00A74C44"/>
    <w:rsid w:val="00A74CEB"/>
    <w:rsid w:val="00A74CEE"/>
    <w:rsid w:val="00A74D0D"/>
    <w:rsid w:val="00A74D24"/>
    <w:rsid w:val="00A74D77"/>
    <w:rsid w:val="00A74F86"/>
    <w:rsid w:val="00A74FA0"/>
    <w:rsid w:val="00A74FBB"/>
    <w:rsid w:val="00A74FCD"/>
    <w:rsid w:val="00A75049"/>
    <w:rsid w:val="00A7504F"/>
    <w:rsid w:val="00A75083"/>
    <w:rsid w:val="00A75091"/>
    <w:rsid w:val="00A750B4"/>
    <w:rsid w:val="00A750CE"/>
    <w:rsid w:val="00A750DE"/>
    <w:rsid w:val="00A75126"/>
    <w:rsid w:val="00A7516F"/>
    <w:rsid w:val="00A751D9"/>
    <w:rsid w:val="00A75238"/>
    <w:rsid w:val="00A75242"/>
    <w:rsid w:val="00A75269"/>
    <w:rsid w:val="00A75288"/>
    <w:rsid w:val="00A752A3"/>
    <w:rsid w:val="00A752C5"/>
    <w:rsid w:val="00A75370"/>
    <w:rsid w:val="00A7537D"/>
    <w:rsid w:val="00A753B1"/>
    <w:rsid w:val="00A75407"/>
    <w:rsid w:val="00A7552B"/>
    <w:rsid w:val="00A755CE"/>
    <w:rsid w:val="00A756DA"/>
    <w:rsid w:val="00A756DB"/>
    <w:rsid w:val="00A75780"/>
    <w:rsid w:val="00A7579A"/>
    <w:rsid w:val="00A7587D"/>
    <w:rsid w:val="00A758DC"/>
    <w:rsid w:val="00A758E5"/>
    <w:rsid w:val="00A75925"/>
    <w:rsid w:val="00A75966"/>
    <w:rsid w:val="00A7597E"/>
    <w:rsid w:val="00A75A00"/>
    <w:rsid w:val="00A75ACD"/>
    <w:rsid w:val="00A75AE0"/>
    <w:rsid w:val="00A75AF8"/>
    <w:rsid w:val="00A75B7E"/>
    <w:rsid w:val="00A75D1C"/>
    <w:rsid w:val="00A75D4D"/>
    <w:rsid w:val="00A75DAB"/>
    <w:rsid w:val="00A75DCB"/>
    <w:rsid w:val="00A75E9A"/>
    <w:rsid w:val="00A75F0E"/>
    <w:rsid w:val="00A75F61"/>
    <w:rsid w:val="00A76154"/>
    <w:rsid w:val="00A7625C"/>
    <w:rsid w:val="00A7628E"/>
    <w:rsid w:val="00A762B6"/>
    <w:rsid w:val="00A7637B"/>
    <w:rsid w:val="00A7641B"/>
    <w:rsid w:val="00A7646D"/>
    <w:rsid w:val="00A764D5"/>
    <w:rsid w:val="00A7650D"/>
    <w:rsid w:val="00A76542"/>
    <w:rsid w:val="00A76591"/>
    <w:rsid w:val="00A7668C"/>
    <w:rsid w:val="00A766AA"/>
    <w:rsid w:val="00A766C0"/>
    <w:rsid w:val="00A767C9"/>
    <w:rsid w:val="00A767FE"/>
    <w:rsid w:val="00A768A6"/>
    <w:rsid w:val="00A768E9"/>
    <w:rsid w:val="00A768F4"/>
    <w:rsid w:val="00A7695C"/>
    <w:rsid w:val="00A769B9"/>
    <w:rsid w:val="00A76A62"/>
    <w:rsid w:val="00A76ABA"/>
    <w:rsid w:val="00A76BD4"/>
    <w:rsid w:val="00A76D12"/>
    <w:rsid w:val="00A76D29"/>
    <w:rsid w:val="00A76D31"/>
    <w:rsid w:val="00A76D46"/>
    <w:rsid w:val="00A76D72"/>
    <w:rsid w:val="00A76DD1"/>
    <w:rsid w:val="00A76E1B"/>
    <w:rsid w:val="00A76EA8"/>
    <w:rsid w:val="00A76EBB"/>
    <w:rsid w:val="00A770DB"/>
    <w:rsid w:val="00A7719C"/>
    <w:rsid w:val="00A7728B"/>
    <w:rsid w:val="00A7733A"/>
    <w:rsid w:val="00A77357"/>
    <w:rsid w:val="00A77361"/>
    <w:rsid w:val="00A77496"/>
    <w:rsid w:val="00A774AD"/>
    <w:rsid w:val="00A77587"/>
    <w:rsid w:val="00A776E2"/>
    <w:rsid w:val="00A7770A"/>
    <w:rsid w:val="00A7777A"/>
    <w:rsid w:val="00A777C0"/>
    <w:rsid w:val="00A77804"/>
    <w:rsid w:val="00A7787A"/>
    <w:rsid w:val="00A779FD"/>
    <w:rsid w:val="00A77A2C"/>
    <w:rsid w:val="00A77AA2"/>
    <w:rsid w:val="00A77BCA"/>
    <w:rsid w:val="00A77DA4"/>
    <w:rsid w:val="00A77E03"/>
    <w:rsid w:val="00A77E4F"/>
    <w:rsid w:val="00A77EB2"/>
    <w:rsid w:val="00A77F6A"/>
    <w:rsid w:val="00A77F82"/>
    <w:rsid w:val="00A77FCB"/>
    <w:rsid w:val="00A77FF9"/>
    <w:rsid w:val="00A80059"/>
    <w:rsid w:val="00A8010B"/>
    <w:rsid w:val="00A8022F"/>
    <w:rsid w:val="00A80245"/>
    <w:rsid w:val="00A80342"/>
    <w:rsid w:val="00A8038A"/>
    <w:rsid w:val="00A803C2"/>
    <w:rsid w:val="00A8040E"/>
    <w:rsid w:val="00A8045E"/>
    <w:rsid w:val="00A804E5"/>
    <w:rsid w:val="00A804FA"/>
    <w:rsid w:val="00A8051A"/>
    <w:rsid w:val="00A805B6"/>
    <w:rsid w:val="00A8076D"/>
    <w:rsid w:val="00A80949"/>
    <w:rsid w:val="00A8098F"/>
    <w:rsid w:val="00A809BC"/>
    <w:rsid w:val="00A809FB"/>
    <w:rsid w:val="00A80A22"/>
    <w:rsid w:val="00A80A25"/>
    <w:rsid w:val="00A80A9F"/>
    <w:rsid w:val="00A80B08"/>
    <w:rsid w:val="00A80BD7"/>
    <w:rsid w:val="00A80C85"/>
    <w:rsid w:val="00A80CE2"/>
    <w:rsid w:val="00A80D6E"/>
    <w:rsid w:val="00A80E3A"/>
    <w:rsid w:val="00A80EA6"/>
    <w:rsid w:val="00A80EC2"/>
    <w:rsid w:val="00A80EC5"/>
    <w:rsid w:val="00A80EE2"/>
    <w:rsid w:val="00A80EE3"/>
    <w:rsid w:val="00A80EFF"/>
    <w:rsid w:val="00A80F4C"/>
    <w:rsid w:val="00A80F95"/>
    <w:rsid w:val="00A80FB0"/>
    <w:rsid w:val="00A80FBE"/>
    <w:rsid w:val="00A8100A"/>
    <w:rsid w:val="00A810D2"/>
    <w:rsid w:val="00A810D9"/>
    <w:rsid w:val="00A81110"/>
    <w:rsid w:val="00A811D8"/>
    <w:rsid w:val="00A81243"/>
    <w:rsid w:val="00A81263"/>
    <w:rsid w:val="00A81286"/>
    <w:rsid w:val="00A81299"/>
    <w:rsid w:val="00A81337"/>
    <w:rsid w:val="00A8141A"/>
    <w:rsid w:val="00A8153A"/>
    <w:rsid w:val="00A815EA"/>
    <w:rsid w:val="00A81665"/>
    <w:rsid w:val="00A8172D"/>
    <w:rsid w:val="00A81850"/>
    <w:rsid w:val="00A8196D"/>
    <w:rsid w:val="00A81A2B"/>
    <w:rsid w:val="00A81A32"/>
    <w:rsid w:val="00A81A54"/>
    <w:rsid w:val="00A81C2E"/>
    <w:rsid w:val="00A81C3E"/>
    <w:rsid w:val="00A81CD3"/>
    <w:rsid w:val="00A81D32"/>
    <w:rsid w:val="00A81D60"/>
    <w:rsid w:val="00A81DC8"/>
    <w:rsid w:val="00A81E1A"/>
    <w:rsid w:val="00A81E70"/>
    <w:rsid w:val="00A81F24"/>
    <w:rsid w:val="00A81F51"/>
    <w:rsid w:val="00A81F94"/>
    <w:rsid w:val="00A82016"/>
    <w:rsid w:val="00A820C9"/>
    <w:rsid w:val="00A820EC"/>
    <w:rsid w:val="00A821BC"/>
    <w:rsid w:val="00A821C1"/>
    <w:rsid w:val="00A822A6"/>
    <w:rsid w:val="00A82300"/>
    <w:rsid w:val="00A82313"/>
    <w:rsid w:val="00A82323"/>
    <w:rsid w:val="00A8234F"/>
    <w:rsid w:val="00A82404"/>
    <w:rsid w:val="00A82483"/>
    <w:rsid w:val="00A824B1"/>
    <w:rsid w:val="00A82518"/>
    <w:rsid w:val="00A8251A"/>
    <w:rsid w:val="00A82524"/>
    <w:rsid w:val="00A825F2"/>
    <w:rsid w:val="00A82723"/>
    <w:rsid w:val="00A8273C"/>
    <w:rsid w:val="00A82743"/>
    <w:rsid w:val="00A828AD"/>
    <w:rsid w:val="00A828C0"/>
    <w:rsid w:val="00A828D5"/>
    <w:rsid w:val="00A8298B"/>
    <w:rsid w:val="00A82A04"/>
    <w:rsid w:val="00A82A93"/>
    <w:rsid w:val="00A82AAB"/>
    <w:rsid w:val="00A82AF4"/>
    <w:rsid w:val="00A82B1A"/>
    <w:rsid w:val="00A82B1E"/>
    <w:rsid w:val="00A82B55"/>
    <w:rsid w:val="00A82B9F"/>
    <w:rsid w:val="00A82BD6"/>
    <w:rsid w:val="00A82BFB"/>
    <w:rsid w:val="00A82C57"/>
    <w:rsid w:val="00A82DDD"/>
    <w:rsid w:val="00A82E73"/>
    <w:rsid w:val="00A82E96"/>
    <w:rsid w:val="00A82EEB"/>
    <w:rsid w:val="00A82F1B"/>
    <w:rsid w:val="00A82F2D"/>
    <w:rsid w:val="00A82FAF"/>
    <w:rsid w:val="00A83085"/>
    <w:rsid w:val="00A83182"/>
    <w:rsid w:val="00A831B8"/>
    <w:rsid w:val="00A8325A"/>
    <w:rsid w:val="00A83332"/>
    <w:rsid w:val="00A8333D"/>
    <w:rsid w:val="00A83352"/>
    <w:rsid w:val="00A833F8"/>
    <w:rsid w:val="00A83401"/>
    <w:rsid w:val="00A8345F"/>
    <w:rsid w:val="00A83529"/>
    <w:rsid w:val="00A8354A"/>
    <w:rsid w:val="00A8367C"/>
    <w:rsid w:val="00A8370F"/>
    <w:rsid w:val="00A83748"/>
    <w:rsid w:val="00A8376E"/>
    <w:rsid w:val="00A8380E"/>
    <w:rsid w:val="00A8383E"/>
    <w:rsid w:val="00A838C3"/>
    <w:rsid w:val="00A838FE"/>
    <w:rsid w:val="00A83913"/>
    <w:rsid w:val="00A83919"/>
    <w:rsid w:val="00A83981"/>
    <w:rsid w:val="00A83A06"/>
    <w:rsid w:val="00A83B11"/>
    <w:rsid w:val="00A83C6F"/>
    <w:rsid w:val="00A83C79"/>
    <w:rsid w:val="00A83C80"/>
    <w:rsid w:val="00A83C81"/>
    <w:rsid w:val="00A83CF4"/>
    <w:rsid w:val="00A83D1F"/>
    <w:rsid w:val="00A83D24"/>
    <w:rsid w:val="00A83D78"/>
    <w:rsid w:val="00A83E01"/>
    <w:rsid w:val="00A83E10"/>
    <w:rsid w:val="00A83E20"/>
    <w:rsid w:val="00A83E54"/>
    <w:rsid w:val="00A83E6A"/>
    <w:rsid w:val="00A83E87"/>
    <w:rsid w:val="00A83F39"/>
    <w:rsid w:val="00A83F73"/>
    <w:rsid w:val="00A83FCF"/>
    <w:rsid w:val="00A84048"/>
    <w:rsid w:val="00A840D4"/>
    <w:rsid w:val="00A84156"/>
    <w:rsid w:val="00A8426D"/>
    <w:rsid w:val="00A84388"/>
    <w:rsid w:val="00A8443B"/>
    <w:rsid w:val="00A8445A"/>
    <w:rsid w:val="00A84553"/>
    <w:rsid w:val="00A84651"/>
    <w:rsid w:val="00A84696"/>
    <w:rsid w:val="00A846E7"/>
    <w:rsid w:val="00A84769"/>
    <w:rsid w:val="00A847A2"/>
    <w:rsid w:val="00A84825"/>
    <w:rsid w:val="00A84835"/>
    <w:rsid w:val="00A8488C"/>
    <w:rsid w:val="00A84891"/>
    <w:rsid w:val="00A8499A"/>
    <w:rsid w:val="00A84AF6"/>
    <w:rsid w:val="00A84CBE"/>
    <w:rsid w:val="00A84D67"/>
    <w:rsid w:val="00A84E67"/>
    <w:rsid w:val="00A84F89"/>
    <w:rsid w:val="00A84F9C"/>
    <w:rsid w:val="00A84FF3"/>
    <w:rsid w:val="00A85209"/>
    <w:rsid w:val="00A8523B"/>
    <w:rsid w:val="00A8527A"/>
    <w:rsid w:val="00A8536D"/>
    <w:rsid w:val="00A853D6"/>
    <w:rsid w:val="00A853F4"/>
    <w:rsid w:val="00A85444"/>
    <w:rsid w:val="00A85459"/>
    <w:rsid w:val="00A854E8"/>
    <w:rsid w:val="00A8558E"/>
    <w:rsid w:val="00A85669"/>
    <w:rsid w:val="00A856B4"/>
    <w:rsid w:val="00A856FF"/>
    <w:rsid w:val="00A85717"/>
    <w:rsid w:val="00A85777"/>
    <w:rsid w:val="00A857E6"/>
    <w:rsid w:val="00A85888"/>
    <w:rsid w:val="00A858A2"/>
    <w:rsid w:val="00A858D7"/>
    <w:rsid w:val="00A858E0"/>
    <w:rsid w:val="00A85978"/>
    <w:rsid w:val="00A85991"/>
    <w:rsid w:val="00A85999"/>
    <w:rsid w:val="00A859B0"/>
    <w:rsid w:val="00A859F8"/>
    <w:rsid w:val="00A85B65"/>
    <w:rsid w:val="00A85C2A"/>
    <w:rsid w:val="00A85CE4"/>
    <w:rsid w:val="00A85D4C"/>
    <w:rsid w:val="00A85E09"/>
    <w:rsid w:val="00A85EB8"/>
    <w:rsid w:val="00A85F6E"/>
    <w:rsid w:val="00A85FBB"/>
    <w:rsid w:val="00A85FF8"/>
    <w:rsid w:val="00A8610E"/>
    <w:rsid w:val="00A86299"/>
    <w:rsid w:val="00A862A2"/>
    <w:rsid w:val="00A8633E"/>
    <w:rsid w:val="00A863AD"/>
    <w:rsid w:val="00A86505"/>
    <w:rsid w:val="00A8651B"/>
    <w:rsid w:val="00A86524"/>
    <w:rsid w:val="00A8652D"/>
    <w:rsid w:val="00A8661B"/>
    <w:rsid w:val="00A86716"/>
    <w:rsid w:val="00A86905"/>
    <w:rsid w:val="00A86954"/>
    <w:rsid w:val="00A86955"/>
    <w:rsid w:val="00A86966"/>
    <w:rsid w:val="00A86A32"/>
    <w:rsid w:val="00A86AC2"/>
    <w:rsid w:val="00A86AD2"/>
    <w:rsid w:val="00A86B31"/>
    <w:rsid w:val="00A86C0B"/>
    <w:rsid w:val="00A86C33"/>
    <w:rsid w:val="00A86C5A"/>
    <w:rsid w:val="00A86C77"/>
    <w:rsid w:val="00A86EB6"/>
    <w:rsid w:val="00A86EDC"/>
    <w:rsid w:val="00A87060"/>
    <w:rsid w:val="00A872A8"/>
    <w:rsid w:val="00A872E9"/>
    <w:rsid w:val="00A873A7"/>
    <w:rsid w:val="00A87489"/>
    <w:rsid w:val="00A8754D"/>
    <w:rsid w:val="00A87572"/>
    <w:rsid w:val="00A87575"/>
    <w:rsid w:val="00A87715"/>
    <w:rsid w:val="00A8772B"/>
    <w:rsid w:val="00A87843"/>
    <w:rsid w:val="00A8784E"/>
    <w:rsid w:val="00A878A3"/>
    <w:rsid w:val="00A878EF"/>
    <w:rsid w:val="00A879D8"/>
    <w:rsid w:val="00A879E0"/>
    <w:rsid w:val="00A87A60"/>
    <w:rsid w:val="00A87AED"/>
    <w:rsid w:val="00A87AFE"/>
    <w:rsid w:val="00A87B28"/>
    <w:rsid w:val="00A87B60"/>
    <w:rsid w:val="00A87B62"/>
    <w:rsid w:val="00A87B6B"/>
    <w:rsid w:val="00A87BE3"/>
    <w:rsid w:val="00A87D37"/>
    <w:rsid w:val="00A87D91"/>
    <w:rsid w:val="00A87DC2"/>
    <w:rsid w:val="00A87E20"/>
    <w:rsid w:val="00A87E55"/>
    <w:rsid w:val="00A87F09"/>
    <w:rsid w:val="00A87FA2"/>
    <w:rsid w:val="00A87FF0"/>
    <w:rsid w:val="00A900ED"/>
    <w:rsid w:val="00A9012F"/>
    <w:rsid w:val="00A90167"/>
    <w:rsid w:val="00A901AB"/>
    <w:rsid w:val="00A90221"/>
    <w:rsid w:val="00A9023E"/>
    <w:rsid w:val="00A9046C"/>
    <w:rsid w:val="00A904AD"/>
    <w:rsid w:val="00A904B3"/>
    <w:rsid w:val="00A904CC"/>
    <w:rsid w:val="00A90548"/>
    <w:rsid w:val="00A9055F"/>
    <w:rsid w:val="00A9056D"/>
    <w:rsid w:val="00A9068C"/>
    <w:rsid w:val="00A906CA"/>
    <w:rsid w:val="00A906DC"/>
    <w:rsid w:val="00A90803"/>
    <w:rsid w:val="00A9080A"/>
    <w:rsid w:val="00A9082F"/>
    <w:rsid w:val="00A90856"/>
    <w:rsid w:val="00A90873"/>
    <w:rsid w:val="00A90885"/>
    <w:rsid w:val="00A9095E"/>
    <w:rsid w:val="00A90981"/>
    <w:rsid w:val="00A909D9"/>
    <w:rsid w:val="00A909F8"/>
    <w:rsid w:val="00A90A0A"/>
    <w:rsid w:val="00A90BF3"/>
    <w:rsid w:val="00A90C2E"/>
    <w:rsid w:val="00A90D63"/>
    <w:rsid w:val="00A90DF3"/>
    <w:rsid w:val="00A90E76"/>
    <w:rsid w:val="00A90F37"/>
    <w:rsid w:val="00A90F42"/>
    <w:rsid w:val="00A90FA2"/>
    <w:rsid w:val="00A90FD0"/>
    <w:rsid w:val="00A91035"/>
    <w:rsid w:val="00A910A0"/>
    <w:rsid w:val="00A910E8"/>
    <w:rsid w:val="00A9114C"/>
    <w:rsid w:val="00A91195"/>
    <w:rsid w:val="00A911DE"/>
    <w:rsid w:val="00A91392"/>
    <w:rsid w:val="00A91548"/>
    <w:rsid w:val="00A9156F"/>
    <w:rsid w:val="00A91581"/>
    <w:rsid w:val="00A915B4"/>
    <w:rsid w:val="00A91659"/>
    <w:rsid w:val="00A916F1"/>
    <w:rsid w:val="00A91778"/>
    <w:rsid w:val="00A9188B"/>
    <w:rsid w:val="00A918EF"/>
    <w:rsid w:val="00A91954"/>
    <w:rsid w:val="00A91998"/>
    <w:rsid w:val="00A91A5D"/>
    <w:rsid w:val="00A91A92"/>
    <w:rsid w:val="00A91AC9"/>
    <w:rsid w:val="00A91B75"/>
    <w:rsid w:val="00A91C74"/>
    <w:rsid w:val="00A91C79"/>
    <w:rsid w:val="00A91D50"/>
    <w:rsid w:val="00A91D54"/>
    <w:rsid w:val="00A91D74"/>
    <w:rsid w:val="00A91E99"/>
    <w:rsid w:val="00A91EE6"/>
    <w:rsid w:val="00A91EFB"/>
    <w:rsid w:val="00A91F24"/>
    <w:rsid w:val="00A91FDC"/>
    <w:rsid w:val="00A92000"/>
    <w:rsid w:val="00A92009"/>
    <w:rsid w:val="00A92119"/>
    <w:rsid w:val="00A9211B"/>
    <w:rsid w:val="00A92130"/>
    <w:rsid w:val="00A9215B"/>
    <w:rsid w:val="00A921AE"/>
    <w:rsid w:val="00A922B4"/>
    <w:rsid w:val="00A922CD"/>
    <w:rsid w:val="00A9232A"/>
    <w:rsid w:val="00A923E3"/>
    <w:rsid w:val="00A92401"/>
    <w:rsid w:val="00A92558"/>
    <w:rsid w:val="00A92559"/>
    <w:rsid w:val="00A9257E"/>
    <w:rsid w:val="00A925FC"/>
    <w:rsid w:val="00A92612"/>
    <w:rsid w:val="00A92639"/>
    <w:rsid w:val="00A9263B"/>
    <w:rsid w:val="00A9263C"/>
    <w:rsid w:val="00A9268E"/>
    <w:rsid w:val="00A927AD"/>
    <w:rsid w:val="00A927F1"/>
    <w:rsid w:val="00A92835"/>
    <w:rsid w:val="00A9284E"/>
    <w:rsid w:val="00A928F7"/>
    <w:rsid w:val="00A9294C"/>
    <w:rsid w:val="00A92977"/>
    <w:rsid w:val="00A929D2"/>
    <w:rsid w:val="00A92A1E"/>
    <w:rsid w:val="00A92A3D"/>
    <w:rsid w:val="00A92AEB"/>
    <w:rsid w:val="00A92B2B"/>
    <w:rsid w:val="00A92B2E"/>
    <w:rsid w:val="00A92BEA"/>
    <w:rsid w:val="00A92C3F"/>
    <w:rsid w:val="00A92D05"/>
    <w:rsid w:val="00A92D46"/>
    <w:rsid w:val="00A92E6C"/>
    <w:rsid w:val="00A92EE1"/>
    <w:rsid w:val="00A92EE3"/>
    <w:rsid w:val="00A92EEA"/>
    <w:rsid w:val="00A92EFD"/>
    <w:rsid w:val="00A92F98"/>
    <w:rsid w:val="00A92FA2"/>
    <w:rsid w:val="00A93005"/>
    <w:rsid w:val="00A93013"/>
    <w:rsid w:val="00A930F2"/>
    <w:rsid w:val="00A93218"/>
    <w:rsid w:val="00A932B3"/>
    <w:rsid w:val="00A932DA"/>
    <w:rsid w:val="00A932F5"/>
    <w:rsid w:val="00A9330F"/>
    <w:rsid w:val="00A93368"/>
    <w:rsid w:val="00A93395"/>
    <w:rsid w:val="00A93461"/>
    <w:rsid w:val="00A9362C"/>
    <w:rsid w:val="00A93665"/>
    <w:rsid w:val="00A93747"/>
    <w:rsid w:val="00A9378A"/>
    <w:rsid w:val="00A9378E"/>
    <w:rsid w:val="00A937C1"/>
    <w:rsid w:val="00A937C5"/>
    <w:rsid w:val="00A93804"/>
    <w:rsid w:val="00A938D7"/>
    <w:rsid w:val="00A938EB"/>
    <w:rsid w:val="00A93925"/>
    <w:rsid w:val="00A939EF"/>
    <w:rsid w:val="00A93A3E"/>
    <w:rsid w:val="00A93A7E"/>
    <w:rsid w:val="00A93AD0"/>
    <w:rsid w:val="00A93BDC"/>
    <w:rsid w:val="00A93BE7"/>
    <w:rsid w:val="00A93BF0"/>
    <w:rsid w:val="00A93CA2"/>
    <w:rsid w:val="00A93D4D"/>
    <w:rsid w:val="00A93E5F"/>
    <w:rsid w:val="00A93EC7"/>
    <w:rsid w:val="00A93F68"/>
    <w:rsid w:val="00A93FB8"/>
    <w:rsid w:val="00A93FBB"/>
    <w:rsid w:val="00A94084"/>
    <w:rsid w:val="00A940E7"/>
    <w:rsid w:val="00A94187"/>
    <w:rsid w:val="00A941D1"/>
    <w:rsid w:val="00A942CC"/>
    <w:rsid w:val="00A94344"/>
    <w:rsid w:val="00A94382"/>
    <w:rsid w:val="00A94435"/>
    <w:rsid w:val="00A94527"/>
    <w:rsid w:val="00A9453E"/>
    <w:rsid w:val="00A94546"/>
    <w:rsid w:val="00A945D6"/>
    <w:rsid w:val="00A945DB"/>
    <w:rsid w:val="00A945DE"/>
    <w:rsid w:val="00A945FF"/>
    <w:rsid w:val="00A9461C"/>
    <w:rsid w:val="00A946A1"/>
    <w:rsid w:val="00A94756"/>
    <w:rsid w:val="00A9480E"/>
    <w:rsid w:val="00A94816"/>
    <w:rsid w:val="00A948CC"/>
    <w:rsid w:val="00A9498E"/>
    <w:rsid w:val="00A94A15"/>
    <w:rsid w:val="00A94A1B"/>
    <w:rsid w:val="00A94A6C"/>
    <w:rsid w:val="00A94A89"/>
    <w:rsid w:val="00A94AE2"/>
    <w:rsid w:val="00A94CCE"/>
    <w:rsid w:val="00A94CFE"/>
    <w:rsid w:val="00A94D39"/>
    <w:rsid w:val="00A94D55"/>
    <w:rsid w:val="00A94D81"/>
    <w:rsid w:val="00A94DC4"/>
    <w:rsid w:val="00A94E32"/>
    <w:rsid w:val="00A94E6D"/>
    <w:rsid w:val="00A94EB7"/>
    <w:rsid w:val="00A94F24"/>
    <w:rsid w:val="00A94F2D"/>
    <w:rsid w:val="00A94F97"/>
    <w:rsid w:val="00A9508F"/>
    <w:rsid w:val="00A950AE"/>
    <w:rsid w:val="00A950D4"/>
    <w:rsid w:val="00A950F2"/>
    <w:rsid w:val="00A951BE"/>
    <w:rsid w:val="00A951EA"/>
    <w:rsid w:val="00A9521C"/>
    <w:rsid w:val="00A95237"/>
    <w:rsid w:val="00A95248"/>
    <w:rsid w:val="00A95249"/>
    <w:rsid w:val="00A952D9"/>
    <w:rsid w:val="00A95307"/>
    <w:rsid w:val="00A95349"/>
    <w:rsid w:val="00A95380"/>
    <w:rsid w:val="00A953C3"/>
    <w:rsid w:val="00A953C9"/>
    <w:rsid w:val="00A95450"/>
    <w:rsid w:val="00A954C5"/>
    <w:rsid w:val="00A95559"/>
    <w:rsid w:val="00A9555D"/>
    <w:rsid w:val="00A9557A"/>
    <w:rsid w:val="00A9557F"/>
    <w:rsid w:val="00A955A6"/>
    <w:rsid w:val="00A955D5"/>
    <w:rsid w:val="00A956D5"/>
    <w:rsid w:val="00A9571E"/>
    <w:rsid w:val="00A95770"/>
    <w:rsid w:val="00A958EF"/>
    <w:rsid w:val="00A959AC"/>
    <w:rsid w:val="00A95A1C"/>
    <w:rsid w:val="00A95BAA"/>
    <w:rsid w:val="00A95BAC"/>
    <w:rsid w:val="00A95BD0"/>
    <w:rsid w:val="00A95CB5"/>
    <w:rsid w:val="00A95DF1"/>
    <w:rsid w:val="00A95E1C"/>
    <w:rsid w:val="00A95E24"/>
    <w:rsid w:val="00A95E79"/>
    <w:rsid w:val="00A95EB9"/>
    <w:rsid w:val="00A95EE3"/>
    <w:rsid w:val="00A95EEE"/>
    <w:rsid w:val="00A95EFB"/>
    <w:rsid w:val="00A95F42"/>
    <w:rsid w:val="00A960B5"/>
    <w:rsid w:val="00A960F4"/>
    <w:rsid w:val="00A96121"/>
    <w:rsid w:val="00A9614B"/>
    <w:rsid w:val="00A96150"/>
    <w:rsid w:val="00A96178"/>
    <w:rsid w:val="00A961F8"/>
    <w:rsid w:val="00A96226"/>
    <w:rsid w:val="00A962DF"/>
    <w:rsid w:val="00A962E9"/>
    <w:rsid w:val="00A962EA"/>
    <w:rsid w:val="00A96400"/>
    <w:rsid w:val="00A96497"/>
    <w:rsid w:val="00A96527"/>
    <w:rsid w:val="00A9661A"/>
    <w:rsid w:val="00A96661"/>
    <w:rsid w:val="00A96828"/>
    <w:rsid w:val="00A96911"/>
    <w:rsid w:val="00A96957"/>
    <w:rsid w:val="00A9699B"/>
    <w:rsid w:val="00A96A31"/>
    <w:rsid w:val="00A96A83"/>
    <w:rsid w:val="00A96A90"/>
    <w:rsid w:val="00A96B89"/>
    <w:rsid w:val="00A96BDE"/>
    <w:rsid w:val="00A96BE5"/>
    <w:rsid w:val="00A96D2D"/>
    <w:rsid w:val="00A96D7E"/>
    <w:rsid w:val="00A96D98"/>
    <w:rsid w:val="00A96DC4"/>
    <w:rsid w:val="00A96DDB"/>
    <w:rsid w:val="00A96EDE"/>
    <w:rsid w:val="00A96EEA"/>
    <w:rsid w:val="00A96F30"/>
    <w:rsid w:val="00A96F83"/>
    <w:rsid w:val="00A96FCC"/>
    <w:rsid w:val="00A97033"/>
    <w:rsid w:val="00A97084"/>
    <w:rsid w:val="00A970B2"/>
    <w:rsid w:val="00A970C3"/>
    <w:rsid w:val="00A97145"/>
    <w:rsid w:val="00A97150"/>
    <w:rsid w:val="00A971C7"/>
    <w:rsid w:val="00A97209"/>
    <w:rsid w:val="00A97218"/>
    <w:rsid w:val="00A97270"/>
    <w:rsid w:val="00A973EE"/>
    <w:rsid w:val="00A9752A"/>
    <w:rsid w:val="00A97623"/>
    <w:rsid w:val="00A97670"/>
    <w:rsid w:val="00A9769E"/>
    <w:rsid w:val="00A9773E"/>
    <w:rsid w:val="00A977E4"/>
    <w:rsid w:val="00A9781A"/>
    <w:rsid w:val="00A97858"/>
    <w:rsid w:val="00A9785B"/>
    <w:rsid w:val="00A97893"/>
    <w:rsid w:val="00A978CB"/>
    <w:rsid w:val="00A978F8"/>
    <w:rsid w:val="00A97922"/>
    <w:rsid w:val="00A97939"/>
    <w:rsid w:val="00A9795B"/>
    <w:rsid w:val="00A97A85"/>
    <w:rsid w:val="00A97BFC"/>
    <w:rsid w:val="00A97C3F"/>
    <w:rsid w:val="00A97C7F"/>
    <w:rsid w:val="00A97CA1"/>
    <w:rsid w:val="00A97D26"/>
    <w:rsid w:val="00A97D6F"/>
    <w:rsid w:val="00A97E89"/>
    <w:rsid w:val="00A97EB1"/>
    <w:rsid w:val="00A97EF8"/>
    <w:rsid w:val="00A97F23"/>
    <w:rsid w:val="00A97FB4"/>
    <w:rsid w:val="00A97FDB"/>
    <w:rsid w:val="00AA0033"/>
    <w:rsid w:val="00AA013A"/>
    <w:rsid w:val="00AA0216"/>
    <w:rsid w:val="00AA0251"/>
    <w:rsid w:val="00AA02BC"/>
    <w:rsid w:val="00AA0352"/>
    <w:rsid w:val="00AA035F"/>
    <w:rsid w:val="00AA0366"/>
    <w:rsid w:val="00AA03E3"/>
    <w:rsid w:val="00AA040B"/>
    <w:rsid w:val="00AA044A"/>
    <w:rsid w:val="00AA04B9"/>
    <w:rsid w:val="00AA0508"/>
    <w:rsid w:val="00AA0546"/>
    <w:rsid w:val="00AA0564"/>
    <w:rsid w:val="00AA05F2"/>
    <w:rsid w:val="00AA0600"/>
    <w:rsid w:val="00AA061F"/>
    <w:rsid w:val="00AA0753"/>
    <w:rsid w:val="00AA0785"/>
    <w:rsid w:val="00AA0789"/>
    <w:rsid w:val="00AA08D8"/>
    <w:rsid w:val="00AA08FF"/>
    <w:rsid w:val="00AA0986"/>
    <w:rsid w:val="00AA0A4A"/>
    <w:rsid w:val="00AA0AFA"/>
    <w:rsid w:val="00AA0B04"/>
    <w:rsid w:val="00AA0B0E"/>
    <w:rsid w:val="00AA0B63"/>
    <w:rsid w:val="00AA0B75"/>
    <w:rsid w:val="00AA0C81"/>
    <w:rsid w:val="00AA0CB9"/>
    <w:rsid w:val="00AA0D91"/>
    <w:rsid w:val="00AA0E24"/>
    <w:rsid w:val="00AA0E25"/>
    <w:rsid w:val="00AA0E34"/>
    <w:rsid w:val="00AA0EA1"/>
    <w:rsid w:val="00AA0EF4"/>
    <w:rsid w:val="00AA0EF9"/>
    <w:rsid w:val="00AA0F58"/>
    <w:rsid w:val="00AA0F69"/>
    <w:rsid w:val="00AA0F89"/>
    <w:rsid w:val="00AA1046"/>
    <w:rsid w:val="00AA1057"/>
    <w:rsid w:val="00AA107C"/>
    <w:rsid w:val="00AA1089"/>
    <w:rsid w:val="00AA109D"/>
    <w:rsid w:val="00AA11CE"/>
    <w:rsid w:val="00AA12A0"/>
    <w:rsid w:val="00AA1306"/>
    <w:rsid w:val="00AA13DC"/>
    <w:rsid w:val="00AA14D9"/>
    <w:rsid w:val="00AA154F"/>
    <w:rsid w:val="00AA163B"/>
    <w:rsid w:val="00AA1695"/>
    <w:rsid w:val="00AA16C2"/>
    <w:rsid w:val="00AA16ED"/>
    <w:rsid w:val="00AA1725"/>
    <w:rsid w:val="00AA17C1"/>
    <w:rsid w:val="00AA1859"/>
    <w:rsid w:val="00AA18A2"/>
    <w:rsid w:val="00AA19A6"/>
    <w:rsid w:val="00AA19EB"/>
    <w:rsid w:val="00AA1A06"/>
    <w:rsid w:val="00AA1A22"/>
    <w:rsid w:val="00AA1A57"/>
    <w:rsid w:val="00AA1AC9"/>
    <w:rsid w:val="00AA1CEC"/>
    <w:rsid w:val="00AA1DC8"/>
    <w:rsid w:val="00AA1ED1"/>
    <w:rsid w:val="00AA1F47"/>
    <w:rsid w:val="00AA1F74"/>
    <w:rsid w:val="00AA1FA1"/>
    <w:rsid w:val="00AA1FB1"/>
    <w:rsid w:val="00AA2042"/>
    <w:rsid w:val="00AA20F7"/>
    <w:rsid w:val="00AA2138"/>
    <w:rsid w:val="00AA22F1"/>
    <w:rsid w:val="00AA2409"/>
    <w:rsid w:val="00AA2543"/>
    <w:rsid w:val="00AA2587"/>
    <w:rsid w:val="00AA25C2"/>
    <w:rsid w:val="00AA25F0"/>
    <w:rsid w:val="00AA26BA"/>
    <w:rsid w:val="00AA26D8"/>
    <w:rsid w:val="00AA2716"/>
    <w:rsid w:val="00AA2854"/>
    <w:rsid w:val="00AA2897"/>
    <w:rsid w:val="00AA28F3"/>
    <w:rsid w:val="00AA29FA"/>
    <w:rsid w:val="00AA29FC"/>
    <w:rsid w:val="00AA2A11"/>
    <w:rsid w:val="00AA2A7A"/>
    <w:rsid w:val="00AA2AD0"/>
    <w:rsid w:val="00AA2B2E"/>
    <w:rsid w:val="00AA2B3A"/>
    <w:rsid w:val="00AA2BB2"/>
    <w:rsid w:val="00AA2BE8"/>
    <w:rsid w:val="00AA2CDF"/>
    <w:rsid w:val="00AA2D51"/>
    <w:rsid w:val="00AA2D95"/>
    <w:rsid w:val="00AA2DB5"/>
    <w:rsid w:val="00AA2EB5"/>
    <w:rsid w:val="00AA2EEE"/>
    <w:rsid w:val="00AA2F49"/>
    <w:rsid w:val="00AA2F64"/>
    <w:rsid w:val="00AA3145"/>
    <w:rsid w:val="00AA3151"/>
    <w:rsid w:val="00AA3188"/>
    <w:rsid w:val="00AA3220"/>
    <w:rsid w:val="00AA3230"/>
    <w:rsid w:val="00AA3310"/>
    <w:rsid w:val="00AA3311"/>
    <w:rsid w:val="00AA333B"/>
    <w:rsid w:val="00AA3395"/>
    <w:rsid w:val="00AA33AB"/>
    <w:rsid w:val="00AA33BD"/>
    <w:rsid w:val="00AA33DE"/>
    <w:rsid w:val="00AA341F"/>
    <w:rsid w:val="00AA3487"/>
    <w:rsid w:val="00AA34B5"/>
    <w:rsid w:val="00AA34C0"/>
    <w:rsid w:val="00AA34C3"/>
    <w:rsid w:val="00AA34F4"/>
    <w:rsid w:val="00AA3507"/>
    <w:rsid w:val="00AA3511"/>
    <w:rsid w:val="00AA3571"/>
    <w:rsid w:val="00AA3592"/>
    <w:rsid w:val="00AA35AE"/>
    <w:rsid w:val="00AA35B6"/>
    <w:rsid w:val="00AA3618"/>
    <w:rsid w:val="00AA36B2"/>
    <w:rsid w:val="00AA37E8"/>
    <w:rsid w:val="00AA382F"/>
    <w:rsid w:val="00AA38A0"/>
    <w:rsid w:val="00AA38F0"/>
    <w:rsid w:val="00AA3A0A"/>
    <w:rsid w:val="00AA3BB1"/>
    <w:rsid w:val="00AA3C42"/>
    <w:rsid w:val="00AA3CD7"/>
    <w:rsid w:val="00AA3D33"/>
    <w:rsid w:val="00AA3F4C"/>
    <w:rsid w:val="00AA3FC2"/>
    <w:rsid w:val="00AA40C9"/>
    <w:rsid w:val="00AA4249"/>
    <w:rsid w:val="00AA4328"/>
    <w:rsid w:val="00AA434C"/>
    <w:rsid w:val="00AA4385"/>
    <w:rsid w:val="00AA439A"/>
    <w:rsid w:val="00AA43C5"/>
    <w:rsid w:val="00AA440F"/>
    <w:rsid w:val="00AA4433"/>
    <w:rsid w:val="00AA463F"/>
    <w:rsid w:val="00AA4660"/>
    <w:rsid w:val="00AA4672"/>
    <w:rsid w:val="00AA4678"/>
    <w:rsid w:val="00AA46DA"/>
    <w:rsid w:val="00AA47A7"/>
    <w:rsid w:val="00AA47DB"/>
    <w:rsid w:val="00AA47FC"/>
    <w:rsid w:val="00AA47FE"/>
    <w:rsid w:val="00AA482E"/>
    <w:rsid w:val="00AA48A2"/>
    <w:rsid w:val="00AA48BD"/>
    <w:rsid w:val="00AA48DB"/>
    <w:rsid w:val="00AA48F0"/>
    <w:rsid w:val="00AA4950"/>
    <w:rsid w:val="00AA4956"/>
    <w:rsid w:val="00AA49B0"/>
    <w:rsid w:val="00AA49F6"/>
    <w:rsid w:val="00AA4A3E"/>
    <w:rsid w:val="00AA4A4F"/>
    <w:rsid w:val="00AA4A9A"/>
    <w:rsid w:val="00AA4B09"/>
    <w:rsid w:val="00AA4B6D"/>
    <w:rsid w:val="00AA4D73"/>
    <w:rsid w:val="00AA4D80"/>
    <w:rsid w:val="00AA4F1D"/>
    <w:rsid w:val="00AA5026"/>
    <w:rsid w:val="00AA507A"/>
    <w:rsid w:val="00AA50AE"/>
    <w:rsid w:val="00AA5226"/>
    <w:rsid w:val="00AA5236"/>
    <w:rsid w:val="00AA5280"/>
    <w:rsid w:val="00AA5290"/>
    <w:rsid w:val="00AA5292"/>
    <w:rsid w:val="00AA52BE"/>
    <w:rsid w:val="00AA52C8"/>
    <w:rsid w:val="00AA53F8"/>
    <w:rsid w:val="00AA5400"/>
    <w:rsid w:val="00AA5439"/>
    <w:rsid w:val="00AA548D"/>
    <w:rsid w:val="00AA54B1"/>
    <w:rsid w:val="00AA54B3"/>
    <w:rsid w:val="00AA5545"/>
    <w:rsid w:val="00AA5565"/>
    <w:rsid w:val="00AA5590"/>
    <w:rsid w:val="00AA56A8"/>
    <w:rsid w:val="00AA57B5"/>
    <w:rsid w:val="00AA5803"/>
    <w:rsid w:val="00AA5850"/>
    <w:rsid w:val="00AA586E"/>
    <w:rsid w:val="00AA5880"/>
    <w:rsid w:val="00AA588D"/>
    <w:rsid w:val="00AA593E"/>
    <w:rsid w:val="00AA5967"/>
    <w:rsid w:val="00AA59BB"/>
    <w:rsid w:val="00AA59CB"/>
    <w:rsid w:val="00AA59D0"/>
    <w:rsid w:val="00AA5A2A"/>
    <w:rsid w:val="00AA5B6C"/>
    <w:rsid w:val="00AA5BB0"/>
    <w:rsid w:val="00AA5BB5"/>
    <w:rsid w:val="00AA5BDF"/>
    <w:rsid w:val="00AA5D46"/>
    <w:rsid w:val="00AA5DB9"/>
    <w:rsid w:val="00AA5E00"/>
    <w:rsid w:val="00AA5EFC"/>
    <w:rsid w:val="00AA5F50"/>
    <w:rsid w:val="00AA6037"/>
    <w:rsid w:val="00AA60DE"/>
    <w:rsid w:val="00AA60F6"/>
    <w:rsid w:val="00AA6106"/>
    <w:rsid w:val="00AA6122"/>
    <w:rsid w:val="00AA6145"/>
    <w:rsid w:val="00AA62CC"/>
    <w:rsid w:val="00AA6351"/>
    <w:rsid w:val="00AA635C"/>
    <w:rsid w:val="00AA6394"/>
    <w:rsid w:val="00AA63EC"/>
    <w:rsid w:val="00AA6417"/>
    <w:rsid w:val="00AA646E"/>
    <w:rsid w:val="00AA64D4"/>
    <w:rsid w:val="00AA657B"/>
    <w:rsid w:val="00AA6604"/>
    <w:rsid w:val="00AA6653"/>
    <w:rsid w:val="00AA6666"/>
    <w:rsid w:val="00AA66FB"/>
    <w:rsid w:val="00AA6739"/>
    <w:rsid w:val="00AA6874"/>
    <w:rsid w:val="00AA687E"/>
    <w:rsid w:val="00AA6896"/>
    <w:rsid w:val="00AA697C"/>
    <w:rsid w:val="00AA6994"/>
    <w:rsid w:val="00AA69B9"/>
    <w:rsid w:val="00AA6A0A"/>
    <w:rsid w:val="00AA6BB3"/>
    <w:rsid w:val="00AA6BB9"/>
    <w:rsid w:val="00AA6BC7"/>
    <w:rsid w:val="00AA6C9B"/>
    <w:rsid w:val="00AA6EB3"/>
    <w:rsid w:val="00AA6F41"/>
    <w:rsid w:val="00AA6F5F"/>
    <w:rsid w:val="00AA70C1"/>
    <w:rsid w:val="00AA7142"/>
    <w:rsid w:val="00AA719F"/>
    <w:rsid w:val="00AA71D0"/>
    <w:rsid w:val="00AA724E"/>
    <w:rsid w:val="00AA7322"/>
    <w:rsid w:val="00AA738F"/>
    <w:rsid w:val="00AA7421"/>
    <w:rsid w:val="00AA7589"/>
    <w:rsid w:val="00AA75E9"/>
    <w:rsid w:val="00AA7600"/>
    <w:rsid w:val="00AA764C"/>
    <w:rsid w:val="00AA7659"/>
    <w:rsid w:val="00AA765C"/>
    <w:rsid w:val="00AA76A0"/>
    <w:rsid w:val="00AA770B"/>
    <w:rsid w:val="00AA773D"/>
    <w:rsid w:val="00AA78A0"/>
    <w:rsid w:val="00AA78E3"/>
    <w:rsid w:val="00AA78FF"/>
    <w:rsid w:val="00AA7900"/>
    <w:rsid w:val="00AA79B0"/>
    <w:rsid w:val="00AA7B37"/>
    <w:rsid w:val="00AA7B48"/>
    <w:rsid w:val="00AA7B75"/>
    <w:rsid w:val="00AA7B89"/>
    <w:rsid w:val="00AA7BE0"/>
    <w:rsid w:val="00AA7BF3"/>
    <w:rsid w:val="00AA7BF4"/>
    <w:rsid w:val="00AA7C41"/>
    <w:rsid w:val="00AA7C9D"/>
    <w:rsid w:val="00AA7D4B"/>
    <w:rsid w:val="00AA7D86"/>
    <w:rsid w:val="00AA7DA0"/>
    <w:rsid w:val="00AA7DC7"/>
    <w:rsid w:val="00AA7DE3"/>
    <w:rsid w:val="00AA7DF3"/>
    <w:rsid w:val="00AA7E06"/>
    <w:rsid w:val="00AA7E3C"/>
    <w:rsid w:val="00AA7E87"/>
    <w:rsid w:val="00AA7EBC"/>
    <w:rsid w:val="00AA7EEA"/>
    <w:rsid w:val="00AA7F05"/>
    <w:rsid w:val="00AA7F7A"/>
    <w:rsid w:val="00AB005C"/>
    <w:rsid w:val="00AB0100"/>
    <w:rsid w:val="00AB0187"/>
    <w:rsid w:val="00AB0215"/>
    <w:rsid w:val="00AB0222"/>
    <w:rsid w:val="00AB02C5"/>
    <w:rsid w:val="00AB02D6"/>
    <w:rsid w:val="00AB0340"/>
    <w:rsid w:val="00AB037D"/>
    <w:rsid w:val="00AB04C6"/>
    <w:rsid w:val="00AB04DD"/>
    <w:rsid w:val="00AB0504"/>
    <w:rsid w:val="00AB050F"/>
    <w:rsid w:val="00AB05AF"/>
    <w:rsid w:val="00AB0697"/>
    <w:rsid w:val="00AB06A0"/>
    <w:rsid w:val="00AB079C"/>
    <w:rsid w:val="00AB0820"/>
    <w:rsid w:val="00AB0882"/>
    <w:rsid w:val="00AB0928"/>
    <w:rsid w:val="00AB0936"/>
    <w:rsid w:val="00AB0938"/>
    <w:rsid w:val="00AB0976"/>
    <w:rsid w:val="00AB09A8"/>
    <w:rsid w:val="00AB0AB7"/>
    <w:rsid w:val="00AB0C5D"/>
    <w:rsid w:val="00AB0CF3"/>
    <w:rsid w:val="00AB0D7C"/>
    <w:rsid w:val="00AB0E0C"/>
    <w:rsid w:val="00AB0E4E"/>
    <w:rsid w:val="00AB0F39"/>
    <w:rsid w:val="00AB0FCD"/>
    <w:rsid w:val="00AB1037"/>
    <w:rsid w:val="00AB10D8"/>
    <w:rsid w:val="00AB10DF"/>
    <w:rsid w:val="00AB114E"/>
    <w:rsid w:val="00AB11D7"/>
    <w:rsid w:val="00AB1277"/>
    <w:rsid w:val="00AB1332"/>
    <w:rsid w:val="00AB13D7"/>
    <w:rsid w:val="00AB1436"/>
    <w:rsid w:val="00AB1467"/>
    <w:rsid w:val="00AB1486"/>
    <w:rsid w:val="00AB1501"/>
    <w:rsid w:val="00AB157A"/>
    <w:rsid w:val="00AB1596"/>
    <w:rsid w:val="00AB1605"/>
    <w:rsid w:val="00AB1704"/>
    <w:rsid w:val="00AB174B"/>
    <w:rsid w:val="00AB17BA"/>
    <w:rsid w:val="00AB1896"/>
    <w:rsid w:val="00AB19DA"/>
    <w:rsid w:val="00AB19E7"/>
    <w:rsid w:val="00AB1A2D"/>
    <w:rsid w:val="00AB1AB5"/>
    <w:rsid w:val="00AB1B53"/>
    <w:rsid w:val="00AB1B9F"/>
    <w:rsid w:val="00AB1C52"/>
    <w:rsid w:val="00AB1DB4"/>
    <w:rsid w:val="00AB1E6C"/>
    <w:rsid w:val="00AB1E92"/>
    <w:rsid w:val="00AB1F44"/>
    <w:rsid w:val="00AB2114"/>
    <w:rsid w:val="00AB2189"/>
    <w:rsid w:val="00AB2201"/>
    <w:rsid w:val="00AB221D"/>
    <w:rsid w:val="00AB2228"/>
    <w:rsid w:val="00AB2289"/>
    <w:rsid w:val="00AB22A0"/>
    <w:rsid w:val="00AB22D7"/>
    <w:rsid w:val="00AB230C"/>
    <w:rsid w:val="00AB236D"/>
    <w:rsid w:val="00AB2463"/>
    <w:rsid w:val="00AB24F9"/>
    <w:rsid w:val="00AB250B"/>
    <w:rsid w:val="00AB2531"/>
    <w:rsid w:val="00AB25C0"/>
    <w:rsid w:val="00AB260A"/>
    <w:rsid w:val="00AB260C"/>
    <w:rsid w:val="00AB26D9"/>
    <w:rsid w:val="00AB26E9"/>
    <w:rsid w:val="00AB2807"/>
    <w:rsid w:val="00AB28C2"/>
    <w:rsid w:val="00AB29C5"/>
    <w:rsid w:val="00AB29D0"/>
    <w:rsid w:val="00AB2ABB"/>
    <w:rsid w:val="00AB2B56"/>
    <w:rsid w:val="00AB2B5A"/>
    <w:rsid w:val="00AB2B8E"/>
    <w:rsid w:val="00AB2BC4"/>
    <w:rsid w:val="00AB2C09"/>
    <w:rsid w:val="00AB2CA5"/>
    <w:rsid w:val="00AB2CCF"/>
    <w:rsid w:val="00AB2CD7"/>
    <w:rsid w:val="00AB2DCC"/>
    <w:rsid w:val="00AB2E29"/>
    <w:rsid w:val="00AB2EA3"/>
    <w:rsid w:val="00AB2F05"/>
    <w:rsid w:val="00AB304D"/>
    <w:rsid w:val="00AB306D"/>
    <w:rsid w:val="00AB3094"/>
    <w:rsid w:val="00AB30D3"/>
    <w:rsid w:val="00AB3119"/>
    <w:rsid w:val="00AB3271"/>
    <w:rsid w:val="00AB32A6"/>
    <w:rsid w:val="00AB32B8"/>
    <w:rsid w:val="00AB338F"/>
    <w:rsid w:val="00AB3405"/>
    <w:rsid w:val="00AB348E"/>
    <w:rsid w:val="00AB351C"/>
    <w:rsid w:val="00AB3545"/>
    <w:rsid w:val="00AB357D"/>
    <w:rsid w:val="00AB358F"/>
    <w:rsid w:val="00AB35C1"/>
    <w:rsid w:val="00AB360F"/>
    <w:rsid w:val="00AB363E"/>
    <w:rsid w:val="00AB3674"/>
    <w:rsid w:val="00AB3684"/>
    <w:rsid w:val="00AB3695"/>
    <w:rsid w:val="00AB3722"/>
    <w:rsid w:val="00AB3756"/>
    <w:rsid w:val="00AB3793"/>
    <w:rsid w:val="00AB37A5"/>
    <w:rsid w:val="00AB3816"/>
    <w:rsid w:val="00AB3820"/>
    <w:rsid w:val="00AB3846"/>
    <w:rsid w:val="00AB3850"/>
    <w:rsid w:val="00AB3891"/>
    <w:rsid w:val="00AB38B7"/>
    <w:rsid w:val="00AB3A08"/>
    <w:rsid w:val="00AB3AAD"/>
    <w:rsid w:val="00AB3AB9"/>
    <w:rsid w:val="00AB3C40"/>
    <w:rsid w:val="00AB3D00"/>
    <w:rsid w:val="00AB3DF6"/>
    <w:rsid w:val="00AB3FA7"/>
    <w:rsid w:val="00AB4054"/>
    <w:rsid w:val="00AB40D7"/>
    <w:rsid w:val="00AB41B7"/>
    <w:rsid w:val="00AB41C6"/>
    <w:rsid w:val="00AB43EC"/>
    <w:rsid w:val="00AB4475"/>
    <w:rsid w:val="00AB44B0"/>
    <w:rsid w:val="00AB4577"/>
    <w:rsid w:val="00AB46F5"/>
    <w:rsid w:val="00AB473E"/>
    <w:rsid w:val="00AB47FF"/>
    <w:rsid w:val="00AB4853"/>
    <w:rsid w:val="00AB485D"/>
    <w:rsid w:val="00AB48E8"/>
    <w:rsid w:val="00AB493A"/>
    <w:rsid w:val="00AB4B58"/>
    <w:rsid w:val="00AB4B86"/>
    <w:rsid w:val="00AB4C92"/>
    <w:rsid w:val="00AB4D26"/>
    <w:rsid w:val="00AB4D48"/>
    <w:rsid w:val="00AB4E41"/>
    <w:rsid w:val="00AB4F13"/>
    <w:rsid w:val="00AB4FEC"/>
    <w:rsid w:val="00AB5013"/>
    <w:rsid w:val="00AB509D"/>
    <w:rsid w:val="00AB5150"/>
    <w:rsid w:val="00AB51FA"/>
    <w:rsid w:val="00AB51FB"/>
    <w:rsid w:val="00AB52BF"/>
    <w:rsid w:val="00AB5343"/>
    <w:rsid w:val="00AB5393"/>
    <w:rsid w:val="00AB54DC"/>
    <w:rsid w:val="00AB5573"/>
    <w:rsid w:val="00AB561C"/>
    <w:rsid w:val="00AB5626"/>
    <w:rsid w:val="00AB56CB"/>
    <w:rsid w:val="00AB5735"/>
    <w:rsid w:val="00AB57C6"/>
    <w:rsid w:val="00AB57EA"/>
    <w:rsid w:val="00AB57F2"/>
    <w:rsid w:val="00AB584A"/>
    <w:rsid w:val="00AB585A"/>
    <w:rsid w:val="00AB5873"/>
    <w:rsid w:val="00AB58BE"/>
    <w:rsid w:val="00AB58E8"/>
    <w:rsid w:val="00AB5965"/>
    <w:rsid w:val="00AB596D"/>
    <w:rsid w:val="00AB5ABD"/>
    <w:rsid w:val="00AB5BA8"/>
    <w:rsid w:val="00AB5D31"/>
    <w:rsid w:val="00AB5D78"/>
    <w:rsid w:val="00AB5E29"/>
    <w:rsid w:val="00AB5E58"/>
    <w:rsid w:val="00AB5E7E"/>
    <w:rsid w:val="00AB5EA8"/>
    <w:rsid w:val="00AB5EAA"/>
    <w:rsid w:val="00AB5EC2"/>
    <w:rsid w:val="00AB5EF4"/>
    <w:rsid w:val="00AB5FCA"/>
    <w:rsid w:val="00AB6148"/>
    <w:rsid w:val="00AB61E6"/>
    <w:rsid w:val="00AB6280"/>
    <w:rsid w:val="00AB62D8"/>
    <w:rsid w:val="00AB633F"/>
    <w:rsid w:val="00AB64DC"/>
    <w:rsid w:val="00AB6518"/>
    <w:rsid w:val="00AB65DC"/>
    <w:rsid w:val="00AB668F"/>
    <w:rsid w:val="00AB6697"/>
    <w:rsid w:val="00AB66E3"/>
    <w:rsid w:val="00AB67CC"/>
    <w:rsid w:val="00AB67E9"/>
    <w:rsid w:val="00AB67FE"/>
    <w:rsid w:val="00AB683A"/>
    <w:rsid w:val="00AB6842"/>
    <w:rsid w:val="00AB684D"/>
    <w:rsid w:val="00AB6879"/>
    <w:rsid w:val="00AB6884"/>
    <w:rsid w:val="00AB68C5"/>
    <w:rsid w:val="00AB6905"/>
    <w:rsid w:val="00AB6943"/>
    <w:rsid w:val="00AB694B"/>
    <w:rsid w:val="00AB69F1"/>
    <w:rsid w:val="00AB6A42"/>
    <w:rsid w:val="00AB6A97"/>
    <w:rsid w:val="00AB6B3F"/>
    <w:rsid w:val="00AB6B83"/>
    <w:rsid w:val="00AB6B8F"/>
    <w:rsid w:val="00AB6B9D"/>
    <w:rsid w:val="00AB6C71"/>
    <w:rsid w:val="00AB6D5D"/>
    <w:rsid w:val="00AB6D78"/>
    <w:rsid w:val="00AB6E18"/>
    <w:rsid w:val="00AB6E4D"/>
    <w:rsid w:val="00AB6E7D"/>
    <w:rsid w:val="00AB6EC4"/>
    <w:rsid w:val="00AB70CA"/>
    <w:rsid w:val="00AB7246"/>
    <w:rsid w:val="00AB72B8"/>
    <w:rsid w:val="00AB72E0"/>
    <w:rsid w:val="00AB72E5"/>
    <w:rsid w:val="00AB72E6"/>
    <w:rsid w:val="00AB75B3"/>
    <w:rsid w:val="00AB760D"/>
    <w:rsid w:val="00AB77EB"/>
    <w:rsid w:val="00AB782F"/>
    <w:rsid w:val="00AB7849"/>
    <w:rsid w:val="00AB786C"/>
    <w:rsid w:val="00AB78B6"/>
    <w:rsid w:val="00AB7A33"/>
    <w:rsid w:val="00AB7B75"/>
    <w:rsid w:val="00AB7BDB"/>
    <w:rsid w:val="00AB7C62"/>
    <w:rsid w:val="00AB7C74"/>
    <w:rsid w:val="00AB7D23"/>
    <w:rsid w:val="00AB7D36"/>
    <w:rsid w:val="00AB7D5B"/>
    <w:rsid w:val="00AB7D7D"/>
    <w:rsid w:val="00AB7DFA"/>
    <w:rsid w:val="00AB7E0C"/>
    <w:rsid w:val="00AB7E4C"/>
    <w:rsid w:val="00AB7E7F"/>
    <w:rsid w:val="00AB7ECD"/>
    <w:rsid w:val="00AB7EE2"/>
    <w:rsid w:val="00AB7EEE"/>
    <w:rsid w:val="00AB7EFC"/>
    <w:rsid w:val="00AC016D"/>
    <w:rsid w:val="00AC01E9"/>
    <w:rsid w:val="00AC01FD"/>
    <w:rsid w:val="00AC02E7"/>
    <w:rsid w:val="00AC03A8"/>
    <w:rsid w:val="00AC03DD"/>
    <w:rsid w:val="00AC0407"/>
    <w:rsid w:val="00AC040E"/>
    <w:rsid w:val="00AC041D"/>
    <w:rsid w:val="00AC0441"/>
    <w:rsid w:val="00AC04AE"/>
    <w:rsid w:val="00AC0570"/>
    <w:rsid w:val="00AC05ED"/>
    <w:rsid w:val="00AC06A2"/>
    <w:rsid w:val="00AC0821"/>
    <w:rsid w:val="00AC091D"/>
    <w:rsid w:val="00AC093C"/>
    <w:rsid w:val="00AC0984"/>
    <w:rsid w:val="00AC099E"/>
    <w:rsid w:val="00AC0A51"/>
    <w:rsid w:val="00AC0AB4"/>
    <w:rsid w:val="00AC0B16"/>
    <w:rsid w:val="00AC0B5F"/>
    <w:rsid w:val="00AC0BF5"/>
    <w:rsid w:val="00AC0D6B"/>
    <w:rsid w:val="00AC0E3F"/>
    <w:rsid w:val="00AC0E6C"/>
    <w:rsid w:val="00AC0F4B"/>
    <w:rsid w:val="00AC0F9D"/>
    <w:rsid w:val="00AC10DC"/>
    <w:rsid w:val="00AC1245"/>
    <w:rsid w:val="00AC1323"/>
    <w:rsid w:val="00AC138B"/>
    <w:rsid w:val="00AC13C8"/>
    <w:rsid w:val="00AC1445"/>
    <w:rsid w:val="00AC1465"/>
    <w:rsid w:val="00AC1536"/>
    <w:rsid w:val="00AC15F2"/>
    <w:rsid w:val="00AC161C"/>
    <w:rsid w:val="00AC1732"/>
    <w:rsid w:val="00AC1780"/>
    <w:rsid w:val="00AC181C"/>
    <w:rsid w:val="00AC1827"/>
    <w:rsid w:val="00AC189D"/>
    <w:rsid w:val="00AC1969"/>
    <w:rsid w:val="00AC19BB"/>
    <w:rsid w:val="00AC1A2B"/>
    <w:rsid w:val="00AC1A2D"/>
    <w:rsid w:val="00AC1AFA"/>
    <w:rsid w:val="00AC1BF9"/>
    <w:rsid w:val="00AC1C98"/>
    <w:rsid w:val="00AC1C9E"/>
    <w:rsid w:val="00AC1D4C"/>
    <w:rsid w:val="00AC1D74"/>
    <w:rsid w:val="00AC1DBD"/>
    <w:rsid w:val="00AC1DC1"/>
    <w:rsid w:val="00AC1DF2"/>
    <w:rsid w:val="00AC2021"/>
    <w:rsid w:val="00AC20EA"/>
    <w:rsid w:val="00AC2118"/>
    <w:rsid w:val="00AC2164"/>
    <w:rsid w:val="00AC2185"/>
    <w:rsid w:val="00AC2192"/>
    <w:rsid w:val="00AC21FA"/>
    <w:rsid w:val="00AC2228"/>
    <w:rsid w:val="00AC2250"/>
    <w:rsid w:val="00AC2252"/>
    <w:rsid w:val="00AC233C"/>
    <w:rsid w:val="00AC2340"/>
    <w:rsid w:val="00AC23F7"/>
    <w:rsid w:val="00AC23F8"/>
    <w:rsid w:val="00AC2402"/>
    <w:rsid w:val="00AC245E"/>
    <w:rsid w:val="00AC2550"/>
    <w:rsid w:val="00AC25BD"/>
    <w:rsid w:val="00AC27B3"/>
    <w:rsid w:val="00AC2800"/>
    <w:rsid w:val="00AC2804"/>
    <w:rsid w:val="00AC292E"/>
    <w:rsid w:val="00AC2A11"/>
    <w:rsid w:val="00AC2AF1"/>
    <w:rsid w:val="00AC2AF6"/>
    <w:rsid w:val="00AC2C25"/>
    <w:rsid w:val="00AC2C37"/>
    <w:rsid w:val="00AC2C43"/>
    <w:rsid w:val="00AC2D3C"/>
    <w:rsid w:val="00AC2D43"/>
    <w:rsid w:val="00AC2E2E"/>
    <w:rsid w:val="00AC2E3B"/>
    <w:rsid w:val="00AC2E7C"/>
    <w:rsid w:val="00AC2FF2"/>
    <w:rsid w:val="00AC301E"/>
    <w:rsid w:val="00AC31D6"/>
    <w:rsid w:val="00AC3259"/>
    <w:rsid w:val="00AC3280"/>
    <w:rsid w:val="00AC3323"/>
    <w:rsid w:val="00AC3381"/>
    <w:rsid w:val="00AC33C5"/>
    <w:rsid w:val="00AC342E"/>
    <w:rsid w:val="00AC369E"/>
    <w:rsid w:val="00AC371A"/>
    <w:rsid w:val="00AC3772"/>
    <w:rsid w:val="00AC3779"/>
    <w:rsid w:val="00AC37AB"/>
    <w:rsid w:val="00AC3854"/>
    <w:rsid w:val="00AC3A2D"/>
    <w:rsid w:val="00AC3A3D"/>
    <w:rsid w:val="00AC3AC7"/>
    <w:rsid w:val="00AC3B23"/>
    <w:rsid w:val="00AC3BC2"/>
    <w:rsid w:val="00AC3C33"/>
    <w:rsid w:val="00AC3CE1"/>
    <w:rsid w:val="00AC3CE9"/>
    <w:rsid w:val="00AC3D0C"/>
    <w:rsid w:val="00AC3E52"/>
    <w:rsid w:val="00AC3E5E"/>
    <w:rsid w:val="00AC3E6E"/>
    <w:rsid w:val="00AC3E92"/>
    <w:rsid w:val="00AC3EC9"/>
    <w:rsid w:val="00AC3EF7"/>
    <w:rsid w:val="00AC3F05"/>
    <w:rsid w:val="00AC4095"/>
    <w:rsid w:val="00AC40C0"/>
    <w:rsid w:val="00AC40CC"/>
    <w:rsid w:val="00AC40D7"/>
    <w:rsid w:val="00AC4166"/>
    <w:rsid w:val="00AC4177"/>
    <w:rsid w:val="00AC417A"/>
    <w:rsid w:val="00AC41E6"/>
    <w:rsid w:val="00AC42DD"/>
    <w:rsid w:val="00AC436B"/>
    <w:rsid w:val="00AC4391"/>
    <w:rsid w:val="00AC440A"/>
    <w:rsid w:val="00AC4580"/>
    <w:rsid w:val="00AC4609"/>
    <w:rsid w:val="00AC4617"/>
    <w:rsid w:val="00AC46F7"/>
    <w:rsid w:val="00AC46FA"/>
    <w:rsid w:val="00AC47AA"/>
    <w:rsid w:val="00AC489F"/>
    <w:rsid w:val="00AC491B"/>
    <w:rsid w:val="00AC4969"/>
    <w:rsid w:val="00AC4B70"/>
    <w:rsid w:val="00AC4B96"/>
    <w:rsid w:val="00AC4D45"/>
    <w:rsid w:val="00AC4D5B"/>
    <w:rsid w:val="00AC4E18"/>
    <w:rsid w:val="00AC5161"/>
    <w:rsid w:val="00AC518C"/>
    <w:rsid w:val="00AC5203"/>
    <w:rsid w:val="00AC5206"/>
    <w:rsid w:val="00AC5252"/>
    <w:rsid w:val="00AC52B6"/>
    <w:rsid w:val="00AC52C8"/>
    <w:rsid w:val="00AC52F5"/>
    <w:rsid w:val="00AC534A"/>
    <w:rsid w:val="00AC538A"/>
    <w:rsid w:val="00AC540B"/>
    <w:rsid w:val="00AC5412"/>
    <w:rsid w:val="00AC5468"/>
    <w:rsid w:val="00AC5484"/>
    <w:rsid w:val="00AC54EB"/>
    <w:rsid w:val="00AC54F1"/>
    <w:rsid w:val="00AC5534"/>
    <w:rsid w:val="00AC55A7"/>
    <w:rsid w:val="00AC55AA"/>
    <w:rsid w:val="00AC55ED"/>
    <w:rsid w:val="00AC56E4"/>
    <w:rsid w:val="00AC56E9"/>
    <w:rsid w:val="00AC5711"/>
    <w:rsid w:val="00AC575D"/>
    <w:rsid w:val="00AC57A8"/>
    <w:rsid w:val="00AC57C8"/>
    <w:rsid w:val="00AC57D3"/>
    <w:rsid w:val="00AC57DB"/>
    <w:rsid w:val="00AC5871"/>
    <w:rsid w:val="00AC5A2D"/>
    <w:rsid w:val="00AC5A3B"/>
    <w:rsid w:val="00AC5A79"/>
    <w:rsid w:val="00AC5AE1"/>
    <w:rsid w:val="00AC5AEB"/>
    <w:rsid w:val="00AC5AF1"/>
    <w:rsid w:val="00AC5B74"/>
    <w:rsid w:val="00AC5B7D"/>
    <w:rsid w:val="00AC5B8E"/>
    <w:rsid w:val="00AC5BCC"/>
    <w:rsid w:val="00AC5BE4"/>
    <w:rsid w:val="00AC5C0E"/>
    <w:rsid w:val="00AC5C2C"/>
    <w:rsid w:val="00AC5C3D"/>
    <w:rsid w:val="00AC5C56"/>
    <w:rsid w:val="00AC5D1E"/>
    <w:rsid w:val="00AC5E0F"/>
    <w:rsid w:val="00AC5F3A"/>
    <w:rsid w:val="00AC5F66"/>
    <w:rsid w:val="00AC611B"/>
    <w:rsid w:val="00AC615D"/>
    <w:rsid w:val="00AC6219"/>
    <w:rsid w:val="00AC6276"/>
    <w:rsid w:val="00AC62D9"/>
    <w:rsid w:val="00AC634F"/>
    <w:rsid w:val="00AC6374"/>
    <w:rsid w:val="00AC6436"/>
    <w:rsid w:val="00AC64C9"/>
    <w:rsid w:val="00AC65BC"/>
    <w:rsid w:val="00AC65C3"/>
    <w:rsid w:val="00AC662D"/>
    <w:rsid w:val="00AC66F0"/>
    <w:rsid w:val="00AC6771"/>
    <w:rsid w:val="00AC67CB"/>
    <w:rsid w:val="00AC6813"/>
    <w:rsid w:val="00AC681B"/>
    <w:rsid w:val="00AC6839"/>
    <w:rsid w:val="00AC68EE"/>
    <w:rsid w:val="00AC696C"/>
    <w:rsid w:val="00AC69C6"/>
    <w:rsid w:val="00AC6A5B"/>
    <w:rsid w:val="00AC6B0B"/>
    <w:rsid w:val="00AC6B0D"/>
    <w:rsid w:val="00AC6B7E"/>
    <w:rsid w:val="00AC6B87"/>
    <w:rsid w:val="00AC6C65"/>
    <w:rsid w:val="00AC6C85"/>
    <w:rsid w:val="00AC6C9E"/>
    <w:rsid w:val="00AC6CE7"/>
    <w:rsid w:val="00AC6D9A"/>
    <w:rsid w:val="00AC6DB0"/>
    <w:rsid w:val="00AC6E78"/>
    <w:rsid w:val="00AC6EA0"/>
    <w:rsid w:val="00AC6EA3"/>
    <w:rsid w:val="00AC6EC7"/>
    <w:rsid w:val="00AC6F2E"/>
    <w:rsid w:val="00AC70C3"/>
    <w:rsid w:val="00AC7102"/>
    <w:rsid w:val="00AC7104"/>
    <w:rsid w:val="00AC71BB"/>
    <w:rsid w:val="00AC71FD"/>
    <w:rsid w:val="00AC727A"/>
    <w:rsid w:val="00AC727F"/>
    <w:rsid w:val="00AC729B"/>
    <w:rsid w:val="00AC7379"/>
    <w:rsid w:val="00AC73E5"/>
    <w:rsid w:val="00AC7443"/>
    <w:rsid w:val="00AC74F5"/>
    <w:rsid w:val="00AC757B"/>
    <w:rsid w:val="00AC76E3"/>
    <w:rsid w:val="00AC77F3"/>
    <w:rsid w:val="00AC7888"/>
    <w:rsid w:val="00AC7911"/>
    <w:rsid w:val="00AC7919"/>
    <w:rsid w:val="00AC797A"/>
    <w:rsid w:val="00AC79AB"/>
    <w:rsid w:val="00AC7A97"/>
    <w:rsid w:val="00AC7AD4"/>
    <w:rsid w:val="00AC7B31"/>
    <w:rsid w:val="00AC7BDF"/>
    <w:rsid w:val="00AC7D56"/>
    <w:rsid w:val="00AC7E0D"/>
    <w:rsid w:val="00AC7F29"/>
    <w:rsid w:val="00AC7FC6"/>
    <w:rsid w:val="00AD0044"/>
    <w:rsid w:val="00AD0183"/>
    <w:rsid w:val="00AD01E3"/>
    <w:rsid w:val="00AD01F5"/>
    <w:rsid w:val="00AD0270"/>
    <w:rsid w:val="00AD0282"/>
    <w:rsid w:val="00AD02AE"/>
    <w:rsid w:val="00AD0388"/>
    <w:rsid w:val="00AD0458"/>
    <w:rsid w:val="00AD0461"/>
    <w:rsid w:val="00AD05E0"/>
    <w:rsid w:val="00AD05EA"/>
    <w:rsid w:val="00AD061F"/>
    <w:rsid w:val="00AD0685"/>
    <w:rsid w:val="00AD071A"/>
    <w:rsid w:val="00AD07C6"/>
    <w:rsid w:val="00AD07FB"/>
    <w:rsid w:val="00AD083D"/>
    <w:rsid w:val="00AD0898"/>
    <w:rsid w:val="00AD094C"/>
    <w:rsid w:val="00AD0961"/>
    <w:rsid w:val="00AD0984"/>
    <w:rsid w:val="00AD09F5"/>
    <w:rsid w:val="00AD0A79"/>
    <w:rsid w:val="00AD0B54"/>
    <w:rsid w:val="00AD0BB3"/>
    <w:rsid w:val="00AD0BF1"/>
    <w:rsid w:val="00AD0C4E"/>
    <w:rsid w:val="00AD0CCC"/>
    <w:rsid w:val="00AD0D23"/>
    <w:rsid w:val="00AD0E40"/>
    <w:rsid w:val="00AD0EAC"/>
    <w:rsid w:val="00AD0EB0"/>
    <w:rsid w:val="00AD0EE1"/>
    <w:rsid w:val="00AD0EF8"/>
    <w:rsid w:val="00AD0FE7"/>
    <w:rsid w:val="00AD1193"/>
    <w:rsid w:val="00AD11AD"/>
    <w:rsid w:val="00AD1266"/>
    <w:rsid w:val="00AD1336"/>
    <w:rsid w:val="00AD1377"/>
    <w:rsid w:val="00AD138C"/>
    <w:rsid w:val="00AD14D3"/>
    <w:rsid w:val="00AD14F0"/>
    <w:rsid w:val="00AD1536"/>
    <w:rsid w:val="00AD157B"/>
    <w:rsid w:val="00AD157E"/>
    <w:rsid w:val="00AD1597"/>
    <w:rsid w:val="00AD15C2"/>
    <w:rsid w:val="00AD15D0"/>
    <w:rsid w:val="00AD1602"/>
    <w:rsid w:val="00AD1691"/>
    <w:rsid w:val="00AD16BB"/>
    <w:rsid w:val="00AD16F8"/>
    <w:rsid w:val="00AD173D"/>
    <w:rsid w:val="00AD1765"/>
    <w:rsid w:val="00AD17B6"/>
    <w:rsid w:val="00AD183A"/>
    <w:rsid w:val="00AD183F"/>
    <w:rsid w:val="00AD19BA"/>
    <w:rsid w:val="00AD19C3"/>
    <w:rsid w:val="00AD19E2"/>
    <w:rsid w:val="00AD1A49"/>
    <w:rsid w:val="00AD1AC9"/>
    <w:rsid w:val="00AD1EB3"/>
    <w:rsid w:val="00AD1EC8"/>
    <w:rsid w:val="00AD1F87"/>
    <w:rsid w:val="00AD2083"/>
    <w:rsid w:val="00AD20AC"/>
    <w:rsid w:val="00AD224C"/>
    <w:rsid w:val="00AD22BB"/>
    <w:rsid w:val="00AD236F"/>
    <w:rsid w:val="00AD2380"/>
    <w:rsid w:val="00AD23A8"/>
    <w:rsid w:val="00AD2418"/>
    <w:rsid w:val="00AD2458"/>
    <w:rsid w:val="00AD2465"/>
    <w:rsid w:val="00AD2467"/>
    <w:rsid w:val="00AD24E7"/>
    <w:rsid w:val="00AD24F0"/>
    <w:rsid w:val="00AD2517"/>
    <w:rsid w:val="00AD25D3"/>
    <w:rsid w:val="00AD25EB"/>
    <w:rsid w:val="00AD266B"/>
    <w:rsid w:val="00AD2706"/>
    <w:rsid w:val="00AD27B1"/>
    <w:rsid w:val="00AD27DD"/>
    <w:rsid w:val="00AD28F6"/>
    <w:rsid w:val="00AD29A5"/>
    <w:rsid w:val="00AD29C4"/>
    <w:rsid w:val="00AD2A03"/>
    <w:rsid w:val="00AD2A45"/>
    <w:rsid w:val="00AD2A61"/>
    <w:rsid w:val="00AD2AFA"/>
    <w:rsid w:val="00AD2C10"/>
    <w:rsid w:val="00AD2D05"/>
    <w:rsid w:val="00AD2F48"/>
    <w:rsid w:val="00AD2F8E"/>
    <w:rsid w:val="00AD2FE8"/>
    <w:rsid w:val="00AD30BC"/>
    <w:rsid w:val="00AD3137"/>
    <w:rsid w:val="00AD3258"/>
    <w:rsid w:val="00AD3286"/>
    <w:rsid w:val="00AD3539"/>
    <w:rsid w:val="00AD3588"/>
    <w:rsid w:val="00AD360F"/>
    <w:rsid w:val="00AD36BF"/>
    <w:rsid w:val="00AD36C6"/>
    <w:rsid w:val="00AD377A"/>
    <w:rsid w:val="00AD3930"/>
    <w:rsid w:val="00AD3961"/>
    <w:rsid w:val="00AD3977"/>
    <w:rsid w:val="00AD3A52"/>
    <w:rsid w:val="00AD3A6B"/>
    <w:rsid w:val="00AD3AD3"/>
    <w:rsid w:val="00AD3ADC"/>
    <w:rsid w:val="00AD3AFA"/>
    <w:rsid w:val="00AD3B35"/>
    <w:rsid w:val="00AD3BD4"/>
    <w:rsid w:val="00AD3C8A"/>
    <w:rsid w:val="00AD3CE5"/>
    <w:rsid w:val="00AD3E72"/>
    <w:rsid w:val="00AD3E7E"/>
    <w:rsid w:val="00AD3F2F"/>
    <w:rsid w:val="00AD3F3B"/>
    <w:rsid w:val="00AD3F9B"/>
    <w:rsid w:val="00AD3FB6"/>
    <w:rsid w:val="00AD3FE2"/>
    <w:rsid w:val="00AD4015"/>
    <w:rsid w:val="00AD403C"/>
    <w:rsid w:val="00AD40E0"/>
    <w:rsid w:val="00AD421C"/>
    <w:rsid w:val="00AD421F"/>
    <w:rsid w:val="00AD4253"/>
    <w:rsid w:val="00AD42C1"/>
    <w:rsid w:val="00AD4342"/>
    <w:rsid w:val="00AD437E"/>
    <w:rsid w:val="00AD4531"/>
    <w:rsid w:val="00AD456D"/>
    <w:rsid w:val="00AD462B"/>
    <w:rsid w:val="00AD46AF"/>
    <w:rsid w:val="00AD46C3"/>
    <w:rsid w:val="00AD46C6"/>
    <w:rsid w:val="00AD46D6"/>
    <w:rsid w:val="00AD4743"/>
    <w:rsid w:val="00AD4783"/>
    <w:rsid w:val="00AD4792"/>
    <w:rsid w:val="00AD47AA"/>
    <w:rsid w:val="00AD47C4"/>
    <w:rsid w:val="00AD4805"/>
    <w:rsid w:val="00AD48BC"/>
    <w:rsid w:val="00AD48E9"/>
    <w:rsid w:val="00AD48EC"/>
    <w:rsid w:val="00AD4942"/>
    <w:rsid w:val="00AD49B5"/>
    <w:rsid w:val="00AD4A91"/>
    <w:rsid w:val="00AD4BF0"/>
    <w:rsid w:val="00AD4C31"/>
    <w:rsid w:val="00AD4CCD"/>
    <w:rsid w:val="00AD4D2A"/>
    <w:rsid w:val="00AD4E3D"/>
    <w:rsid w:val="00AD4E53"/>
    <w:rsid w:val="00AD4E84"/>
    <w:rsid w:val="00AD4F1F"/>
    <w:rsid w:val="00AD4F9F"/>
    <w:rsid w:val="00AD4FDB"/>
    <w:rsid w:val="00AD5097"/>
    <w:rsid w:val="00AD50DB"/>
    <w:rsid w:val="00AD5110"/>
    <w:rsid w:val="00AD5149"/>
    <w:rsid w:val="00AD5231"/>
    <w:rsid w:val="00AD5293"/>
    <w:rsid w:val="00AD52D3"/>
    <w:rsid w:val="00AD5342"/>
    <w:rsid w:val="00AD5391"/>
    <w:rsid w:val="00AD53EC"/>
    <w:rsid w:val="00AD5466"/>
    <w:rsid w:val="00AD54CE"/>
    <w:rsid w:val="00AD54FB"/>
    <w:rsid w:val="00AD55D0"/>
    <w:rsid w:val="00AD565A"/>
    <w:rsid w:val="00AD5688"/>
    <w:rsid w:val="00AD56C2"/>
    <w:rsid w:val="00AD5772"/>
    <w:rsid w:val="00AD57A6"/>
    <w:rsid w:val="00AD57EA"/>
    <w:rsid w:val="00AD582D"/>
    <w:rsid w:val="00AD5871"/>
    <w:rsid w:val="00AD58A1"/>
    <w:rsid w:val="00AD599C"/>
    <w:rsid w:val="00AD59A6"/>
    <w:rsid w:val="00AD59D0"/>
    <w:rsid w:val="00AD5A38"/>
    <w:rsid w:val="00AD5AEE"/>
    <w:rsid w:val="00AD5AF3"/>
    <w:rsid w:val="00AD5B23"/>
    <w:rsid w:val="00AD5BDD"/>
    <w:rsid w:val="00AD5C0A"/>
    <w:rsid w:val="00AD5DF0"/>
    <w:rsid w:val="00AD5E04"/>
    <w:rsid w:val="00AD5E57"/>
    <w:rsid w:val="00AD5E88"/>
    <w:rsid w:val="00AD5EA8"/>
    <w:rsid w:val="00AD5EBE"/>
    <w:rsid w:val="00AD5EE8"/>
    <w:rsid w:val="00AD5F66"/>
    <w:rsid w:val="00AD5FD0"/>
    <w:rsid w:val="00AD6007"/>
    <w:rsid w:val="00AD600F"/>
    <w:rsid w:val="00AD605A"/>
    <w:rsid w:val="00AD6061"/>
    <w:rsid w:val="00AD60FE"/>
    <w:rsid w:val="00AD6115"/>
    <w:rsid w:val="00AD6183"/>
    <w:rsid w:val="00AD6195"/>
    <w:rsid w:val="00AD61B8"/>
    <w:rsid w:val="00AD6200"/>
    <w:rsid w:val="00AD621E"/>
    <w:rsid w:val="00AD6239"/>
    <w:rsid w:val="00AD62E6"/>
    <w:rsid w:val="00AD6330"/>
    <w:rsid w:val="00AD63ED"/>
    <w:rsid w:val="00AD64D6"/>
    <w:rsid w:val="00AD64FF"/>
    <w:rsid w:val="00AD663F"/>
    <w:rsid w:val="00AD66D6"/>
    <w:rsid w:val="00AD6903"/>
    <w:rsid w:val="00AD6996"/>
    <w:rsid w:val="00AD69D8"/>
    <w:rsid w:val="00AD6A75"/>
    <w:rsid w:val="00AD6A9F"/>
    <w:rsid w:val="00AD6AAD"/>
    <w:rsid w:val="00AD6AEA"/>
    <w:rsid w:val="00AD6BA5"/>
    <w:rsid w:val="00AD6C9A"/>
    <w:rsid w:val="00AD6CCC"/>
    <w:rsid w:val="00AD6E65"/>
    <w:rsid w:val="00AD6F03"/>
    <w:rsid w:val="00AD6F2C"/>
    <w:rsid w:val="00AD7049"/>
    <w:rsid w:val="00AD7102"/>
    <w:rsid w:val="00AD7178"/>
    <w:rsid w:val="00AD7274"/>
    <w:rsid w:val="00AD72D8"/>
    <w:rsid w:val="00AD72F7"/>
    <w:rsid w:val="00AD755D"/>
    <w:rsid w:val="00AD758D"/>
    <w:rsid w:val="00AD772C"/>
    <w:rsid w:val="00AD775A"/>
    <w:rsid w:val="00AD7767"/>
    <w:rsid w:val="00AD7810"/>
    <w:rsid w:val="00AD7956"/>
    <w:rsid w:val="00AD797C"/>
    <w:rsid w:val="00AD7B00"/>
    <w:rsid w:val="00AD7B39"/>
    <w:rsid w:val="00AD7BCB"/>
    <w:rsid w:val="00AD7C2D"/>
    <w:rsid w:val="00AD7C74"/>
    <w:rsid w:val="00AD7C9B"/>
    <w:rsid w:val="00AD7CBC"/>
    <w:rsid w:val="00AD7D74"/>
    <w:rsid w:val="00AD7ECE"/>
    <w:rsid w:val="00AD7EE1"/>
    <w:rsid w:val="00AD7F2B"/>
    <w:rsid w:val="00AE0026"/>
    <w:rsid w:val="00AE003B"/>
    <w:rsid w:val="00AE0059"/>
    <w:rsid w:val="00AE00FB"/>
    <w:rsid w:val="00AE01F0"/>
    <w:rsid w:val="00AE0204"/>
    <w:rsid w:val="00AE0254"/>
    <w:rsid w:val="00AE02B8"/>
    <w:rsid w:val="00AE04FA"/>
    <w:rsid w:val="00AE067B"/>
    <w:rsid w:val="00AE07B9"/>
    <w:rsid w:val="00AE07E0"/>
    <w:rsid w:val="00AE0937"/>
    <w:rsid w:val="00AE09D7"/>
    <w:rsid w:val="00AE0A06"/>
    <w:rsid w:val="00AE0AA9"/>
    <w:rsid w:val="00AE0AE0"/>
    <w:rsid w:val="00AE0C1B"/>
    <w:rsid w:val="00AE0D0F"/>
    <w:rsid w:val="00AE0D3B"/>
    <w:rsid w:val="00AE0DED"/>
    <w:rsid w:val="00AE0E13"/>
    <w:rsid w:val="00AE0F48"/>
    <w:rsid w:val="00AE0F62"/>
    <w:rsid w:val="00AE0FA1"/>
    <w:rsid w:val="00AE119F"/>
    <w:rsid w:val="00AE123C"/>
    <w:rsid w:val="00AE12AE"/>
    <w:rsid w:val="00AE12D1"/>
    <w:rsid w:val="00AE12D2"/>
    <w:rsid w:val="00AE12EF"/>
    <w:rsid w:val="00AE12FE"/>
    <w:rsid w:val="00AE1304"/>
    <w:rsid w:val="00AE1329"/>
    <w:rsid w:val="00AE1385"/>
    <w:rsid w:val="00AE1491"/>
    <w:rsid w:val="00AE1504"/>
    <w:rsid w:val="00AE1549"/>
    <w:rsid w:val="00AE15E5"/>
    <w:rsid w:val="00AE167E"/>
    <w:rsid w:val="00AE1684"/>
    <w:rsid w:val="00AE16C9"/>
    <w:rsid w:val="00AE16CF"/>
    <w:rsid w:val="00AE171A"/>
    <w:rsid w:val="00AE17C9"/>
    <w:rsid w:val="00AE1806"/>
    <w:rsid w:val="00AE1818"/>
    <w:rsid w:val="00AE1840"/>
    <w:rsid w:val="00AE1905"/>
    <w:rsid w:val="00AE195F"/>
    <w:rsid w:val="00AE1ACB"/>
    <w:rsid w:val="00AE1ADF"/>
    <w:rsid w:val="00AE1B1E"/>
    <w:rsid w:val="00AE1B79"/>
    <w:rsid w:val="00AE1BA8"/>
    <w:rsid w:val="00AE1C04"/>
    <w:rsid w:val="00AE1C70"/>
    <w:rsid w:val="00AE1CA3"/>
    <w:rsid w:val="00AE1CC6"/>
    <w:rsid w:val="00AE1D0C"/>
    <w:rsid w:val="00AE1D34"/>
    <w:rsid w:val="00AE1DA0"/>
    <w:rsid w:val="00AE1DF5"/>
    <w:rsid w:val="00AE1ED2"/>
    <w:rsid w:val="00AE1FBC"/>
    <w:rsid w:val="00AE202B"/>
    <w:rsid w:val="00AE203A"/>
    <w:rsid w:val="00AE20F6"/>
    <w:rsid w:val="00AE2193"/>
    <w:rsid w:val="00AE2278"/>
    <w:rsid w:val="00AE2313"/>
    <w:rsid w:val="00AE2338"/>
    <w:rsid w:val="00AE2395"/>
    <w:rsid w:val="00AE23D8"/>
    <w:rsid w:val="00AE244F"/>
    <w:rsid w:val="00AE2466"/>
    <w:rsid w:val="00AE2483"/>
    <w:rsid w:val="00AE2560"/>
    <w:rsid w:val="00AE25C4"/>
    <w:rsid w:val="00AE25E3"/>
    <w:rsid w:val="00AE261D"/>
    <w:rsid w:val="00AE2696"/>
    <w:rsid w:val="00AE26AE"/>
    <w:rsid w:val="00AE2716"/>
    <w:rsid w:val="00AE27AC"/>
    <w:rsid w:val="00AE281C"/>
    <w:rsid w:val="00AE2B50"/>
    <w:rsid w:val="00AE2D8A"/>
    <w:rsid w:val="00AE2DBC"/>
    <w:rsid w:val="00AE2E05"/>
    <w:rsid w:val="00AE2E33"/>
    <w:rsid w:val="00AE2E5A"/>
    <w:rsid w:val="00AE2E7A"/>
    <w:rsid w:val="00AE2EF5"/>
    <w:rsid w:val="00AE2EF8"/>
    <w:rsid w:val="00AE2F1F"/>
    <w:rsid w:val="00AE2F58"/>
    <w:rsid w:val="00AE3097"/>
    <w:rsid w:val="00AE31D5"/>
    <w:rsid w:val="00AE31E7"/>
    <w:rsid w:val="00AE31E8"/>
    <w:rsid w:val="00AE321C"/>
    <w:rsid w:val="00AE3223"/>
    <w:rsid w:val="00AE322C"/>
    <w:rsid w:val="00AE3231"/>
    <w:rsid w:val="00AE32AA"/>
    <w:rsid w:val="00AE32AE"/>
    <w:rsid w:val="00AE3322"/>
    <w:rsid w:val="00AE3334"/>
    <w:rsid w:val="00AE3468"/>
    <w:rsid w:val="00AE34B3"/>
    <w:rsid w:val="00AE3551"/>
    <w:rsid w:val="00AE35DE"/>
    <w:rsid w:val="00AE3643"/>
    <w:rsid w:val="00AE36E7"/>
    <w:rsid w:val="00AE372C"/>
    <w:rsid w:val="00AE375D"/>
    <w:rsid w:val="00AE376A"/>
    <w:rsid w:val="00AE3832"/>
    <w:rsid w:val="00AE38E5"/>
    <w:rsid w:val="00AE38EA"/>
    <w:rsid w:val="00AE391D"/>
    <w:rsid w:val="00AE39B9"/>
    <w:rsid w:val="00AE3B2F"/>
    <w:rsid w:val="00AE3B7D"/>
    <w:rsid w:val="00AE3BAF"/>
    <w:rsid w:val="00AE3BD3"/>
    <w:rsid w:val="00AE3C7B"/>
    <w:rsid w:val="00AE3D08"/>
    <w:rsid w:val="00AE3D4F"/>
    <w:rsid w:val="00AE3DC4"/>
    <w:rsid w:val="00AE3E01"/>
    <w:rsid w:val="00AE3EC4"/>
    <w:rsid w:val="00AE3F12"/>
    <w:rsid w:val="00AE3FE4"/>
    <w:rsid w:val="00AE4032"/>
    <w:rsid w:val="00AE41B8"/>
    <w:rsid w:val="00AE41E1"/>
    <w:rsid w:val="00AE4202"/>
    <w:rsid w:val="00AE421E"/>
    <w:rsid w:val="00AE424E"/>
    <w:rsid w:val="00AE4282"/>
    <w:rsid w:val="00AE42C5"/>
    <w:rsid w:val="00AE432F"/>
    <w:rsid w:val="00AE4354"/>
    <w:rsid w:val="00AE439C"/>
    <w:rsid w:val="00AE442B"/>
    <w:rsid w:val="00AE447C"/>
    <w:rsid w:val="00AE4491"/>
    <w:rsid w:val="00AE449F"/>
    <w:rsid w:val="00AE44B9"/>
    <w:rsid w:val="00AE44D2"/>
    <w:rsid w:val="00AE460A"/>
    <w:rsid w:val="00AE479A"/>
    <w:rsid w:val="00AE47D4"/>
    <w:rsid w:val="00AE47DA"/>
    <w:rsid w:val="00AE4802"/>
    <w:rsid w:val="00AE4823"/>
    <w:rsid w:val="00AE4863"/>
    <w:rsid w:val="00AE4883"/>
    <w:rsid w:val="00AE48E4"/>
    <w:rsid w:val="00AE4919"/>
    <w:rsid w:val="00AE4988"/>
    <w:rsid w:val="00AE498C"/>
    <w:rsid w:val="00AE4AAA"/>
    <w:rsid w:val="00AE4B69"/>
    <w:rsid w:val="00AE4C75"/>
    <w:rsid w:val="00AE4D49"/>
    <w:rsid w:val="00AE4DB4"/>
    <w:rsid w:val="00AE4DC8"/>
    <w:rsid w:val="00AE4F19"/>
    <w:rsid w:val="00AE4F9F"/>
    <w:rsid w:val="00AE4FA5"/>
    <w:rsid w:val="00AE5054"/>
    <w:rsid w:val="00AE50D3"/>
    <w:rsid w:val="00AE512C"/>
    <w:rsid w:val="00AE519B"/>
    <w:rsid w:val="00AE51D5"/>
    <w:rsid w:val="00AE51DB"/>
    <w:rsid w:val="00AE52D8"/>
    <w:rsid w:val="00AE5327"/>
    <w:rsid w:val="00AE5401"/>
    <w:rsid w:val="00AE55CF"/>
    <w:rsid w:val="00AE56D3"/>
    <w:rsid w:val="00AE56D6"/>
    <w:rsid w:val="00AE570E"/>
    <w:rsid w:val="00AE58BF"/>
    <w:rsid w:val="00AE58E5"/>
    <w:rsid w:val="00AE59AE"/>
    <w:rsid w:val="00AE5A89"/>
    <w:rsid w:val="00AE5AAC"/>
    <w:rsid w:val="00AE5B24"/>
    <w:rsid w:val="00AE5B2F"/>
    <w:rsid w:val="00AE5B88"/>
    <w:rsid w:val="00AE5C46"/>
    <w:rsid w:val="00AE5D26"/>
    <w:rsid w:val="00AE5D5A"/>
    <w:rsid w:val="00AE5DD1"/>
    <w:rsid w:val="00AE5DF0"/>
    <w:rsid w:val="00AE5EAB"/>
    <w:rsid w:val="00AE5F08"/>
    <w:rsid w:val="00AE6080"/>
    <w:rsid w:val="00AE60D5"/>
    <w:rsid w:val="00AE60F6"/>
    <w:rsid w:val="00AE614F"/>
    <w:rsid w:val="00AE63D3"/>
    <w:rsid w:val="00AE6453"/>
    <w:rsid w:val="00AE648D"/>
    <w:rsid w:val="00AE65DA"/>
    <w:rsid w:val="00AE666E"/>
    <w:rsid w:val="00AE666F"/>
    <w:rsid w:val="00AE6679"/>
    <w:rsid w:val="00AE6692"/>
    <w:rsid w:val="00AE6694"/>
    <w:rsid w:val="00AE670B"/>
    <w:rsid w:val="00AE6746"/>
    <w:rsid w:val="00AE67C3"/>
    <w:rsid w:val="00AE6821"/>
    <w:rsid w:val="00AE6846"/>
    <w:rsid w:val="00AE690A"/>
    <w:rsid w:val="00AE6A4E"/>
    <w:rsid w:val="00AE6A93"/>
    <w:rsid w:val="00AE6AA8"/>
    <w:rsid w:val="00AE6CD1"/>
    <w:rsid w:val="00AE6CD7"/>
    <w:rsid w:val="00AE6D6F"/>
    <w:rsid w:val="00AE6E6B"/>
    <w:rsid w:val="00AE6E77"/>
    <w:rsid w:val="00AE6F57"/>
    <w:rsid w:val="00AE6FBC"/>
    <w:rsid w:val="00AE7002"/>
    <w:rsid w:val="00AE707C"/>
    <w:rsid w:val="00AE70D8"/>
    <w:rsid w:val="00AE7113"/>
    <w:rsid w:val="00AE722C"/>
    <w:rsid w:val="00AE72D4"/>
    <w:rsid w:val="00AE72DB"/>
    <w:rsid w:val="00AE7405"/>
    <w:rsid w:val="00AE7424"/>
    <w:rsid w:val="00AE74A1"/>
    <w:rsid w:val="00AE7501"/>
    <w:rsid w:val="00AE7510"/>
    <w:rsid w:val="00AE7522"/>
    <w:rsid w:val="00AE7579"/>
    <w:rsid w:val="00AE75D1"/>
    <w:rsid w:val="00AE760C"/>
    <w:rsid w:val="00AE7640"/>
    <w:rsid w:val="00AE766E"/>
    <w:rsid w:val="00AE7777"/>
    <w:rsid w:val="00AE77A1"/>
    <w:rsid w:val="00AE785B"/>
    <w:rsid w:val="00AE797B"/>
    <w:rsid w:val="00AE79B6"/>
    <w:rsid w:val="00AE79E3"/>
    <w:rsid w:val="00AE7A13"/>
    <w:rsid w:val="00AE7A58"/>
    <w:rsid w:val="00AE7ABA"/>
    <w:rsid w:val="00AE7B15"/>
    <w:rsid w:val="00AE7B5C"/>
    <w:rsid w:val="00AE7C87"/>
    <w:rsid w:val="00AE7C92"/>
    <w:rsid w:val="00AE7DC4"/>
    <w:rsid w:val="00AE7E07"/>
    <w:rsid w:val="00AE7E22"/>
    <w:rsid w:val="00AE7E5C"/>
    <w:rsid w:val="00AE7ECC"/>
    <w:rsid w:val="00AE7F3A"/>
    <w:rsid w:val="00AF0098"/>
    <w:rsid w:val="00AF00C1"/>
    <w:rsid w:val="00AF00F2"/>
    <w:rsid w:val="00AF0296"/>
    <w:rsid w:val="00AF0359"/>
    <w:rsid w:val="00AF0372"/>
    <w:rsid w:val="00AF0489"/>
    <w:rsid w:val="00AF0585"/>
    <w:rsid w:val="00AF078F"/>
    <w:rsid w:val="00AF07E6"/>
    <w:rsid w:val="00AF0860"/>
    <w:rsid w:val="00AF090E"/>
    <w:rsid w:val="00AF0925"/>
    <w:rsid w:val="00AF0933"/>
    <w:rsid w:val="00AF09AA"/>
    <w:rsid w:val="00AF0A56"/>
    <w:rsid w:val="00AF0C19"/>
    <w:rsid w:val="00AF0CBC"/>
    <w:rsid w:val="00AF0DBB"/>
    <w:rsid w:val="00AF0F47"/>
    <w:rsid w:val="00AF105A"/>
    <w:rsid w:val="00AF10A5"/>
    <w:rsid w:val="00AF1196"/>
    <w:rsid w:val="00AF1199"/>
    <w:rsid w:val="00AF1230"/>
    <w:rsid w:val="00AF126F"/>
    <w:rsid w:val="00AF1316"/>
    <w:rsid w:val="00AF1336"/>
    <w:rsid w:val="00AF13B5"/>
    <w:rsid w:val="00AF1441"/>
    <w:rsid w:val="00AF159B"/>
    <w:rsid w:val="00AF159F"/>
    <w:rsid w:val="00AF1611"/>
    <w:rsid w:val="00AF1664"/>
    <w:rsid w:val="00AF1669"/>
    <w:rsid w:val="00AF176D"/>
    <w:rsid w:val="00AF1797"/>
    <w:rsid w:val="00AF17C7"/>
    <w:rsid w:val="00AF17F7"/>
    <w:rsid w:val="00AF1881"/>
    <w:rsid w:val="00AF18CB"/>
    <w:rsid w:val="00AF1955"/>
    <w:rsid w:val="00AF1987"/>
    <w:rsid w:val="00AF1996"/>
    <w:rsid w:val="00AF19A0"/>
    <w:rsid w:val="00AF1A1D"/>
    <w:rsid w:val="00AF1AE2"/>
    <w:rsid w:val="00AF1B12"/>
    <w:rsid w:val="00AF1BFB"/>
    <w:rsid w:val="00AF1C71"/>
    <w:rsid w:val="00AF1CA3"/>
    <w:rsid w:val="00AF1CC3"/>
    <w:rsid w:val="00AF1CD9"/>
    <w:rsid w:val="00AF1CE0"/>
    <w:rsid w:val="00AF1CF2"/>
    <w:rsid w:val="00AF1D2A"/>
    <w:rsid w:val="00AF1E70"/>
    <w:rsid w:val="00AF1F0B"/>
    <w:rsid w:val="00AF1F45"/>
    <w:rsid w:val="00AF1F54"/>
    <w:rsid w:val="00AF1F89"/>
    <w:rsid w:val="00AF2020"/>
    <w:rsid w:val="00AF2033"/>
    <w:rsid w:val="00AF20BF"/>
    <w:rsid w:val="00AF21FC"/>
    <w:rsid w:val="00AF22C2"/>
    <w:rsid w:val="00AF22C7"/>
    <w:rsid w:val="00AF234A"/>
    <w:rsid w:val="00AF2470"/>
    <w:rsid w:val="00AF24AE"/>
    <w:rsid w:val="00AF24BB"/>
    <w:rsid w:val="00AF24DF"/>
    <w:rsid w:val="00AF252B"/>
    <w:rsid w:val="00AF2620"/>
    <w:rsid w:val="00AF267E"/>
    <w:rsid w:val="00AF26C9"/>
    <w:rsid w:val="00AF26FA"/>
    <w:rsid w:val="00AF270C"/>
    <w:rsid w:val="00AF2712"/>
    <w:rsid w:val="00AF2725"/>
    <w:rsid w:val="00AF2783"/>
    <w:rsid w:val="00AF2790"/>
    <w:rsid w:val="00AF2821"/>
    <w:rsid w:val="00AF2877"/>
    <w:rsid w:val="00AF28B1"/>
    <w:rsid w:val="00AF28D9"/>
    <w:rsid w:val="00AF2A3F"/>
    <w:rsid w:val="00AF2AA9"/>
    <w:rsid w:val="00AF2AD3"/>
    <w:rsid w:val="00AF2B45"/>
    <w:rsid w:val="00AF2B56"/>
    <w:rsid w:val="00AF2BAB"/>
    <w:rsid w:val="00AF2BD4"/>
    <w:rsid w:val="00AF2C2D"/>
    <w:rsid w:val="00AF2C9D"/>
    <w:rsid w:val="00AF2CBC"/>
    <w:rsid w:val="00AF2CC8"/>
    <w:rsid w:val="00AF2D3C"/>
    <w:rsid w:val="00AF2D4D"/>
    <w:rsid w:val="00AF2EC4"/>
    <w:rsid w:val="00AF2EC7"/>
    <w:rsid w:val="00AF2EE6"/>
    <w:rsid w:val="00AF2F13"/>
    <w:rsid w:val="00AF2F5E"/>
    <w:rsid w:val="00AF2FE2"/>
    <w:rsid w:val="00AF3001"/>
    <w:rsid w:val="00AF3146"/>
    <w:rsid w:val="00AF32E0"/>
    <w:rsid w:val="00AF332B"/>
    <w:rsid w:val="00AF3347"/>
    <w:rsid w:val="00AF3398"/>
    <w:rsid w:val="00AF33D1"/>
    <w:rsid w:val="00AF340A"/>
    <w:rsid w:val="00AF34AA"/>
    <w:rsid w:val="00AF35B9"/>
    <w:rsid w:val="00AF36E0"/>
    <w:rsid w:val="00AF3700"/>
    <w:rsid w:val="00AF372F"/>
    <w:rsid w:val="00AF3740"/>
    <w:rsid w:val="00AF3755"/>
    <w:rsid w:val="00AF37BD"/>
    <w:rsid w:val="00AF3824"/>
    <w:rsid w:val="00AF3835"/>
    <w:rsid w:val="00AF385D"/>
    <w:rsid w:val="00AF387B"/>
    <w:rsid w:val="00AF389A"/>
    <w:rsid w:val="00AF389F"/>
    <w:rsid w:val="00AF38BD"/>
    <w:rsid w:val="00AF38C8"/>
    <w:rsid w:val="00AF38F6"/>
    <w:rsid w:val="00AF39DC"/>
    <w:rsid w:val="00AF3A02"/>
    <w:rsid w:val="00AF3A0D"/>
    <w:rsid w:val="00AF3A41"/>
    <w:rsid w:val="00AF3B5A"/>
    <w:rsid w:val="00AF3BAE"/>
    <w:rsid w:val="00AF3BBE"/>
    <w:rsid w:val="00AF3BFA"/>
    <w:rsid w:val="00AF3D01"/>
    <w:rsid w:val="00AF3D8F"/>
    <w:rsid w:val="00AF3F91"/>
    <w:rsid w:val="00AF3FF9"/>
    <w:rsid w:val="00AF407F"/>
    <w:rsid w:val="00AF4085"/>
    <w:rsid w:val="00AF40BF"/>
    <w:rsid w:val="00AF413D"/>
    <w:rsid w:val="00AF414E"/>
    <w:rsid w:val="00AF416B"/>
    <w:rsid w:val="00AF4309"/>
    <w:rsid w:val="00AF4427"/>
    <w:rsid w:val="00AF4486"/>
    <w:rsid w:val="00AF4527"/>
    <w:rsid w:val="00AF4559"/>
    <w:rsid w:val="00AF46C0"/>
    <w:rsid w:val="00AF4745"/>
    <w:rsid w:val="00AF4794"/>
    <w:rsid w:val="00AF4879"/>
    <w:rsid w:val="00AF48A1"/>
    <w:rsid w:val="00AF49E7"/>
    <w:rsid w:val="00AF49E9"/>
    <w:rsid w:val="00AF4B5A"/>
    <w:rsid w:val="00AF4B76"/>
    <w:rsid w:val="00AF4D05"/>
    <w:rsid w:val="00AF4D6F"/>
    <w:rsid w:val="00AF4E55"/>
    <w:rsid w:val="00AF4EF8"/>
    <w:rsid w:val="00AF4F2C"/>
    <w:rsid w:val="00AF4F72"/>
    <w:rsid w:val="00AF4FA3"/>
    <w:rsid w:val="00AF4FC9"/>
    <w:rsid w:val="00AF51EB"/>
    <w:rsid w:val="00AF5354"/>
    <w:rsid w:val="00AF539F"/>
    <w:rsid w:val="00AF53CC"/>
    <w:rsid w:val="00AF55AA"/>
    <w:rsid w:val="00AF5626"/>
    <w:rsid w:val="00AF568D"/>
    <w:rsid w:val="00AF56B9"/>
    <w:rsid w:val="00AF56D4"/>
    <w:rsid w:val="00AF5740"/>
    <w:rsid w:val="00AF576F"/>
    <w:rsid w:val="00AF5774"/>
    <w:rsid w:val="00AF582A"/>
    <w:rsid w:val="00AF59BA"/>
    <w:rsid w:val="00AF59FB"/>
    <w:rsid w:val="00AF5AF9"/>
    <w:rsid w:val="00AF5B4C"/>
    <w:rsid w:val="00AF5C32"/>
    <w:rsid w:val="00AF5CDD"/>
    <w:rsid w:val="00AF5D13"/>
    <w:rsid w:val="00AF5E41"/>
    <w:rsid w:val="00AF5E46"/>
    <w:rsid w:val="00AF5F2F"/>
    <w:rsid w:val="00AF5F49"/>
    <w:rsid w:val="00AF5FC8"/>
    <w:rsid w:val="00AF606F"/>
    <w:rsid w:val="00AF60A2"/>
    <w:rsid w:val="00AF6107"/>
    <w:rsid w:val="00AF61F6"/>
    <w:rsid w:val="00AF620D"/>
    <w:rsid w:val="00AF62DF"/>
    <w:rsid w:val="00AF6495"/>
    <w:rsid w:val="00AF650C"/>
    <w:rsid w:val="00AF6572"/>
    <w:rsid w:val="00AF66B4"/>
    <w:rsid w:val="00AF6754"/>
    <w:rsid w:val="00AF677C"/>
    <w:rsid w:val="00AF684C"/>
    <w:rsid w:val="00AF68B5"/>
    <w:rsid w:val="00AF692D"/>
    <w:rsid w:val="00AF6941"/>
    <w:rsid w:val="00AF69FF"/>
    <w:rsid w:val="00AF6A79"/>
    <w:rsid w:val="00AF6B07"/>
    <w:rsid w:val="00AF6B1E"/>
    <w:rsid w:val="00AF6B26"/>
    <w:rsid w:val="00AF6B89"/>
    <w:rsid w:val="00AF6BCB"/>
    <w:rsid w:val="00AF6D0A"/>
    <w:rsid w:val="00AF6D28"/>
    <w:rsid w:val="00AF6DA2"/>
    <w:rsid w:val="00AF6E64"/>
    <w:rsid w:val="00AF6E74"/>
    <w:rsid w:val="00AF6FEC"/>
    <w:rsid w:val="00AF70BE"/>
    <w:rsid w:val="00AF70F3"/>
    <w:rsid w:val="00AF7124"/>
    <w:rsid w:val="00AF713B"/>
    <w:rsid w:val="00AF729B"/>
    <w:rsid w:val="00AF73BE"/>
    <w:rsid w:val="00AF73C7"/>
    <w:rsid w:val="00AF7455"/>
    <w:rsid w:val="00AF74DE"/>
    <w:rsid w:val="00AF7675"/>
    <w:rsid w:val="00AF767B"/>
    <w:rsid w:val="00AF7717"/>
    <w:rsid w:val="00AF77C8"/>
    <w:rsid w:val="00AF78A6"/>
    <w:rsid w:val="00AF7901"/>
    <w:rsid w:val="00AF7907"/>
    <w:rsid w:val="00AF7986"/>
    <w:rsid w:val="00AF798A"/>
    <w:rsid w:val="00AF7A6E"/>
    <w:rsid w:val="00AF7A77"/>
    <w:rsid w:val="00AF7AC5"/>
    <w:rsid w:val="00AF7B09"/>
    <w:rsid w:val="00AF7B28"/>
    <w:rsid w:val="00AF7BBB"/>
    <w:rsid w:val="00AF7C65"/>
    <w:rsid w:val="00AF7CC4"/>
    <w:rsid w:val="00AF7CD9"/>
    <w:rsid w:val="00AF7D05"/>
    <w:rsid w:val="00AF7D0C"/>
    <w:rsid w:val="00AF7DBB"/>
    <w:rsid w:val="00AF7DC3"/>
    <w:rsid w:val="00AF7DDE"/>
    <w:rsid w:val="00AF7E25"/>
    <w:rsid w:val="00AF7E73"/>
    <w:rsid w:val="00AF7EBE"/>
    <w:rsid w:val="00AF7EDA"/>
    <w:rsid w:val="00AF7F52"/>
    <w:rsid w:val="00AF7F78"/>
    <w:rsid w:val="00B00005"/>
    <w:rsid w:val="00B00097"/>
    <w:rsid w:val="00B000D3"/>
    <w:rsid w:val="00B001E1"/>
    <w:rsid w:val="00B00242"/>
    <w:rsid w:val="00B0025A"/>
    <w:rsid w:val="00B00326"/>
    <w:rsid w:val="00B00369"/>
    <w:rsid w:val="00B003B7"/>
    <w:rsid w:val="00B00436"/>
    <w:rsid w:val="00B0047B"/>
    <w:rsid w:val="00B004C1"/>
    <w:rsid w:val="00B005CF"/>
    <w:rsid w:val="00B005F6"/>
    <w:rsid w:val="00B00605"/>
    <w:rsid w:val="00B00616"/>
    <w:rsid w:val="00B00631"/>
    <w:rsid w:val="00B00632"/>
    <w:rsid w:val="00B00667"/>
    <w:rsid w:val="00B006CC"/>
    <w:rsid w:val="00B007D3"/>
    <w:rsid w:val="00B00846"/>
    <w:rsid w:val="00B0087F"/>
    <w:rsid w:val="00B008C5"/>
    <w:rsid w:val="00B008E4"/>
    <w:rsid w:val="00B00919"/>
    <w:rsid w:val="00B00938"/>
    <w:rsid w:val="00B00A56"/>
    <w:rsid w:val="00B00A68"/>
    <w:rsid w:val="00B00B0E"/>
    <w:rsid w:val="00B00B81"/>
    <w:rsid w:val="00B00C99"/>
    <w:rsid w:val="00B00DD9"/>
    <w:rsid w:val="00B00E30"/>
    <w:rsid w:val="00B00ED0"/>
    <w:rsid w:val="00B00EF2"/>
    <w:rsid w:val="00B00F7C"/>
    <w:rsid w:val="00B011F0"/>
    <w:rsid w:val="00B012D9"/>
    <w:rsid w:val="00B01316"/>
    <w:rsid w:val="00B01354"/>
    <w:rsid w:val="00B0137A"/>
    <w:rsid w:val="00B013A7"/>
    <w:rsid w:val="00B01427"/>
    <w:rsid w:val="00B015AA"/>
    <w:rsid w:val="00B015D3"/>
    <w:rsid w:val="00B016C6"/>
    <w:rsid w:val="00B0179C"/>
    <w:rsid w:val="00B017DB"/>
    <w:rsid w:val="00B01917"/>
    <w:rsid w:val="00B01ABC"/>
    <w:rsid w:val="00B01AE1"/>
    <w:rsid w:val="00B01B19"/>
    <w:rsid w:val="00B01B4F"/>
    <w:rsid w:val="00B01B59"/>
    <w:rsid w:val="00B01BA6"/>
    <w:rsid w:val="00B01BB9"/>
    <w:rsid w:val="00B01C50"/>
    <w:rsid w:val="00B01C5E"/>
    <w:rsid w:val="00B01C5F"/>
    <w:rsid w:val="00B01E91"/>
    <w:rsid w:val="00B01F14"/>
    <w:rsid w:val="00B01F17"/>
    <w:rsid w:val="00B01F3C"/>
    <w:rsid w:val="00B01F6E"/>
    <w:rsid w:val="00B01F7F"/>
    <w:rsid w:val="00B01F8B"/>
    <w:rsid w:val="00B01FC2"/>
    <w:rsid w:val="00B02045"/>
    <w:rsid w:val="00B02097"/>
    <w:rsid w:val="00B02112"/>
    <w:rsid w:val="00B021F3"/>
    <w:rsid w:val="00B02287"/>
    <w:rsid w:val="00B022A9"/>
    <w:rsid w:val="00B0231D"/>
    <w:rsid w:val="00B02355"/>
    <w:rsid w:val="00B02375"/>
    <w:rsid w:val="00B0238A"/>
    <w:rsid w:val="00B02423"/>
    <w:rsid w:val="00B02431"/>
    <w:rsid w:val="00B0243A"/>
    <w:rsid w:val="00B0254C"/>
    <w:rsid w:val="00B025F3"/>
    <w:rsid w:val="00B025FD"/>
    <w:rsid w:val="00B02804"/>
    <w:rsid w:val="00B0283E"/>
    <w:rsid w:val="00B0286F"/>
    <w:rsid w:val="00B02921"/>
    <w:rsid w:val="00B02988"/>
    <w:rsid w:val="00B029DD"/>
    <w:rsid w:val="00B02A1A"/>
    <w:rsid w:val="00B02A46"/>
    <w:rsid w:val="00B02A84"/>
    <w:rsid w:val="00B02A9E"/>
    <w:rsid w:val="00B02AAA"/>
    <w:rsid w:val="00B02AB5"/>
    <w:rsid w:val="00B02B1A"/>
    <w:rsid w:val="00B02BD5"/>
    <w:rsid w:val="00B02CC0"/>
    <w:rsid w:val="00B02D06"/>
    <w:rsid w:val="00B02D21"/>
    <w:rsid w:val="00B02DCC"/>
    <w:rsid w:val="00B02E10"/>
    <w:rsid w:val="00B02E1E"/>
    <w:rsid w:val="00B02E6F"/>
    <w:rsid w:val="00B02EA2"/>
    <w:rsid w:val="00B02EB8"/>
    <w:rsid w:val="00B02F73"/>
    <w:rsid w:val="00B02F92"/>
    <w:rsid w:val="00B02FA5"/>
    <w:rsid w:val="00B03088"/>
    <w:rsid w:val="00B03125"/>
    <w:rsid w:val="00B03209"/>
    <w:rsid w:val="00B0327E"/>
    <w:rsid w:val="00B032AC"/>
    <w:rsid w:val="00B032B3"/>
    <w:rsid w:val="00B03356"/>
    <w:rsid w:val="00B033AD"/>
    <w:rsid w:val="00B03493"/>
    <w:rsid w:val="00B03515"/>
    <w:rsid w:val="00B03539"/>
    <w:rsid w:val="00B03657"/>
    <w:rsid w:val="00B0378A"/>
    <w:rsid w:val="00B037CF"/>
    <w:rsid w:val="00B037FC"/>
    <w:rsid w:val="00B03822"/>
    <w:rsid w:val="00B0382A"/>
    <w:rsid w:val="00B038B6"/>
    <w:rsid w:val="00B038CE"/>
    <w:rsid w:val="00B03908"/>
    <w:rsid w:val="00B0391F"/>
    <w:rsid w:val="00B03958"/>
    <w:rsid w:val="00B03995"/>
    <w:rsid w:val="00B039DA"/>
    <w:rsid w:val="00B039FF"/>
    <w:rsid w:val="00B03A6B"/>
    <w:rsid w:val="00B03A7B"/>
    <w:rsid w:val="00B03B18"/>
    <w:rsid w:val="00B03B48"/>
    <w:rsid w:val="00B03B84"/>
    <w:rsid w:val="00B03CA4"/>
    <w:rsid w:val="00B03EA1"/>
    <w:rsid w:val="00B03EC6"/>
    <w:rsid w:val="00B03FD7"/>
    <w:rsid w:val="00B04003"/>
    <w:rsid w:val="00B0403A"/>
    <w:rsid w:val="00B04124"/>
    <w:rsid w:val="00B04128"/>
    <w:rsid w:val="00B041C3"/>
    <w:rsid w:val="00B041CB"/>
    <w:rsid w:val="00B04256"/>
    <w:rsid w:val="00B0429F"/>
    <w:rsid w:val="00B042E7"/>
    <w:rsid w:val="00B04390"/>
    <w:rsid w:val="00B043BC"/>
    <w:rsid w:val="00B04499"/>
    <w:rsid w:val="00B0463A"/>
    <w:rsid w:val="00B0470B"/>
    <w:rsid w:val="00B04726"/>
    <w:rsid w:val="00B0474D"/>
    <w:rsid w:val="00B047D4"/>
    <w:rsid w:val="00B04955"/>
    <w:rsid w:val="00B049F7"/>
    <w:rsid w:val="00B04A2D"/>
    <w:rsid w:val="00B04B7B"/>
    <w:rsid w:val="00B04BC2"/>
    <w:rsid w:val="00B04C56"/>
    <w:rsid w:val="00B04C7F"/>
    <w:rsid w:val="00B04C9C"/>
    <w:rsid w:val="00B04CC5"/>
    <w:rsid w:val="00B04CE2"/>
    <w:rsid w:val="00B04CE4"/>
    <w:rsid w:val="00B04E43"/>
    <w:rsid w:val="00B04E9D"/>
    <w:rsid w:val="00B04ECD"/>
    <w:rsid w:val="00B04F26"/>
    <w:rsid w:val="00B04F2B"/>
    <w:rsid w:val="00B051D9"/>
    <w:rsid w:val="00B051DD"/>
    <w:rsid w:val="00B05204"/>
    <w:rsid w:val="00B0532B"/>
    <w:rsid w:val="00B05371"/>
    <w:rsid w:val="00B05389"/>
    <w:rsid w:val="00B05489"/>
    <w:rsid w:val="00B05501"/>
    <w:rsid w:val="00B05523"/>
    <w:rsid w:val="00B05531"/>
    <w:rsid w:val="00B055CD"/>
    <w:rsid w:val="00B055D8"/>
    <w:rsid w:val="00B0561F"/>
    <w:rsid w:val="00B05653"/>
    <w:rsid w:val="00B056BB"/>
    <w:rsid w:val="00B0577D"/>
    <w:rsid w:val="00B05793"/>
    <w:rsid w:val="00B05868"/>
    <w:rsid w:val="00B05971"/>
    <w:rsid w:val="00B059F3"/>
    <w:rsid w:val="00B059F7"/>
    <w:rsid w:val="00B05B41"/>
    <w:rsid w:val="00B05B87"/>
    <w:rsid w:val="00B05BC8"/>
    <w:rsid w:val="00B05C5B"/>
    <w:rsid w:val="00B05DBD"/>
    <w:rsid w:val="00B05E84"/>
    <w:rsid w:val="00B05E8C"/>
    <w:rsid w:val="00B05F96"/>
    <w:rsid w:val="00B06050"/>
    <w:rsid w:val="00B0606A"/>
    <w:rsid w:val="00B06077"/>
    <w:rsid w:val="00B0608D"/>
    <w:rsid w:val="00B06268"/>
    <w:rsid w:val="00B06277"/>
    <w:rsid w:val="00B06280"/>
    <w:rsid w:val="00B06286"/>
    <w:rsid w:val="00B062A0"/>
    <w:rsid w:val="00B06326"/>
    <w:rsid w:val="00B0650C"/>
    <w:rsid w:val="00B06613"/>
    <w:rsid w:val="00B06628"/>
    <w:rsid w:val="00B06638"/>
    <w:rsid w:val="00B06646"/>
    <w:rsid w:val="00B06656"/>
    <w:rsid w:val="00B0665D"/>
    <w:rsid w:val="00B06693"/>
    <w:rsid w:val="00B06744"/>
    <w:rsid w:val="00B06745"/>
    <w:rsid w:val="00B0675A"/>
    <w:rsid w:val="00B067B3"/>
    <w:rsid w:val="00B06876"/>
    <w:rsid w:val="00B0687D"/>
    <w:rsid w:val="00B068A5"/>
    <w:rsid w:val="00B06A1B"/>
    <w:rsid w:val="00B06A21"/>
    <w:rsid w:val="00B06A37"/>
    <w:rsid w:val="00B06A7A"/>
    <w:rsid w:val="00B06AC4"/>
    <w:rsid w:val="00B06B0B"/>
    <w:rsid w:val="00B06B2D"/>
    <w:rsid w:val="00B06C24"/>
    <w:rsid w:val="00B06DD2"/>
    <w:rsid w:val="00B06EFF"/>
    <w:rsid w:val="00B06F78"/>
    <w:rsid w:val="00B06F7F"/>
    <w:rsid w:val="00B07047"/>
    <w:rsid w:val="00B07052"/>
    <w:rsid w:val="00B070F5"/>
    <w:rsid w:val="00B0711C"/>
    <w:rsid w:val="00B07160"/>
    <w:rsid w:val="00B0730C"/>
    <w:rsid w:val="00B07394"/>
    <w:rsid w:val="00B073D4"/>
    <w:rsid w:val="00B074BA"/>
    <w:rsid w:val="00B074E5"/>
    <w:rsid w:val="00B0755C"/>
    <w:rsid w:val="00B07588"/>
    <w:rsid w:val="00B075AD"/>
    <w:rsid w:val="00B075E8"/>
    <w:rsid w:val="00B07618"/>
    <w:rsid w:val="00B07689"/>
    <w:rsid w:val="00B076A3"/>
    <w:rsid w:val="00B07714"/>
    <w:rsid w:val="00B077FC"/>
    <w:rsid w:val="00B07884"/>
    <w:rsid w:val="00B078C3"/>
    <w:rsid w:val="00B0797A"/>
    <w:rsid w:val="00B079B8"/>
    <w:rsid w:val="00B079D9"/>
    <w:rsid w:val="00B079FA"/>
    <w:rsid w:val="00B07A27"/>
    <w:rsid w:val="00B07A8E"/>
    <w:rsid w:val="00B07BDE"/>
    <w:rsid w:val="00B07CEE"/>
    <w:rsid w:val="00B07CFC"/>
    <w:rsid w:val="00B07D00"/>
    <w:rsid w:val="00B07D56"/>
    <w:rsid w:val="00B07DE1"/>
    <w:rsid w:val="00B07DE8"/>
    <w:rsid w:val="00B07E2B"/>
    <w:rsid w:val="00B07F45"/>
    <w:rsid w:val="00B07F4D"/>
    <w:rsid w:val="00B10022"/>
    <w:rsid w:val="00B1002F"/>
    <w:rsid w:val="00B10080"/>
    <w:rsid w:val="00B10083"/>
    <w:rsid w:val="00B101F3"/>
    <w:rsid w:val="00B102F3"/>
    <w:rsid w:val="00B10488"/>
    <w:rsid w:val="00B104A1"/>
    <w:rsid w:val="00B1056B"/>
    <w:rsid w:val="00B10637"/>
    <w:rsid w:val="00B1071A"/>
    <w:rsid w:val="00B10818"/>
    <w:rsid w:val="00B10865"/>
    <w:rsid w:val="00B108BB"/>
    <w:rsid w:val="00B10993"/>
    <w:rsid w:val="00B109B3"/>
    <w:rsid w:val="00B10A5D"/>
    <w:rsid w:val="00B10ACA"/>
    <w:rsid w:val="00B10B14"/>
    <w:rsid w:val="00B10B47"/>
    <w:rsid w:val="00B10B78"/>
    <w:rsid w:val="00B10C18"/>
    <w:rsid w:val="00B10D37"/>
    <w:rsid w:val="00B10D38"/>
    <w:rsid w:val="00B10D8E"/>
    <w:rsid w:val="00B10E53"/>
    <w:rsid w:val="00B10E59"/>
    <w:rsid w:val="00B10EAF"/>
    <w:rsid w:val="00B11071"/>
    <w:rsid w:val="00B11095"/>
    <w:rsid w:val="00B110C6"/>
    <w:rsid w:val="00B11197"/>
    <w:rsid w:val="00B11228"/>
    <w:rsid w:val="00B11234"/>
    <w:rsid w:val="00B1129E"/>
    <w:rsid w:val="00B113A1"/>
    <w:rsid w:val="00B113DC"/>
    <w:rsid w:val="00B11499"/>
    <w:rsid w:val="00B116B1"/>
    <w:rsid w:val="00B116F4"/>
    <w:rsid w:val="00B118A8"/>
    <w:rsid w:val="00B118F7"/>
    <w:rsid w:val="00B119F0"/>
    <w:rsid w:val="00B11AB9"/>
    <w:rsid w:val="00B11B6F"/>
    <w:rsid w:val="00B11B7A"/>
    <w:rsid w:val="00B11BB8"/>
    <w:rsid w:val="00B11D7A"/>
    <w:rsid w:val="00B11E30"/>
    <w:rsid w:val="00B11EE4"/>
    <w:rsid w:val="00B11F15"/>
    <w:rsid w:val="00B11F30"/>
    <w:rsid w:val="00B11F31"/>
    <w:rsid w:val="00B11F51"/>
    <w:rsid w:val="00B11F7A"/>
    <w:rsid w:val="00B1204C"/>
    <w:rsid w:val="00B1207B"/>
    <w:rsid w:val="00B12088"/>
    <w:rsid w:val="00B120FB"/>
    <w:rsid w:val="00B1210A"/>
    <w:rsid w:val="00B121EE"/>
    <w:rsid w:val="00B1221B"/>
    <w:rsid w:val="00B1222A"/>
    <w:rsid w:val="00B122DE"/>
    <w:rsid w:val="00B12382"/>
    <w:rsid w:val="00B123D6"/>
    <w:rsid w:val="00B123FB"/>
    <w:rsid w:val="00B12436"/>
    <w:rsid w:val="00B12440"/>
    <w:rsid w:val="00B1249B"/>
    <w:rsid w:val="00B12503"/>
    <w:rsid w:val="00B125E2"/>
    <w:rsid w:val="00B12616"/>
    <w:rsid w:val="00B12648"/>
    <w:rsid w:val="00B126B0"/>
    <w:rsid w:val="00B126DA"/>
    <w:rsid w:val="00B12714"/>
    <w:rsid w:val="00B1273C"/>
    <w:rsid w:val="00B12750"/>
    <w:rsid w:val="00B127F1"/>
    <w:rsid w:val="00B128A1"/>
    <w:rsid w:val="00B1291B"/>
    <w:rsid w:val="00B129AB"/>
    <w:rsid w:val="00B12A16"/>
    <w:rsid w:val="00B12B05"/>
    <w:rsid w:val="00B12B9D"/>
    <w:rsid w:val="00B12CEE"/>
    <w:rsid w:val="00B12D83"/>
    <w:rsid w:val="00B12DE5"/>
    <w:rsid w:val="00B12F66"/>
    <w:rsid w:val="00B12FED"/>
    <w:rsid w:val="00B1302B"/>
    <w:rsid w:val="00B1307E"/>
    <w:rsid w:val="00B131F3"/>
    <w:rsid w:val="00B131FC"/>
    <w:rsid w:val="00B1320C"/>
    <w:rsid w:val="00B132A4"/>
    <w:rsid w:val="00B1333A"/>
    <w:rsid w:val="00B13343"/>
    <w:rsid w:val="00B133F9"/>
    <w:rsid w:val="00B13494"/>
    <w:rsid w:val="00B135FC"/>
    <w:rsid w:val="00B13625"/>
    <w:rsid w:val="00B13663"/>
    <w:rsid w:val="00B13762"/>
    <w:rsid w:val="00B137F7"/>
    <w:rsid w:val="00B137FD"/>
    <w:rsid w:val="00B13838"/>
    <w:rsid w:val="00B138C3"/>
    <w:rsid w:val="00B138D5"/>
    <w:rsid w:val="00B1393F"/>
    <w:rsid w:val="00B13985"/>
    <w:rsid w:val="00B13992"/>
    <w:rsid w:val="00B13998"/>
    <w:rsid w:val="00B139C7"/>
    <w:rsid w:val="00B13A02"/>
    <w:rsid w:val="00B13AA0"/>
    <w:rsid w:val="00B13B77"/>
    <w:rsid w:val="00B13CC6"/>
    <w:rsid w:val="00B13D01"/>
    <w:rsid w:val="00B13D3A"/>
    <w:rsid w:val="00B13ED5"/>
    <w:rsid w:val="00B13EE4"/>
    <w:rsid w:val="00B13F15"/>
    <w:rsid w:val="00B1415A"/>
    <w:rsid w:val="00B14260"/>
    <w:rsid w:val="00B142CF"/>
    <w:rsid w:val="00B143D5"/>
    <w:rsid w:val="00B144E7"/>
    <w:rsid w:val="00B14503"/>
    <w:rsid w:val="00B14761"/>
    <w:rsid w:val="00B14790"/>
    <w:rsid w:val="00B14887"/>
    <w:rsid w:val="00B148DE"/>
    <w:rsid w:val="00B148F3"/>
    <w:rsid w:val="00B14947"/>
    <w:rsid w:val="00B149A6"/>
    <w:rsid w:val="00B149D9"/>
    <w:rsid w:val="00B14A10"/>
    <w:rsid w:val="00B14A2E"/>
    <w:rsid w:val="00B14B39"/>
    <w:rsid w:val="00B14B40"/>
    <w:rsid w:val="00B14B88"/>
    <w:rsid w:val="00B14BAF"/>
    <w:rsid w:val="00B14C0F"/>
    <w:rsid w:val="00B14C8D"/>
    <w:rsid w:val="00B14DBA"/>
    <w:rsid w:val="00B14E0E"/>
    <w:rsid w:val="00B14E57"/>
    <w:rsid w:val="00B14F09"/>
    <w:rsid w:val="00B14FFD"/>
    <w:rsid w:val="00B15003"/>
    <w:rsid w:val="00B15018"/>
    <w:rsid w:val="00B1502C"/>
    <w:rsid w:val="00B15086"/>
    <w:rsid w:val="00B150D8"/>
    <w:rsid w:val="00B1522F"/>
    <w:rsid w:val="00B152C4"/>
    <w:rsid w:val="00B152DA"/>
    <w:rsid w:val="00B1532F"/>
    <w:rsid w:val="00B1536B"/>
    <w:rsid w:val="00B15434"/>
    <w:rsid w:val="00B15489"/>
    <w:rsid w:val="00B154AE"/>
    <w:rsid w:val="00B15590"/>
    <w:rsid w:val="00B155A6"/>
    <w:rsid w:val="00B155DD"/>
    <w:rsid w:val="00B1566A"/>
    <w:rsid w:val="00B157DF"/>
    <w:rsid w:val="00B15887"/>
    <w:rsid w:val="00B158C1"/>
    <w:rsid w:val="00B1599E"/>
    <w:rsid w:val="00B159B2"/>
    <w:rsid w:val="00B159EE"/>
    <w:rsid w:val="00B15A06"/>
    <w:rsid w:val="00B15A57"/>
    <w:rsid w:val="00B15A6F"/>
    <w:rsid w:val="00B15B33"/>
    <w:rsid w:val="00B15B73"/>
    <w:rsid w:val="00B15C15"/>
    <w:rsid w:val="00B15C4F"/>
    <w:rsid w:val="00B15C8A"/>
    <w:rsid w:val="00B15CC6"/>
    <w:rsid w:val="00B15D29"/>
    <w:rsid w:val="00B15D44"/>
    <w:rsid w:val="00B15D75"/>
    <w:rsid w:val="00B15E5E"/>
    <w:rsid w:val="00B15E88"/>
    <w:rsid w:val="00B15F14"/>
    <w:rsid w:val="00B15F57"/>
    <w:rsid w:val="00B15FF1"/>
    <w:rsid w:val="00B16030"/>
    <w:rsid w:val="00B1604D"/>
    <w:rsid w:val="00B160FC"/>
    <w:rsid w:val="00B16275"/>
    <w:rsid w:val="00B1629F"/>
    <w:rsid w:val="00B1632D"/>
    <w:rsid w:val="00B16383"/>
    <w:rsid w:val="00B1645E"/>
    <w:rsid w:val="00B1647A"/>
    <w:rsid w:val="00B16495"/>
    <w:rsid w:val="00B16545"/>
    <w:rsid w:val="00B166E1"/>
    <w:rsid w:val="00B166EB"/>
    <w:rsid w:val="00B167C8"/>
    <w:rsid w:val="00B168DF"/>
    <w:rsid w:val="00B1692D"/>
    <w:rsid w:val="00B16A66"/>
    <w:rsid w:val="00B16A80"/>
    <w:rsid w:val="00B16A9F"/>
    <w:rsid w:val="00B16B00"/>
    <w:rsid w:val="00B16B11"/>
    <w:rsid w:val="00B16C14"/>
    <w:rsid w:val="00B16C51"/>
    <w:rsid w:val="00B16CB6"/>
    <w:rsid w:val="00B16D19"/>
    <w:rsid w:val="00B16D4C"/>
    <w:rsid w:val="00B16D68"/>
    <w:rsid w:val="00B16E3F"/>
    <w:rsid w:val="00B16EA6"/>
    <w:rsid w:val="00B16EA8"/>
    <w:rsid w:val="00B16F32"/>
    <w:rsid w:val="00B17068"/>
    <w:rsid w:val="00B1716C"/>
    <w:rsid w:val="00B1720E"/>
    <w:rsid w:val="00B17315"/>
    <w:rsid w:val="00B17320"/>
    <w:rsid w:val="00B17341"/>
    <w:rsid w:val="00B17364"/>
    <w:rsid w:val="00B173B3"/>
    <w:rsid w:val="00B17489"/>
    <w:rsid w:val="00B1749A"/>
    <w:rsid w:val="00B17517"/>
    <w:rsid w:val="00B17526"/>
    <w:rsid w:val="00B1755D"/>
    <w:rsid w:val="00B175DE"/>
    <w:rsid w:val="00B17650"/>
    <w:rsid w:val="00B17666"/>
    <w:rsid w:val="00B176D6"/>
    <w:rsid w:val="00B1783C"/>
    <w:rsid w:val="00B1785E"/>
    <w:rsid w:val="00B178FC"/>
    <w:rsid w:val="00B17C2C"/>
    <w:rsid w:val="00B17CE2"/>
    <w:rsid w:val="00B17D17"/>
    <w:rsid w:val="00B17E77"/>
    <w:rsid w:val="00B17EAA"/>
    <w:rsid w:val="00B2001F"/>
    <w:rsid w:val="00B2002A"/>
    <w:rsid w:val="00B20059"/>
    <w:rsid w:val="00B2020D"/>
    <w:rsid w:val="00B2026F"/>
    <w:rsid w:val="00B202D1"/>
    <w:rsid w:val="00B20351"/>
    <w:rsid w:val="00B20377"/>
    <w:rsid w:val="00B20384"/>
    <w:rsid w:val="00B203BA"/>
    <w:rsid w:val="00B20479"/>
    <w:rsid w:val="00B204CC"/>
    <w:rsid w:val="00B204E4"/>
    <w:rsid w:val="00B204F9"/>
    <w:rsid w:val="00B20571"/>
    <w:rsid w:val="00B20629"/>
    <w:rsid w:val="00B20699"/>
    <w:rsid w:val="00B20771"/>
    <w:rsid w:val="00B2077B"/>
    <w:rsid w:val="00B20780"/>
    <w:rsid w:val="00B207A8"/>
    <w:rsid w:val="00B2093B"/>
    <w:rsid w:val="00B2095B"/>
    <w:rsid w:val="00B20986"/>
    <w:rsid w:val="00B2099E"/>
    <w:rsid w:val="00B209A9"/>
    <w:rsid w:val="00B20A33"/>
    <w:rsid w:val="00B20A95"/>
    <w:rsid w:val="00B20AC5"/>
    <w:rsid w:val="00B20AF1"/>
    <w:rsid w:val="00B20B3D"/>
    <w:rsid w:val="00B20B41"/>
    <w:rsid w:val="00B20B54"/>
    <w:rsid w:val="00B20BC1"/>
    <w:rsid w:val="00B20CAA"/>
    <w:rsid w:val="00B20CCC"/>
    <w:rsid w:val="00B20DD4"/>
    <w:rsid w:val="00B20ECB"/>
    <w:rsid w:val="00B20F12"/>
    <w:rsid w:val="00B20F43"/>
    <w:rsid w:val="00B20FFE"/>
    <w:rsid w:val="00B20FFF"/>
    <w:rsid w:val="00B2108B"/>
    <w:rsid w:val="00B210AA"/>
    <w:rsid w:val="00B21148"/>
    <w:rsid w:val="00B212FA"/>
    <w:rsid w:val="00B2148D"/>
    <w:rsid w:val="00B21592"/>
    <w:rsid w:val="00B215EA"/>
    <w:rsid w:val="00B21771"/>
    <w:rsid w:val="00B217E8"/>
    <w:rsid w:val="00B217EF"/>
    <w:rsid w:val="00B21852"/>
    <w:rsid w:val="00B218CA"/>
    <w:rsid w:val="00B21995"/>
    <w:rsid w:val="00B219F8"/>
    <w:rsid w:val="00B21AEE"/>
    <w:rsid w:val="00B21B0E"/>
    <w:rsid w:val="00B21BCF"/>
    <w:rsid w:val="00B21C9D"/>
    <w:rsid w:val="00B21D76"/>
    <w:rsid w:val="00B21E06"/>
    <w:rsid w:val="00B21E14"/>
    <w:rsid w:val="00B21EA6"/>
    <w:rsid w:val="00B21EE9"/>
    <w:rsid w:val="00B21FAC"/>
    <w:rsid w:val="00B21FFA"/>
    <w:rsid w:val="00B220C5"/>
    <w:rsid w:val="00B220F8"/>
    <w:rsid w:val="00B22167"/>
    <w:rsid w:val="00B221B4"/>
    <w:rsid w:val="00B222A4"/>
    <w:rsid w:val="00B222A9"/>
    <w:rsid w:val="00B223A0"/>
    <w:rsid w:val="00B22442"/>
    <w:rsid w:val="00B2247D"/>
    <w:rsid w:val="00B224A7"/>
    <w:rsid w:val="00B224CD"/>
    <w:rsid w:val="00B22510"/>
    <w:rsid w:val="00B22643"/>
    <w:rsid w:val="00B226AE"/>
    <w:rsid w:val="00B226EF"/>
    <w:rsid w:val="00B226FD"/>
    <w:rsid w:val="00B2281F"/>
    <w:rsid w:val="00B22840"/>
    <w:rsid w:val="00B228ED"/>
    <w:rsid w:val="00B22912"/>
    <w:rsid w:val="00B22A06"/>
    <w:rsid w:val="00B22A40"/>
    <w:rsid w:val="00B22A75"/>
    <w:rsid w:val="00B22B29"/>
    <w:rsid w:val="00B22C06"/>
    <w:rsid w:val="00B22D5B"/>
    <w:rsid w:val="00B22D64"/>
    <w:rsid w:val="00B22E58"/>
    <w:rsid w:val="00B22FAF"/>
    <w:rsid w:val="00B2305E"/>
    <w:rsid w:val="00B23084"/>
    <w:rsid w:val="00B2309D"/>
    <w:rsid w:val="00B2309E"/>
    <w:rsid w:val="00B23154"/>
    <w:rsid w:val="00B231DB"/>
    <w:rsid w:val="00B231E2"/>
    <w:rsid w:val="00B23245"/>
    <w:rsid w:val="00B23280"/>
    <w:rsid w:val="00B2328B"/>
    <w:rsid w:val="00B2331E"/>
    <w:rsid w:val="00B2341B"/>
    <w:rsid w:val="00B23463"/>
    <w:rsid w:val="00B23467"/>
    <w:rsid w:val="00B235ED"/>
    <w:rsid w:val="00B2366E"/>
    <w:rsid w:val="00B236D2"/>
    <w:rsid w:val="00B23898"/>
    <w:rsid w:val="00B238C2"/>
    <w:rsid w:val="00B238D4"/>
    <w:rsid w:val="00B2395C"/>
    <w:rsid w:val="00B239FB"/>
    <w:rsid w:val="00B23A9E"/>
    <w:rsid w:val="00B23AC1"/>
    <w:rsid w:val="00B23C89"/>
    <w:rsid w:val="00B23CA3"/>
    <w:rsid w:val="00B23CB0"/>
    <w:rsid w:val="00B23CF3"/>
    <w:rsid w:val="00B23D07"/>
    <w:rsid w:val="00B23E04"/>
    <w:rsid w:val="00B23E7E"/>
    <w:rsid w:val="00B23EDF"/>
    <w:rsid w:val="00B23EFC"/>
    <w:rsid w:val="00B23F09"/>
    <w:rsid w:val="00B23F0F"/>
    <w:rsid w:val="00B23FB0"/>
    <w:rsid w:val="00B23FD2"/>
    <w:rsid w:val="00B23FED"/>
    <w:rsid w:val="00B2405A"/>
    <w:rsid w:val="00B240B2"/>
    <w:rsid w:val="00B240D8"/>
    <w:rsid w:val="00B2410E"/>
    <w:rsid w:val="00B24116"/>
    <w:rsid w:val="00B2414F"/>
    <w:rsid w:val="00B241E7"/>
    <w:rsid w:val="00B2423A"/>
    <w:rsid w:val="00B242A4"/>
    <w:rsid w:val="00B24455"/>
    <w:rsid w:val="00B2447B"/>
    <w:rsid w:val="00B244CE"/>
    <w:rsid w:val="00B244E9"/>
    <w:rsid w:val="00B2450D"/>
    <w:rsid w:val="00B2461F"/>
    <w:rsid w:val="00B24622"/>
    <w:rsid w:val="00B24690"/>
    <w:rsid w:val="00B2472F"/>
    <w:rsid w:val="00B24777"/>
    <w:rsid w:val="00B2480D"/>
    <w:rsid w:val="00B2483D"/>
    <w:rsid w:val="00B248A5"/>
    <w:rsid w:val="00B248D5"/>
    <w:rsid w:val="00B24971"/>
    <w:rsid w:val="00B249A2"/>
    <w:rsid w:val="00B249B0"/>
    <w:rsid w:val="00B24AD0"/>
    <w:rsid w:val="00B24ADA"/>
    <w:rsid w:val="00B24C92"/>
    <w:rsid w:val="00B24CAE"/>
    <w:rsid w:val="00B24EE2"/>
    <w:rsid w:val="00B24EE9"/>
    <w:rsid w:val="00B24F54"/>
    <w:rsid w:val="00B25015"/>
    <w:rsid w:val="00B2510D"/>
    <w:rsid w:val="00B25210"/>
    <w:rsid w:val="00B2525C"/>
    <w:rsid w:val="00B252D8"/>
    <w:rsid w:val="00B2530D"/>
    <w:rsid w:val="00B25325"/>
    <w:rsid w:val="00B25374"/>
    <w:rsid w:val="00B253B0"/>
    <w:rsid w:val="00B25464"/>
    <w:rsid w:val="00B2552C"/>
    <w:rsid w:val="00B25574"/>
    <w:rsid w:val="00B255C0"/>
    <w:rsid w:val="00B255EF"/>
    <w:rsid w:val="00B2561B"/>
    <w:rsid w:val="00B25630"/>
    <w:rsid w:val="00B2569B"/>
    <w:rsid w:val="00B256E0"/>
    <w:rsid w:val="00B257CB"/>
    <w:rsid w:val="00B25821"/>
    <w:rsid w:val="00B25956"/>
    <w:rsid w:val="00B25986"/>
    <w:rsid w:val="00B25AC7"/>
    <w:rsid w:val="00B25AEE"/>
    <w:rsid w:val="00B25C54"/>
    <w:rsid w:val="00B25CA5"/>
    <w:rsid w:val="00B25D6E"/>
    <w:rsid w:val="00B25DFC"/>
    <w:rsid w:val="00B25ED2"/>
    <w:rsid w:val="00B25EF5"/>
    <w:rsid w:val="00B25F6F"/>
    <w:rsid w:val="00B25F93"/>
    <w:rsid w:val="00B25F94"/>
    <w:rsid w:val="00B26065"/>
    <w:rsid w:val="00B261C1"/>
    <w:rsid w:val="00B261D5"/>
    <w:rsid w:val="00B2624A"/>
    <w:rsid w:val="00B26336"/>
    <w:rsid w:val="00B263E2"/>
    <w:rsid w:val="00B26544"/>
    <w:rsid w:val="00B26570"/>
    <w:rsid w:val="00B265AD"/>
    <w:rsid w:val="00B2663E"/>
    <w:rsid w:val="00B26683"/>
    <w:rsid w:val="00B267ED"/>
    <w:rsid w:val="00B26884"/>
    <w:rsid w:val="00B268DB"/>
    <w:rsid w:val="00B269B2"/>
    <w:rsid w:val="00B269E8"/>
    <w:rsid w:val="00B26A11"/>
    <w:rsid w:val="00B26A12"/>
    <w:rsid w:val="00B26B24"/>
    <w:rsid w:val="00B26B8B"/>
    <w:rsid w:val="00B26C51"/>
    <w:rsid w:val="00B26C95"/>
    <w:rsid w:val="00B26C99"/>
    <w:rsid w:val="00B26CCE"/>
    <w:rsid w:val="00B26D96"/>
    <w:rsid w:val="00B26DD6"/>
    <w:rsid w:val="00B26E15"/>
    <w:rsid w:val="00B26EE8"/>
    <w:rsid w:val="00B26FEA"/>
    <w:rsid w:val="00B2700F"/>
    <w:rsid w:val="00B2702A"/>
    <w:rsid w:val="00B27036"/>
    <w:rsid w:val="00B270E5"/>
    <w:rsid w:val="00B270F9"/>
    <w:rsid w:val="00B27111"/>
    <w:rsid w:val="00B2714C"/>
    <w:rsid w:val="00B2718E"/>
    <w:rsid w:val="00B27214"/>
    <w:rsid w:val="00B27224"/>
    <w:rsid w:val="00B273C6"/>
    <w:rsid w:val="00B27404"/>
    <w:rsid w:val="00B27469"/>
    <w:rsid w:val="00B274C1"/>
    <w:rsid w:val="00B27625"/>
    <w:rsid w:val="00B27688"/>
    <w:rsid w:val="00B276C4"/>
    <w:rsid w:val="00B276E3"/>
    <w:rsid w:val="00B276EE"/>
    <w:rsid w:val="00B2782F"/>
    <w:rsid w:val="00B2785A"/>
    <w:rsid w:val="00B278C3"/>
    <w:rsid w:val="00B278E2"/>
    <w:rsid w:val="00B278F7"/>
    <w:rsid w:val="00B27959"/>
    <w:rsid w:val="00B27A88"/>
    <w:rsid w:val="00B27AF0"/>
    <w:rsid w:val="00B27B41"/>
    <w:rsid w:val="00B27B4E"/>
    <w:rsid w:val="00B27B71"/>
    <w:rsid w:val="00B27B9E"/>
    <w:rsid w:val="00B27BCB"/>
    <w:rsid w:val="00B27C23"/>
    <w:rsid w:val="00B27D5C"/>
    <w:rsid w:val="00B27E4B"/>
    <w:rsid w:val="00B300AA"/>
    <w:rsid w:val="00B300EA"/>
    <w:rsid w:val="00B302D0"/>
    <w:rsid w:val="00B302DB"/>
    <w:rsid w:val="00B302F2"/>
    <w:rsid w:val="00B30396"/>
    <w:rsid w:val="00B303F4"/>
    <w:rsid w:val="00B3057B"/>
    <w:rsid w:val="00B3059F"/>
    <w:rsid w:val="00B305AA"/>
    <w:rsid w:val="00B30614"/>
    <w:rsid w:val="00B30655"/>
    <w:rsid w:val="00B30799"/>
    <w:rsid w:val="00B3079C"/>
    <w:rsid w:val="00B30925"/>
    <w:rsid w:val="00B30954"/>
    <w:rsid w:val="00B30996"/>
    <w:rsid w:val="00B30A20"/>
    <w:rsid w:val="00B30AD5"/>
    <w:rsid w:val="00B30B60"/>
    <w:rsid w:val="00B30B97"/>
    <w:rsid w:val="00B30B9D"/>
    <w:rsid w:val="00B30BFD"/>
    <w:rsid w:val="00B30C1A"/>
    <w:rsid w:val="00B30C1B"/>
    <w:rsid w:val="00B30C76"/>
    <w:rsid w:val="00B30CB4"/>
    <w:rsid w:val="00B30D50"/>
    <w:rsid w:val="00B30D59"/>
    <w:rsid w:val="00B30DC3"/>
    <w:rsid w:val="00B30DD3"/>
    <w:rsid w:val="00B30DF0"/>
    <w:rsid w:val="00B30DF1"/>
    <w:rsid w:val="00B30E43"/>
    <w:rsid w:val="00B30EA9"/>
    <w:rsid w:val="00B30FA4"/>
    <w:rsid w:val="00B30FCB"/>
    <w:rsid w:val="00B31048"/>
    <w:rsid w:val="00B31050"/>
    <w:rsid w:val="00B3116B"/>
    <w:rsid w:val="00B31199"/>
    <w:rsid w:val="00B311B7"/>
    <w:rsid w:val="00B311D7"/>
    <w:rsid w:val="00B3134A"/>
    <w:rsid w:val="00B313D1"/>
    <w:rsid w:val="00B3148E"/>
    <w:rsid w:val="00B314BE"/>
    <w:rsid w:val="00B31521"/>
    <w:rsid w:val="00B315B1"/>
    <w:rsid w:val="00B3166E"/>
    <w:rsid w:val="00B31756"/>
    <w:rsid w:val="00B31960"/>
    <w:rsid w:val="00B31986"/>
    <w:rsid w:val="00B3198B"/>
    <w:rsid w:val="00B31A54"/>
    <w:rsid w:val="00B31A63"/>
    <w:rsid w:val="00B31B3B"/>
    <w:rsid w:val="00B31BA4"/>
    <w:rsid w:val="00B31C17"/>
    <w:rsid w:val="00B31D69"/>
    <w:rsid w:val="00B31E0D"/>
    <w:rsid w:val="00B31E53"/>
    <w:rsid w:val="00B31E74"/>
    <w:rsid w:val="00B31EAA"/>
    <w:rsid w:val="00B31EAC"/>
    <w:rsid w:val="00B31F19"/>
    <w:rsid w:val="00B32171"/>
    <w:rsid w:val="00B321BE"/>
    <w:rsid w:val="00B321E3"/>
    <w:rsid w:val="00B32252"/>
    <w:rsid w:val="00B32255"/>
    <w:rsid w:val="00B32278"/>
    <w:rsid w:val="00B32389"/>
    <w:rsid w:val="00B323B9"/>
    <w:rsid w:val="00B323E5"/>
    <w:rsid w:val="00B32458"/>
    <w:rsid w:val="00B3248E"/>
    <w:rsid w:val="00B324A3"/>
    <w:rsid w:val="00B324B8"/>
    <w:rsid w:val="00B3254A"/>
    <w:rsid w:val="00B32676"/>
    <w:rsid w:val="00B32700"/>
    <w:rsid w:val="00B3271B"/>
    <w:rsid w:val="00B32790"/>
    <w:rsid w:val="00B327B6"/>
    <w:rsid w:val="00B3291A"/>
    <w:rsid w:val="00B3298B"/>
    <w:rsid w:val="00B32997"/>
    <w:rsid w:val="00B32A21"/>
    <w:rsid w:val="00B32B8A"/>
    <w:rsid w:val="00B32BC9"/>
    <w:rsid w:val="00B32CA4"/>
    <w:rsid w:val="00B32D3E"/>
    <w:rsid w:val="00B32D9B"/>
    <w:rsid w:val="00B32DB1"/>
    <w:rsid w:val="00B32E30"/>
    <w:rsid w:val="00B32EC6"/>
    <w:rsid w:val="00B32F01"/>
    <w:rsid w:val="00B32F5A"/>
    <w:rsid w:val="00B32FA7"/>
    <w:rsid w:val="00B33085"/>
    <w:rsid w:val="00B330BC"/>
    <w:rsid w:val="00B33111"/>
    <w:rsid w:val="00B3317F"/>
    <w:rsid w:val="00B331C0"/>
    <w:rsid w:val="00B33341"/>
    <w:rsid w:val="00B33419"/>
    <w:rsid w:val="00B3344C"/>
    <w:rsid w:val="00B334AE"/>
    <w:rsid w:val="00B334C5"/>
    <w:rsid w:val="00B334FB"/>
    <w:rsid w:val="00B3355B"/>
    <w:rsid w:val="00B33566"/>
    <w:rsid w:val="00B335BD"/>
    <w:rsid w:val="00B335D6"/>
    <w:rsid w:val="00B33621"/>
    <w:rsid w:val="00B3363B"/>
    <w:rsid w:val="00B33649"/>
    <w:rsid w:val="00B337B5"/>
    <w:rsid w:val="00B33814"/>
    <w:rsid w:val="00B3385D"/>
    <w:rsid w:val="00B3390D"/>
    <w:rsid w:val="00B3394E"/>
    <w:rsid w:val="00B339E0"/>
    <w:rsid w:val="00B33B30"/>
    <w:rsid w:val="00B33BE8"/>
    <w:rsid w:val="00B33C38"/>
    <w:rsid w:val="00B33C69"/>
    <w:rsid w:val="00B33D42"/>
    <w:rsid w:val="00B33D46"/>
    <w:rsid w:val="00B33E58"/>
    <w:rsid w:val="00B33EA9"/>
    <w:rsid w:val="00B33EAC"/>
    <w:rsid w:val="00B33F58"/>
    <w:rsid w:val="00B33FEC"/>
    <w:rsid w:val="00B34026"/>
    <w:rsid w:val="00B34092"/>
    <w:rsid w:val="00B340A2"/>
    <w:rsid w:val="00B3413C"/>
    <w:rsid w:val="00B34145"/>
    <w:rsid w:val="00B341AD"/>
    <w:rsid w:val="00B34219"/>
    <w:rsid w:val="00B3421B"/>
    <w:rsid w:val="00B3434A"/>
    <w:rsid w:val="00B343D6"/>
    <w:rsid w:val="00B343FB"/>
    <w:rsid w:val="00B34480"/>
    <w:rsid w:val="00B345D5"/>
    <w:rsid w:val="00B345E5"/>
    <w:rsid w:val="00B3465D"/>
    <w:rsid w:val="00B346F0"/>
    <w:rsid w:val="00B34726"/>
    <w:rsid w:val="00B347F1"/>
    <w:rsid w:val="00B348F7"/>
    <w:rsid w:val="00B34914"/>
    <w:rsid w:val="00B3493A"/>
    <w:rsid w:val="00B34963"/>
    <w:rsid w:val="00B34A2A"/>
    <w:rsid w:val="00B34B5E"/>
    <w:rsid w:val="00B34B75"/>
    <w:rsid w:val="00B34B7F"/>
    <w:rsid w:val="00B34B86"/>
    <w:rsid w:val="00B34B9A"/>
    <w:rsid w:val="00B34BDF"/>
    <w:rsid w:val="00B34C75"/>
    <w:rsid w:val="00B34D68"/>
    <w:rsid w:val="00B34D7A"/>
    <w:rsid w:val="00B34E12"/>
    <w:rsid w:val="00B34E66"/>
    <w:rsid w:val="00B34EA6"/>
    <w:rsid w:val="00B34F4C"/>
    <w:rsid w:val="00B34F59"/>
    <w:rsid w:val="00B34FB5"/>
    <w:rsid w:val="00B35089"/>
    <w:rsid w:val="00B350E4"/>
    <w:rsid w:val="00B3515E"/>
    <w:rsid w:val="00B351EE"/>
    <w:rsid w:val="00B3527C"/>
    <w:rsid w:val="00B35290"/>
    <w:rsid w:val="00B35303"/>
    <w:rsid w:val="00B353BF"/>
    <w:rsid w:val="00B35408"/>
    <w:rsid w:val="00B35555"/>
    <w:rsid w:val="00B35675"/>
    <w:rsid w:val="00B35838"/>
    <w:rsid w:val="00B358CB"/>
    <w:rsid w:val="00B358D0"/>
    <w:rsid w:val="00B35A0D"/>
    <w:rsid w:val="00B35A6A"/>
    <w:rsid w:val="00B35ACF"/>
    <w:rsid w:val="00B35AD7"/>
    <w:rsid w:val="00B35B00"/>
    <w:rsid w:val="00B35B04"/>
    <w:rsid w:val="00B35B0C"/>
    <w:rsid w:val="00B35B18"/>
    <w:rsid w:val="00B35B22"/>
    <w:rsid w:val="00B35B9D"/>
    <w:rsid w:val="00B35C10"/>
    <w:rsid w:val="00B35C7E"/>
    <w:rsid w:val="00B35CEA"/>
    <w:rsid w:val="00B35D4A"/>
    <w:rsid w:val="00B35D4D"/>
    <w:rsid w:val="00B35D65"/>
    <w:rsid w:val="00B35E63"/>
    <w:rsid w:val="00B35E8C"/>
    <w:rsid w:val="00B35F03"/>
    <w:rsid w:val="00B35F1B"/>
    <w:rsid w:val="00B35F4F"/>
    <w:rsid w:val="00B35FD9"/>
    <w:rsid w:val="00B36027"/>
    <w:rsid w:val="00B3604B"/>
    <w:rsid w:val="00B36130"/>
    <w:rsid w:val="00B36163"/>
    <w:rsid w:val="00B36166"/>
    <w:rsid w:val="00B36179"/>
    <w:rsid w:val="00B36204"/>
    <w:rsid w:val="00B36217"/>
    <w:rsid w:val="00B362A3"/>
    <w:rsid w:val="00B364A0"/>
    <w:rsid w:val="00B36506"/>
    <w:rsid w:val="00B36553"/>
    <w:rsid w:val="00B36570"/>
    <w:rsid w:val="00B3657E"/>
    <w:rsid w:val="00B365B7"/>
    <w:rsid w:val="00B365CD"/>
    <w:rsid w:val="00B365CF"/>
    <w:rsid w:val="00B36719"/>
    <w:rsid w:val="00B36751"/>
    <w:rsid w:val="00B36768"/>
    <w:rsid w:val="00B36884"/>
    <w:rsid w:val="00B368A8"/>
    <w:rsid w:val="00B368BD"/>
    <w:rsid w:val="00B368F0"/>
    <w:rsid w:val="00B36A3F"/>
    <w:rsid w:val="00B36B36"/>
    <w:rsid w:val="00B36B73"/>
    <w:rsid w:val="00B36BC4"/>
    <w:rsid w:val="00B36BD6"/>
    <w:rsid w:val="00B36BF4"/>
    <w:rsid w:val="00B36C2A"/>
    <w:rsid w:val="00B36C54"/>
    <w:rsid w:val="00B36D47"/>
    <w:rsid w:val="00B36DAC"/>
    <w:rsid w:val="00B36DF8"/>
    <w:rsid w:val="00B36E07"/>
    <w:rsid w:val="00B36F6D"/>
    <w:rsid w:val="00B370A5"/>
    <w:rsid w:val="00B371E8"/>
    <w:rsid w:val="00B3724E"/>
    <w:rsid w:val="00B372AD"/>
    <w:rsid w:val="00B37365"/>
    <w:rsid w:val="00B37478"/>
    <w:rsid w:val="00B374A3"/>
    <w:rsid w:val="00B37501"/>
    <w:rsid w:val="00B3751F"/>
    <w:rsid w:val="00B37552"/>
    <w:rsid w:val="00B3768B"/>
    <w:rsid w:val="00B376C3"/>
    <w:rsid w:val="00B376EC"/>
    <w:rsid w:val="00B37795"/>
    <w:rsid w:val="00B37823"/>
    <w:rsid w:val="00B3791F"/>
    <w:rsid w:val="00B37930"/>
    <w:rsid w:val="00B3797A"/>
    <w:rsid w:val="00B3799F"/>
    <w:rsid w:val="00B37A6C"/>
    <w:rsid w:val="00B37A82"/>
    <w:rsid w:val="00B37A85"/>
    <w:rsid w:val="00B37ACE"/>
    <w:rsid w:val="00B37ADA"/>
    <w:rsid w:val="00B37B5B"/>
    <w:rsid w:val="00B37B77"/>
    <w:rsid w:val="00B37C71"/>
    <w:rsid w:val="00B37D3F"/>
    <w:rsid w:val="00B37E17"/>
    <w:rsid w:val="00B37E5B"/>
    <w:rsid w:val="00B37EFC"/>
    <w:rsid w:val="00B37F04"/>
    <w:rsid w:val="00B37FD3"/>
    <w:rsid w:val="00B40128"/>
    <w:rsid w:val="00B402E6"/>
    <w:rsid w:val="00B40311"/>
    <w:rsid w:val="00B40358"/>
    <w:rsid w:val="00B403CC"/>
    <w:rsid w:val="00B403D2"/>
    <w:rsid w:val="00B403EA"/>
    <w:rsid w:val="00B404FD"/>
    <w:rsid w:val="00B4053D"/>
    <w:rsid w:val="00B40556"/>
    <w:rsid w:val="00B405A3"/>
    <w:rsid w:val="00B405C4"/>
    <w:rsid w:val="00B406D5"/>
    <w:rsid w:val="00B406FC"/>
    <w:rsid w:val="00B4076E"/>
    <w:rsid w:val="00B407F4"/>
    <w:rsid w:val="00B40874"/>
    <w:rsid w:val="00B408F1"/>
    <w:rsid w:val="00B40979"/>
    <w:rsid w:val="00B409B5"/>
    <w:rsid w:val="00B40A4D"/>
    <w:rsid w:val="00B40A63"/>
    <w:rsid w:val="00B40AA4"/>
    <w:rsid w:val="00B40B04"/>
    <w:rsid w:val="00B40B2A"/>
    <w:rsid w:val="00B40B46"/>
    <w:rsid w:val="00B40B81"/>
    <w:rsid w:val="00B40BB2"/>
    <w:rsid w:val="00B40C73"/>
    <w:rsid w:val="00B40D57"/>
    <w:rsid w:val="00B40DE6"/>
    <w:rsid w:val="00B40E58"/>
    <w:rsid w:val="00B40E68"/>
    <w:rsid w:val="00B40E81"/>
    <w:rsid w:val="00B40ED3"/>
    <w:rsid w:val="00B40EE9"/>
    <w:rsid w:val="00B40F35"/>
    <w:rsid w:val="00B40FC8"/>
    <w:rsid w:val="00B40FCD"/>
    <w:rsid w:val="00B41094"/>
    <w:rsid w:val="00B410B1"/>
    <w:rsid w:val="00B4113E"/>
    <w:rsid w:val="00B41155"/>
    <w:rsid w:val="00B41170"/>
    <w:rsid w:val="00B411A2"/>
    <w:rsid w:val="00B41205"/>
    <w:rsid w:val="00B41206"/>
    <w:rsid w:val="00B4126B"/>
    <w:rsid w:val="00B41286"/>
    <w:rsid w:val="00B4131A"/>
    <w:rsid w:val="00B414F5"/>
    <w:rsid w:val="00B41523"/>
    <w:rsid w:val="00B4155A"/>
    <w:rsid w:val="00B41571"/>
    <w:rsid w:val="00B41588"/>
    <w:rsid w:val="00B41589"/>
    <w:rsid w:val="00B41643"/>
    <w:rsid w:val="00B4166B"/>
    <w:rsid w:val="00B4166F"/>
    <w:rsid w:val="00B416E2"/>
    <w:rsid w:val="00B41731"/>
    <w:rsid w:val="00B4174F"/>
    <w:rsid w:val="00B417E8"/>
    <w:rsid w:val="00B418B2"/>
    <w:rsid w:val="00B41903"/>
    <w:rsid w:val="00B4191B"/>
    <w:rsid w:val="00B4192E"/>
    <w:rsid w:val="00B4196D"/>
    <w:rsid w:val="00B419B1"/>
    <w:rsid w:val="00B419B5"/>
    <w:rsid w:val="00B419FC"/>
    <w:rsid w:val="00B41B08"/>
    <w:rsid w:val="00B41B10"/>
    <w:rsid w:val="00B41B30"/>
    <w:rsid w:val="00B41C0D"/>
    <w:rsid w:val="00B41C32"/>
    <w:rsid w:val="00B41CDA"/>
    <w:rsid w:val="00B41DE2"/>
    <w:rsid w:val="00B41FC1"/>
    <w:rsid w:val="00B42061"/>
    <w:rsid w:val="00B4206D"/>
    <w:rsid w:val="00B420A7"/>
    <w:rsid w:val="00B421BC"/>
    <w:rsid w:val="00B421E8"/>
    <w:rsid w:val="00B42234"/>
    <w:rsid w:val="00B42247"/>
    <w:rsid w:val="00B4229E"/>
    <w:rsid w:val="00B422E0"/>
    <w:rsid w:val="00B422E6"/>
    <w:rsid w:val="00B422F5"/>
    <w:rsid w:val="00B42370"/>
    <w:rsid w:val="00B4237E"/>
    <w:rsid w:val="00B423F4"/>
    <w:rsid w:val="00B42542"/>
    <w:rsid w:val="00B42551"/>
    <w:rsid w:val="00B4258E"/>
    <w:rsid w:val="00B42640"/>
    <w:rsid w:val="00B42654"/>
    <w:rsid w:val="00B4287E"/>
    <w:rsid w:val="00B42882"/>
    <w:rsid w:val="00B429DD"/>
    <w:rsid w:val="00B42A56"/>
    <w:rsid w:val="00B42AF2"/>
    <w:rsid w:val="00B42B15"/>
    <w:rsid w:val="00B42BE2"/>
    <w:rsid w:val="00B42C5D"/>
    <w:rsid w:val="00B42C81"/>
    <w:rsid w:val="00B42C87"/>
    <w:rsid w:val="00B42D45"/>
    <w:rsid w:val="00B42E25"/>
    <w:rsid w:val="00B42E42"/>
    <w:rsid w:val="00B42F11"/>
    <w:rsid w:val="00B42F54"/>
    <w:rsid w:val="00B42F66"/>
    <w:rsid w:val="00B42F69"/>
    <w:rsid w:val="00B42F7D"/>
    <w:rsid w:val="00B43079"/>
    <w:rsid w:val="00B4308B"/>
    <w:rsid w:val="00B43158"/>
    <w:rsid w:val="00B4318C"/>
    <w:rsid w:val="00B431B0"/>
    <w:rsid w:val="00B431E3"/>
    <w:rsid w:val="00B43223"/>
    <w:rsid w:val="00B43288"/>
    <w:rsid w:val="00B43477"/>
    <w:rsid w:val="00B435AE"/>
    <w:rsid w:val="00B43745"/>
    <w:rsid w:val="00B438FB"/>
    <w:rsid w:val="00B439A5"/>
    <w:rsid w:val="00B43A59"/>
    <w:rsid w:val="00B43A6D"/>
    <w:rsid w:val="00B43A71"/>
    <w:rsid w:val="00B43A9E"/>
    <w:rsid w:val="00B43C9A"/>
    <w:rsid w:val="00B43CBA"/>
    <w:rsid w:val="00B43DAF"/>
    <w:rsid w:val="00B43F2D"/>
    <w:rsid w:val="00B43F6A"/>
    <w:rsid w:val="00B43F71"/>
    <w:rsid w:val="00B43FA1"/>
    <w:rsid w:val="00B44063"/>
    <w:rsid w:val="00B440E6"/>
    <w:rsid w:val="00B4411D"/>
    <w:rsid w:val="00B44192"/>
    <w:rsid w:val="00B4426A"/>
    <w:rsid w:val="00B4426D"/>
    <w:rsid w:val="00B44328"/>
    <w:rsid w:val="00B4434B"/>
    <w:rsid w:val="00B443F0"/>
    <w:rsid w:val="00B4446A"/>
    <w:rsid w:val="00B444DB"/>
    <w:rsid w:val="00B4453E"/>
    <w:rsid w:val="00B445A0"/>
    <w:rsid w:val="00B445E6"/>
    <w:rsid w:val="00B4466A"/>
    <w:rsid w:val="00B44714"/>
    <w:rsid w:val="00B44788"/>
    <w:rsid w:val="00B447D6"/>
    <w:rsid w:val="00B44827"/>
    <w:rsid w:val="00B44828"/>
    <w:rsid w:val="00B44905"/>
    <w:rsid w:val="00B44B36"/>
    <w:rsid w:val="00B44BA6"/>
    <w:rsid w:val="00B44D3E"/>
    <w:rsid w:val="00B44DDB"/>
    <w:rsid w:val="00B44DDC"/>
    <w:rsid w:val="00B44E5D"/>
    <w:rsid w:val="00B44EF6"/>
    <w:rsid w:val="00B45191"/>
    <w:rsid w:val="00B45200"/>
    <w:rsid w:val="00B45230"/>
    <w:rsid w:val="00B45265"/>
    <w:rsid w:val="00B45279"/>
    <w:rsid w:val="00B452C3"/>
    <w:rsid w:val="00B453E0"/>
    <w:rsid w:val="00B4541E"/>
    <w:rsid w:val="00B45483"/>
    <w:rsid w:val="00B4552A"/>
    <w:rsid w:val="00B45534"/>
    <w:rsid w:val="00B45567"/>
    <w:rsid w:val="00B4559B"/>
    <w:rsid w:val="00B455EB"/>
    <w:rsid w:val="00B4564A"/>
    <w:rsid w:val="00B45659"/>
    <w:rsid w:val="00B456CF"/>
    <w:rsid w:val="00B456D6"/>
    <w:rsid w:val="00B456F1"/>
    <w:rsid w:val="00B457A0"/>
    <w:rsid w:val="00B45821"/>
    <w:rsid w:val="00B4587E"/>
    <w:rsid w:val="00B45964"/>
    <w:rsid w:val="00B45994"/>
    <w:rsid w:val="00B459B7"/>
    <w:rsid w:val="00B45B38"/>
    <w:rsid w:val="00B45B41"/>
    <w:rsid w:val="00B45CC6"/>
    <w:rsid w:val="00B45F03"/>
    <w:rsid w:val="00B45F3A"/>
    <w:rsid w:val="00B45F7B"/>
    <w:rsid w:val="00B4617C"/>
    <w:rsid w:val="00B46186"/>
    <w:rsid w:val="00B461F0"/>
    <w:rsid w:val="00B46200"/>
    <w:rsid w:val="00B462C5"/>
    <w:rsid w:val="00B462DD"/>
    <w:rsid w:val="00B46336"/>
    <w:rsid w:val="00B4639C"/>
    <w:rsid w:val="00B464CA"/>
    <w:rsid w:val="00B46523"/>
    <w:rsid w:val="00B4656B"/>
    <w:rsid w:val="00B466EC"/>
    <w:rsid w:val="00B4672F"/>
    <w:rsid w:val="00B46786"/>
    <w:rsid w:val="00B46788"/>
    <w:rsid w:val="00B46795"/>
    <w:rsid w:val="00B467E2"/>
    <w:rsid w:val="00B46829"/>
    <w:rsid w:val="00B46851"/>
    <w:rsid w:val="00B468C8"/>
    <w:rsid w:val="00B46953"/>
    <w:rsid w:val="00B46AF4"/>
    <w:rsid w:val="00B46B69"/>
    <w:rsid w:val="00B46BF4"/>
    <w:rsid w:val="00B46C2A"/>
    <w:rsid w:val="00B46C81"/>
    <w:rsid w:val="00B46C88"/>
    <w:rsid w:val="00B46CCD"/>
    <w:rsid w:val="00B46D46"/>
    <w:rsid w:val="00B46E7C"/>
    <w:rsid w:val="00B46F01"/>
    <w:rsid w:val="00B46F16"/>
    <w:rsid w:val="00B46F1F"/>
    <w:rsid w:val="00B4705F"/>
    <w:rsid w:val="00B470AE"/>
    <w:rsid w:val="00B470B8"/>
    <w:rsid w:val="00B47147"/>
    <w:rsid w:val="00B47177"/>
    <w:rsid w:val="00B471D1"/>
    <w:rsid w:val="00B473E1"/>
    <w:rsid w:val="00B47441"/>
    <w:rsid w:val="00B4747E"/>
    <w:rsid w:val="00B47568"/>
    <w:rsid w:val="00B475C7"/>
    <w:rsid w:val="00B475CE"/>
    <w:rsid w:val="00B47629"/>
    <w:rsid w:val="00B476CB"/>
    <w:rsid w:val="00B476EF"/>
    <w:rsid w:val="00B47714"/>
    <w:rsid w:val="00B47773"/>
    <w:rsid w:val="00B47976"/>
    <w:rsid w:val="00B47A05"/>
    <w:rsid w:val="00B47BDE"/>
    <w:rsid w:val="00B47D18"/>
    <w:rsid w:val="00B47D4D"/>
    <w:rsid w:val="00B47D52"/>
    <w:rsid w:val="00B47DAD"/>
    <w:rsid w:val="00B47F93"/>
    <w:rsid w:val="00B50084"/>
    <w:rsid w:val="00B500E0"/>
    <w:rsid w:val="00B500F5"/>
    <w:rsid w:val="00B50138"/>
    <w:rsid w:val="00B50167"/>
    <w:rsid w:val="00B50180"/>
    <w:rsid w:val="00B501DF"/>
    <w:rsid w:val="00B50241"/>
    <w:rsid w:val="00B5031C"/>
    <w:rsid w:val="00B5035B"/>
    <w:rsid w:val="00B50436"/>
    <w:rsid w:val="00B504C7"/>
    <w:rsid w:val="00B504E9"/>
    <w:rsid w:val="00B5051A"/>
    <w:rsid w:val="00B50552"/>
    <w:rsid w:val="00B505C0"/>
    <w:rsid w:val="00B505D7"/>
    <w:rsid w:val="00B506AE"/>
    <w:rsid w:val="00B506E4"/>
    <w:rsid w:val="00B50725"/>
    <w:rsid w:val="00B50766"/>
    <w:rsid w:val="00B507D9"/>
    <w:rsid w:val="00B507FE"/>
    <w:rsid w:val="00B5085D"/>
    <w:rsid w:val="00B5089B"/>
    <w:rsid w:val="00B508D7"/>
    <w:rsid w:val="00B50AFE"/>
    <w:rsid w:val="00B50B7E"/>
    <w:rsid w:val="00B50CA3"/>
    <w:rsid w:val="00B50CAB"/>
    <w:rsid w:val="00B50CCA"/>
    <w:rsid w:val="00B50CF3"/>
    <w:rsid w:val="00B50DED"/>
    <w:rsid w:val="00B50EFD"/>
    <w:rsid w:val="00B50F41"/>
    <w:rsid w:val="00B50FA8"/>
    <w:rsid w:val="00B510B0"/>
    <w:rsid w:val="00B51119"/>
    <w:rsid w:val="00B5112D"/>
    <w:rsid w:val="00B51289"/>
    <w:rsid w:val="00B51427"/>
    <w:rsid w:val="00B514C2"/>
    <w:rsid w:val="00B5154D"/>
    <w:rsid w:val="00B51575"/>
    <w:rsid w:val="00B515AE"/>
    <w:rsid w:val="00B5162A"/>
    <w:rsid w:val="00B51645"/>
    <w:rsid w:val="00B5164E"/>
    <w:rsid w:val="00B516EC"/>
    <w:rsid w:val="00B5171A"/>
    <w:rsid w:val="00B51795"/>
    <w:rsid w:val="00B517ED"/>
    <w:rsid w:val="00B518C7"/>
    <w:rsid w:val="00B51938"/>
    <w:rsid w:val="00B51A20"/>
    <w:rsid w:val="00B51A28"/>
    <w:rsid w:val="00B51A8C"/>
    <w:rsid w:val="00B51AA6"/>
    <w:rsid w:val="00B51B06"/>
    <w:rsid w:val="00B51B67"/>
    <w:rsid w:val="00B51C3E"/>
    <w:rsid w:val="00B51D4C"/>
    <w:rsid w:val="00B51D8C"/>
    <w:rsid w:val="00B51DB0"/>
    <w:rsid w:val="00B51EE2"/>
    <w:rsid w:val="00B51F71"/>
    <w:rsid w:val="00B51F96"/>
    <w:rsid w:val="00B52145"/>
    <w:rsid w:val="00B521CA"/>
    <w:rsid w:val="00B5226C"/>
    <w:rsid w:val="00B522D3"/>
    <w:rsid w:val="00B52370"/>
    <w:rsid w:val="00B52432"/>
    <w:rsid w:val="00B524F7"/>
    <w:rsid w:val="00B5250B"/>
    <w:rsid w:val="00B5255A"/>
    <w:rsid w:val="00B52566"/>
    <w:rsid w:val="00B52590"/>
    <w:rsid w:val="00B525A2"/>
    <w:rsid w:val="00B525CD"/>
    <w:rsid w:val="00B52626"/>
    <w:rsid w:val="00B52653"/>
    <w:rsid w:val="00B52681"/>
    <w:rsid w:val="00B5268A"/>
    <w:rsid w:val="00B52766"/>
    <w:rsid w:val="00B52809"/>
    <w:rsid w:val="00B5282C"/>
    <w:rsid w:val="00B52846"/>
    <w:rsid w:val="00B52907"/>
    <w:rsid w:val="00B529BE"/>
    <w:rsid w:val="00B52A5B"/>
    <w:rsid w:val="00B52A5E"/>
    <w:rsid w:val="00B52AB8"/>
    <w:rsid w:val="00B52B90"/>
    <w:rsid w:val="00B52C3D"/>
    <w:rsid w:val="00B52CEE"/>
    <w:rsid w:val="00B52CF0"/>
    <w:rsid w:val="00B52D75"/>
    <w:rsid w:val="00B52DB5"/>
    <w:rsid w:val="00B52E14"/>
    <w:rsid w:val="00B52EC8"/>
    <w:rsid w:val="00B52ED9"/>
    <w:rsid w:val="00B52F65"/>
    <w:rsid w:val="00B53016"/>
    <w:rsid w:val="00B530AE"/>
    <w:rsid w:val="00B530DF"/>
    <w:rsid w:val="00B531FE"/>
    <w:rsid w:val="00B53312"/>
    <w:rsid w:val="00B5348C"/>
    <w:rsid w:val="00B534E8"/>
    <w:rsid w:val="00B53590"/>
    <w:rsid w:val="00B535D3"/>
    <w:rsid w:val="00B535DD"/>
    <w:rsid w:val="00B5366B"/>
    <w:rsid w:val="00B53670"/>
    <w:rsid w:val="00B5368F"/>
    <w:rsid w:val="00B536A3"/>
    <w:rsid w:val="00B5375B"/>
    <w:rsid w:val="00B53761"/>
    <w:rsid w:val="00B53830"/>
    <w:rsid w:val="00B5386F"/>
    <w:rsid w:val="00B539B7"/>
    <w:rsid w:val="00B53A17"/>
    <w:rsid w:val="00B53ADD"/>
    <w:rsid w:val="00B53B37"/>
    <w:rsid w:val="00B53B7D"/>
    <w:rsid w:val="00B53B8A"/>
    <w:rsid w:val="00B53BDE"/>
    <w:rsid w:val="00B53BF3"/>
    <w:rsid w:val="00B53C88"/>
    <w:rsid w:val="00B53DD5"/>
    <w:rsid w:val="00B53E59"/>
    <w:rsid w:val="00B53F45"/>
    <w:rsid w:val="00B53F75"/>
    <w:rsid w:val="00B53F9D"/>
    <w:rsid w:val="00B53FA8"/>
    <w:rsid w:val="00B54064"/>
    <w:rsid w:val="00B54076"/>
    <w:rsid w:val="00B540E0"/>
    <w:rsid w:val="00B54107"/>
    <w:rsid w:val="00B541B1"/>
    <w:rsid w:val="00B5425F"/>
    <w:rsid w:val="00B542CA"/>
    <w:rsid w:val="00B542DD"/>
    <w:rsid w:val="00B5431D"/>
    <w:rsid w:val="00B54360"/>
    <w:rsid w:val="00B54387"/>
    <w:rsid w:val="00B54570"/>
    <w:rsid w:val="00B54579"/>
    <w:rsid w:val="00B54659"/>
    <w:rsid w:val="00B5466F"/>
    <w:rsid w:val="00B546AF"/>
    <w:rsid w:val="00B546BA"/>
    <w:rsid w:val="00B546D5"/>
    <w:rsid w:val="00B547C6"/>
    <w:rsid w:val="00B54885"/>
    <w:rsid w:val="00B548B2"/>
    <w:rsid w:val="00B548BE"/>
    <w:rsid w:val="00B54934"/>
    <w:rsid w:val="00B5498D"/>
    <w:rsid w:val="00B549FD"/>
    <w:rsid w:val="00B54A5A"/>
    <w:rsid w:val="00B54B55"/>
    <w:rsid w:val="00B54B89"/>
    <w:rsid w:val="00B54BCD"/>
    <w:rsid w:val="00B54D46"/>
    <w:rsid w:val="00B54DB5"/>
    <w:rsid w:val="00B54DDD"/>
    <w:rsid w:val="00B54E45"/>
    <w:rsid w:val="00B54E72"/>
    <w:rsid w:val="00B54F11"/>
    <w:rsid w:val="00B54F87"/>
    <w:rsid w:val="00B54FE8"/>
    <w:rsid w:val="00B55027"/>
    <w:rsid w:val="00B55177"/>
    <w:rsid w:val="00B5517E"/>
    <w:rsid w:val="00B55268"/>
    <w:rsid w:val="00B552AD"/>
    <w:rsid w:val="00B552CD"/>
    <w:rsid w:val="00B55393"/>
    <w:rsid w:val="00B553D4"/>
    <w:rsid w:val="00B55454"/>
    <w:rsid w:val="00B55487"/>
    <w:rsid w:val="00B5556D"/>
    <w:rsid w:val="00B556F7"/>
    <w:rsid w:val="00B556FF"/>
    <w:rsid w:val="00B557EF"/>
    <w:rsid w:val="00B55888"/>
    <w:rsid w:val="00B558C0"/>
    <w:rsid w:val="00B558C9"/>
    <w:rsid w:val="00B559A1"/>
    <w:rsid w:val="00B55AD7"/>
    <w:rsid w:val="00B55BD0"/>
    <w:rsid w:val="00B55C3D"/>
    <w:rsid w:val="00B55D0E"/>
    <w:rsid w:val="00B55E64"/>
    <w:rsid w:val="00B55E77"/>
    <w:rsid w:val="00B55E82"/>
    <w:rsid w:val="00B55E92"/>
    <w:rsid w:val="00B55F87"/>
    <w:rsid w:val="00B56008"/>
    <w:rsid w:val="00B56046"/>
    <w:rsid w:val="00B56084"/>
    <w:rsid w:val="00B560CB"/>
    <w:rsid w:val="00B560EC"/>
    <w:rsid w:val="00B561CA"/>
    <w:rsid w:val="00B561F4"/>
    <w:rsid w:val="00B562C9"/>
    <w:rsid w:val="00B56359"/>
    <w:rsid w:val="00B564AC"/>
    <w:rsid w:val="00B564BD"/>
    <w:rsid w:val="00B56535"/>
    <w:rsid w:val="00B565B2"/>
    <w:rsid w:val="00B565CC"/>
    <w:rsid w:val="00B56602"/>
    <w:rsid w:val="00B566CF"/>
    <w:rsid w:val="00B566D7"/>
    <w:rsid w:val="00B567BA"/>
    <w:rsid w:val="00B56831"/>
    <w:rsid w:val="00B56919"/>
    <w:rsid w:val="00B56932"/>
    <w:rsid w:val="00B56993"/>
    <w:rsid w:val="00B569DF"/>
    <w:rsid w:val="00B56AD7"/>
    <w:rsid w:val="00B56B39"/>
    <w:rsid w:val="00B56B75"/>
    <w:rsid w:val="00B56BE2"/>
    <w:rsid w:val="00B56C82"/>
    <w:rsid w:val="00B56D17"/>
    <w:rsid w:val="00B56EBE"/>
    <w:rsid w:val="00B56EC9"/>
    <w:rsid w:val="00B56EE7"/>
    <w:rsid w:val="00B56F15"/>
    <w:rsid w:val="00B56FCE"/>
    <w:rsid w:val="00B57063"/>
    <w:rsid w:val="00B570B8"/>
    <w:rsid w:val="00B570EE"/>
    <w:rsid w:val="00B57188"/>
    <w:rsid w:val="00B571FE"/>
    <w:rsid w:val="00B5724C"/>
    <w:rsid w:val="00B57283"/>
    <w:rsid w:val="00B5728C"/>
    <w:rsid w:val="00B57301"/>
    <w:rsid w:val="00B57352"/>
    <w:rsid w:val="00B57677"/>
    <w:rsid w:val="00B57681"/>
    <w:rsid w:val="00B5768E"/>
    <w:rsid w:val="00B57701"/>
    <w:rsid w:val="00B5772A"/>
    <w:rsid w:val="00B577E8"/>
    <w:rsid w:val="00B577F4"/>
    <w:rsid w:val="00B57802"/>
    <w:rsid w:val="00B57838"/>
    <w:rsid w:val="00B57881"/>
    <w:rsid w:val="00B57885"/>
    <w:rsid w:val="00B578BA"/>
    <w:rsid w:val="00B57919"/>
    <w:rsid w:val="00B5793C"/>
    <w:rsid w:val="00B579DA"/>
    <w:rsid w:val="00B579DE"/>
    <w:rsid w:val="00B579E7"/>
    <w:rsid w:val="00B57A02"/>
    <w:rsid w:val="00B57A3B"/>
    <w:rsid w:val="00B57AF3"/>
    <w:rsid w:val="00B57B73"/>
    <w:rsid w:val="00B57BD7"/>
    <w:rsid w:val="00B57BE1"/>
    <w:rsid w:val="00B57CB2"/>
    <w:rsid w:val="00B57D5E"/>
    <w:rsid w:val="00B57D86"/>
    <w:rsid w:val="00B57ED0"/>
    <w:rsid w:val="00B57FDC"/>
    <w:rsid w:val="00B57FED"/>
    <w:rsid w:val="00B57FFC"/>
    <w:rsid w:val="00B60023"/>
    <w:rsid w:val="00B60049"/>
    <w:rsid w:val="00B600F0"/>
    <w:rsid w:val="00B6012C"/>
    <w:rsid w:val="00B601DB"/>
    <w:rsid w:val="00B60224"/>
    <w:rsid w:val="00B602DC"/>
    <w:rsid w:val="00B60314"/>
    <w:rsid w:val="00B60476"/>
    <w:rsid w:val="00B604AB"/>
    <w:rsid w:val="00B6060E"/>
    <w:rsid w:val="00B60670"/>
    <w:rsid w:val="00B606F6"/>
    <w:rsid w:val="00B6071C"/>
    <w:rsid w:val="00B6084D"/>
    <w:rsid w:val="00B608A6"/>
    <w:rsid w:val="00B6092B"/>
    <w:rsid w:val="00B60981"/>
    <w:rsid w:val="00B609B7"/>
    <w:rsid w:val="00B609EA"/>
    <w:rsid w:val="00B60A04"/>
    <w:rsid w:val="00B60A56"/>
    <w:rsid w:val="00B60A92"/>
    <w:rsid w:val="00B60B43"/>
    <w:rsid w:val="00B60B4F"/>
    <w:rsid w:val="00B60B89"/>
    <w:rsid w:val="00B60BE0"/>
    <w:rsid w:val="00B60C30"/>
    <w:rsid w:val="00B60C98"/>
    <w:rsid w:val="00B60CC3"/>
    <w:rsid w:val="00B60D63"/>
    <w:rsid w:val="00B60D81"/>
    <w:rsid w:val="00B60DC5"/>
    <w:rsid w:val="00B60F28"/>
    <w:rsid w:val="00B60F3F"/>
    <w:rsid w:val="00B60F45"/>
    <w:rsid w:val="00B60F4D"/>
    <w:rsid w:val="00B61010"/>
    <w:rsid w:val="00B6109B"/>
    <w:rsid w:val="00B610DA"/>
    <w:rsid w:val="00B610EA"/>
    <w:rsid w:val="00B61127"/>
    <w:rsid w:val="00B611A5"/>
    <w:rsid w:val="00B612FF"/>
    <w:rsid w:val="00B61359"/>
    <w:rsid w:val="00B61378"/>
    <w:rsid w:val="00B61400"/>
    <w:rsid w:val="00B614BD"/>
    <w:rsid w:val="00B61638"/>
    <w:rsid w:val="00B61657"/>
    <w:rsid w:val="00B616CA"/>
    <w:rsid w:val="00B616D5"/>
    <w:rsid w:val="00B616EC"/>
    <w:rsid w:val="00B61763"/>
    <w:rsid w:val="00B617FA"/>
    <w:rsid w:val="00B61875"/>
    <w:rsid w:val="00B619C0"/>
    <w:rsid w:val="00B619CF"/>
    <w:rsid w:val="00B61A9E"/>
    <w:rsid w:val="00B61AB8"/>
    <w:rsid w:val="00B61B84"/>
    <w:rsid w:val="00B61BC2"/>
    <w:rsid w:val="00B61C1A"/>
    <w:rsid w:val="00B61C29"/>
    <w:rsid w:val="00B61C4F"/>
    <w:rsid w:val="00B61C84"/>
    <w:rsid w:val="00B61C8E"/>
    <w:rsid w:val="00B61CC0"/>
    <w:rsid w:val="00B61D25"/>
    <w:rsid w:val="00B61D8E"/>
    <w:rsid w:val="00B61DC4"/>
    <w:rsid w:val="00B61E0E"/>
    <w:rsid w:val="00B61E44"/>
    <w:rsid w:val="00B61EB6"/>
    <w:rsid w:val="00B61F2F"/>
    <w:rsid w:val="00B61F4A"/>
    <w:rsid w:val="00B62056"/>
    <w:rsid w:val="00B620F0"/>
    <w:rsid w:val="00B62349"/>
    <w:rsid w:val="00B6237B"/>
    <w:rsid w:val="00B6239A"/>
    <w:rsid w:val="00B623CC"/>
    <w:rsid w:val="00B623EE"/>
    <w:rsid w:val="00B6241F"/>
    <w:rsid w:val="00B6244D"/>
    <w:rsid w:val="00B624C7"/>
    <w:rsid w:val="00B62533"/>
    <w:rsid w:val="00B625E0"/>
    <w:rsid w:val="00B6260F"/>
    <w:rsid w:val="00B6279C"/>
    <w:rsid w:val="00B627CF"/>
    <w:rsid w:val="00B62820"/>
    <w:rsid w:val="00B62866"/>
    <w:rsid w:val="00B62884"/>
    <w:rsid w:val="00B628C0"/>
    <w:rsid w:val="00B62A15"/>
    <w:rsid w:val="00B62A20"/>
    <w:rsid w:val="00B62AC9"/>
    <w:rsid w:val="00B62AF2"/>
    <w:rsid w:val="00B62B84"/>
    <w:rsid w:val="00B62B90"/>
    <w:rsid w:val="00B62C42"/>
    <w:rsid w:val="00B62D0D"/>
    <w:rsid w:val="00B62D9E"/>
    <w:rsid w:val="00B62EB9"/>
    <w:rsid w:val="00B62FBC"/>
    <w:rsid w:val="00B630BF"/>
    <w:rsid w:val="00B630DE"/>
    <w:rsid w:val="00B63183"/>
    <w:rsid w:val="00B63184"/>
    <w:rsid w:val="00B631A5"/>
    <w:rsid w:val="00B631ED"/>
    <w:rsid w:val="00B6326A"/>
    <w:rsid w:val="00B6326C"/>
    <w:rsid w:val="00B632AD"/>
    <w:rsid w:val="00B632E5"/>
    <w:rsid w:val="00B6339C"/>
    <w:rsid w:val="00B63456"/>
    <w:rsid w:val="00B634E2"/>
    <w:rsid w:val="00B63535"/>
    <w:rsid w:val="00B63582"/>
    <w:rsid w:val="00B63616"/>
    <w:rsid w:val="00B63640"/>
    <w:rsid w:val="00B636E9"/>
    <w:rsid w:val="00B6388B"/>
    <w:rsid w:val="00B638A9"/>
    <w:rsid w:val="00B6391D"/>
    <w:rsid w:val="00B63A98"/>
    <w:rsid w:val="00B63AB8"/>
    <w:rsid w:val="00B63AFC"/>
    <w:rsid w:val="00B63C97"/>
    <w:rsid w:val="00B63CE3"/>
    <w:rsid w:val="00B63D2E"/>
    <w:rsid w:val="00B63EDC"/>
    <w:rsid w:val="00B63F3D"/>
    <w:rsid w:val="00B63F55"/>
    <w:rsid w:val="00B63F6E"/>
    <w:rsid w:val="00B640FF"/>
    <w:rsid w:val="00B6417F"/>
    <w:rsid w:val="00B64183"/>
    <w:rsid w:val="00B6420F"/>
    <w:rsid w:val="00B643E8"/>
    <w:rsid w:val="00B64678"/>
    <w:rsid w:val="00B64679"/>
    <w:rsid w:val="00B6469A"/>
    <w:rsid w:val="00B646F5"/>
    <w:rsid w:val="00B6477E"/>
    <w:rsid w:val="00B647D8"/>
    <w:rsid w:val="00B6491B"/>
    <w:rsid w:val="00B64922"/>
    <w:rsid w:val="00B649B9"/>
    <w:rsid w:val="00B649E9"/>
    <w:rsid w:val="00B64AEA"/>
    <w:rsid w:val="00B64B16"/>
    <w:rsid w:val="00B64B91"/>
    <w:rsid w:val="00B64BA7"/>
    <w:rsid w:val="00B64C07"/>
    <w:rsid w:val="00B64C1F"/>
    <w:rsid w:val="00B64C2D"/>
    <w:rsid w:val="00B64D40"/>
    <w:rsid w:val="00B64D44"/>
    <w:rsid w:val="00B64D73"/>
    <w:rsid w:val="00B64D8B"/>
    <w:rsid w:val="00B64F19"/>
    <w:rsid w:val="00B64F6A"/>
    <w:rsid w:val="00B6503F"/>
    <w:rsid w:val="00B651A3"/>
    <w:rsid w:val="00B6523A"/>
    <w:rsid w:val="00B65353"/>
    <w:rsid w:val="00B653F4"/>
    <w:rsid w:val="00B653FE"/>
    <w:rsid w:val="00B65459"/>
    <w:rsid w:val="00B654C2"/>
    <w:rsid w:val="00B65665"/>
    <w:rsid w:val="00B65679"/>
    <w:rsid w:val="00B656EB"/>
    <w:rsid w:val="00B65899"/>
    <w:rsid w:val="00B6590D"/>
    <w:rsid w:val="00B65974"/>
    <w:rsid w:val="00B65A94"/>
    <w:rsid w:val="00B65AA1"/>
    <w:rsid w:val="00B65B57"/>
    <w:rsid w:val="00B65B65"/>
    <w:rsid w:val="00B65BB5"/>
    <w:rsid w:val="00B65BFD"/>
    <w:rsid w:val="00B65CC5"/>
    <w:rsid w:val="00B65D0F"/>
    <w:rsid w:val="00B65D6D"/>
    <w:rsid w:val="00B65E42"/>
    <w:rsid w:val="00B65F31"/>
    <w:rsid w:val="00B65FAE"/>
    <w:rsid w:val="00B66079"/>
    <w:rsid w:val="00B660F3"/>
    <w:rsid w:val="00B6615D"/>
    <w:rsid w:val="00B66252"/>
    <w:rsid w:val="00B66286"/>
    <w:rsid w:val="00B662E2"/>
    <w:rsid w:val="00B66359"/>
    <w:rsid w:val="00B663BC"/>
    <w:rsid w:val="00B663DC"/>
    <w:rsid w:val="00B663DE"/>
    <w:rsid w:val="00B663E3"/>
    <w:rsid w:val="00B66402"/>
    <w:rsid w:val="00B66484"/>
    <w:rsid w:val="00B66530"/>
    <w:rsid w:val="00B66559"/>
    <w:rsid w:val="00B665C2"/>
    <w:rsid w:val="00B666C5"/>
    <w:rsid w:val="00B66730"/>
    <w:rsid w:val="00B667EC"/>
    <w:rsid w:val="00B66846"/>
    <w:rsid w:val="00B6687F"/>
    <w:rsid w:val="00B66880"/>
    <w:rsid w:val="00B668E6"/>
    <w:rsid w:val="00B6691A"/>
    <w:rsid w:val="00B669E7"/>
    <w:rsid w:val="00B66A1B"/>
    <w:rsid w:val="00B66A86"/>
    <w:rsid w:val="00B66AC1"/>
    <w:rsid w:val="00B66BE5"/>
    <w:rsid w:val="00B66C8D"/>
    <w:rsid w:val="00B66C91"/>
    <w:rsid w:val="00B66CA1"/>
    <w:rsid w:val="00B66CDB"/>
    <w:rsid w:val="00B66CFC"/>
    <w:rsid w:val="00B66DA2"/>
    <w:rsid w:val="00B66DAA"/>
    <w:rsid w:val="00B66E19"/>
    <w:rsid w:val="00B66E7E"/>
    <w:rsid w:val="00B66F05"/>
    <w:rsid w:val="00B66F07"/>
    <w:rsid w:val="00B67050"/>
    <w:rsid w:val="00B670FB"/>
    <w:rsid w:val="00B67119"/>
    <w:rsid w:val="00B6712E"/>
    <w:rsid w:val="00B672A7"/>
    <w:rsid w:val="00B672FD"/>
    <w:rsid w:val="00B67367"/>
    <w:rsid w:val="00B67407"/>
    <w:rsid w:val="00B67430"/>
    <w:rsid w:val="00B67452"/>
    <w:rsid w:val="00B67454"/>
    <w:rsid w:val="00B67456"/>
    <w:rsid w:val="00B67558"/>
    <w:rsid w:val="00B675E3"/>
    <w:rsid w:val="00B67605"/>
    <w:rsid w:val="00B67669"/>
    <w:rsid w:val="00B67690"/>
    <w:rsid w:val="00B67698"/>
    <w:rsid w:val="00B6778D"/>
    <w:rsid w:val="00B67791"/>
    <w:rsid w:val="00B678B0"/>
    <w:rsid w:val="00B6793E"/>
    <w:rsid w:val="00B679A9"/>
    <w:rsid w:val="00B67A91"/>
    <w:rsid w:val="00B67B54"/>
    <w:rsid w:val="00B67C12"/>
    <w:rsid w:val="00B67C46"/>
    <w:rsid w:val="00B67C67"/>
    <w:rsid w:val="00B67C81"/>
    <w:rsid w:val="00B67CB4"/>
    <w:rsid w:val="00B67CF9"/>
    <w:rsid w:val="00B67D5F"/>
    <w:rsid w:val="00B67E0C"/>
    <w:rsid w:val="00B67E95"/>
    <w:rsid w:val="00B67E96"/>
    <w:rsid w:val="00B67E9B"/>
    <w:rsid w:val="00B67EDB"/>
    <w:rsid w:val="00B67EE9"/>
    <w:rsid w:val="00B67F28"/>
    <w:rsid w:val="00B67F48"/>
    <w:rsid w:val="00B701B8"/>
    <w:rsid w:val="00B70323"/>
    <w:rsid w:val="00B70394"/>
    <w:rsid w:val="00B7048B"/>
    <w:rsid w:val="00B704BD"/>
    <w:rsid w:val="00B7059E"/>
    <w:rsid w:val="00B705B9"/>
    <w:rsid w:val="00B705EF"/>
    <w:rsid w:val="00B70617"/>
    <w:rsid w:val="00B706CC"/>
    <w:rsid w:val="00B707E9"/>
    <w:rsid w:val="00B7083C"/>
    <w:rsid w:val="00B709E0"/>
    <w:rsid w:val="00B709FC"/>
    <w:rsid w:val="00B70B3C"/>
    <w:rsid w:val="00B70B71"/>
    <w:rsid w:val="00B70BA2"/>
    <w:rsid w:val="00B70C1F"/>
    <w:rsid w:val="00B70DC5"/>
    <w:rsid w:val="00B70ECF"/>
    <w:rsid w:val="00B70EE7"/>
    <w:rsid w:val="00B70FC3"/>
    <w:rsid w:val="00B70FC5"/>
    <w:rsid w:val="00B70FE6"/>
    <w:rsid w:val="00B71043"/>
    <w:rsid w:val="00B710AC"/>
    <w:rsid w:val="00B71215"/>
    <w:rsid w:val="00B71222"/>
    <w:rsid w:val="00B7128B"/>
    <w:rsid w:val="00B71343"/>
    <w:rsid w:val="00B71384"/>
    <w:rsid w:val="00B7138F"/>
    <w:rsid w:val="00B713E6"/>
    <w:rsid w:val="00B71421"/>
    <w:rsid w:val="00B71449"/>
    <w:rsid w:val="00B714C0"/>
    <w:rsid w:val="00B71502"/>
    <w:rsid w:val="00B7168D"/>
    <w:rsid w:val="00B716F7"/>
    <w:rsid w:val="00B71794"/>
    <w:rsid w:val="00B717CB"/>
    <w:rsid w:val="00B717F2"/>
    <w:rsid w:val="00B71866"/>
    <w:rsid w:val="00B718A7"/>
    <w:rsid w:val="00B71941"/>
    <w:rsid w:val="00B71947"/>
    <w:rsid w:val="00B71964"/>
    <w:rsid w:val="00B71A90"/>
    <w:rsid w:val="00B71AB9"/>
    <w:rsid w:val="00B71AC5"/>
    <w:rsid w:val="00B71B93"/>
    <w:rsid w:val="00B71C21"/>
    <w:rsid w:val="00B71CFD"/>
    <w:rsid w:val="00B71D2D"/>
    <w:rsid w:val="00B71D5E"/>
    <w:rsid w:val="00B71E08"/>
    <w:rsid w:val="00B71F13"/>
    <w:rsid w:val="00B71F17"/>
    <w:rsid w:val="00B71F2F"/>
    <w:rsid w:val="00B72004"/>
    <w:rsid w:val="00B72005"/>
    <w:rsid w:val="00B72061"/>
    <w:rsid w:val="00B720C2"/>
    <w:rsid w:val="00B72106"/>
    <w:rsid w:val="00B72140"/>
    <w:rsid w:val="00B7234A"/>
    <w:rsid w:val="00B723C4"/>
    <w:rsid w:val="00B723C7"/>
    <w:rsid w:val="00B723C8"/>
    <w:rsid w:val="00B7245D"/>
    <w:rsid w:val="00B724B5"/>
    <w:rsid w:val="00B725CB"/>
    <w:rsid w:val="00B725F4"/>
    <w:rsid w:val="00B725FF"/>
    <w:rsid w:val="00B72604"/>
    <w:rsid w:val="00B726D4"/>
    <w:rsid w:val="00B7271C"/>
    <w:rsid w:val="00B72776"/>
    <w:rsid w:val="00B727D5"/>
    <w:rsid w:val="00B728FE"/>
    <w:rsid w:val="00B7292A"/>
    <w:rsid w:val="00B7294E"/>
    <w:rsid w:val="00B72966"/>
    <w:rsid w:val="00B72970"/>
    <w:rsid w:val="00B729D8"/>
    <w:rsid w:val="00B729FC"/>
    <w:rsid w:val="00B72A44"/>
    <w:rsid w:val="00B72A94"/>
    <w:rsid w:val="00B72BC1"/>
    <w:rsid w:val="00B72CCE"/>
    <w:rsid w:val="00B72D25"/>
    <w:rsid w:val="00B72D26"/>
    <w:rsid w:val="00B72D91"/>
    <w:rsid w:val="00B72D95"/>
    <w:rsid w:val="00B72DDD"/>
    <w:rsid w:val="00B72DFD"/>
    <w:rsid w:val="00B72E53"/>
    <w:rsid w:val="00B72EED"/>
    <w:rsid w:val="00B72FF7"/>
    <w:rsid w:val="00B7308E"/>
    <w:rsid w:val="00B730AC"/>
    <w:rsid w:val="00B73148"/>
    <w:rsid w:val="00B731D4"/>
    <w:rsid w:val="00B731D7"/>
    <w:rsid w:val="00B73251"/>
    <w:rsid w:val="00B732DC"/>
    <w:rsid w:val="00B733BA"/>
    <w:rsid w:val="00B733E0"/>
    <w:rsid w:val="00B7345E"/>
    <w:rsid w:val="00B734AF"/>
    <w:rsid w:val="00B734D9"/>
    <w:rsid w:val="00B73534"/>
    <w:rsid w:val="00B7359F"/>
    <w:rsid w:val="00B7361D"/>
    <w:rsid w:val="00B73655"/>
    <w:rsid w:val="00B736D3"/>
    <w:rsid w:val="00B736FA"/>
    <w:rsid w:val="00B737D4"/>
    <w:rsid w:val="00B73883"/>
    <w:rsid w:val="00B7389D"/>
    <w:rsid w:val="00B738AD"/>
    <w:rsid w:val="00B738D4"/>
    <w:rsid w:val="00B7390F"/>
    <w:rsid w:val="00B73963"/>
    <w:rsid w:val="00B739EF"/>
    <w:rsid w:val="00B73A44"/>
    <w:rsid w:val="00B73A7B"/>
    <w:rsid w:val="00B73E0E"/>
    <w:rsid w:val="00B73E2F"/>
    <w:rsid w:val="00B73EA8"/>
    <w:rsid w:val="00B73ECE"/>
    <w:rsid w:val="00B73F05"/>
    <w:rsid w:val="00B741B1"/>
    <w:rsid w:val="00B741BE"/>
    <w:rsid w:val="00B741FF"/>
    <w:rsid w:val="00B74216"/>
    <w:rsid w:val="00B743E0"/>
    <w:rsid w:val="00B743E2"/>
    <w:rsid w:val="00B743E5"/>
    <w:rsid w:val="00B74482"/>
    <w:rsid w:val="00B744ED"/>
    <w:rsid w:val="00B74508"/>
    <w:rsid w:val="00B745A9"/>
    <w:rsid w:val="00B74677"/>
    <w:rsid w:val="00B746DC"/>
    <w:rsid w:val="00B74737"/>
    <w:rsid w:val="00B7475B"/>
    <w:rsid w:val="00B747C8"/>
    <w:rsid w:val="00B747E9"/>
    <w:rsid w:val="00B747F8"/>
    <w:rsid w:val="00B74AC1"/>
    <w:rsid w:val="00B74C09"/>
    <w:rsid w:val="00B74C25"/>
    <w:rsid w:val="00B74CB8"/>
    <w:rsid w:val="00B74D3D"/>
    <w:rsid w:val="00B74E9C"/>
    <w:rsid w:val="00B7520C"/>
    <w:rsid w:val="00B7528A"/>
    <w:rsid w:val="00B752DE"/>
    <w:rsid w:val="00B7537E"/>
    <w:rsid w:val="00B7538A"/>
    <w:rsid w:val="00B75441"/>
    <w:rsid w:val="00B7547E"/>
    <w:rsid w:val="00B75497"/>
    <w:rsid w:val="00B754C2"/>
    <w:rsid w:val="00B755CB"/>
    <w:rsid w:val="00B755E5"/>
    <w:rsid w:val="00B755F2"/>
    <w:rsid w:val="00B7562A"/>
    <w:rsid w:val="00B7565E"/>
    <w:rsid w:val="00B756A7"/>
    <w:rsid w:val="00B756CE"/>
    <w:rsid w:val="00B75708"/>
    <w:rsid w:val="00B75814"/>
    <w:rsid w:val="00B7584C"/>
    <w:rsid w:val="00B75869"/>
    <w:rsid w:val="00B7587F"/>
    <w:rsid w:val="00B75904"/>
    <w:rsid w:val="00B7591C"/>
    <w:rsid w:val="00B75924"/>
    <w:rsid w:val="00B759CD"/>
    <w:rsid w:val="00B75BFA"/>
    <w:rsid w:val="00B75C1D"/>
    <w:rsid w:val="00B75C3C"/>
    <w:rsid w:val="00B75CE7"/>
    <w:rsid w:val="00B75D4E"/>
    <w:rsid w:val="00B75D6D"/>
    <w:rsid w:val="00B75D81"/>
    <w:rsid w:val="00B75E02"/>
    <w:rsid w:val="00B75E2F"/>
    <w:rsid w:val="00B75EA3"/>
    <w:rsid w:val="00B75F45"/>
    <w:rsid w:val="00B75FA1"/>
    <w:rsid w:val="00B75FCF"/>
    <w:rsid w:val="00B76005"/>
    <w:rsid w:val="00B760C3"/>
    <w:rsid w:val="00B760EC"/>
    <w:rsid w:val="00B7610D"/>
    <w:rsid w:val="00B7610F"/>
    <w:rsid w:val="00B76133"/>
    <w:rsid w:val="00B761C9"/>
    <w:rsid w:val="00B761EC"/>
    <w:rsid w:val="00B7621A"/>
    <w:rsid w:val="00B7621D"/>
    <w:rsid w:val="00B76223"/>
    <w:rsid w:val="00B76383"/>
    <w:rsid w:val="00B7654B"/>
    <w:rsid w:val="00B765A1"/>
    <w:rsid w:val="00B765D8"/>
    <w:rsid w:val="00B765E9"/>
    <w:rsid w:val="00B7669B"/>
    <w:rsid w:val="00B7669F"/>
    <w:rsid w:val="00B76708"/>
    <w:rsid w:val="00B7672B"/>
    <w:rsid w:val="00B7673A"/>
    <w:rsid w:val="00B76927"/>
    <w:rsid w:val="00B7697F"/>
    <w:rsid w:val="00B769AF"/>
    <w:rsid w:val="00B76A15"/>
    <w:rsid w:val="00B76ACF"/>
    <w:rsid w:val="00B76B4F"/>
    <w:rsid w:val="00B76BD1"/>
    <w:rsid w:val="00B76CB1"/>
    <w:rsid w:val="00B76CD7"/>
    <w:rsid w:val="00B76D8B"/>
    <w:rsid w:val="00B76DBA"/>
    <w:rsid w:val="00B76DD0"/>
    <w:rsid w:val="00B76EB1"/>
    <w:rsid w:val="00B76EC1"/>
    <w:rsid w:val="00B76F48"/>
    <w:rsid w:val="00B76F89"/>
    <w:rsid w:val="00B76FBD"/>
    <w:rsid w:val="00B76FC7"/>
    <w:rsid w:val="00B770C6"/>
    <w:rsid w:val="00B7710B"/>
    <w:rsid w:val="00B7719C"/>
    <w:rsid w:val="00B7720F"/>
    <w:rsid w:val="00B7721F"/>
    <w:rsid w:val="00B772BF"/>
    <w:rsid w:val="00B7744E"/>
    <w:rsid w:val="00B774F4"/>
    <w:rsid w:val="00B77512"/>
    <w:rsid w:val="00B775C7"/>
    <w:rsid w:val="00B775F6"/>
    <w:rsid w:val="00B77614"/>
    <w:rsid w:val="00B77641"/>
    <w:rsid w:val="00B77652"/>
    <w:rsid w:val="00B7765A"/>
    <w:rsid w:val="00B776A9"/>
    <w:rsid w:val="00B776F2"/>
    <w:rsid w:val="00B776FA"/>
    <w:rsid w:val="00B7776F"/>
    <w:rsid w:val="00B7777B"/>
    <w:rsid w:val="00B77780"/>
    <w:rsid w:val="00B7794C"/>
    <w:rsid w:val="00B7796E"/>
    <w:rsid w:val="00B779F2"/>
    <w:rsid w:val="00B77A0F"/>
    <w:rsid w:val="00B77A79"/>
    <w:rsid w:val="00B77ACF"/>
    <w:rsid w:val="00B77B23"/>
    <w:rsid w:val="00B77C08"/>
    <w:rsid w:val="00B77C65"/>
    <w:rsid w:val="00B77D1A"/>
    <w:rsid w:val="00B77D23"/>
    <w:rsid w:val="00B77E43"/>
    <w:rsid w:val="00B77E5F"/>
    <w:rsid w:val="00B77F06"/>
    <w:rsid w:val="00B77F44"/>
    <w:rsid w:val="00B77F61"/>
    <w:rsid w:val="00B77F82"/>
    <w:rsid w:val="00B800DD"/>
    <w:rsid w:val="00B800E8"/>
    <w:rsid w:val="00B80174"/>
    <w:rsid w:val="00B80200"/>
    <w:rsid w:val="00B8023E"/>
    <w:rsid w:val="00B80241"/>
    <w:rsid w:val="00B80272"/>
    <w:rsid w:val="00B802DB"/>
    <w:rsid w:val="00B80304"/>
    <w:rsid w:val="00B8036C"/>
    <w:rsid w:val="00B80375"/>
    <w:rsid w:val="00B80394"/>
    <w:rsid w:val="00B804A6"/>
    <w:rsid w:val="00B8059B"/>
    <w:rsid w:val="00B80624"/>
    <w:rsid w:val="00B80705"/>
    <w:rsid w:val="00B807B9"/>
    <w:rsid w:val="00B80826"/>
    <w:rsid w:val="00B808AD"/>
    <w:rsid w:val="00B808C1"/>
    <w:rsid w:val="00B808E7"/>
    <w:rsid w:val="00B8094E"/>
    <w:rsid w:val="00B80956"/>
    <w:rsid w:val="00B80977"/>
    <w:rsid w:val="00B80A15"/>
    <w:rsid w:val="00B80A80"/>
    <w:rsid w:val="00B80B32"/>
    <w:rsid w:val="00B80B6D"/>
    <w:rsid w:val="00B80BBF"/>
    <w:rsid w:val="00B80BCF"/>
    <w:rsid w:val="00B80C85"/>
    <w:rsid w:val="00B80C97"/>
    <w:rsid w:val="00B80C9E"/>
    <w:rsid w:val="00B80CB1"/>
    <w:rsid w:val="00B80E00"/>
    <w:rsid w:val="00B80E36"/>
    <w:rsid w:val="00B80E73"/>
    <w:rsid w:val="00B80ECB"/>
    <w:rsid w:val="00B80F71"/>
    <w:rsid w:val="00B80F7F"/>
    <w:rsid w:val="00B81051"/>
    <w:rsid w:val="00B81067"/>
    <w:rsid w:val="00B81203"/>
    <w:rsid w:val="00B81622"/>
    <w:rsid w:val="00B816BB"/>
    <w:rsid w:val="00B8189D"/>
    <w:rsid w:val="00B818A4"/>
    <w:rsid w:val="00B818DC"/>
    <w:rsid w:val="00B81975"/>
    <w:rsid w:val="00B819AB"/>
    <w:rsid w:val="00B81AE8"/>
    <w:rsid w:val="00B81B05"/>
    <w:rsid w:val="00B81B5B"/>
    <w:rsid w:val="00B81C17"/>
    <w:rsid w:val="00B81CE3"/>
    <w:rsid w:val="00B81D12"/>
    <w:rsid w:val="00B81E77"/>
    <w:rsid w:val="00B81E9C"/>
    <w:rsid w:val="00B81EC3"/>
    <w:rsid w:val="00B81F1C"/>
    <w:rsid w:val="00B81FC7"/>
    <w:rsid w:val="00B81FE0"/>
    <w:rsid w:val="00B82014"/>
    <w:rsid w:val="00B82036"/>
    <w:rsid w:val="00B8213B"/>
    <w:rsid w:val="00B82179"/>
    <w:rsid w:val="00B821E9"/>
    <w:rsid w:val="00B821ED"/>
    <w:rsid w:val="00B82310"/>
    <w:rsid w:val="00B8231F"/>
    <w:rsid w:val="00B82320"/>
    <w:rsid w:val="00B82381"/>
    <w:rsid w:val="00B8249A"/>
    <w:rsid w:val="00B824D1"/>
    <w:rsid w:val="00B82502"/>
    <w:rsid w:val="00B8261C"/>
    <w:rsid w:val="00B826ED"/>
    <w:rsid w:val="00B82774"/>
    <w:rsid w:val="00B82779"/>
    <w:rsid w:val="00B827F8"/>
    <w:rsid w:val="00B827FF"/>
    <w:rsid w:val="00B8283A"/>
    <w:rsid w:val="00B82853"/>
    <w:rsid w:val="00B829A1"/>
    <w:rsid w:val="00B82A10"/>
    <w:rsid w:val="00B82A59"/>
    <w:rsid w:val="00B82AD6"/>
    <w:rsid w:val="00B82B50"/>
    <w:rsid w:val="00B82BD7"/>
    <w:rsid w:val="00B82C19"/>
    <w:rsid w:val="00B82C90"/>
    <w:rsid w:val="00B82D5D"/>
    <w:rsid w:val="00B82EBE"/>
    <w:rsid w:val="00B82FD3"/>
    <w:rsid w:val="00B8308C"/>
    <w:rsid w:val="00B830D4"/>
    <w:rsid w:val="00B830E5"/>
    <w:rsid w:val="00B83228"/>
    <w:rsid w:val="00B8324B"/>
    <w:rsid w:val="00B83265"/>
    <w:rsid w:val="00B83358"/>
    <w:rsid w:val="00B833BC"/>
    <w:rsid w:val="00B83440"/>
    <w:rsid w:val="00B8350A"/>
    <w:rsid w:val="00B8356D"/>
    <w:rsid w:val="00B836B4"/>
    <w:rsid w:val="00B836E2"/>
    <w:rsid w:val="00B8370D"/>
    <w:rsid w:val="00B83777"/>
    <w:rsid w:val="00B837B4"/>
    <w:rsid w:val="00B83905"/>
    <w:rsid w:val="00B83927"/>
    <w:rsid w:val="00B8398F"/>
    <w:rsid w:val="00B83BC1"/>
    <w:rsid w:val="00B83BDB"/>
    <w:rsid w:val="00B83C01"/>
    <w:rsid w:val="00B83C1D"/>
    <w:rsid w:val="00B83CD0"/>
    <w:rsid w:val="00B83D11"/>
    <w:rsid w:val="00B83DAB"/>
    <w:rsid w:val="00B83DCF"/>
    <w:rsid w:val="00B83F08"/>
    <w:rsid w:val="00B83F13"/>
    <w:rsid w:val="00B8408A"/>
    <w:rsid w:val="00B840C8"/>
    <w:rsid w:val="00B840FD"/>
    <w:rsid w:val="00B84188"/>
    <w:rsid w:val="00B8420E"/>
    <w:rsid w:val="00B84235"/>
    <w:rsid w:val="00B84245"/>
    <w:rsid w:val="00B84258"/>
    <w:rsid w:val="00B842F5"/>
    <w:rsid w:val="00B84334"/>
    <w:rsid w:val="00B84357"/>
    <w:rsid w:val="00B84371"/>
    <w:rsid w:val="00B844B9"/>
    <w:rsid w:val="00B844C4"/>
    <w:rsid w:val="00B844C9"/>
    <w:rsid w:val="00B84547"/>
    <w:rsid w:val="00B845F5"/>
    <w:rsid w:val="00B845FE"/>
    <w:rsid w:val="00B84603"/>
    <w:rsid w:val="00B84629"/>
    <w:rsid w:val="00B84640"/>
    <w:rsid w:val="00B8465B"/>
    <w:rsid w:val="00B8466D"/>
    <w:rsid w:val="00B846BC"/>
    <w:rsid w:val="00B8473C"/>
    <w:rsid w:val="00B84883"/>
    <w:rsid w:val="00B84960"/>
    <w:rsid w:val="00B849E0"/>
    <w:rsid w:val="00B849EA"/>
    <w:rsid w:val="00B84A84"/>
    <w:rsid w:val="00B84BA4"/>
    <w:rsid w:val="00B84BD3"/>
    <w:rsid w:val="00B84CBC"/>
    <w:rsid w:val="00B84CD1"/>
    <w:rsid w:val="00B84D3E"/>
    <w:rsid w:val="00B84D8A"/>
    <w:rsid w:val="00B84DF3"/>
    <w:rsid w:val="00B84E43"/>
    <w:rsid w:val="00B84F0C"/>
    <w:rsid w:val="00B84F3A"/>
    <w:rsid w:val="00B84FDA"/>
    <w:rsid w:val="00B8507A"/>
    <w:rsid w:val="00B850AD"/>
    <w:rsid w:val="00B85181"/>
    <w:rsid w:val="00B851D0"/>
    <w:rsid w:val="00B851DE"/>
    <w:rsid w:val="00B8524E"/>
    <w:rsid w:val="00B8528A"/>
    <w:rsid w:val="00B852D6"/>
    <w:rsid w:val="00B85321"/>
    <w:rsid w:val="00B8542E"/>
    <w:rsid w:val="00B854FD"/>
    <w:rsid w:val="00B8555D"/>
    <w:rsid w:val="00B855A1"/>
    <w:rsid w:val="00B8569D"/>
    <w:rsid w:val="00B85709"/>
    <w:rsid w:val="00B85777"/>
    <w:rsid w:val="00B8579D"/>
    <w:rsid w:val="00B8588E"/>
    <w:rsid w:val="00B858A7"/>
    <w:rsid w:val="00B858B6"/>
    <w:rsid w:val="00B85912"/>
    <w:rsid w:val="00B8591E"/>
    <w:rsid w:val="00B8596E"/>
    <w:rsid w:val="00B859B9"/>
    <w:rsid w:val="00B85A09"/>
    <w:rsid w:val="00B85AA9"/>
    <w:rsid w:val="00B85AD5"/>
    <w:rsid w:val="00B85BB3"/>
    <w:rsid w:val="00B85C10"/>
    <w:rsid w:val="00B85C9C"/>
    <w:rsid w:val="00B85D0C"/>
    <w:rsid w:val="00B85E04"/>
    <w:rsid w:val="00B85F4A"/>
    <w:rsid w:val="00B85F95"/>
    <w:rsid w:val="00B85FB1"/>
    <w:rsid w:val="00B860A1"/>
    <w:rsid w:val="00B860CC"/>
    <w:rsid w:val="00B860E0"/>
    <w:rsid w:val="00B8616B"/>
    <w:rsid w:val="00B861C2"/>
    <w:rsid w:val="00B86229"/>
    <w:rsid w:val="00B8624C"/>
    <w:rsid w:val="00B86299"/>
    <w:rsid w:val="00B862C1"/>
    <w:rsid w:val="00B86357"/>
    <w:rsid w:val="00B863D1"/>
    <w:rsid w:val="00B863FD"/>
    <w:rsid w:val="00B8641D"/>
    <w:rsid w:val="00B86439"/>
    <w:rsid w:val="00B8679D"/>
    <w:rsid w:val="00B867D7"/>
    <w:rsid w:val="00B867D8"/>
    <w:rsid w:val="00B86814"/>
    <w:rsid w:val="00B86846"/>
    <w:rsid w:val="00B86905"/>
    <w:rsid w:val="00B8694B"/>
    <w:rsid w:val="00B86952"/>
    <w:rsid w:val="00B86995"/>
    <w:rsid w:val="00B86A37"/>
    <w:rsid w:val="00B86AE0"/>
    <w:rsid w:val="00B86B09"/>
    <w:rsid w:val="00B86B34"/>
    <w:rsid w:val="00B86B7E"/>
    <w:rsid w:val="00B86BA7"/>
    <w:rsid w:val="00B86C87"/>
    <w:rsid w:val="00B86CC0"/>
    <w:rsid w:val="00B86CD1"/>
    <w:rsid w:val="00B86D83"/>
    <w:rsid w:val="00B86E17"/>
    <w:rsid w:val="00B86E3D"/>
    <w:rsid w:val="00B86E8A"/>
    <w:rsid w:val="00B86E95"/>
    <w:rsid w:val="00B86F82"/>
    <w:rsid w:val="00B86FFE"/>
    <w:rsid w:val="00B870EC"/>
    <w:rsid w:val="00B871B1"/>
    <w:rsid w:val="00B872AE"/>
    <w:rsid w:val="00B87366"/>
    <w:rsid w:val="00B87367"/>
    <w:rsid w:val="00B873A4"/>
    <w:rsid w:val="00B87461"/>
    <w:rsid w:val="00B874CE"/>
    <w:rsid w:val="00B8751D"/>
    <w:rsid w:val="00B875C9"/>
    <w:rsid w:val="00B875D7"/>
    <w:rsid w:val="00B8760E"/>
    <w:rsid w:val="00B8761C"/>
    <w:rsid w:val="00B8766B"/>
    <w:rsid w:val="00B877C5"/>
    <w:rsid w:val="00B877D7"/>
    <w:rsid w:val="00B8780B"/>
    <w:rsid w:val="00B87849"/>
    <w:rsid w:val="00B878B8"/>
    <w:rsid w:val="00B8795E"/>
    <w:rsid w:val="00B8795F"/>
    <w:rsid w:val="00B879C4"/>
    <w:rsid w:val="00B87A32"/>
    <w:rsid w:val="00B87B91"/>
    <w:rsid w:val="00B87BC0"/>
    <w:rsid w:val="00B87CD6"/>
    <w:rsid w:val="00B87CDC"/>
    <w:rsid w:val="00B87CF9"/>
    <w:rsid w:val="00B87D9B"/>
    <w:rsid w:val="00B87DF5"/>
    <w:rsid w:val="00B87E1F"/>
    <w:rsid w:val="00B87E56"/>
    <w:rsid w:val="00B87EB5"/>
    <w:rsid w:val="00B87F3E"/>
    <w:rsid w:val="00B9001F"/>
    <w:rsid w:val="00B90033"/>
    <w:rsid w:val="00B9003F"/>
    <w:rsid w:val="00B90134"/>
    <w:rsid w:val="00B901A5"/>
    <w:rsid w:val="00B90268"/>
    <w:rsid w:val="00B902C7"/>
    <w:rsid w:val="00B90415"/>
    <w:rsid w:val="00B9041E"/>
    <w:rsid w:val="00B904A8"/>
    <w:rsid w:val="00B90574"/>
    <w:rsid w:val="00B906C6"/>
    <w:rsid w:val="00B90724"/>
    <w:rsid w:val="00B907D3"/>
    <w:rsid w:val="00B907F9"/>
    <w:rsid w:val="00B90815"/>
    <w:rsid w:val="00B9084B"/>
    <w:rsid w:val="00B90859"/>
    <w:rsid w:val="00B90957"/>
    <w:rsid w:val="00B90966"/>
    <w:rsid w:val="00B909D8"/>
    <w:rsid w:val="00B909E0"/>
    <w:rsid w:val="00B90B3E"/>
    <w:rsid w:val="00B90B58"/>
    <w:rsid w:val="00B90C3A"/>
    <w:rsid w:val="00B90CDC"/>
    <w:rsid w:val="00B90D15"/>
    <w:rsid w:val="00B90D9B"/>
    <w:rsid w:val="00B90DDF"/>
    <w:rsid w:val="00B90E7E"/>
    <w:rsid w:val="00B90EB7"/>
    <w:rsid w:val="00B90FA9"/>
    <w:rsid w:val="00B90FEC"/>
    <w:rsid w:val="00B9106E"/>
    <w:rsid w:val="00B91199"/>
    <w:rsid w:val="00B911E5"/>
    <w:rsid w:val="00B9126A"/>
    <w:rsid w:val="00B9144D"/>
    <w:rsid w:val="00B914A7"/>
    <w:rsid w:val="00B9170A"/>
    <w:rsid w:val="00B917C9"/>
    <w:rsid w:val="00B91817"/>
    <w:rsid w:val="00B9188B"/>
    <w:rsid w:val="00B9190C"/>
    <w:rsid w:val="00B9195E"/>
    <w:rsid w:val="00B91ABC"/>
    <w:rsid w:val="00B91B91"/>
    <w:rsid w:val="00B91BAA"/>
    <w:rsid w:val="00B91D07"/>
    <w:rsid w:val="00B91D5F"/>
    <w:rsid w:val="00B91DE1"/>
    <w:rsid w:val="00B91E19"/>
    <w:rsid w:val="00B91E34"/>
    <w:rsid w:val="00B91F37"/>
    <w:rsid w:val="00B91FB3"/>
    <w:rsid w:val="00B91FEA"/>
    <w:rsid w:val="00B92075"/>
    <w:rsid w:val="00B9221D"/>
    <w:rsid w:val="00B92220"/>
    <w:rsid w:val="00B92343"/>
    <w:rsid w:val="00B9234F"/>
    <w:rsid w:val="00B92361"/>
    <w:rsid w:val="00B92379"/>
    <w:rsid w:val="00B923AE"/>
    <w:rsid w:val="00B923C0"/>
    <w:rsid w:val="00B923D0"/>
    <w:rsid w:val="00B9244C"/>
    <w:rsid w:val="00B924CA"/>
    <w:rsid w:val="00B92512"/>
    <w:rsid w:val="00B92646"/>
    <w:rsid w:val="00B92740"/>
    <w:rsid w:val="00B927B4"/>
    <w:rsid w:val="00B9297F"/>
    <w:rsid w:val="00B92A19"/>
    <w:rsid w:val="00B92AF3"/>
    <w:rsid w:val="00B92B54"/>
    <w:rsid w:val="00B92BC7"/>
    <w:rsid w:val="00B92C6D"/>
    <w:rsid w:val="00B92D0B"/>
    <w:rsid w:val="00B92D1E"/>
    <w:rsid w:val="00B92D56"/>
    <w:rsid w:val="00B92D7C"/>
    <w:rsid w:val="00B92E13"/>
    <w:rsid w:val="00B92E5F"/>
    <w:rsid w:val="00B92EE7"/>
    <w:rsid w:val="00B92F52"/>
    <w:rsid w:val="00B92F8B"/>
    <w:rsid w:val="00B92FAD"/>
    <w:rsid w:val="00B93176"/>
    <w:rsid w:val="00B931AB"/>
    <w:rsid w:val="00B9328D"/>
    <w:rsid w:val="00B932AA"/>
    <w:rsid w:val="00B9336B"/>
    <w:rsid w:val="00B93401"/>
    <w:rsid w:val="00B9341D"/>
    <w:rsid w:val="00B9347D"/>
    <w:rsid w:val="00B9349A"/>
    <w:rsid w:val="00B934CD"/>
    <w:rsid w:val="00B93537"/>
    <w:rsid w:val="00B93599"/>
    <w:rsid w:val="00B935A7"/>
    <w:rsid w:val="00B935F1"/>
    <w:rsid w:val="00B93648"/>
    <w:rsid w:val="00B9367B"/>
    <w:rsid w:val="00B936AD"/>
    <w:rsid w:val="00B93730"/>
    <w:rsid w:val="00B9377B"/>
    <w:rsid w:val="00B937BE"/>
    <w:rsid w:val="00B9383A"/>
    <w:rsid w:val="00B93990"/>
    <w:rsid w:val="00B9399E"/>
    <w:rsid w:val="00B939D9"/>
    <w:rsid w:val="00B93A14"/>
    <w:rsid w:val="00B93A2D"/>
    <w:rsid w:val="00B93A93"/>
    <w:rsid w:val="00B93BB1"/>
    <w:rsid w:val="00B93BD5"/>
    <w:rsid w:val="00B93C2D"/>
    <w:rsid w:val="00B93C97"/>
    <w:rsid w:val="00B93CD4"/>
    <w:rsid w:val="00B93D9E"/>
    <w:rsid w:val="00B93E40"/>
    <w:rsid w:val="00B93E7F"/>
    <w:rsid w:val="00B93F32"/>
    <w:rsid w:val="00B93F6A"/>
    <w:rsid w:val="00B93FC1"/>
    <w:rsid w:val="00B94054"/>
    <w:rsid w:val="00B940EA"/>
    <w:rsid w:val="00B94285"/>
    <w:rsid w:val="00B94301"/>
    <w:rsid w:val="00B9431B"/>
    <w:rsid w:val="00B9433C"/>
    <w:rsid w:val="00B94363"/>
    <w:rsid w:val="00B944FE"/>
    <w:rsid w:val="00B9455D"/>
    <w:rsid w:val="00B94633"/>
    <w:rsid w:val="00B9465B"/>
    <w:rsid w:val="00B9467A"/>
    <w:rsid w:val="00B94690"/>
    <w:rsid w:val="00B946FB"/>
    <w:rsid w:val="00B94708"/>
    <w:rsid w:val="00B94714"/>
    <w:rsid w:val="00B94854"/>
    <w:rsid w:val="00B94987"/>
    <w:rsid w:val="00B94A42"/>
    <w:rsid w:val="00B94ADD"/>
    <w:rsid w:val="00B94B35"/>
    <w:rsid w:val="00B94B72"/>
    <w:rsid w:val="00B94B7E"/>
    <w:rsid w:val="00B94BEC"/>
    <w:rsid w:val="00B94CC2"/>
    <w:rsid w:val="00B94D4D"/>
    <w:rsid w:val="00B94DB5"/>
    <w:rsid w:val="00B94E3D"/>
    <w:rsid w:val="00B94F9B"/>
    <w:rsid w:val="00B95033"/>
    <w:rsid w:val="00B9509A"/>
    <w:rsid w:val="00B95154"/>
    <w:rsid w:val="00B9517D"/>
    <w:rsid w:val="00B951BA"/>
    <w:rsid w:val="00B951E1"/>
    <w:rsid w:val="00B9520C"/>
    <w:rsid w:val="00B95235"/>
    <w:rsid w:val="00B95261"/>
    <w:rsid w:val="00B9528C"/>
    <w:rsid w:val="00B952EA"/>
    <w:rsid w:val="00B95310"/>
    <w:rsid w:val="00B95357"/>
    <w:rsid w:val="00B954D8"/>
    <w:rsid w:val="00B955AE"/>
    <w:rsid w:val="00B956A1"/>
    <w:rsid w:val="00B95715"/>
    <w:rsid w:val="00B9572A"/>
    <w:rsid w:val="00B95754"/>
    <w:rsid w:val="00B9582E"/>
    <w:rsid w:val="00B95838"/>
    <w:rsid w:val="00B95840"/>
    <w:rsid w:val="00B9594A"/>
    <w:rsid w:val="00B95A5C"/>
    <w:rsid w:val="00B95A67"/>
    <w:rsid w:val="00B95B16"/>
    <w:rsid w:val="00B95BCC"/>
    <w:rsid w:val="00B95C6D"/>
    <w:rsid w:val="00B95CA1"/>
    <w:rsid w:val="00B95CEA"/>
    <w:rsid w:val="00B95CFF"/>
    <w:rsid w:val="00B95E60"/>
    <w:rsid w:val="00B95E7B"/>
    <w:rsid w:val="00B95EDE"/>
    <w:rsid w:val="00B95F6E"/>
    <w:rsid w:val="00B95FF8"/>
    <w:rsid w:val="00B96158"/>
    <w:rsid w:val="00B96196"/>
    <w:rsid w:val="00B961AF"/>
    <w:rsid w:val="00B96248"/>
    <w:rsid w:val="00B96289"/>
    <w:rsid w:val="00B962F0"/>
    <w:rsid w:val="00B96308"/>
    <w:rsid w:val="00B96511"/>
    <w:rsid w:val="00B96518"/>
    <w:rsid w:val="00B9656E"/>
    <w:rsid w:val="00B965A2"/>
    <w:rsid w:val="00B965C9"/>
    <w:rsid w:val="00B966E8"/>
    <w:rsid w:val="00B96877"/>
    <w:rsid w:val="00B9698E"/>
    <w:rsid w:val="00B96A0A"/>
    <w:rsid w:val="00B96A92"/>
    <w:rsid w:val="00B96AFF"/>
    <w:rsid w:val="00B96BA5"/>
    <w:rsid w:val="00B96BAF"/>
    <w:rsid w:val="00B96BD3"/>
    <w:rsid w:val="00B96BEA"/>
    <w:rsid w:val="00B96C2D"/>
    <w:rsid w:val="00B96C61"/>
    <w:rsid w:val="00B96C85"/>
    <w:rsid w:val="00B96CE3"/>
    <w:rsid w:val="00B96D23"/>
    <w:rsid w:val="00B96E20"/>
    <w:rsid w:val="00B96E47"/>
    <w:rsid w:val="00B96F71"/>
    <w:rsid w:val="00B97046"/>
    <w:rsid w:val="00B9715E"/>
    <w:rsid w:val="00B97166"/>
    <w:rsid w:val="00B972B8"/>
    <w:rsid w:val="00B9737F"/>
    <w:rsid w:val="00B9740C"/>
    <w:rsid w:val="00B9740D"/>
    <w:rsid w:val="00B97415"/>
    <w:rsid w:val="00B9743A"/>
    <w:rsid w:val="00B974AC"/>
    <w:rsid w:val="00B97551"/>
    <w:rsid w:val="00B97555"/>
    <w:rsid w:val="00B977AF"/>
    <w:rsid w:val="00B977E2"/>
    <w:rsid w:val="00B977FC"/>
    <w:rsid w:val="00B97852"/>
    <w:rsid w:val="00B9785C"/>
    <w:rsid w:val="00B9787A"/>
    <w:rsid w:val="00B978D5"/>
    <w:rsid w:val="00B97915"/>
    <w:rsid w:val="00B9791B"/>
    <w:rsid w:val="00B97A7A"/>
    <w:rsid w:val="00B97A91"/>
    <w:rsid w:val="00B97AF4"/>
    <w:rsid w:val="00B97B7A"/>
    <w:rsid w:val="00B97CF9"/>
    <w:rsid w:val="00B97D0C"/>
    <w:rsid w:val="00B97D45"/>
    <w:rsid w:val="00B97D5B"/>
    <w:rsid w:val="00B97D93"/>
    <w:rsid w:val="00B97DA4"/>
    <w:rsid w:val="00B97E0E"/>
    <w:rsid w:val="00B97E4F"/>
    <w:rsid w:val="00B97F0F"/>
    <w:rsid w:val="00B97F52"/>
    <w:rsid w:val="00B97F5F"/>
    <w:rsid w:val="00B97FF5"/>
    <w:rsid w:val="00B97FFB"/>
    <w:rsid w:val="00BA002B"/>
    <w:rsid w:val="00BA00CA"/>
    <w:rsid w:val="00BA0245"/>
    <w:rsid w:val="00BA02C9"/>
    <w:rsid w:val="00BA0459"/>
    <w:rsid w:val="00BA04F8"/>
    <w:rsid w:val="00BA0521"/>
    <w:rsid w:val="00BA058A"/>
    <w:rsid w:val="00BA061F"/>
    <w:rsid w:val="00BA0646"/>
    <w:rsid w:val="00BA0664"/>
    <w:rsid w:val="00BA071E"/>
    <w:rsid w:val="00BA0736"/>
    <w:rsid w:val="00BA077D"/>
    <w:rsid w:val="00BA079E"/>
    <w:rsid w:val="00BA08EF"/>
    <w:rsid w:val="00BA0941"/>
    <w:rsid w:val="00BA0963"/>
    <w:rsid w:val="00BA0984"/>
    <w:rsid w:val="00BA09A7"/>
    <w:rsid w:val="00BA0AA7"/>
    <w:rsid w:val="00BA0D26"/>
    <w:rsid w:val="00BA0DAD"/>
    <w:rsid w:val="00BA0F38"/>
    <w:rsid w:val="00BA0F55"/>
    <w:rsid w:val="00BA0F5B"/>
    <w:rsid w:val="00BA0FD7"/>
    <w:rsid w:val="00BA0FFE"/>
    <w:rsid w:val="00BA102D"/>
    <w:rsid w:val="00BA109F"/>
    <w:rsid w:val="00BA10BE"/>
    <w:rsid w:val="00BA11A6"/>
    <w:rsid w:val="00BA11C2"/>
    <w:rsid w:val="00BA11D3"/>
    <w:rsid w:val="00BA11E8"/>
    <w:rsid w:val="00BA123D"/>
    <w:rsid w:val="00BA1255"/>
    <w:rsid w:val="00BA12A4"/>
    <w:rsid w:val="00BA12C3"/>
    <w:rsid w:val="00BA131B"/>
    <w:rsid w:val="00BA1344"/>
    <w:rsid w:val="00BA1390"/>
    <w:rsid w:val="00BA1467"/>
    <w:rsid w:val="00BA14BD"/>
    <w:rsid w:val="00BA1535"/>
    <w:rsid w:val="00BA15B0"/>
    <w:rsid w:val="00BA15E8"/>
    <w:rsid w:val="00BA16C3"/>
    <w:rsid w:val="00BA1710"/>
    <w:rsid w:val="00BA1751"/>
    <w:rsid w:val="00BA17D2"/>
    <w:rsid w:val="00BA17F4"/>
    <w:rsid w:val="00BA1824"/>
    <w:rsid w:val="00BA187D"/>
    <w:rsid w:val="00BA18C4"/>
    <w:rsid w:val="00BA18E9"/>
    <w:rsid w:val="00BA191A"/>
    <w:rsid w:val="00BA195A"/>
    <w:rsid w:val="00BA1A50"/>
    <w:rsid w:val="00BA1A8A"/>
    <w:rsid w:val="00BA1B74"/>
    <w:rsid w:val="00BA1BC4"/>
    <w:rsid w:val="00BA1C06"/>
    <w:rsid w:val="00BA1C89"/>
    <w:rsid w:val="00BA1D02"/>
    <w:rsid w:val="00BA1D32"/>
    <w:rsid w:val="00BA1D65"/>
    <w:rsid w:val="00BA1E2C"/>
    <w:rsid w:val="00BA1F24"/>
    <w:rsid w:val="00BA1F33"/>
    <w:rsid w:val="00BA1F35"/>
    <w:rsid w:val="00BA1FB7"/>
    <w:rsid w:val="00BA2091"/>
    <w:rsid w:val="00BA20AC"/>
    <w:rsid w:val="00BA20AF"/>
    <w:rsid w:val="00BA20C1"/>
    <w:rsid w:val="00BA215A"/>
    <w:rsid w:val="00BA217F"/>
    <w:rsid w:val="00BA21D2"/>
    <w:rsid w:val="00BA21EF"/>
    <w:rsid w:val="00BA2406"/>
    <w:rsid w:val="00BA24AB"/>
    <w:rsid w:val="00BA2534"/>
    <w:rsid w:val="00BA25A0"/>
    <w:rsid w:val="00BA25A3"/>
    <w:rsid w:val="00BA27CC"/>
    <w:rsid w:val="00BA2856"/>
    <w:rsid w:val="00BA286E"/>
    <w:rsid w:val="00BA2896"/>
    <w:rsid w:val="00BA28F9"/>
    <w:rsid w:val="00BA29A8"/>
    <w:rsid w:val="00BA2A17"/>
    <w:rsid w:val="00BA2AA9"/>
    <w:rsid w:val="00BA2AE6"/>
    <w:rsid w:val="00BA2B85"/>
    <w:rsid w:val="00BA2C9A"/>
    <w:rsid w:val="00BA2DA1"/>
    <w:rsid w:val="00BA2DDD"/>
    <w:rsid w:val="00BA2DE0"/>
    <w:rsid w:val="00BA2DE2"/>
    <w:rsid w:val="00BA2EF5"/>
    <w:rsid w:val="00BA3163"/>
    <w:rsid w:val="00BA31BB"/>
    <w:rsid w:val="00BA3217"/>
    <w:rsid w:val="00BA3283"/>
    <w:rsid w:val="00BA32B0"/>
    <w:rsid w:val="00BA34D9"/>
    <w:rsid w:val="00BA34F0"/>
    <w:rsid w:val="00BA3590"/>
    <w:rsid w:val="00BA369E"/>
    <w:rsid w:val="00BA36B9"/>
    <w:rsid w:val="00BA36D5"/>
    <w:rsid w:val="00BA36D8"/>
    <w:rsid w:val="00BA3740"/>
    <w:rsid w:val="00BA3769"/>
    <w:rsid w:val="00BA37FC"/>
    <w:rsid w:val="00BA3809"/>
    <w:rsid w:val="00BA386E"/>
    <w:rsid w:val="00BA3871"/>
    <w:rsid w:val="00BA38A9"/>
    <w:rsid w:val="00BA38BD"/>
    <w:rsid w:val="00BA3975"/>
    <w:rsid w:val="00BA399D"/>
    <w:rsid w:val="00BA39DE"/>
    <w:rsid w:val="00BA3A4C"/>
    <w:rsid w:val="00BA3A57"/>
    <w:rsid w:val="00BA3B74"/>
    <w:rsid w:val="00BA3B9B"/>
    <w:rsid w:val="00BA3BAA"/>
    <w:rsid w:val="00BA3BC1"/>
    <w:rsid w:val="00BA3C9F"/>
    <w:rsid w:val="00BA3D4E"/>
    <w:rsid w:val="00BA3D56"/>
    <w:rsid w:val="00BA3D61"/>
    <w:rsid w:val="00BA3D83"/>
    <w:rsid w:val="00BA3DA7"/>
    <w:rsid w:val="00BA3E6B"/>
    <w:rsid w:val="00BA3F22"/>
    <w:rsid w:val="00BA3F41"/>
    <w:rsid w:val="00BA3F93"/>
    <w:rsid w:val="00BA3FDB"/>
    <w:rsid w:val="00BA3FFF"/>
    <w:rsid w:val="00BA4045"/>
    <w:rsid w:val="00BA405B"/>
    <w:rsid w:val="00BA4070"/>
    <w:rsid w:val="00BA407C"/>
    <w:rsid w:val="00BA40C0"/>
    <w:rsid w:val="00BA4160"/>
    <w:rsid w:val="00BA42F2"/>
    <w:rsid w:val="00BA436B"/>
    <w:rsid w:val="00BA43DB"/>
    <w:rsid w:val="00BA4407"/>
    <w:rsid w:val="00BA440E"/>
    <w:rsid w:val="00BA4438"/>
    <w:rsid w:val="00BA44C2"/>
    <w:rsid w:val="00BA44F3"/>
    <w:rsid w:val="00BA4514"/>
    <w:rsid w:val="00BA4576"/>
    <w:rsid w:val="00BA460D"/>
    <w:rsid w:val="00BA4610"/>
    <w:rsid w:val="00BA4666"/>
    <w:rsid w:val="00BA4684"/>
    <w:rsid w:val="00BA46AF"/>
    <w:rsid w:val="00BA46CB"/>
    <w:rsid w:val="00BA46D2"/>
    <w:rsid w:val="00BA4726"/>
    <w:rsid w:val="00BA477F"/>
    <w:rsid w:val="00BA47FB"/>
    <w:rsid w:val="00BA486C"/>
    <w:rsid w:val="00BA4AD7"/>
    <w:rsid w:val="00BA4AF7"/>
    <w:rsid w:val="00BA4B5F"/>
    <w:rsid w:val="00BA4B78"/>
    <w:rsid w:val="00BA4C25"/>
    <w:rsid w:val="00BA4C55"/>
    <w:rsid w:val="00BA4C72"/>
    <w:rsid w:val="00BA4D29"/>
    <w:rsid w:val="00BA4D64"/>
    <w:rsid w:val="00BA4E0E"/>
    <w:rsid w:val="00BA4E6E"/>
    <w:rsid w:val="00BA4EFD"/>
    <w:rsid w:val="00BA500A"/>
    <w:rsid w:val="00BA50CE"/>
    <w:rsid w:val="00BA518F"/>
    <w:rsid w:val="00BA5205"/>
    <w:rsid w:val="00BA521A"/>
    <w:rsid w:val="00BA5240"/>
    <w:rsid w:val="00BA52F6"/>
    <w:rsid w:val="00BA5304"/>
    <w:rsid w:val="00BA530C"/>
    <w:rsid w:val="00BA5437"/>
    <w:rsid w:val="00BA5592"/>
    <w:rsid w:val="00BA569E"/>
    <w:rsid w:val="00BA56CC"/>
    <w:rsid w:val="00BA5714"/>
    <w:rsid w:val="00BA57ED"/>
    <w:rsid w:val="00BA5833"/>
    <w:rsid w:val="00BA58A7"/>
    <w:rsid w:val="00BA58EA"/>
    <w:rsid w:val="00BA5907"/>
    <w:rsid w:val="00BA5931"/>
    <w:rsid w:val="00BA5969"/>
    <w:rsid w:val="00BA59BB"/>
    <w:rsid w:val="00BA59D8"/>
    <w:rsid w:val="00BA5A60"/>
    <w:rsid w:val="00BA5A85"/>
    <w:rsid w:val="00BA5AD2"/>
    <w:rsid w:val="00BA5B0B"/>
    <w:rsid w:val="00BA5B1F"/>
    <w:rsid w:val="00BA5BD1"/>
    <w:rsid w:val="00BA5C8A"/>
    <w:rsid w:val="00BA5CD2"/>
    <w:rsid w:val="00BA5F0C"/>
    <w:rsid w:val="00BA5F9A"/>
    <w:rsid w:val="00BA5FD4"/>
    <w:rsid w:val="00BA6131"/>
    <w:rsid w:val="00BA6188"/>
    <w:rsid w:val="00BA6192"/>
    <w:rsid w:val="00BA61F2"/>
    <w:rsid w:val="00BA62D4"/>
    <w:rsid w:val="00BA62E2"/>
    <w:rsid w:val="00BA63B1"/>
    <w:rsid w:val="00BA63B3"/>
    <w:rsid w:val="00BA6407"/>
    <w:rsid w:val="00BA6411"/>
    <w:rsid w:val="00BA646E"/>
    <w:rsid w:val="00BA651F"/>
    <w:rsid w:val="00BA656E"/>
    <w:rsid w:val="00BA65DA"/>
    <w:rsid w:val="00BA65F8"/>
    <w:rsid w:val="00BA66C9"/>
    <w:rsid w:val="00BA66E4"/>
    <w:rsid w:val="00BA672F"/>
    <w:rsid w:val="00BA67FE"/>
    <w:rsid w:val="00BA6811"/>
    <w:rsid w:val="00BA681E"/>
    <w:rsid w:val="00BA684D"/>
    <w:rsid w:val="00BA687F"/>
    <w:rsid w:val="00BA68A4"/>
    <w:rsid w:val="00BA68F9"/>
    <w:rsid w:val="00BA69A0"/>
    <w:rsid w:val="00BA69CA"/>
    <w:rsid w:val="00BA69D7"/>
    <w:rsid w:val="00BA6AD2"/>
    <w:rsid w:val="00BA6B0E"/>
    <w:rsid w:val="00BA6B35"/>
    <w:rsid w:val="00BA6BA2"/>
    <w:rsid w:val="00BA6BBD"/>
    <w:rsid w:val="00BA6BE5"/>
    <w:rsid w:val="00BA6C5D"/>
    <w:rsid w:val="00BA6CB8"/>
    <w:rsid w:val="00BA6DE4"/>
    <w:rsid w:val="00BA6EE0"/>
    <w:rsid w:val="00BA6F5B"/>
    <w:rsid w:val="00BA6F5C"/>
    <w:rsid w:val="00BA7032"/>
    <w:rsid w:val="00BA7228"/>
    <w:rsid w:val="00BA732D"/>
    <w:rsid w:val="00BA752E"/>
    <w:rsid w:val="00BA753D"/>
    <w:rsid w:val="00BA7582"/>
    <w:rsid w:val="00BA7599"/>
    <w:rsid w:val="00BA75ED"/>
    <w:rsid w:val="00BA768B"/>
    <w:rsid w:val="00BA7707"/>
    <w:rsid w:val="00BA773B"/>
    <w:rsid w:val="00BA77EF"/>
    <w:rsid w:val="00BA789F"/>
    <w:rsid w:val="00BA7A06"/>
    <w:rsid w:val="00BA7AF4"/>
    <w:rsid w:val="00BA7BD3"/>
    <w:rsid w:val="00BA7CAE"/>
    <w:rsid w:val="00BA7D78"/>
    <w:rsid w:val="00BA7E22"/>
    <w:rsid w:val="00BA7F16"/>
    <w:rsid w:val="00BA7F78"/>
    <w:rsid w:val="00BB00B6"/>
    <w:rsid w:val="00BB00D4"/>
    <w:rsid w:val="00BB012F"/>
    <w:rsid w:val="00BB0203"/>
    <w:rsid w:val="00BB021C"/>
    <w:rsid w:val="00BB02B1"/>
    <w:rsid w:val="00BB02E6"/>
    <w:rsid w:val="00BB030E"/>
    <w:rsid w:val="00BB033E"/>
    <w:rsid w:val="00BB03B3"/>
    <w:rsid w:val="00BB03DF"/>
    <w:rsid w:val="00BB03E3"/>
    <w:rsid w:val="00BB0422"/>
    <w:rsid w:val="00BB042E"/>
    <w:rsid w:val="00BB04FA"/>
    <w:rsid w:val="00BB05F0"/>
    <w:rsid w:val="00BB067A"/>
    <w:rsid w:val="00BB06B6"/>
    <w:rsid w:val="00BB06F3"/>
    <w:rsid w:val="00BB0717"/>
    <w:rsid w:val="00BB0732"/>
    <w:rsid w:val="00BB07BC"/>
    <w:rsid w:val="00BB07D3"/>
    <w:rsid w:val="00BB0846"/>
    <w:rsid w:val="00BB08BE"/>
    <w:rsid w:val="00BB0A59"/>
    <w:rsid w:val="00BB0AAD"/>
    <w:rsid w:val="00BB0AEB"/>
    <w:rsid w:val="00BB0B2B"/>
    <w:rsid w:val="00BB0B73"/>
    <w:rsid w:val="00BB0CAB"/>
    <w:rsid w:val="00BB0CD9"/>
    <w:rsid w:val="00BB0D07"/>
    <w:rsid w:val="00BB0D45"/>
    <w:rsid w:val="00BB0D48"/>
    <w:rsid w:val="00BB0DA7"/>
    <w:rsid w:val="00BB0DDA"/>
    <w:rsid w:val="00BB0E16"/>
    <w:rsid w:val="00BB0E9B"/>
    <w:rsid w:val="00BB0EA2"/>
    <w:rsid w:val="00BB0EE4"/>
    <w:rsid w:val="00BB0FB2"/>
    <w:rsid w:val="00BB1025"/>
    <w:rsid w:val="00BB1049"/>
    <w:rsid w:val="00BB1139"/>
    <w:rsid w:val="00BB11CE"/>
    <w:rsid w:val="00BB11E8"/>
    <w:rsid w:val="00BB123E"/>
    <w:rsid w:val="00BB1290"/>
    <w:rsid w:val="00BB1330"/>
    <w:rsid w:val="00BB1337"/>
    <w:rsid w:val="00BB1400"/>
    <w:rsid w:val="00BB1413"/>
    <w:rsid w:val="00BB1435"/>
    <w:rsid w:val="00BB14B5"/>
    <w:rsid w:val="00BB15FD"/>
    <w:rsid w:val="00BB1641"/>
    <w:rsid w:val="00BB16EE"/>
    <w:rsid w:val="00BB1741"/>
    <w:rsid w:val="00BB17E6"/>
    <w:rsid w:val="00BB183C"/>
    <w:rsid w:val="00BB1A28"/>
    <w:rsid w:val="00BB1A85"/>
    <w:rsid w:val="00BB1A96"/>
    <w:rsid w:val="00BB1B27"/>
    <w:rsid w:val="00BB1B28"/>
    <w:rsid w:val="00BB1B4F"/>
    <w:rsid w:val="00BB1B65"/>
    <w:rsid w:val="00BB1BFA"/>
    <w:rsid w:val="00BB1C0B"/>
    <w:rsid w:val="00BB1CB3"/>
    <w:rsid w:val="00BB1CD4"/>
    <w:rsid w:val="00BB1CF3"/>
    <w:rsid w:val="00BB1D28"/>
    <w:rsid w:val="00BB1D60"/>
    <w:rsid w:val="00BB1D74"/>
    <w:rsid w:val="00BB1DD9"/>
    <w:rsid w:val="00BB1F05"/>
    <w:rsid w:val="00BB1F0F"/>
    <w:rsid w:val="00BB1F34"/>
    <w:rsid w:val="00BB1F63"/>
    <w:rsid w:val="00BB1F8E"/>
    <w:rsid w:val="00BB2171"/>
    <w:rsid w:val="00BB21A8"/>
    <w:rsid w:val="00BB21D9"/>
    <w:rsid w:val="00BB221B"/>
    <w:rsid w:val="00BB221E"/>
    <w:rsid w:val="00BB227F"/>
    <w:rsid w:val="00BB22F8"/>
    <w:rsid w:val="00BB2314"/>
    <w:rsid w:val="00BB2332"/>
    <w:rsid w:val="00BB2395"/>
    <w:rsid w:val="00BB240A"/>
    <w:rsid w:val="00BB243D"/>
    <w:rsid w:val="00BB2497"/>
    <w:rsid w:val="00BB25E2"/>
    <w:rsid w:val="00BB25F0"/>
    <w:rsid w:val="00BB2624"/>
    <w:rsid w:val="00BB26C5"/>
    <w:rsid w:val="00BB26FD"/>
    <w:rsid w:val="00BB2747"/>
    <w:rsid w:val="00BB2776"/>
    <w:rsid w:val="00BB2788"/>
    <w:rsid w:val="00BB27F5"/>
    <w:rsid w:val="00BB2906"/>
    <w:rsid w:val="00BB29AA"/>
    <w:rsid w:val="00BB2A16"/>
    <w:rsid w:val="00BB2B07"/>
    <w:rsid w:val="00BB2B44"/>
    <w:rsid w:val="00BB2B7C"/>
    <w:rsid w:val="00BB2CA4"/>
    <w:rsid w:val="00BB2D61"/>
    <w:rsid w:val="00BB2D69"/>
    <w:rsid w:val="00BB2ED0"/>
    <w:rsid w:val="00BB305C"/>
    <w:rsid w:val="00BB30F1"/>
    <w:rsid w:val="00BB32BF"/>
    <w:rsid w:val="00BB3395"/>
    <w:rsid w:val="00BB34D8"/>
    <w:rsid w:val="00BB3504"/>
    <w:rsid w:val="00BB3770"/>
    <w:rsid w:val="00BB380C"/>
    <w:rsid w:val="00BB38C6"/>
    <w:rsid w:val="00BB390D"/>
    <w:rsid w:val="00BB39BD"/>
    <w:rsid w:val="00BB39D5"/>
    <w:rsid w:val="00BB3A17"/>
    <w:rsid w:val="00BB3A52"/>
    <w:rsid w:val="00BB3AA9"/>
    <w:rsid w:val="00BB3B20"/>
    <w:rsid w:val="00BB3BBB"/>
    <w:rsid w:val="00BB3D93"/>
    <w:rsid w:val="00BB3DA3"/>
    <w:rsid w:val="00BB3E4A"/>
    <w:rsid w:val="00BB3EDB"/>
    <w:rsid w:val="00BB3FBE"/>
    <w:rsid w:val="00BB407F"/>
    <w:rsid w:val="00BB411A"/>
    <w:rsid w:val="00BB413F"/>
    <w:rsid w:val="00BB4153"/>
    <w:rsid w:val="00BB4167"/>
    <w:rsid w:val="00BB4254"/>
    <w:rsid w:val="00BB432B"/>
    <w:rsid w:val="00BB436D"/>
    <w:rsid w:val="00BB437D"/>
    <w:rsid w:val="00BB443E"/>
    <w:rsid w:val="00BB445A"/>
    <w:rsid w:val="00BB44BB"/>
    <w:rsid w:val="00BB44D4"/>
    <w:rsid w:val="00BB451C"/>
    <w:rsid w:val="00BB4631"/>
    <w:rsid w:val="00BB47C4"/>
    <w:rsid w:val="00BB47F8"/>
    <w:rsid w:val="00BB4832"/>
    <w:rsid w:val="00BB48CB"/>
    <w:rsid w:val="00BB49BB"/>
    <w:rsid w:val="00BB4B4A"/>
    <w:rsid w:val="00BB4BC0"/>
    <w:rsid w:val="00BB4C59"/>
    <w:rsid w:val="00BB4CDB"/>
    <w:rsid w:val="00BB4E4A"/>
    <w:rsid w:val="00BB4E89"/>
    <w:rsid w:val="00BB4EB5"/>
    <w:rsid w:val="00BB4ED9"/>
    <w:rsid w:val="00BB4F49"/>
    <w:rsid w:val="00BB4F68"/>
    <w:rsid w:val="00BB4FC8"/>
    <w:rsid w:val="00BB50FD"/>
    <w:rsid w:val="00BB5111"/>
    <w:rsid w:val="00BB51CF"/>
    <w:rsid w:val="00BB524B"/>
    <w:rsid w:val="00BB5296"/>
    <w:rsid w:val="00BB52CE"/>
    <w:rsid w:val="00BB5302"/>
    <w:rsid w:val="00BB538E"/>
    <w:rsid w:val="00BB5410"/>
    <w:rsid w:val="00BB5562"/>
    <w:rsid w:val="00BB55A0"/>
    <w:rsid w:val="00BB5618"/>
    <w:rsid w:val="00BB5619"/>
    <w:rsid w:val="00BB56FA"/>
    <w:rsid w:val="00BB5701"/>
    <w:rsid w:val="00BB57F8"/>
    <w:rsid w:val="00BB5986"/>
    <w:rsid w:val="00BB5A48"/>
    <w:rsid w:val="00BB5ABA"/>
    <w:rsid w:val="00BB5B00"/>
    <w:rsid w:val="00BB5B44"/>
    <w:rsid w:val="00BB5B90"/>
    <w:rsid w:val="00BB5CE8"/>
    <w:rsid w:val="00BB5D6F"/>
    <w:rsid w:val="00BB5D89"/>
    <w:rsid w:val="00BB5DD1"/>
    <w:rsid w:val="00BB5EAA"/>
    <w:rsid w:val="00BB5F2F"/>
    <w:rsid w:val="00BB5FE3"/>
    <w:rsid w:val="00BB6044"/>
    <w:rsid w:val="00BB619D"/>
    <w:rsid w:val="00BB6427"/>
    <w:rsid w:val="00BB6492"/>
    <w:rsid w:val="00BB64B2"/>
    <w:rsid w:val="00BB64B9"/>
    <w:rsid w:val="00BB64F8"/>
    <w:rsid w:val="00BB6501"/>
    <w:rsid w:val="00BB65BB"/>
    <w:rsid w:val="00BB661A"/>
    <w:rsid w:val="00BB666D"/>
    <w:rsid w:val="00BB674C"/>
    <w:rsid w:val="00BB6768"/>
    <w:rsid w:val="00BB6802"/>
    <w:rsid w:val="00BB6834"/>
    <w:rsid w:val="00BB68DB"/>
    <w:rsid w:val="00BB696A"/>
    <w:rsid w:val="00BB6971"/>
    <w:rsid w:val="00BB69E4"/>
    <w:rsid w:val="00BB6A7F"/>
    <w:rsid w:val="00BB6A8D"/>
    <w:rsid w:val="00BB6B8E"/>
    <w:rsid w:val="00BB6C24"/>
    <w:rsid w:val="00BB6C70"/>
    <w:rsid w:val="00BB6C7F"/>
    <w:rsid w:val="00BB6C90"/>
    <w:rsid w:val="00BB6CD4"/>
    <w:rsid w:val="00BB6E66"/>
    <w:rsid w:val="00BB70C3"/>
    <w:rsid w:val="00BB711A"/>
    <w:rsid w:val="00BB7137"/>
    <w:rsid w:val="00BB713D"/>
    <w:rsid w:val="00BB7157"/>
    <w:rsid w:val="00BB7226"/>
    <w:rsid w:val="00BB724D"/>
    <w:rsid w:val="00BB7269"/>
    <w:rsid w:val="00BB72CC"/>
    <w:rsid w:val="00BB72CE"/>
    <w:rsid w:val="00BB7421"/>
    <w:rsid w:val="00BB7467"/>
    <w:rsid w:val="00BB746B"/>
    <w:rsid w:val="00BB7472"/>
    <w:rsid w:val="00BB74D7"/>
    <w:rsid w:val="00BB74FB"/>
    <w:rsid w:val="00BB7549"/>
    <w:rsid w:val="00BB75AB"/>
    <w:rsid w:val="00BB75DA"/>
    <w:rsid w:val="00BB7622"/>
    <w:rsid w:val="00BB762B"/>
    <w:rsid w:val="00BB76F0"/>
    <w:rsid w:val="00BB771B"/>
    <w:rsid w:val="00BB7764"/>
    <w:rsid w:val="00BB77A5"/>
    <w:rsid w:val="00BB77C4"/>
    <w:rsid w:val="00BB786B"/>
    <w:rsid w:val="00BB787F"/>
    <w:rsid w:val="00BB78C0"/>
    <w:rsid w:val="00BB78C2"/>
    <w:rsid w:val="00BB78D3"/>
    <w:rsid w:val="00BB795F"/>
    <w:rsid w:val="00BB7B6A"/>
    <w:rsid w:val="00BB7B6B"/>
    <w:rsid w:val="00BB7BB9"/>
    <w:rsid w:val="00BB7BC9"/>
    <w:rsid w:val="00BB7BD7"/>
    <w:rsid w:val="00BB7C80"/>
    <w:rsid w:val="00BB7CA6"/>
    <w:rsid w:val="00BB7CB0"/>
    <w:rsid w:val="00BB7D29"/>
    <w:rsid w:val="00BB7D53"/>
    <w:rsid w:val="00BB7DD9"/>
    <w:rsid w:val="00BB7DEF"/>
    <w:rsid w:val="00BB7F61"/>
    <w:rsid w:val="00BB7FF4"/>
    <w:rsid w:val="00BC0057"/>
    <w:rsid w:val="00BC00B5"/>
    <w:rsid w:val="00BC023C"/>
    <w:rsid w:val="00BC026C"/>
    <w:rsid w:val="00BC036F"/>
    <w:rsid w:val="00BC0446"/>
    <w:rsid w:val="00BC04F5"/>
    <w:rsid w:val="00BC054E"/>
    <w:rsid w:val="00BC0550"/>
    <w:rsid w:val="00BC0568"/>
    <w:rsid w:val="00BC068A"/>
    <w:rsid w:val="00BC069A"/>
    <w:rsid w:val="00BC06D8"/>
    <w:rsid w:val="00BC0791"/>
    <w:rsid w:val="00BC087F"/>
    <w:rsid w:val="00BC088F"/>
    <w:rsid w:val="00BC08D0"/>
    <w:rsid w:val="00BC09B6"/>
    <w:rsid w:val="00BC0A4E"/>
    <w:rsid w:val="00BC0A76"/>
    <w:rsid w:val="00BC0AE4"/>
    <w:rsid w:val="00BC0B46"/>
    <w:rsid w:val="00BC0BA7"/>
    <w:rsid w:val="00BC0C6C"/>
    <w:rsid w:val="00BC0DD4"/>
    <w:rsid w:val="00BC0DE0"/>
    <w:rsid w:val="00BC0E28"/>
    <w:rsid w:val="00BC0F77"/>
    <w:rsid w:val="00BC106D"/>
    <w:rsid w:val="00BC1272"/>
    <w:rsid w:val="00BC129B"/>
    <w:rsid w:val="00BC12A5"/>
    <w:rsid w:val="00BC1383"/>
    <w:rsid w:val="00BC1398"/>
    <w:rsid w:val="00BC13C3"/>
    <w:rsid w:val="00BC13ED"/>
    <w:rsid w:val="00BC14C7"/>
    <w:rsid w:val="00BC14FC"/>
    <w:rsid w:val="00BC15BA"/>
    <w:rsid w:val="00BC160D"/>
    <w:rsid w:val="00BC16AC"/>
    <w:rsid w:val="00BC16D5"/>
    <w:rsid w:val="00BC173A"/>
    <w:rsid w:val="00BC174F"/>
    <w:rsid w:val="00BC177C"/>
    <w:rsid w:val="00BC1859"/>
    <w:rsid w:val="00BC18A1"/>
    <w:rsid w:val="00BC18AC"/>
    <w:rsid w:val="00BC18C4"/>
    <w:rsid w:val="00BC1A7B"/>
    <w:rsid w:val="00BC1BE6"/>
    <w:rsid w:val="00BC1D0F"/>
    <w:rsid w:val="00BC1DC6"/>
    <w:rsid w:val="00BC1E00"/>
    <w:rsid w:val="00BC1E3B"/>
    <w:rsid w:val="00BC1E79"/>
    <w:rsid w:val="00BC1F55"/>
    <w:rsid w:val="00BC2030"/>
    <w:rsid w:val="00BC2039"/>
    <w:rsid w:val="00BC206E"/>
    <w:rsid w:val="00BC2103"/>
    <w:rsid w:val="00BC211C"/>
    <w:rsid w:val="00BC212D"/>
    <w:rsid w:val="00BC21B3"/>
    <w:rsid w:val="00BC2379"/>
    <w:rsid w:val="00BC2381"/>
    <w:rsid w:val="00BC2437"/>
    <w:rsid w:val="00BC2466"/>
    <w:rsid w:val="00BC24A3"/>
    <w:rsid w:val="00BC24D2"/>
    <w:rsid w:val="00BC25EC"/>
    <w:rsid w:val="00BC2724"/>
    <w:rsid w:val="00BC2802"/>
    <w:rsid w:val="00BC2881"/>
    <w:rsid w:val="00BC28EC"/>
    <w:rsid w:val="00BC28FA"/>
    <w:rsid w:val="00BC2976"/>
    <w:rsid w:val="00BC2AD2"/>
    <w:rsid w:val="00BC2AD7"/>
    <w:rsid w:val="00BC2B4D"/>
    <w:rsid w:val="00BC2B76"/>
    <w:rsid w:val="00BC2C57"/>
    <w:rsid w:val="00BC2DFB"/>
    <w:rsid w:val="00BC2E44"/>
    <w:rsid w:val="00BC2E64"/>
    <w:rsid w:val="00BC2F02"/>
    <w:rsid w:val="00BC2F1C"/>
    <w:rsid w:val="00BC2F1F"/>
    <w:rsid w:val="00BC2F24"/>
    <w:rsid w:val="00BC2F8D"/>
    <w:rsid w:val="00BC302D"/>
    <w:rsid w:val="00BC30D2"/>
    <w:rsid w:val="00BC310E"/>
    <w:rsid w:val="00BC3174"/>
    <w:rsid w:val="00BC3178"/>
    <w:rsid w:val="00BC32BF"/>
    <w:rsid w:val="00BC32C7"/>
    <w:rsid w:val="00BC335A"/>
    <w:rsid w:val="00BC33AB"/>
    <w:rsid w:val="00BC3443"/>
    <w:rsid w:val="00BC3490"/>
    <w:rsid w:val="00BC3795"/>
    <w:rsid w:val="00BC37AD"/>
    <w:rsid w:val="00BC386A"/>
    <w:rsid w:val="00BC387C"/>
    <w:rsid w:val="00BC391A"/>
    <w:rsid w:val="00BC391F"/>
    <w:rsid w:val="00BC394C"/>
    <w:rsid w:val="00BC39BE"/>
    <w:rsid w:val="00BC3AEA"/>
    <w:rsid w:val="00BC3B1A"/>
    <w:rsid w:val="00BC3B28"/>
    <w:rsid w:val="00BC3B65"/>
    <w:rsid w:val="00BC3BDC"/>
    <w:rsid w:val="00BC3C14"/>
    <w:rsid w:val="00BC3DA7"/>
    <w:rsid w:val="00BC3DDC"/>
    <w:rsid w:val="00BC3E2F"/>
    <w:rsid w:val="00BC3EA5"/>
    <w:rsid w:val="00BC3EC3"/>
    <w:rsid w:val="00BC3EFB"/>
    <w:rsid w:val="00BC3F52"/>
    <w:rsid w:val="00BC3FE1"/>
    <w:rsid w:val="00BC4129"/>
    <w:rsid w:val="00BC412C"/>
    <w:rsid w:val="00BC4160"/>
    <w:rsid w:val="00BC4181"/>
    <w:rsid w:val="00BC41C6"/>
    <w:rsid w:val="00BC4202"/>
    <w:rsid w:val="00BC4211"/>
    <w:rsid w:val="00BC4291"/>
    <w:rsid w:val="00BC42B2"/>
    <w:rsid w:val="00BC42CE"/>
    <w:rsid w:val="00BC439D"/>
    <w:rsid w:val="00BC4475"/>
    <w:rsid w:val="00BC44C9"/>
    <w:rsid w:val="00BC452A"/>
    <w:rsid w:val="00BC45F8"/>
    <w:rsid w:val="00BC470A"/>
    <w:rsid w:val="00BC4737"/>
    <w:rsid w:val="00BC4751"/>
    <w:rsid w:val="00BC48C1"/>
    <w:rsid w:val="00BC48EE"/>
    <w:rsid w:val="00BC48F9"/>
    <w:rsid w:val="00BC4A7C"/>
    <w:rsid w:val="00BC4B2A"/>
    <w:rsid w:val="00BC4B77"/>
    <w:rsid w:val="00BC4B7A"/>
    <w:rsid w:val="00BC4C24"/>
    <w:rsid w:val="00BC4C96"/>
    <w:rsid w:val="00BC4CB3"/>
    <w:rsid w:val="00BC4DD9"/>
    <w:rsid w:val="00BC4E41"/>
    <w:rsid w:val="00BC4F46"/>
    <w:rsid w:val="00BC500C"/>
    <w:rsid w:val="00BC5053"/>
    <w:rsid w:val="00BC5054"/>
    <w:rsid w:val="00BC50F4"/>
    <w:rsid w:val="00BC510C"/>
    <w:rsid w:val="00BC51B3"/>
    <w:rsid w:val="00BC525C"/>
    <w:rsid w:val="00BC533A"/>
    <w:rsid w:val="00BC5391"/>
    <w:rsid w:val="00BC53CC"/>
    <w:rsid w:val="00BC53F0"/>
    <w:rsid w:val="00BC540C"/>
    <w:rsid w:val="00BC5420"/>
    <w:rsid w:val="00BC5422"/>
    <w:rsid w:val="00BC54B8"/>
    <w:rsid w:val="00BC550A"/>
    <w:rsid w:val="00BC5570"/>
    <w:rsid w:val="00BC55C9"/>
    <w:rsid w:val="00BC5616"/>
    <w:rsid w:val="00BC5799"/>
    <w:rsid w:val="00BC588F"/>
    <w:rsid w:val="00BC58DE"/>
    <w:rsid w:val="00BC5985"/>
    <w:rsid w:val="00BC5B04"/>
    <w:rsid w:val="00BC5B45"/>
    <w:rsid w:val="00BC5B48"/>
    <w:rsid w:val="00BC5CF3"/>
    <w:rsid w:val="00BC5D1D"/>
    <w:rsid w:val="00BC5DA6"/>
    <w:rsid w:val="00BC5DC2"/>
    <w:rsid w:val="00BC5DE5"/>
    <w:rsid w:val="00BC5E3F"/>
    <w:rsid w:val="00BC5EE4"/>
    <w:rsid w:val="00BC5F33"/>
    <w:rsid w:val="00BC5F4B"/>
    <w:rsid w:val="00BC5F99"/>
    <w:rsid w:val="00BC5FA2"/>
    <w:rsid w:val="00BC5FC8"/>
    <w:rsid w:val="00BC6037"/>
    <w:rsid w:val="00BC604B"/>
    <w:rsid w:val="00BC6090"/>
    <w:rsid w:val="00BC60AC"/>
    <w:rsid w:val="00BC60C4"/>
    <w:rsid w:val="00BC621F"/>
    <w:rsid w:val="00BC627B"/>
    <w:rsid w:val="00BC63A0"/>
    <w:rsid w:val="00BC63B0"/>
    <w:rsid w:val="00BC63F3"/>
    <w:rsid w:val="00BC64CA"/>
    <w:rsid w:val="00BC64CC"/>
    <w:rsid w:val="00BC64F8"/>
    <w:rsid w:val="00BC6526"/>
    <w:rsid w:val="00BC6559"/>
    <w:rsid w:val="00BC65EA"/>
    <w:rsid w:val="00BC6654"/>
    <w:rsid w:val="00BC6842"/>
    <w:rsid w:val="00BC68CB"/>
    <w:rsid w:val="00BC693F"/>
    <w:rsid w:val="00BC6958"/>
    <w:rsid w:val="00BC6992"/>
    <w:rsid w:val="00BC6ADA"/>
    <w:rsid w:val="00BC6B42"/>
    <w:rsid w:val="00BC6B90"/>
    <w:rsid w:val="00BC6BB5"/>
    <w:rsid w:val="00BC6BD9"/>
    <w:rsid w:val="00BC6C3E"/>
    <w:rsid w:val="00BC6CCC"/>
    <w:rsid w:val="00BC6D60"/>
    <w:rsid w:val="00BC6D76"/>
    <w:rsid w:val="00BC6DBC"/>
    <w:rsid w:val="00BC6E30"/>
    <w:rsid w:val="00BC6EE5"/>
    <w:rsid w:val="00BC6F22"/>
    <w:rsid w:val="00BC701F"/>
    <w:rsid w:val="00BC7093"/>
    <w:rsid w:val="00BC7203"/>
    <w:rsid w:val="00BC7227"/>
    <w:rsid w:val="00BC7288"/>
    <w:rsid w:val="00BC729C"/>
    <w:rsid w:val="00BC72BF"/>
    <w:rsid w:val="00BC72C3"/>
    <w:rsid w:val="00BC73BD"/>
    <w:rsid w:val="00BC7423"/>
    <w:rsid w:val="00BC744B"/>
    <w:rsid w:val="00BC7495"/>
    <w:rsid w:val="00BC74E0"/>
    <w:rsid w:val="00BC752D"/>
    <w:rsid w:val="00BC7544"/>
    <w:rsid w:val="00BC7547"/>
    <w:rsid w:val="00BC7561"/>
    <w:rsid w:val="00BC75A9"/>
    <w:rsid w:val="00BC77CE"/>
    <w:rsid w:val="00BC77E7"/>
    <w:rsid w:val="00BC7901"/>
    <w:rsid w:val="00BC793F"/>
    <w:rsid w:val="00BC7966"/>
    <w:rsid w:val="00BC7B0F"/>
    <w:rsid w:val="00BC7B73"/>
    <w:rsid w:val="00BC7CA5"/>
    <w:rsid w:val="00BC7DB3"/>
    <w:rsid w:val="00BC7DCC"/>
    <w:rsid w:val="00BC7E64"/>
    <w:rsid w:val="00BC7E79"/>
    <w:rsid w:val="00BC7E8E"/>
    <w:rsid w:val="00BC7EB5"/>
    <w:rsid w:val="00BC7ED2"/>
    <w:rsid w:val="00BC7FA8"/>
    <w:rsid w:val="00BD00B4"/>
    <w:rsid w:val="00BD00D7"/>
    <w:rsid w:val="00BD01CC"/>
    <w:rsid w:val="00BD025A"/>
    <w:rsid w:val="00BD02E6"/>
    <w:rsid w:val="00BD0315"/>
    <w:rsid w:val="00BD036E"/>
    <w:rsid w:val="00BD0450"/>
    <w:rsid w:val="00BD049D"/>
    <w:rsid w:val="00BD049E"/>
    <w:rsid w:val="00BD04B0"/>
    <w:rsid w:val="00BD04EA"/>
    <w:rsid w:val="00BD0540"/>
    <w:rsid w:val="00BD0541"/>
    <w:rsid w:val="00BD0555"/>
    <w:rsid w:val="00BD05A5"/>
    <w:rsid w:val="00BD05E0"/>
    <w:rsid w:val="00BD062D"/>
    <w:rsid w:val="00BD063E"/>
    <w:rsid w:val="00BD0675"/>
    <w:rsid w:val="00BD06B5"/>
    <w:rsid w:val="00BD0734"/>
    <w:rsid w:val="00BD07B2"/>
    <w:rsid w:val="00BD08D7"/>
    <w:rsid w:val="00BD09BB"/>
    <w:rsid w:val="00BD09C3"/>
    <w:rsid w:val="00BD09D8"/>
    <w:rsid w:val="00BD09F5"/>
    <w:rsid w:val="00BD0A32"/>
    <w:rsid w:val="00BD0A75"/>
    <w:rsid w:val="00BD0A78"/>
    <w:rsid w:val="00BD0A9B"/>
    <w:rsid w:val="00BD0ADA"/>
    <w:rsid w:val="00BD0B7E"/>
    <w:rsid w:val="00BD0BA8"/>
    <w:rsid w:val="00BD0BEB"/>
    <w:rsid w:val="00BD0CCD"/>
    <w:rsid w:val="00BD0CD2"/>
    <w:rsid w:val="00BD0D48"/>
    <w:rsid w:val="00BD0D9C"/>
    <w:rsid w:val="00BD0DD8"/>
    <w:rsid w:val="00BD0DE3"/>
    <w:rsid w:val="00BD0E0A"/>
    <w:rsid w:val="00BD0E63"/>
    <w:rsid w:val="00BD0EF8"/>
    <w:rsid w:val="00BD0F4F"/>
    <w:rsid w:val="00BD0F89"/>
    <w:rsid w:val="00BD0FDF"/>
    <w:rsid w:val="00BD1029"/>
    <w:rsid w:val="00BD113D"/>
    <w:rsid w:val="00BD11BD"/>
    <w:rsid w:val="00BD1201"/>
    <w:rsid w:val="00BD123B"/>
    <w:rsid w:val="00BD1258"/>
    <w:rsid w:val="00BD1265"/>
    <w:rsid w:val="00BD12F4"/>
    <w:rsid w:val="00BD1338"/>
    <w:rsid w:val="00BD1379"/>
    <w:rsid w:val="00BD1387"/>
    <w:rsid w:val="00BD1493"/>
    <w:rsid w:val="00BD14C2"/>
    <w:rsid w:val="00BD14F0"/>
    <w:rsid w:val="00BD162A"/>
    <w:rsid w:val="00BD162E"/>
    <w:rsid w:val="00BD16A8"/>
    <w:rsid w:val="00BD17DD"/>
    <w:rsid w:val="00BD1888"/>
    <w:rsid w:val="00BD1A09"/>
    <w:rsid w:val="00BD1A2A"/>
    <w:rsid w:val="00BD1AB1"/>
    <w:rsid w:val="00BD1AB3"/>
    <w:rsid w:val="00BD1AC0"/>
    <w:rsid w:val="00BD1B06"/>
    <w:rsid w:val="00BD1B7D"/>
    <w:rsid w:val="00BD1C1B"/>
    <w:rsid w:val="00BD1C28"/>
    <w:rsid w:val="00BD1C51"/>
    <w:rsid w:val="00BD1CB2"/>
    <w:rsid w:val="00BD1CC4"/>
    <w:rsid w:val="00BD1CF2"/>
    <w:rsid w:val="00BD1DC6"/>
    <w:rsid w:val="00BD1DE1"/>
    <w:rsid w:val="00BD1DF7"/>
    <w:rsid w:val="00BD1E98"/>
    <w:rsid w:val="00BD1F94"/>
    <w:rsid w:val="00BD2049"/>
    <w:rsid w:val="00BD204D"/>
    <w:rsid w:val="00BD2054"/>
    <w:rsid w:val="00BD206C"/>
    <w:rsid w:val="00BD20C0"/>
    <w:rsid w:val="00BD2119"/>
    <w:rsid w:val="00BD21CA"/>
    <w:rsid w:val="00BD21FF"/>
    <w:rsid w:val="00BD222F"/>
    <w:rsid w:val="00BD2274"/>
    <w:rsid w:val="00BD2377"/>
    <w:rsid w:val="00BD244D"/>
    <w:rsid w:val="00BD24DB"/>
    <w:rsid w:val="00BD25E0"/>
    <w:rsid w:val="00BD2655"/>
    <w:rsid w:val="00BD26A6"/>
    <w:rsid w:val="00BD26D1"/>
    <w:rsid w:val="00BD26DD"/>
    <w:rsid w:val="00BD2733"/>
    <w:rsid w:val="00BD292B"/>
    <w:rsid w:val="00BD29FE"/>
    <w:rsid w:val="00BD2AF9"/>
    <w:rsid w:val="00BD2B37"/>
    <w:rsid w:val="00BD2B58"/>
    <w:rsid w:val="00BD2C1A"/>
    <w:rsid w:val="00BD2C67"/>
    <w:rsid w:val="00BD2D86"/>
    <w:rsid w:val="00BD2E66"/>
    <w:rsid w:val="00BD2F8D"/>
    <w:rsid w:val="00BD3066"/>
    <w:rsid w:val="00BD3079"/>
    <w:rsid w:val="00BD308B"/>
    <w:rsid w:val="00BD309C"/>
    <w:rsid w:val="00BD3112"/>
    <w:rsid w:val="00BD323A"/>
    <w:rsid w:val="00BD3310"/>
    <w:rsid w:val="00BD346E"/>
    <w:rsid w:val="00BD3515"/>
    <w:rsid w:val="00BD3562"/>
    <w:rsid w:val="00BD3569"/>
    <w:rsid w:val="00BD3608"/>
    <w:rsid w:val="00BD37FC"/>
    <w:rsid w:val="00BD3831"/>
    <w:rsid w:val="00BD39E5"/>
    <w:rsid w:val="00BD3A8B"/>
    <w:rsid w:val="00BD3B37"/>
    <w:rsid w:val="00BD3B39"/>
    <w:rsid w:val="00BD3B3C"/>
    <w:rsid w:val="00BD3D1D"/>
    <w:rsid w:val="00BD3D22"/>
    <w:rsid w:val="00BD3D4F"/>
    <w:rsid w:val="00BD3DBD"/>
    <w:rsid w:val="00BD3EBD"/>
    <w:rsid w:val="00BD3EF9"/>
    <w:rsid w:val="00BD3FC6"/>
    <w:rsid w:val="00BD3FED"/>
    <w:rsid w:val="00BD4011"/>
    <w:rsid w:val="00BD4097"/>
    <w:rsid w:val="00BD40B8"/>
    <w:rsid w:val="00BD4272"/>
    <w:rsid w:val="00BD43E2"/>
    <w:rsid w:val="00BD444D"/>
    <w:rsid w:val="00BD446F"/>
    <w:rsid w:val="00BD447B"/>
    <w:rsid w:val="00BD4483"/>
    <w:rsid w:val="00BD465A"/>
    <w:rsid w:val="00BD4676"/>
    <w:rsid w:val="00BD4689"/>
    <w:rsid w:val="00BD48DD"/>
    <w:rsid w:val="00BD48E8"/>
    <w:rsid w:val="00BD4930"/>
    <w:rsid w:val="00BD4A33"/>
    <w:rsid w:val="00BD4A88"/>
    <w:rsid w:val="00BD4AC0"/>
    <w:rsid w:val="00BD4AED"/>
    <w:rsid w:val="00BD4B02"/>
    <w:rsid w:val="00BD4B0D"/>
    <w:rsid w:val="00BD4B11"/>
    <w:rsid w:val="00BD4B4E"/>
    <w:rsid w:val="00BD4C7E"/>
    <w:rsid w:val="00BD4CA3"/>
    <w:rsid w:val="00BD4CB5"/>
    <w:rsid w:val="00BD4D09"/>
    <w:rsid w:val="00BD4D55"/>
    <w:rsid w:val="00BD4D9E"/>
    <w:rsid w:val="00BD4DD8"/>
    <w:rsid w:val="00BD4E36"/>
    <w:rsid w:val="00BD4E38"/>
    <w:rsid w:val="00BD4F21"/>
    <w:rsid w:val="00BD4F3B"/>
    <w:rsid w:val="00BD4FF7"/>
    <w:rsid w:val="00BD4FFB"/>
    <w:rsid w:val="00BD5009"/>
    <w:rsid w:val="00BD503F"/>
    <w:rsid w:val="00BD50D6"/>
    <w:rsid w:val="00BD5124"/>
    <w:rsid w:val="00BD519E"/>
    <w:rsid w:val="00BD52D5"/>
    <w:rsid w:val="00BD533E"/>
    <w:rsid w:val="00BD5367"/>
    <w:rsid w:val="00BD53AD"/>
    <w:rsid w:val="00BD53BB"/>
    <w:rsid w:val="00BD53F3"/>
    <w:rsid w:val="00BD5563"/>
    <w:rsid w:val="00BD5584"/>
    <w:rsid w:val="00BD5659"/>
    <w:rsid w:val="00BD5751"/>
    <w:rsid w:val="00BD57C9"/>
    <w:rsid w:val="00BD5849"/>
    <w:rsid w:val="00BD5851"/>
    <w:rsid w:val="00BD5925"/>
    <w:rsid w:val="00BD5955"/>
    <w:rsid w:val="00BD5A47"/>
    <w:rsid w:val="00BD5ADB"/>
    <w:rsid w:val="00BD5AEC"/>
    <w:rsid w:val="00BD5B11"/>
    <w:rsid w:val="00BD5BBB"/>
    <w:rsid w:val="00BD5C3A"/>
    <w:rsid w:val="00BD5C4F"/>
    <w:rsid w:val="00BD5CD6"/>
    <w:rsid w:val="00BD5D7B"/>
    <w:rsid w:val="00BD5E04"/>
    <w:rsid w:val="00BD5E2A"/>
    <w:rsid w:val="00BD5E3A"/>
    <w:rsid w:val="00BD5E3F"/>
    <w:rsid w:val="00BD5FD8"/>
    <w:rsid w:val="00BD5FFC"/>
    <w:rsid w:val="00BD6033"/>
    <w:rsid w:val="00BD606B"/>
    <w:rsid w:val="00BD60EF"/>
    <w:rsid w:val="00BD61B2"/>
    <w:rsid w:val="00BD6235"/>
    <w:rsid w:val="00BD62A0"/>
    <w:rsid w:val="00BD636B"/>
    <w:rsid w:val="00BD638A"/>
    <w:rsid w:val="00BD63D6"/>
    <w:rsid w:val="00BD64DB"/>
    <w:rsid w:val="00BD651E"/>
    <w:rsid w:val="00BD6537"/>
    <w:rsid w:val="00BD6578"/>
    <w:rsid w:val="00BD65D5"/>
    <w:rsid w:val="00BD6658"/>
    <w:rsid w:val="00BD674B"/>
    <w:rsid w:val="00BD6777"/>
    <w:rsid w:val="00BD680D"/>
    <w:rsid w:val="00BD6818"/>
    <w:rsid w:val="00BD686B"/>
    <w:rsid w:val="00BD691B"/>
    <w:rsid w:val="00BD6B4A"/>
    <w:rsid w:val="00BD6B92"/>
    <w:rsid w:val="00BD6BE3"/>
    <w:rsid w:val="00BD6C23"/>
    <w:rsid w:val="00BD6C3F"/>
    <w:rsid w:val="00BD6C4E"/>
    <w:rsid w:val="00BD6C61"/>
    <w:rsid w:val="00BD6CD4"/>
    <w:rsid w:val="00BD6D0A"/>
    <w:rsid w:val="00BD6D0E"/>
    <w:rsid w:val="00BD6D52"/>
    <w:rsid w:val="00BD6D6C"/>
    <w:rsid w:val="00BD6D9E"/>
    <w:rsid w:val="00BD6DBF"/>
    <w:rsid w:val="00BD6DDC"/>
    <w:rsid w:val="00BD6DEB"/>
    <w:rsid w:val="00BD6E0A"/>
    <w:rsid w:val="00BD6E72"/>
    <w:rsid w:val="00BD6EBF"/>
    <w:rsid w:val="00BD6ED2"/>
    <w:rsid w:val="00BD6F22"/>
    <w:rsid w:val="00BD7016"/>
    <w:rsid w:val="00BD7029"/>
    <w:rsid w:val="00BD70B0"/>
    <w:rsid w:val="00BD70DD"/>
    <w:rsid w:val="00BD70FC"/>
    <w:rsid w:val="00BD70FE"/>
    <w:rsid w:val="00BD71AE"/>
    <w:rsid w:val="00BD71C8"/>
    <w:rsid w:val="00BD72F4"/>
    <w:rsid w:val="00BD7323"/>
    <w:rsid w:val="00BD7417"/>
    <w:rsid w:val="00BD7458"/>
    <w:rsid w:val="00BD760A"/>
    <w:rsid w:val="00BD760C"/>
    <w:rsid w:val="00BD76D7"/>
    <w:rsid w:val="00BD7703"/>
    <w:rsid w:val="00BD7711"/>
    <w:rsid w:val="00BD771A"/>
    <w:rsid w:val="00BD7766"/>
    <w:rsid w:val="00BD7956"/>
    <w:rsid w:val="00BD7AB0"/>
    <w:rsid w:val="00BD7B88"/>
    <w:rsid w:val="00BD7BA0"/>
    <w:rsid w:val="00BD7C6A"/>
    <w:rsid w:val="00BD7C82"/>
    <w:rsid w:val="00BD7D11"/>
    <w:rsid w:val="00BD7D19"/>
    <w:rsid w:val="00BD7E40"/>
    <w:rsid w:val="00BD7EDF"/>
    <w:rsid w:val="00BD7EFB"/>
    <w:rsid w:val="00BE0021"/>
    <w:rsid w:val="00BE0135"/>
    <w:rsid w:val="00BE017E"/>
    <w:rsid w:val="00BE0326"/>
    <w:rsid w:val="00BE03BC"/>
    <w:rsid w:val="00BE0482"/>
    <w:rsid w:val="00BE04BA"/>
    <w:rsid w:val="00BE06A0"/>
    <w:rsid w:val="00BE06B1"/>
    <w:rsid w:val="00BE0910"/>
    <w:rsid w:val="00BE09FE"/>
    <w:rsid w:val="00BE0A4A"/>
    <w:rsid w:val="00BE0A4B"/>
    <w:rsid w:val="00BE0AB5"/>
    <w:rsid w:val="00BE0ABD"/>
    <w:rsid w:val="00BE0B06"/>
    <w:rsid w:val="00BE0B0D"/>
    <w:rsid w:val="00BE0B80"/>
    <w:rsid w:val="00BE0C21"/>
    <w:rsid w:val="00BE0E07"/>
    <w:rsid w:val="00BE0E13"/>
    <w:rsid w:val="00BE0E71"/>
    <w:rsid w:val="00BE0E83"/>
    <w:rsid w:val="00BE0EBF"/>
    <w:rsid w:val="00BE0ED7"/>
    <w:rsid w:val="00BE0FA7"/>
    <w:rsid w:val="00BE1030"/>
    <w:rsid w:val="00BE105E"/>
    <w:rsid w:val="00BE1166"/>
    <w:rsid w:val="00BE124A"/>
    <w:rsid w:val="00BE128F"/>
    <w:rsid w:val="00BE1339"/>
    <w:rsid w:val="00BE134D"/>
    <w:rsid w:val="00BE13BA"/>
    <w:rsid w:val="00BE147D"/>
    <w:rsid w:val="00BE15F5"/>
    <w:rsid w:val="00BE169F"/>
    <w:rsid w:val="00BE173E"/>
    <w:rsid w:val="00BE178F"/>
    <w:rsid w:val="00BE1791"/>
    <w:rsid w:val="00BE1814"/>
    <w:rsid w:val="00BE1823"/>
    <w:rsid w:val="00BE1852"/>
    <w:rsid w:val="00BE18A1"/>
    <w:rsid w:val="00BE18F9"/>
    <w:rsid w:val="00BE1998"/>
    <w:rsid w:val="00BE1A7A"/>
    <w:rsid w:val="00BE1AAA"/>
    <w:rsid w:val="00BE1B4A"/>
    <w:rsid w:val="00BE1BE7"/>
    <w:rsid w:val="00BE1C02"/>
    <w:rsid w:val="00BE1C1B"/>
    <w:rsid w:val="00BE1D06"/>
    <w:rsid w:val="00BE1D15"/>
    <w:rsid w:val="00BE1D73"/>
    <w:rsid w:val="00BE1E3D"/>
    <w:rsid w:val="00BE1E6B"/>
    <w:rsid w:val="00BE1E79"/>
    <w:rsid w:val="00BE1E97"/>
    <w:rsid w:val="00BE1F02"/>
    <w:rsid w:val="00BE1F25"/>
    <w:rsid w:val="00BE1FCF"/>
    <w:rsid w:val="00BE20C7"/>
    <w:rsid w:val="00BE216B"/>
    <w:rsid w:val="00BE219A"/>
    <w:rsid w:val="00BE220C"/>
    <w:rsid w:val="00BE2314"/>
    <w:rsid w:val="00BE23A8"/>
    <w:rsid w:val="00BE24FB"/>
    <w:rsid w:val="00BE2569"/>
    <w:rsid w:val="00BE2615"/>
    <w:rsid w:val="00BE2719"/>
    <w:rsid w:val="00BE27D9"/>
    <w:rsid w:val="00BE27DB"/>
    <w:rsid w:val="00BE27E8"/>
    <w:rsid w:val="00BE2832"/>
    <w:rsid w:val="00BE2907"/>
    <w:rsid w:val="00BE2977"/>
    <w:rsid w:val="00BE297F"/>
    <w:rsid w:val="00BE29B6"/>
    <w:rsid w:val="00BE2A9D"/>
    <w:rsid w:val="00BE2AE2"/>
    <w:rsid w:val="00BE2CB7"/>
    <w:rsid w:val="00BE2E58"/>
    <w:rsid w:val="00BE302E"/>
    <w:rsid w:val="00BE30F9"/>
    <w:rsid w:val="00BE31A7"/>
    <w:rsid w:val="00BE32BE"/>
    <w:rsid w:val="00BE350C"/>
    <w:rsid w:val="00BE36B8"/>
    <w:rsid w:val="00BE3773"/>
    <w:rsid w:val="00BE3775"/>
    <w:rsid w:val="00BE3805"/>
    <w:rsid w:val="00BE3967"/>
    <w:rsid w:val="00BE39B9"/>
    <w:rsid w:val="00BE3ADF"/>
    <w:rsid w:val="00BE3B33"/>
    <w:rsid w:val="00BE3B42"/>
    <w:rsid w:val="00BE3B51"/>
    <w:rsid w:val="00BE3BF7"/>
    <w:rsid w:val="00BE3E5B"/>
    <w:rsid w:val="00BE3EA6"/>
    <w:rsid w:val="00BE3EF1"/>
    <w:rsid w:val="00BE4025"/>
    <w:rsid w:val="00BE422A"/>
    <w:rsid w:val="00BE4281"/>
    <w:rsid w:val="00BE433E"/>
    <w:rsid w:val="00BE4395"/>
    <w:rsid w:val="00BE4421"/>
    <w:rsid w:val="00BE44BC"/>
    <w:rsid w:val="00BE4537"/>
    <w:rsid w:val="00BE461E"/>
    <w:rsid w:val="00BE46AC"/>
    <w:rsid w:val="00BE46C5"/>
    <w:rsid w:val="00BE4769"/>
    <w:rsid w:val="00BE4980"/>
    <w:rsid w:val="00BE49A6"/>
    <w:rsid w:val="00BE4A48"/>
    <w:rsid w:val="00BE4B2C"/>
    <w:rsid w:val="00BE4B58"/>
    <w:rsid w:val="00BE4BA2"/>
    <w:rsid w:val="00BE4BF2"/>
    <w:rsid w:val="00BE4CEF"/>
    <w:rsid w:val="00BE4DC0"/>
    <w:rsid w:val="00BE4DC3"/>
    <w:rsid w:val="00BE4E1A"/>
    <w:rsid w:val="00BE4EC7"/>
    <w:rsid w:val="00BE4F13"/>
    <w:rsid w:val="00BE4F3A"/>
    <w:rsid w:val="00BE4FE2"/>
    <w:rsid w:val="00BE501F"/>
    <w:rsid w:val="00BE506A"/>
    <w:rsid w:val="00BE5093"/>
    <w:rsid w:val="00BE50AB"/>
    <w:rsid w:val="00BE50C7"/>
    <w:rsid w:val="00BE5248"/>
    <w:rsid w:val="00BE5257"/>
    <w:rsid w:val="00BE5269"/>
    <w:rsid w:val="00BE52EE"/>
    <w:rsid w:val="00BE533C"/>
    <w:rsid w:val="00BE53F3"/>
    <w:rsid w:val="00BE5506"/>
    <w:rsid w:val="00BE552F"/>
    <w:rsid w:val="00BE5532"/>
    <w:rsid w:val="00BE5539"/>
    <w:rsid w:val="00BE554A"/>
    <w:rsid w:val="00BE55E7"/>
    <w:rsid w:val="00BE55FD"/>
    <w:rsid w:val="00BE5623"/>
    <w:rsid w:val="00BE5731"/>
    <w:rsid w:val="00BE590A"/>
    <w:rsid w:val="00BE5942"/>
    <w:rsid w:val="00BE59F6"/>
    <w:rsid w:val="00BE5B64"/>
    <w:rsid w:val="00BE5B90"/>
    <w:rsid w:val="00BE5C3B"/>
    <w:rsid w:val="00BE5E08"/>
    <w:rsid w:val="00BE5EB6"/>
    <w:rsid w:val="00BE601D"/>
    <w:rsid w:val="00BE6083"/>
    <w:rsid w:val="00BE60CB"/>
    <w:rsid w:val="00BE60E0"/>
    <w:rsid w:val="00BE610C"/>
    <w:rsid w:val="00BE6128"/>
    <w:rsid w:val="00BE6142"/>
    <w:rsid w:val="00BE617E"/>
    <w:rsid w:val="00BE6280"/>
    <w:rsid w:val="00BE62B6"/>
    <w:rsid w:val="00BE62F4"/>
    <w:rsid w:val="00BE6386"/>
    <w:rsid w:val="00BE63B6"/>
    <w:rsid w:val="00BE63B9"/>
    <w:rsid w:val="00BE655A"/>
    <w:rsid w:val="00BE6566"/>
    <w:rsid w:val="00BE65AA"/>
    <w:rsid w:val="00BE661C"/>
    <w:rsid w:val="00BE662F"/>
    <w:rsid w:val="00BE663F"/>
    <w:rsid w:val="00BE67FA"/>
    <w:rsid w:val="00BE68B3"/>
    <w:rsid w:val="00BE6A26"/>
    <w:rsid w:val="00BE6B41"/>
    <w:rsid w:val="00BE6C1A"/>
    <w:rsid w:val="00BE6C95"/>
    <w:rsid w:val="00BE6CD0"/>
    <w:rsid w:val="00BE6D32"/>
    <w:rsid w:val="00BE6DDD"/>
    <w:rsid w:val="00BE6E08"/>
    <w:rsid w:val="00BE6E47"/>
    <w:rsid w:val="00BE6E9F"/>
    <w:rsid w:val="00BE6F14"/>
    <w:rsid w:val="00BE6FB6"/>
    <w:rsid w:val="00BE7041"/>
    <w:rsid w:val="00BE716A"/>
    <w:rsid w:val="00BE71AB"/>
    <w:rsid w:val="00BE72A5"/>
    <w:rsid w:val="00BE72A6"/>
    <w:rsid w:val="00BE72C0"/>
    <w:rsid w:val="00BE732C"/>
    <w:rsid w:val="00BE7339"/>
    <w:rsid w:val="00BE75DC"/>
    <w:rsid w:val="00BE7654"/>
    <w:rsid w:val="00BE769A"/>
    <w:rsid w:val="00BE7719"/>
    <w:rsid w:val="00BE7726"/>
    <w:rsid w:val="00BE7749"/>
    <w:rsid w:val="00BE77E1"/>
    <w:rsid w:val="00BE7814"/>
    <w:rsid w:val="00BE7834"/>
    <w:rsid w:val="00BE795A"/>
    <w:rsid w:val="00BE798B"/>
    <w:rsid w:val="00BE79E7"/>
    <w:rsid w:val="00BE7A19"/>
    <w:rsid w:val="00BE7A6E"/>
    <w:rsid w:val="00BE7A73"/>
    <w:rsid w:val="00BE7A95"/>
    <w:rsid w:val="00BE7BA6"/>
    <w:rsid w:val="00BE7BC5"/>
    <w:rsid w:val="00BE7BFE"/>
    <w:rsid w:val="00BE7C0F"/>
    <w:rsid w:val="00BE7D49"/>
    <w:rsid w:val="00BE7D4F"/>
    <w:rsid w:val="00BE7D79"/>
    <w:rsid w:val="00BE7E11"/>
    <w:rsid w:val="00BE7E49"/>
    <w:rsid w:val="00BE7E5F"/>
    <w:rsid w:val="00BF008D"/>
    <w:rsid w:val="00BF00E1"/>
    <w:rsid w:val="00BF0291"/>
    <w:rsid w:val="00BF0368"/>
    <w:rsid w:val="00BF0409"/>
    <w:rsid w:val="00BF042F"/>
    <w:rsid w:val="00BF04E5"/>
    <w:rsid w:val="00BF0633"/>
    <w:rsid w:val="00BF0736"/>
    <w:rsid w:val="00BF07CB"/>
    <w:rsid w:val="00BF084A"/>
    <w:rsid w:val="00BF084C"/>
    <w:rsid w:val="00BF08D4"/>
    <w:rsid w:val="00BF08D9"/>
    <w:rsid w:val="00BF0924"/>
    <w:rsid w:val="00BF0970"/>
    <w:rsid w:val="00BF0AF5"/>
    <w:rsid w:val="00BF0B30"/>
    <w:rsid w:val="00BF0B3A"/>
    <w:rsid w:val="00BF0BF8"/>
    <w:rsid w:val="00BF0C23"/>
    <w:rsid w:val="00BF0C38"/>
    <w:rsid w:val="00BF0C96"/>
    <w:rsid w:val="00BF0DEE"/>
    <w:rsid w:val="00BF0E34"/>
    <w:rsid w:val="00BF0E51"/>
    <w:rsid w:val="00BF0EC8"/>
    <w:rsid w:val="00BF0F57"/>
    <w:rsid w:val="00BF0F81"/>
    <w:rsid w:val="00BF0FF2"/>
    <w:rsid w:val="00BF10C5"/>
    <w:rsid w:val="00BF10E8"/>
    <w:rsid w:val="00BF10EE"/>
    <w:rsid w:val="00BF11CD"/>
    <w:rsid w:val="00BF12CB"/>
    <w:rsid w:val="00BF13B9"/>
    <w:rsid w:val="00BF1501"/>
    <w:rsid w:val="00BF1558"/>
    <w:rsid w:val="00BF15A0"/>
    <w:rsid w:val="00BF15BF"/>
    <w:rsid w:val="00BF15C1"/>
    <w:rsid w:val="00BF1645"/>
    <w:rsid w:val="00BF174B"/>
    <w:rsid w:val="00BF185A"/>
    <w:rsid w:val="00BF1937"/>
    <w:rsid w:val="00BF1A30"/>
    <w:rsid w:val="00BF1A6B"/>
    <w:rsid w:val="00BF1AC6"/>
    <w:rsid w:val="00BF1B02"/>
    <w:rsid w:val="00BF1B64"/>
    <w:rsid w:val="00BF1B8E"/>
    <w:rsid w:val="00BF1C03"/>
    <w:rsid w:val="00BF1C28"/>
    <w:rsid w:val="00BF1C8F"/>
    <w:rsid w:val="00BF1CE6"/>
    <w:rsid w:val="00BF1D74"/>
    <w:rsid w:val="00BF1D82"/>
    <w:rsid w:val="00BF1E3C"/>
    <w:rsid w:val="00BF1E6F"/>
    <w:rsid w:val="00BF1F05"/>
    <w:rsid w:val="00BF1F79"/>
    <w:rsid w:val="00BF1FBF"/>
    <w:rsid w:val="00BF20ED"/>
    <w:rsid w:val="00BF2147"/>
    <w:rsid w:val="00BF214E"/>
    <w:rsid w:val="00BF21BA"/>
    <w:rsid w:val="00BF21CE"/>
    <w:rsid w:val="00BF21F7"/>
    <w:rsid w:val="00BF22F2"/>
    <w:rsid w:val="00BF2421"/>
    <w:rsid w:val="00BF246C"/>
    <w:rsid w:val="00BF2543"/>
    <w:rsid w:val="00BF2588"/>
    <w:rsid w:val="00BF258B"/>
    <w:rsid w:val="00BF2600"/>
    <w:rsid w:val="00BF26E3"/>
    <w:rsid w:val="00BF2753"/>
    <w:rsid w:val="00BF27DD"/>
    <w:rsid w:val="00BF27F5"/>
    <w:rsid w:val="00BF2802"/>
    <w:rsid w:val="00BF283C"/>
    <w:rsid w:val="00BF28A9"/>
    <w:rsid w:val="00BF2972"/>
    <w:rsid w:val="00BF29EA"/>
    <w:rsid w:val="00BF2A9D"/>
    <w:rsid w:val="00BF2B34"/>
    <w:rsid w:val="00BF2C74"/>
    <w:rsid w:val="00BF2E52"/>
    <w:rsid w:val="00BF2E94"/>
    <w:rsid w:val="00BF2F6B"/>
    <w:rsid w:val="00BF2FB8"/>
    <w:rsid w:val="00BF2FF0"/>
    <w:rsid w:val="00BF3123"/>
    <w:rsid w:val="00BF3161"/>
    <w:rsid w:val="00BF3291"/>
    <w:rsid w:val="00BF3337"/>
    <w:rsid w:val="00BF3371"/>
    <w:rsid w:val="00BF338E"/>
    <w:rsid w:val="00BF33A5"/>
    <w:rsid w:val="00BF33CE"/>
    <w:rsid w:val="00BF33EB"/>
    <w:rsid w:val="00BF3465"/>
    <w:rsid w:val="00BF349C"/>
    <w:rsid w:val="00BF34B8"/>
    <w:rsid w:val="00BF3688"/>
    <w:rsid w:val="00BF36AE"/>
    <w:rsid w:val="00BF373B"/>
    <w:rsid w:val="00BF375A"/>
    <w:rsid w:val="00BF37CA"/>
    <w:rsid w:val="00BF37E0"/>
    <w:rsid w:val="00BF3830"/>
    <w:rsid w:val="00BF3847"/>
    <w:rsid w:val="00BF38B5"/>
    <w:rsid w:val="00BF390B"/>
    <w:rsid w:val="00BF3932"/>
    <w:rsid w:val="00BF3945"/>
    <w:rsid w:val="00BF394D"/>
    <w:rsid w:val="00BF3952"/>
    <w:rsid w:val="00BF3ACD"/>
    <w:rsid w:val="00BF3B95"/>
    <w:rsid w:val="00BF3B99"/>
    <w:rsid w:val="00BF3C05"/>
    <w:rsid w:val="00BF3C27"/>
    <w:rsid w:val="00BF3C4D"/>
    <w:rsid w:val="00BF3CAC"/>
    <w:rsid w:val="00BF3D8F"/>
    <w:rsid w:val="00BF3DC3"/>
    <w:rsid w:val="00BF3DC7"/>
    <w:rsid w:val="00BF3DDA"/>
    <w:rsid w:val="00BF3DDE"/>
    <w:rsid w:val="00BF3DE3"/>
    <w:rsid w:val="00BF3DFE"/>
    <w:rsid w:val="00BF3E0E"/>
    <w:rsid w:val="00BF3E1F"/>
    <w:rsid w:val="00BF3EDB"/>
    <w:rsid w:val="00BF3FC2"/>
    <w:rsid w:val="00BF3FD4"/>
    <w:rsid w:val="00BF400A"/>
    <w:rsid w:val="00BF400E"/>
    <w:rsid w:val="00BF40A6"/>
    <w:rsid w:val="00BF4105"/>
    <w:rsid w:val="00BF411E"/>
    <w:rsid w:val="00BF4123"/>
    <w:rsid w:val="00BF415B"/>
    <w:rsid w:val="00BF417A"/>
    <w:rsid w:val="00BF41B5"/>
    <w:rsid w:val="00BF41BD"/>
    <w:rsid w:val="00BF41FB"/>
    <w:rsid w:val="00BF41FF"/>
    <w:rsid w:val="00BF4202"/>
    <w:rsid w:val="00BF42C6"/>
    <w:rsid w:val="00BF4307"/>
    <w:rsid w:val="00BF4317"/>
    <w:rsid w:val="00BF431B"/>
    <w:rsid w:val="00BF4405"/>
    <w:rsid w:val="00BF4512"/>
    <w:rsid w:val="00BF4537"/>
    <w:rsid w:val="00BF45E9"/>
    <w:rsid w:val="00BF4711"/>
    <w:rsid w:val="00BF47EC"/>
    <w:rsid w:val="00BF4871"/>
    <w:rsid w:val="00BF4898"/>
    <w:rsid w:val="00BF48C1"/>
    <w:rsid w:val="00BF48CD"/>
    <w:rsid w:val="00BF4938"/>
    <w:rsid w:val="00BF49CB"/>
    <w:rsid w:val="00BF49F1"/>
    <w:rsid w:val="00BF4A4F"/>
    <w:rsid w:val="00BF4A54"/>
    <w:rsid w:val="00BF4B14"/>
    <w:rsid w:val="00BF4B1E"/>
    <w:rsid w:val="00BF4BED"/>
    <w:rsid w:val="00BF4C1E"/>
    <w:rsid w:val="00BF4CEB"/>
    <w:rsid w:val="00BF4DDB"/>
    <w:rsid w:val="00BF4DF4"/>
    <w:rsid w:val="00BF4E03"/>
    <w:rsid w:val="00BF4E38"/>
    <w:rsid w:val="00BF4F2A"/>
    <w:rsid w:val="00BF4F84"/>
    <w:rsid w:val="00BF4F91"/>
    <w:rsid w:val="00BF4F9B"/>
    <w:rsid w:val="00BF4FA6"/>
    <w:rsid w:val="00BF4FFB"/>
    <w:rsid w:val="00BF50B9"/>
    <w:rsid w:val="00BF50CC"/>
    <w:rsid w:val="00BF50FC"/>
    <w:rsid w:val="00BF5135"/>
    <w:rsid w:val="00BF5173"/>
    <w:rsid w:val="00BF524E"/>
    <w:rsid w:val="00BF52D5"/>
    <w:rsid w:val="00BF5348"/>
    <w:rsid w:val="00BF537E"/>
    <w:rsid w:val="00BF53BD"/>
    <w:rsid w:val="00BF53EE"/>
    <w:rsid w:val="00BF540F"/>
    <w:rsid w:val="00BF5472"/>
    <w:rsid w:val="00BF54AA"/>
    <w:rsid w:val="00BF5524"/>
    <w:rsid w:val="00BF554E"/>
    <w:rsid w:val="00BF556D"/>
    <w:rsid w:val="00BF55A5"/>
    <w:rsid w:val="00BF55CD"/>
    <w:rsid w:val="00BF56E0"/>
    <w:rsid w:val="00BF56F5"/>
    <w:rsid w:val="00BF570F"/>
    <w:rsid w:val="00BF57C6"/>
    <w:rsid w:val="00BF585C"/>
    <w:rsid w:val="00BF587E"/>
    <w:rsid w:val="00BF5893"/>
    <w:rsid w:val="00BF58F2"/>
    <w:rsid w:val="00BF59AB"/>
    <w:rsid w:val="00BF5A2A"/>
    <w:rsid w:val="00BF5B04"/>
    <w:rsid w:val="00BF5B54"/>
    <w:rsid w:val="00BF5B5B"/>
    <w:rsid w:val="00BF5BBC"/>
    <w:rsid w:val="00BF5C27"/>
    <w:rsid w:val="00BF5DBA"/>
    <w:rsid w:val="00BF5DF1"/>
    <w:rsid w:val="00BF5E5D"/>
    <w:rsid w:val="00BF5E7F"/>
    <w:rsid w:val="00BF5E8B"/>
    <w:rsid w:val="00BF5EE4"/>
    <w:rsid w:val="00BF5EEC"/>
    <w:rsid w:val="00BF5FB0"/>
    <w:rsid w:val="00BF5FC5"/>
    <w:rsid w:val="00BF5FF5"/>
    <w:rsid w:val="00BF6028"/>
    <w:rsid w:val="00BF60D3"/>
    <w:rsid w:val="00BF61EC"/>
    <w:rsid w:val="00BF620A"/>
    <w:rsid w:val="00BF6317"/>
    <w:rsid w:val="00BF63C1"/>
    <w:rsid w:val="00BF63F3"/>
    <w:rsid w:val="00BF63FA"/>
    <w:rsid w:val="00BF6436"/>
    <w:rsid w:val="00BF655E"/>
    <w:rsid w:val="00BF658E"/>
    <w:rsid w:val="00BF662E"/>
    <w:rsid w:val="00BF668E"/>
    <w:rsid w:val="00BF686C"/>
    <w:rsid w:val="00BF689B"/>
    <w:rsid w:val="00BF68CB"/>
    <w:rsid w:val="00BF695A"/>
    <w:rsid w:val="00BF69AA"/>
    <w:rsid w:val="00BF69B8"/>
    <w:rsid w:val="00BF6A85"/>
    <w:rsid w:val="00BF6AD3"/>
    <w:rsid w:val="00BF6B21"/>
    <w:rsid w:val="00BF6B2A"/>
    <w:rsid w:val="00BF6B41"/>
    <w:rsid w:val="00BF6BCE"/>
    <w:rsid w:val="00BF6BE3"/>
    <w:rsid w:val="00BF6C6E"/>
    <w:rsid w:val="00BF6C9A"/>
    <w:rsid w:val="00BF6E1D"/>
    <w:rsid w:val="00BF6FEC"/>
    <w:rsid w:val="00BF70B4"/>
    <w:rsid w:val="00BF70E7"/>
    <w:rsid w:val="00BF70E9"/>
    <w:rsid w:val="00BF7150"/>
    <w:rsid w:val="00BF7297"/>
    <w:rsid w:val="00BF72D2"/>
    <w:rsid w:val="00BF73BD"/>
    <w:rsid w:val="00BF740E"/>
    <w:rsid w:val="00BF744A"/>
    <w:rsid w:val="00BF7614"/>
    <w:rsid w:val="00BF7632"/>
    <w:rsid w:val="00BF76E1"/>
    <w:rsid w:val="00BF775E"/>
    <w:rsid w:val="00BF779F"/>
    <w:rsid w:val="00BF780C"/>
    <w:rsid w:val="00BF784C"/>
    <w:rsid w:val="00BF785E"/>
    <w:rsid w:val="00BF78B6"/>
    <w:rsid w:val="00BF7908"/>
    <w:rsid w:val="00BF790A"/>
    <w:rsid w:val="00BF7930"/>
    <w:rsid w:val="00BF79EF"/>
    <w:rsid w:val="00BF7A6F"/>
    <w:rsid w:val="00BF7A75"/>
    <w:rsid w:val="00BF7BD7"/>
    <w:rsid w:val="00BF7C4E"/>
    <w:rsid w:val="00BF7C55"/>
    <w:rsid w:val="00BF7C6D"/>
    <w:rsid w:val="00BF7C9D"/>
    <w:rsid w:val="00BF7D0D"/>
    <w:rsid w:val="00BF7D96"/>
    <w:rsid w:val="00BF7DFA"/>
    <w:rsid w:val="00BF7E2E"/>
    <w:rsid w:val="00BF7E39"/>
    <w:rsid w:val="00BF7E4C"/>
    <w:rsid w:val="00BF7FEA"/>
    <w:rsid w:val="00C0008F"/>
    <w:rsid w:val="00C00135"/>
    <w:rsid w:val="00C0013B"/>
    <w:rsid w:val="00C0019C"/>
    <w:rsid w:val="00C002A2"/>
    <w:rsid w:val="00C0030D"/>
    <w:rsid w:val="00C0032D"/>
    <w:rsid w:val="00C003E0"/>
    <w:rsid w:val="00C00408"/>
    <w:rsid w:val="00C00465"/>
    <w:rsid w:val="00C0063D"/>
    <w:rsid w:val="00C0065B"/>
    <w:rsid w:val="00C007D8"/>
    <w:rsid w:val="00C007E3"/>
    <w:rsid w:val="00C0080A"/>
    <w:rsid w:val="00C00874"/>
    <w:rsid w:val="00C008AC"/>
    <w:rsid w:val="00C00953"/>
    <w:rsid w:val="00C009AF"/>
    <w:rsid w:val="00C00A31"/>
    <w:rsid w:val="00C00A80"/>
    <w:rsid w:val="00C00A95"/>
    <w:rsid w:val="00C00CAA"/>
    <w:rsid w:val="00C00CE7"/>
    <w:rsid w:val="00C00DB9"/>
    <w:rsid w:val="00C00E76"/>
    <w:rsid w:val="00C00EF3"/>
    <w:rsid w:val="00C00FA9"/>
    <w:rsid w:val="00C00FB4"/>
    <w:rsid w:val="00C00FFA"/>
    <w:rsid w:val="00C0103F"/>
    <w:rsid w:val="00C01040"/>
    <w:rsid w:val="00C010C6"/>
    <w:rsid w:val="00C010CC"/>
    <w:rsid w:val="00C010FB"/>
    <w:rsid w:val="00C01198"/>
    <w:rsid w:val="00C011ED"/>
    <w:rsid w:val="00C01213"/>
    <w:rsid w:val="00C01254"/>
    <w:rsid w:val="00C0128E"/>
    <w:rsid w:val="00C01359"/>
    <w:rsid w:val="00C0136F"/>
    <w:rsid w:val="00C013F0"/>
    <w:rsid w:val="00C014C3"/>
    <w:rsid w:val="00C01557"/>
    <w:rsid w:val="00C01612"/>
    <w:rsid w:val="00C01655"/>
    <w:rsid w:val="00C0165D"/>
    <w:rsid w:val="00C016B7"/>
    <w:rsid w:val="00C016D8"/>
    <w:rsid w:val="00C0176C"/>
    <w:rsid w:val="00C0176F"/>
    <w:rsid w:val="00C0185F"/>
    <w:rsid w:val="00C018F1"/>
    <w:rsid w:val="00C01907"/>
    <w:rsid w:val="00C01918"/>
    <w:rsid w:val="00C019AC"/>
    <w:rsid w:val="00C01A07"/>
    <w:rsid w:val="00C01BEC"/>
    <w:rsid w:val="00C01C19"/>
    <w:rsid w:val="00C01DA3"/>
    <w:rsid w:val="00C01DDC"/>
    <w:rsid w:val="00C01EA1"/>
    <w:rsid w:val="00C01F0E"/>
    <w:rsid w:val="00C01F1D"/>
    <w:rsid w:val="00C01F47"/>
    <w:rsid w:val="00C01F5B"/>
    <w:rsid w:val="00C0206D"/>
    <w:rsid w:val="00C02070"/>
    <w:rsid w:val="00C020AA"/>
    <w:rsid w:val="00C021A0"/>
    <w:rsid w:val="00C0226C"/>
    <w:rsid w:val="00C02275"/>
    <w:rsid w:val="00C022C7"/>
    <w:rsid w:val="00C02347"/>
    <w:rsid w:val="00C02411"/>
    <w:rsid w:val="00C0249E"/>
    <w:rsid w:val="00C024E0"/>
    <w:rsid w:val="00C0257A"/>
    <w:rsid w:val="00C0257E"/>
    <w:rsid w:val="00C025D9"/>
    <w:rsid w:val="00C025F2"/>
    <w:rsid w:val="00C0264A"/>
    <w:rsid w:val="00C026FF"/>
    <w:rsid w:val="00C0272B"/>
    <w:rsid w:val="00C02847"/>
    <w:rsid w:val="00C0295E"/>
    <w:rsid w:val="00C02A23"/>
    <w:rsid w:val="00C02AD5"/>
    <w:rsid w:val="00C02C62"/>
    <w:rsid w:val="00C02CF2"/>
    <w:rsid w:val="00C02D18"/>
    <w:rsid w:val="00C02D94"/>
    <w:rsid w:val="00C02E1E"/>
    <w:rsid w:val="00C02EA5"/>
    <w:rsid w:val="00C02F23"/>
    <w:rsid w:val="00C02FBE"/>
    <w:rsid w:val="00C031C5"/>
    <w:rsid w:val="00C031EB"/>
    <w:rsid w:val="00C03430"/>
    <w:rsid w:val="00C035AF"/>
    <w:rsid w:val="00C0368A"/>
    <w:rsid w:val="00C0369D"/>
    <w:rsid w:val="00C037D9"/>
    <w:rsid w:val="00C039C8"/>
    <w:rsid w:val="00C03A07"/>
    <w:rsid w:val="00C03A94"/>
    <w:rsid w:val="00C03B15"/>
    <w:rsid w:val="00C03C04"/>
    <w:rsid w:val="00C03C91"/>
    <w:rsid w:val="00C03DBC"/>
    <w:rsid w:val="00C03E0C"/>
    <w:rsid w:val="00C03E72"/>
    <w:rsid w:val="00C03EA6"/>
    <w:rsid w:val="00C03F5F"/>
    <w:rsid w:val="00C04000"/>
    <w:rsid w:val="00C0403A"/>
    <w:rsid w:val="00C04045"/>
    <w:rsid w:val="00C04055"/>
    <w:rsid w:val="00C040A3"/>
    <w:rsid w:val="00C040FB"/>
    <w:rsid w:val="00C04163"/>
    <w:rsid w:val="00C0419A"/>
    <w:rsid w:val="00C0419D"/>
    <w:rsid w:val="00C0420F"/>
    <w:rsid w:val="00C043AA"/>
    <w:rsid w:val="00C043CD"/>
    <w:rsid w:val="00C04544"/>
    <w:rsid w:val="00C046FE"/>
    <w:rsid w:val="00C0470C"/>
    <w:rsid w:val="00C04800"/>
    <w:rsid w:val="00C0493B"/>
    <w:rsid w:val="00C049A5"/>
    <w:rsid w:val="00C04AC5"/>
    <w:rsid w:val="00C04AEA"/>
    <w:rsid w:val="00C04C7C"/>
    <w:rsid w:val="00C04CDA"/>
    <w:rsid w:val="00C04CED"/>
    <w:rsid w:val="00C04E0B"/>
    <w:rsid w:val="00C04F05"/>
    <w:rsid w:val="00C04F34"/>
    <w:rsid w:val="00C04FCA"/>
    <w:rsid w:val="00C051A0"/>
    <w:rsid w:val="00C05239"/>
    <w:rsid w:val="00C052AA"/>
    <w:rsid w:val="00C052F3"/>
    <w:rsid w:val="00C0537A"/>
    <w:rsid w:val="00C0537E"/>
    <w:rsid w:val="00C05394"/>
    <w:rsid w:val="00C053A1"/>
    <w:rsid w:val="00C053E8"/>
    <w:rsid w:val="00C054F7"/>
    <w:rsid w:val="00C0552D"/>
    <w:rsid w:val="00C05532"/>
    <w:rsid w:val="00C055A9"/>
    <w:rsid w:val="00C0573A"/>
    <w:rsid w:val="00C057C7"/>
    <w:rsid w:val="00C057DA"/>
    <w:rsid w:val="00C057E6"/>
    <w:rsid w:val="00C057E7"/>
    <w:rsid w:val="00C058F9"/>
    <w:rsid w:val="00C05908"/>
    <w:rsid w:val="00C05A26"/>
    <w:rsid w:val="00C05ACB"/>
    <w:rsid w:val="00C05B47"/>
    <w:rsid w:val="00C05BEF"/>
    <w:rsid w:val="00C05CD8"/>
    <w:rsid w:val="00C05CF6"/>
    <w:rsid w:val="00C05D08"/>
    <w:rsid w:val="00C05D15"/>
    <w:rsid w:val="00C05D6F"/>
    <w:rsid w:val="00C05D79"/>
    <w:rsid w:val="00C06082"/>
    <w:rsid w:val="00C06217"/>
    <w:rsid w:val="00C0625B"/>
    <w:rsid w:val="00C062AE"/>
    <w:rsid w:val="00C0631C"/>
    <w:rsid w:val="00C06344"/>
    <w:rsid w:val="00C06373"/>
    <w:rsid w:val="00C063D0"/>
    <w:rsid w:val="00C06407"/>
    <w:rsid w:val="00C06408"/>
    <w:rsid w:val="00C0641C"/>
    <w:rsid w:val="00C0644E"/>
    <w:rsid w:val="00C0648F"/>
    <w:rsid w:val="00C064EB"/>
    <w:rsid w:val="00C065F4"/>
    <w:rsid w:val="00C0670F"/>
    <w:rsid w:val="00C0696E"/>
    <w:rsid w:val="00C06A2C"/>
    <w:rsid w:val="00C06A34"/>
    <w:rsid w:val="00C06AF4"/>
    <w:rsid w:val="00C06B31"/>
    <w:rsid w:val="00C06B9D"/>
    <w:rsid w:val="00C06BB7"/>
    <w:rsid w:val="00C06C2C"/>
    <w:rsid w:val="00C06C61"/>
    <w:rsid w:val="00C06C7F"/>
    <w:rsid w:val="00C06C91"/>
    <w:rsid w:val="00C06CC4"/>
    <w:rsid w:val="00C06CCE"/>
    <w:rsid w:val="00C06D86"/>
    <w:rsid w:val="00C06E47"/>
    <w:rsid w:val="00C06E89"/>
    <w:rsid w:val="00C06EF1"/>
    <w:rsid w:val="00C06F1B"/>
    <w:rsid w:val="00C06F1D"/>
    <w:rsid w:val="00C07118"/>
    <w:rsid w:val="00C0713A"/>
    <w:rsid w:val="00C0720A"/>
    <w:rsid w:val="00C07333"/>
    <w:rsid w:val="00C073B7"/>
    <w:rsid w:val="00C073B9"/>
    <w:rsid w:val="00C074C0"/>
    <w:rsid w:val="00C0751E"/>
    <w:rsid w:val="00C0755F"/>
    <w:rsid w:val="00C075C0"/>
    <w:rsid w:val="00C0760D"/>
    <w:rsid w:val="00C07634"/>
    <w:rsid w:val="00C076AF"/>
    <w:rsid w:val="00C07796"/>
    <w:rsid w:val="00C0779A"/>
    <w:rsid w:val="00C077B8"/>
    <w:rsid w:val="00C078CC"/>
    <w:rsid w:val="00C07907"/>
    <w:rsid w:val="00C07915"/>
    <w:rsid w:val="00C07925"/>
    <w:rsid w:val="00C0793C"/>
    <w:rsid w:val="00C07993"/>
    <w:rsid w:val="00C07A9E"/>
    <w:rsid w:val="00C07AD6"/>
    <w:rsid w:val="00C07AE2"/>
    <w:rsid w:val="00C07AE3"/>
    <w:rsid w:val="00C07B69"/>
    <w:rsid w:val="00C07D20"/>
    <w:rsid w:val="00C07DB9"/>
    <w:rsid w:val="00C07DEC"/>
    <w:rsid w:val="00C07FE1"/>
    <w:rsid w:val="00C10026"/>
    <w:rsid w:val="00C10132"/>
    <w:rsid w:val="00C10140"/>
    <w:rsid w:val="00C10230"/>
    <w:rsid w:val="00C10276"/>
    <w:rsid w:val="00C1027F"/>
    <w:rsid w:val="00C103F9"/>
    <w:rsid w:val="00C10433"/>
    <w:rsid w:val="00C10517"/>
    <w:rsid w:val="00C10639"/>
    <w:rsid w:val="00C10646"/>
    <w:rsid w:val="00C10694"/>
    <w:rsid w:val="00C106FF"/>
    <w:rsid w:val="00C10778"/>
    <w:rsid w:val="00C107A9"/>
    <w:rsid w:val="00C1086D"/>
    <w:rsid w:val="00C109AE"/>
    <w:rsid w:val="00C10A91"/>
    <w:rsid w:val="00C10A96"/>
    <w:rsid w:val="00C10C04"/>
    <w:rsid w:val="00C10CC1"/>
    <w:rsid w:val="00C10D80"/>
    <w:rsid w:val="00C10D97"/>
    <w:rsid w:val="00C10DAF"/>
    <w:rsid w:val="00C10DB1"/>
    <w:rsid w:val="00C10DC5"/>
    <w:rsid w:val="00C10E12"/>
    <w:rsid w:val="00C10E69"/>
    <w:rsid w:val="00C10E77"/>
    <w:rsid w:val="00C10EBD"/>
    <w:rsid w:val="00C10EDB"/>
    <w:rsid w:val="00C10F81"/>
    <w:rsid w:val="00C10FEC"/>
    <w:rsid w:val="00C10FFE"/>
    <w:rsid w:val="00C1102A"/>
    <w:rsid w:val="00C110E1"/>
    <w:rsid w:val="00C1116F"/>
    <w:rsid w:val="00C11184"/>
    <w:rsid w:val="00C11214"/>
    <w:rsid w:val="00C11311"/>
    <w:rsid w:val="00C113B1"/>
    <w:rsid w:val="00C11447"/>
    <w:rsid w:val="00C1145E"/>
    <w:rsid w:val="00C114DB"/>
    <w:rsid w:val="00C115EC"/>
    <w:rsid w:val="00C1162D"/>
    <w:rsid w:val="00C11676"/>
    <w:rsid w:val="00C116C8"/>
    <w:rsid w:val="00C116D8"/>
    <w:rsid w:val="00C11749"/>
    <w:rsid w:val="00C11760"/>
    <w:rsid w:val="00C117E3"/>
    <w:rsid w:val="00C11800"/>
    <w:rsid w:val="00C11901"/>
    <w:rsid w:val="00C119C3"/>
    <w:rsid w:val="00C11A0B"/>
    <w:rsid w:val="00C11A1F"/>
    <w:rsid w:val="00C11A36"/>
    <w:rsid w:val="00C11A64"/>
    <w:rsid w:val="00C11B4E"/>
    <w:rsid w:val="00C11C6E"/>
    <w:rsid w:val="00C11C8C"/>
    <w:rsid w:val="00C11CA5"/>
    <w:rsid w:val="00C11CAA"/>
    <w:rsid w:val="00C11E7E"/>
    <w:rsid w:val="00C11EAF"/>
    <w:rsid w:val="00C11F90"/>
    <w:rsid w:val="00C12012"/>
    <w:rsid w:val="00C12036"/>
    <w:rsid w:val="00C120E8"/>
    <w:rsid w:val="00C120EE"/>
    <w:rsid w:val="00C120FA"/>
    <w:rsid w:val="00C1214F"/>
    <w:rsid w:val="00C121AC"/>
    <w:rsid w:val="00C1228C"/>
    <w:rsid w:val="00C122E0"/>
    <w:rsid w:val="00C12360"/>
    <w:rsid w:val="00C124D1"/>
    <w:rsid w:val="00C1254F"/>
    <w:rsid w:val="00C12634"/>
    <w:rsid w:val="00C12677"/>
    <w:rsid w:val="00C1274E"/>
    <w:rsid w:val="00C1277A"/>
    <w:rsid w:val="00C12892"/>
    <w:rsid w:val="00C128C4"/>
    <w:rsid w:val="00C128CF"/>
    <w:rsid w:val="00C12ABE"/>
    <w:rsid w:val="00C12AFD"/>
    <w:rsid w:val="00C12BB6"/>
    <w:rsid w:val="00C12C3A"/>
    <w:rsid w:val="00C12C3F"/>
    <w:rsid w:val="00C12CE7"/>
    <w:rsid w:val="00C12EB2"/>
    <w:rsid w:val="00C12EF8"/>
    <w:rsid w:val="00C12F34"/>
    <w:rsid w:val="00C12FB7"/>
    <w:rsid w:val="00C12FB8"/>
    <w:rsid w:val="00C12FC2"/>
    <w:rsid w:val="00C12FFF"/>
    <w:rsid w:val="00C13075"/>
    <w:rsid w:val="00C130D2"/>
    <w:rsid w:val="00C13124"/>
    <w:rsid w:val="00C13284"/>
    <w:rsid w:val="00C133CD"/>
    <w:rsid w:val="00C134BC"/>
    <w:rsid w:val="00C134FF"/>
    <w:rsid w:val="00C1359C"/>
    <w:rsid w:val="00C1362E"/>
    <w:rsid w:val="00C13641"/>
    <w:rsid w:val="00C136BD"/>
    <w:rsid w:val="00C136C5"/>
    <w:rsid w:val="00C136EE"/>
    <w:rsid w:val="00C1371A"/>
    <w:rsid w:val="00C13767"/>
    <w:rsid w:val="00C137A7"/>
    <w:rsid w:val="00C137C0"/>
    <w:rsid w:val="00C137D9"/>
    <w:rsid w:val="00C1381A"/>
    <w:rsid w:val="00C138D8"/>
    <w:rsid w:val="00C13927"/>
    <w:rsid w:val="00C13981"/>
    <w:rsid w:val="00C139BC"/>
    <w:rsid w:val="00C13BA8"/>
    <w:rsid w:val="00C13C19"/>
    <w:rsid w:val="00C13C71"/>
    <w:rsid w:val="00C13E44"/>
    <w:rsid w:val="00C13E68"/>
    <w:rsid w:val="00C13EAB"/>
    <w:rsid w:val="00C13FB0"/>
    <w:rsid w:val="00C13FB1"/>
    <w:rsid w:val="00C13FB3"/>
    <w:rsid w:val="00C13FE9"/>
    <w:rsid w:val="00C140E5"/>
    <w:rsid w:val="00C141EA"/>
    <w:rsid w:val="00C14205"/>
    <w:rsid w:val="00C1420E"/>
    <w:rsid w:val="00C142A6"/>
    <w:rsid w:val="00C142BF"/>
    <w:rsid w:val="00C142C1"/>
    <w:rsid w:val="00C143C2"/>
    <w:rsid w:val="00C143DA"/>
    <w:rsid w:val="00C14454"/>
    <w:rsid w:val="00C1447D"/>
    <w:rsid w:val="00C145CF"/>
    <w:rsid w:val="00C146AD"/>
    <w:rsid w:val="00C146C0"/>
    <w:rsid w:val="00C146C7"/>
    <w:rsid w:val="00C14847"/>
    <w:rsid w:val="00C14992"/>
    <w:rsid w:val="00C149FB"/>
    <w:rsid w:val="00C14A34"/>
    <w:rsid w:val="00C14B3F"/>
    <w:rsid w:val="00C14C4F"/>
    <w:rsid w:val="00C14C58"/>
    <w:rsid w:val="00C14C74"/>
    <w:rsid w:val="00C14D41"/>
    <w:rsid w:val="00C14DE3"/>
    <w:rsid w:val="00C14DFE"/>
    <w:rsid w:val="00C14E8F"/>
    <w:rsid w:val="00C14EB0"/>
    <w:rsid w:val="00C14EED"/>
    <w:rsid w:val="00C14EFA"/>
    <w:rsid w:val="00C14FAA"/>
    <w:rsid w:val="00C14FBB"/>
    <w:rsid w:val="00C15219"/>
    <w:rsid w:val="00C152D7"/>
    <w:rsid w:val="00C153BF"/>
    <w:rsid w:val="00C153D7"/>
    <w:rsid w:val="00C1542E"/>
    <w:rsid w:val="00C154F9"/>
    <w:rsid w:val="00C155C4"/>
    <w:rsid w:val="00C155F0"/>
    <w:rsid w:val="00C15647"/>
    <w:rsid w:val="00C1579C"/>
    <w:rsid w:val="00C15877"/>
    <w:rsid w:val="00C15954"/>
    <w:rsid w:val="00C159F5"/>
    <w:rsid w:val="00C15AAE"/>
    <w:rsid w:val="00C15AC8"/>
    <w:rsid w:val="00C15B37"/>
    <w:rsid w:val="00C15B4F"/>
    <w:rsid w:val="00C15CAC"/>
    <w:rsid w:val="00C15CB3"/>
    <w:rsid w:val="00C15DA5"/>
    <w:rsid w:val="00C15E5F"/>
    <w:rsid w:val="00C15F1A"/>
    <w:rsid w:val="00C15FE4"/>
    <w:rsid w:val="00C15FEC"/>
    <w:rsid w:val="00C16027"/>
    <w:rsid w:val="00C16188"/>
    <w:rsid w:val="00C16198"/>
    <w:rsid w:val="00C161E1"/>
    <w:rsid w:val="00C161E3"/>
    <w:rsid w:val="00C162A7"/>
    <w:rsid w:val="00C16349"/>
    <w:rsid w:val="00C16398"/>
    <w:rsid w:val="00C1650D"/>
    <w:rsid w:val="00C16571"/>
    <w:rsid w:val="00C16620"/>
    <w:rsid w:val="00C166CB"/>
    <w:rsid w:val="00C1677F"/>
    <w:rsid w:val="00C16780"/>
    <w:rsid w:val="00C168F3"/>
    <w:rsid w:val="00C16933"/>
    <w:rsid w:val="00C16B6A"/>
    <w:rsid w:val="00C16B78"/>
    <w:rsid w:val="00C16BE9"/>
    <w:rsid w:val="00C16C3E"/>
    <w:rsid w:val="00C16C50"/>
    <w:rsid w:val="00C16CA5"/>
    <w:rsid w:val="00C16D34"/>
    <w:rsid w:val="00C16DCE"/>
    <w:rsid w:val="00C16E3A"/>
    <w:rsid w:val="00C16E6C"/>
    <w:rsid w:val="00C16F8C"/>
    <w:rsid w:val="00C17017"/>
    <w:rsid w:val="00C17071"/>
    <w:rsid w:val="00C17087"/>
    <w:rsid w:val="00C170DA"/>
    <w:rsid w:val="00C17216"/>
    <w:rsid w:val="00C1728B"/>
    <w:rsid w:val="00C1729A"/>
    <w:rsid w:val="00C17322"/>
    <w:rsid w:val="00C17357"/>
    <w:rsid w:val="00C1738B"/>
    <w:rsid w:val="00C173C6"/>
    <w:rsid w:val="00C17447"/>
    <w:rsid w:val="00C1749B"/>
    <w:rsid w:val="00C17554"/>
    <w:rsid w:val="00C1755C"/>
    <w:rsid w:val="00C175A0"/>
    <w:rsid w:val="00C1769E"/>
    <w:rsid w:val="00C17729"/>
    <w:rsid w:val="00C17783"/>
    <w:rsid w:val="00C17799"/>
    <w:rsid w:val="00C17804"/>
    <w:rsid w:val="00C1780E"/>
    <w:rsid w:val="00C1789D"/>
    <w:rsid w:val="00C178C4"/>
    <w:rsid w:val="00C17994"/>
    <w:rsid w:val="00C17A54"/>
    <w:rsid w:val="00C17B25"/>
    <w:rsid w:val="00C17B35"/>
    <w:rsid w:val="00C17B6B"/>
    <w:rsid w:val="00C17C49"/>
    <w:rsid w:val="00C17C59"/>
    <w:rsid w:val="00C17CC4"/>
    <w:rsid w:val="00C17CD6"/>
    <w:rsid w:val="00C17D2C"/>
    <w:rsid w:val="00C17D80"/>
    <w:rsid w:val="00C17E70"/>
    <w:rsid w:val="00C17EEA"/>
    <w:rsid w:val="00C2008F"/>
    <w:rsid w:val="00C2009A"/>
    <w:rsid w:val="00C200F6"/>
    <w:rsid w:val="00C202EA"/>
    <w:rsid w:val="00C203A5"/>
    <w:rsid w:val="00C20424"/>
    <w:rsid w:val="00C20563"/>
    <w:rsid w:val="00C20582"/>
    <w:rsid w:val="00C205E6"/>
    <w:rsid w:val="00C2073E"/>
    <w:rsid w:val="00C207A3"/>
    <w:rsid w:val="00C207AA"/>
    <w:rsid w:val="00C207C2"/>
    <w:rsid w:val="00C2083E"/>
    <w:rsid w:val="00C208D9"/>
    <w:rsid w:val="00C208E0"/>
    <w:rsid w:val="00C2098A"/>
    <w:rsid w:val="00C209CB"/>
    <w:rsid w:val="00C20A56"/>
    <w:rsid w:val="00C20B00"/>
    <w:rsid w:val="00C20BF7"/>
    <w:rsid w:val="00C20C79"/>
    <w:rsid w:val="00C20D68"/>
    <w:rsid w:val="00C20E23"/>
    <w:rsid w:val="00C20E60"/>
    <w:rsid w:val="00C20EAC"/>
    <w:rsid w:val="00C20EB8"/>
    <w:rsid w:val="00C20F1C"/>
    <w:rsid w:val="00C20F44"/>
    <w:rsid w:val="00C20F6D"/>
    <w:rsid w:val="00C210AC"/>
    <w:rsid w:val="00C211CA"/>
    <w:rsid w:val="00C2121D"/>
    <w:rsid w:val="00C213A3"/>
    <w:rsid w:val="00C21433"/>
    <w:rsid w:val="00C21439"/>
    <w:rsid w:val="00C21474"/>
    <w:rsid w:val="00C214BE"/>
    <w:rsid w:val="00C21508"/>
    <w:rsid w:val="00C21564"/>
    <w:rsid w:val="00C21592"/>
    <w:rsid w:val="00C215D3"/>
    <w:rsid w:val="00C2164C"/>
    <w:rsid w:val="00C216BC"/>
    <w:rsid w:val="00C21709"/>
    <w:rsid w:val="00C21782"/>
    <w:rsid w:val="00C21847"/>
    <w:rsid w:val="00C21852"/>
    <w:rsid w:val="00C21863"/>
    <w:rsid w:val="00C21931"/>
    <w:rsid w:val="00C21985"/>
    <w:rsid w:val="00C219C2"/>
    <w:rsid w:val="00C219D3"/>
    <w:rsid w:val="00C219D5"/>
    <w:rsid w:val="00C21A3F"/>
    <w:rsid w:val="00C21A4B"/>
    <w:rsid w:val="00C21AC2"/>
    <w:rsid w:val="00C21B0F"/>
    <w:rsid w:val="00C21B66"/>
    <w:rsid w:val="00C21C27"/>
    <w:rsid w:val="00C21C3E"/>
    <w:rsid w:val="00C21C78"/>
    <w:rsid w:val="00C21D19"/>
    <w:rsid w:val="00C21D23"/>
    <w:rsid w:val="00C21D29"/>
    <w:rsid w:val="00C21E07"/>
    <w:rsid w:val="00C21E70"/>
    <w:rsid w:val="00C21EE3"/>
    <w:rsid w:val="00C21FF3"/>
    <w:rsid w:val="00C22087"/>
    <w:rsid w:val="00C22103"/>
    <w:rsid w:val="00C2218B"/>
    <w:rsid w:val="00C221B4"/>
    <w:rsid w:val="00C221BC"/>
    <w:rsid w:val="00C223D6"/>
    <w:rsid w:val="00C2241C"/>
    <w:rsid w:val="00C22519"/>
    <w:rsid w:val="00C2256A"/>
    <w:rsid w:val="00C225FB"/>
    <w:rsid w:val="00C22602"/>
    <w:rsid w:val="00C22612"/>
    <w:rsid w:val="00C228EF"/>
    <w:rsid w:val="00C2291B"/>
    <w:rsid w:val="00C229EF"/>
    <w:rsid w:val="00C22A68"/>
    <w:rsid w:val="00C22A91"/>
    <w:rsid w:val="00C22AF9"/>
    <w:rsid w:val="00C22BAB"/>
    <w:rsid w:val="00C22BF1"/>
    <w:rsid w:val="00C22C52"/>
    <w:rsid w:val="00C22D10"/>
    <w:rsid w:val="00C22D14"/>
    <w:rsid w:val="00C22D1D"/>
    <w:rsid w:val="00C22DA2"/>
    <w:rsid w:val="00C22DD1"/>
    <w:rsid w:val="00C22EA4"/>
    <w:rsid w:val="00C23020"/>
    <w:rsid w:val="00C230BC"/>
    <w:rsid w:val="00C230DD"/>
    <w:rsid w:val="00C2313B"/>
    <w:rsid w:val="00C2316D"/>
    <w:rsid w:val="00C23185"/>
    <w:rsid w:val="00C2325A"/>
    <w:rsid w:val="00C2330A"/>
    <w:rsid w:val="00C233B3"/>
    <w:rsid w:val="00C2344D"/>
    <w:rsid w:val="00C23551"/>
    <w:rsid w:val="00C2358F"/>
    <w:rsid w:val="00C23642"/>
    <w:rsid w:val="00C23679"/>
    <w:rsid w:val="00C23685"/>
    <w:rsid w:val="00C236C2"/>
    <w:rsid w:val="00C23716"/>
    <w:rsid w:val="00C23720"/>
    <w:rsid w:val="00C23896"/>
    <w:rsid w:val="00C2390B"/>
    <w:rsid w:val="00C23910"/>
    <w:rsid w:val="00C23985"/>
    <w:rsid w:val="00C2398F"/>
    <w:rsid w:val="00C23B2E"/>
    <w:rsid w:val="00C23CFE"/>
    <w:rsid w:val="00C23D08"/>
    <w:rsid w:val="00C23D93"/>
    <w:rsid w:val="00C23E29"/>
    <w:rsid w:val="00C23E4B"/>
    <w:rsid w:val="00C23E9C"/>
    <w:rsid w:val="00C23EE9"/>
    <w:rsid w:val="00C23F22"/>
    <w:rsid w:val="00C23FCA"/>
    <w:rsid w:val="00C23FF0"/>
    <w:rsid w:val="00C240A6"/>
    <w:rsid w:val="00C24114"/>
    <w:rsid w:val="00C2415D"/>
    <w:rsid w:val="00C24184"/>
    <w:rsid w:val="00C241B8"/>
    <w:rsid w:val="00C241E2"/>
    <w:rsid w:val="00C24283"/>
    <w:rsid w:val="00C24337"/>
    <w:rsid w:val="00C2435C"/>
    <w:rsid w:val="00C243B6"/>
    <w:rsid w:val="00C245AF"/>
    <w:rsid w:val="00C245DF"/>
    <w:rsid w:val="00C245E7"/>
    <w:rsid w:val="00C2477D"/>
    <w:rsid w:val="00C2485E"/>
    <w:rsid w:val="00C2489E"/>
    <w:rsid w:val="00C248B7"/>
    <w:rsid w:val="00C24938"/>
    <w:rsid w:val="00C249C1"/>
    <w:rsid w:val="00C249E1"/>
    <w:rsid w:val="00C24A19"/>
    <w:rsid w:val="00C24A74"/>
    <w:rsid w:val="00C24B2A"/>
    <w:rsid w:val="00C24B75"/>
    <w:rsid w:val="00C24BAD"/>
    <w:rsid w:val="00C24C54"/>
    <w:rsid w:val="00C24D5E"/>
    <w:rsid w:val="00C24E74"/>
    <w:rsid w:val="00C24ED2"/>
    <w:rsid w:val="00C24EDD"/>
    <w:rsid w:val="00C24F55"/>
    <w:rsid w:val="00C24FAC"/>
    <w:rsid w:val="00C24FBB"/>
    <w:rsid w:val="00C250B0"/>
    <w:rsid w:val="00C250B3"/>
    <w:rsid w:val="00C25220"/>
    <w:rsid w:val="00C25285"/>
    <w:rsid w:val="00C252C6"/>
    <w:rsid w:val="00C2530A"/>
    <w:rsid w:val="00C2538E"/>
    <w:rsid w:val="00C25390"/>
    <w:rsid w:val="00C25395"/>
    <w:rsid w:val="00C25614"/>
    <w:rsid w:val="00C25674"/>
    <w:rsid w:val="00C25881"/>
    <w:rsid w:val="00C25896"/>
    <w:rsid w:val="00C2589E"/>
    <w:rsid w:val="00C25963"/>
    <w:rsid w:val="00C259B1"/>
    <w:rsid w:val="00C259E1"/>
    <w:rsid w:val="00C25A61"/>
    <w:rsid w:val="00C25A70"/>
    <w:rsid w:val="00C25A89"/>
    <w:rsid w:val="00C25A8C"/>
    <w:rsid w:val="00C25ABA"/>
    <w:rsid w:val="00C25D1D"/>
    <w:rsid w:val="00C25D57"/>
    <w:rsid w:val="00C25DBA"/>
    <w:rsid w:val="00C25DF7"/>
    <w:rsid w:val="00C25E7B"/>
    <w:rsid w:val="00C25EA1"/>
    <w:rsid w:val="00C25EDD"/>
    <w:rsid w:val="00C25F25"/>
    <w:rsid w:val="00C25F62"/>
    <w:rsid w:val="00C25FD6"/>
    <w:rsid w:val="00C26094"/>
    <w:rsid w:val="00C260C9"/>
    <w:rsid w:val="00C260D0"/>
    <w:rsid w:val="00C26199"/>
    <w:rsid w:val="00C261BA"/>
    <w:rsid w:val="00C26264"/>
    <w:rsid w:val="00C2626A"/>
    <w:rsid w:val="00C2656E"/>
    <w:rsid w:val="00C265CE"/>
    <w:rsid w:val="00C26613"/>
    <w:rsid w:val="00C266AD"/>
    <w:rsid w:val="00C26854"/>
    <w:rsid w:val="00C2689B"/>
    <w:rsid w:val="00C26905"/>
    <w:rsid w:val="00C26959"/>
    <w:rsid w:val="00C269C0"/>
    <w:rsid w:val="00C269D7"/>
    <w:rsid w:val="00C269FB"/>
    <w:rsid w:val="00C26A04"/>
    <w:rsid w:val="00C26B3B"/>
    <w:rsid w:val="00C26B65"/>
    <w:rsid w:val="00C26B8D"/>
    <w:rsid w:val="00C26BC4"/>
    <w:rsid w:val="00C26C08"/>
    <w:rsid w:val="00C26C4C"/>
    <w:rsid w:val="00C26C73"/>
    <w:rsid w:val="00C26D2E"/>
    <w:rsid w:val="00C26DC1"/>
    <w:rsid w:val="00C26DF0"/>
    <w:rsid w:val="00C26EB3"/>
    <w:rsid w:val="00C26EE4"/>
    <w:rsid w:val="00C26F5E"/>
    <w:rsid w:val="00C27032"/>
    <w:rsid w:val="00C2707E"/>
    <w:rsid w:val="00C270B1"/>
    <w:rsid w:val="00C270CD"/>
    <w:rsid w:val="00C272DF"/>
    <w:rsid w:val="00C272E8"/>
    <w:rsid w:val="00C272FC"/>
    <w:rsid w:val="00C273EF"/>
    <w:rsid w:val="00C2743F"/>
    <w:rsid w:val="00C2750E"/>
    <w:rsid w:val="00C27643"/>
    <w:rsid w:val="00C27677"/>
    <w:rsid w:val="00C27703"/>
    <w:rsid w:val="00C27856"/>
    <w:rsid w:val="00C2787D"/>
    <w:rsid w:val="00C278DC"/>
    <w:rsid w:val="00C2791B"/>
    <w:rsid w:val="00C2791F"/>
    <w:rsid w:val="00C27932"/>
    <w:rsid w:val="00C279A3"/>
    <w:rsid w:val="00C27A04"/>
    <w:rsid w:val="00C27A53"/>
    <w:rsid w:val="00C27AC1"/>
    <w:rsid w:val="00C27C8F"/>
    <w:rsid w:val="00C27D53"/>
    <w:rsid w:val="00C27D58"/>
    <w:rsid w:val="00C27DBE"/>
    <w:rsid w:val="00C27DC9"/>
    <w:rsid w:val="00C27DEC"/>
    <w:rsid w:val="00C27E8D"/>
    <w:rsid w:val="00C27EB6"/>
    <w:rsid w:val="00C27EF8"/>
    <w:rsid w:val="00C27F27"/>
    <w:rsid w:val="00C27F8C"/>
    <w:rsid w:val="00C27FBA"/>
    <w:rsid w:val="00C27FF7"/>
    <w:rsid w:val="00C3005A"/>
    <w:rsid w:val="00C3005C"/>
    <w:rsid w:val="00C300A8"/>
    <w:rsid w:val="00C30135"/>
    <w:rsid w:val="00C3016C"/>
    <w:rsid w:val="00C30231"/>
    <w:rsid w:val="00C30244"/>
    <w:rsid w:val="00C30329"/>
    <w:rsid w:val="00C3034A"/>
    <w:rsid w:val="00C303BF"/>
    <w:rsid w:val="00C30404"/>
    <w:rsid w:val="00C30629"/>
    <w:rsid w:val="00C30645"/>
    <w:rsid w:val="00C306F2"/>
    <w:rsid w:val="00C3071C"/>
    <w:rsid w:val="00C3071F"/>
    <w:rsid w:val="00C30733"/>
    <w:rsid w:val="00C3081C"/>
    <w:rsid w:val="00C308C4"/>
    <w:rsid w:val="00C308E4"/>
    <w:rsid w:val="00C30A17"/>
    <w:rsid w:val="00C30A60"/>
    <w:rsid w:val="00C30A78"/>
    <w:rsid w:val="00C30B26"/>
    <w:rsid w:val="00C30B61"/>
    <w:rsid w:val="00C30B90"/>
    <w:rsid w:val="00C30BB4"/>
    <w:rsid w:val="00C30CB1"/>
    <w:rsid w:val="00C30CC4"/>
    <w:rsid w:val="00C30D0C"/>
    <w:rsid w:val="00C30D4E"/>
    <w:rsid w:val="00C30D6E"/>
    <w:rsid w:val="00C30DD4"/>
    <w:rsid w:val="00C30DEC"/>
    <w:rsid w:val="00C30DFE"/>
    <w:rsid w:val="00C30E94"/>
    <w:rsid w:val="00C310C6"/>
    <w:rsid w:val="00C310F7"/>
    <w:rsid w:val="00C31169"/>
    <w:rsid w:val="00C31197"/>
    <w:rsid w:val="00C311D2"/>
    <w:rsid w:val="00C31205"/>
    <w:rsid w:val="00C31324"/>
    <w:rsid w:val="00C31381"/>
    <w:rsid w:val="00C3142C"/>
    <w:rsid w:val="00C31454"/>
    <w:rsid w:val="00C314A3"/>
    <w:rsid w:val="00C31565"/>
    <w:rsid w:val="00C31578"/>
    <w:rsid w:val="00C3167D"/>
    <w:rsid w:val="00C316DB"/>
    <w:rsid w:val="00C31745"/>
    <w:rsid w:val="00C3176B"/>
    <w:rsid w:val="00C3176D"/>
    <w:rsid w:val="00C317BE"/>
    <w:rsid w:val="00C317EF"/>
    <w:rsid w:val="00C318A3"/>
    <w:rsid w:val="00C31943"/>
    <w:rsid w:val="00C31A03"/>
    <w:rsid w:val="00C31AC7"/>
    <w:rsid w:val="00C31B52"/>
    <w:rsid w:val="00C31BC6"/>
    <w:rsid w:val="00C31BC7"/>
    <w:rsid w:val="00C31C2C"/>
    <w:rsid w:val="00C31D8F"/>
    <w:rsid w:val="00C31E20"/>
    <w:rsid w:val="00C31E26"/>
    <w:rsid w:val="00C31E9F"/>
    <w:rsid w:val="00C31ED5"/>
    <w:rsid w:val="00C31F1C"/>
    <w:rsid w:val="00C31FC8"/>
    <w:rsid w:val="00C320B0"/>
    <w:rsid w:val="00C321C0"/>
    <w:rsid w:val="00C32228"/>
    <w:rsid w:val="00C32351"/>
    <w:rsid w:val="00C323CB"/>
    <w:rsid w:val="00C323F5"/>
    <w:rsid w:val="00C32418"/>
    <w:rsid w:val="00C32457"/>
    <w:rsid w:val="00C324A5"/>
    <w:rsid w:val="00C324AD"/>
    <w:rsid w:val="00C324D4"/>
    <w:rsid w:val="00C3253C"/>
    <w:rsid w:val="00C3256D"/>
    <w:rsid w:val="00C325F5"/>
    <w:rsid w:val="00C32635"/>
    <w:rsid w:val="00C326EB"/>
    <w:rsid w:val="00C32730"/>
    <w:rsid w:val="00C3289D"/>
    <w:rsid w:val="00C328B7"/>
    <w:rsid w:val="00C32A96"/>
    <w:rsid w:val="00C32AD3"/>
    <w:rsid w:val="00C32B14"/>
    <w:rsid w:val="00C32B20"/>
    <w:rsid w:val="00C32B39"/>
    <w:rsid w:val="00C32B51"/>
    <w:rsid w:val="00C32B9D"/>
    <w:rsid w:val="00C32BD3"/>
    <w:rsid w:val="00C32C66"/>
    <w:rsid w:val="00C32C78"/>
    <w:rsid w:val="00C32C98"/>
    <w:rsid w:val="00C32CB4"/>
    <w:rsid w:val="00C32CC0"/>
    <w:rsid w:val="00C32CD6"/>
    <w:rsid w:val="00C32D1F"/>
    <w:rsid w:val="00C32DE7"/>
    <w:rsid w:val="00C32E32"/>
    <w:rsid w:val="00C32F70"/>
    <w:rsid w:val="00C32FC6"/>
    <w:rsid w:val="00C33048"/>
    <w:rsid w:val="00C330C3"/>
    <w:rsid w:val="00C3321D"/>
    <w:rsid w:val="00C33233"/>
    <w:rsid w:val="00C3329B"/>
    <w:rsid w:val="00C332E8"/>
    <w:rsid w:val="00C333FC"/>
    <w:rsid w:val="00C33434"/>
    <w:rsid w:val="00C33472"/>
    <w:rsid w:val="00C33494"/>
    <w:rsid w:val="00C33496"/>
    <w:rsid w:val="00C334A6"/>
    <w:rsid w:val="00C33534"/>
    <w:rsid w:val="00C3367E"/>
    <w:rsid w:val="00C33711"/>
    <w:rsid w:val="00C3380F"/>
    <w:rsid w:val="00C3384E"/>
    <w:rsid w:val="00C338C6"/>
    <w:rsid w:val="00C33974"/>
    <w:rsid w:val="00C339CC"/>
    <w:rsid w:val="00C33A3A"/>
    <w:rsid w:val="00C33A55"/>
    <w:rsid w:val="00C33A97"/>
    <w:rsid w:val="00C33AB3"/>
    <w:rsid w:val="00C33B1C"/>
    <w:rsid w:val="00C33BBC"/>
    <w:rsid w:val="00C33BC0"/>
    <w:rsid w:val="00C33BEF"/>
    <w:rsid w:val="00C33C9C"/>
    <w:rsid w:val="00C33CBE"/>
    <w:rsid w:val="00C33E1D"/>
    <w:rsid w:val="00C33E22"/>
    <w:rsid w:val="00C33E5E"/>
    <w:rsid w:val="00C33E8D"/>
    <w:rsid w:val="00C33E9A"/>
    <w:rsid w:val="00C33EC6"/>
    <w:rsid w:val="00C33F12"/>
    <w:rsid w:val="00C33FDD"/>
    <w:rsid w:val="00C34082"/>
    <w:rsid w:val="00C34087"/>
    <w:rsid w:val="00C340AC"/>
    <w:rsid w:val="00C34263"/>
    <w:rsid w:val="00C342C2"/>
    <w:rsid w:val="00C3430B"/>
    <w:rsid w:val="00C34321"/>
    <w:rsid w:val="00C34369"/>
    <w:rsid w:val="00C3437A"/>
    <w:rsid w:val="00C34416"/>
    <w:rsid w:val="00C3446A"/>
    <w:rsid w:val="00C34480"/>
    <w:rsid w:val="00C34525"/>
    <w:rsid w:val="00C345C4"/>
    <w:rsid w:val="00C34623"/>
    <w:rsid w:val="00C346AD"/>
    <w:rsid w:val="00C346F3"/>
    <w:rsid w:val="00C347D5"/>
    <w:rsid w:val="00C34930"/>
    <w:rsid w:val="00C34ADA"/>
    <w:rsid w:val="00C34BC9"/>
    <w:rsid w:val="00C34C10"/>
    <w:rsid w:val="00C34C80"/>
    <w:rsid w:val="00C34CE3"/>
    <w:rsid w:val="00C34CEB"/>
    <w:rsid w:val="00C34D5C"/>
    <w:rsid w:val="00C34D76"/>
    <w:rsid w:val="00C34E12"/>
    <w:rsid w:val="00C34E63"/>
    <w:rsid w:val="00C34E78"/>
    <w:rsid w:val="00C34F0E"/>
    <w:rsid w:val="00C34FDB"/>
    <w:rsid w:val="00C34FFF"/>
    <w:rsid w:val="00C35044"/>
    <w:rsid w:val="00C350BC"/>
    <w:rsid w:val="00C350F6"/>
    <w:rsid w:val="00C3510A"/>
    <w:rsid w:val="00C3511C"/>
    <w:rsid w:val="00C351D7"/>
    <w:rsid w:val="00C351F7"/>
    <w:rsid w:val="00C35231"/>
    <w:rsid w:val="00C352A5"/>
    <w:rsid w:val="00C352DE"/>
    <w:rsid w:val="00C35394"/>
    <w:rsid w:val="00C353B1"/>
    <w:rsid w:val="00C353D9"/>
    <w:rsid w:val="00C353DB"/>
    <w:rsid w:val="00C3542C"/>
    <w:rsid w:val="00C35496"/>
    <w:rsid w:val="00C354B8"/>
    <w:rsid w:val="00C35619"/>
    <w:rsid w:val="00C35631"/>
    <w:rsid w:val="00C356A5"/>
    <w:rsid w:val="00C356EB"/>
    <w:rsid w:val="00C3573E"/>
    <w:rsid w:val="00C35835"/>
    <w:rsid w:val="00C3583C"/>
    <w:rsid w:val="00C3587A"/>
    <w:rsid w:val="00C358E6"/>
    <w:rsid w:val="00C359AE"/>
    <w:rsid w:val="00C359F4"/>
    <w:rsid w:val="00C35A36"/>
    <w:rsid w:val="00C35BCA"/>
    <w:rsid w:val="00C35C27"/>
    <w:rsid w:val="00C35C50"/>
    <w:rsid w:val="00C35D1B"/>
    <w:rsid w:val="00C35D23"/>
    <w:rsid w:val="00C35D66"/>
    <w:rsid w:val="00C35D7B"/>
    <w:rsid w:val="00C35D87"/>
    <w:rsid w:val="00C35DA2"/>
    <w:rsid w:val="00C35E6D"/>
    <w:rsid w:val="00C35ED4"/>
    <w:rsid w:val="00C35F19"/>
    <w:rsid w:val="00C35F6C"/>
    <w:rsid w:val="00C3616F"/>
    <w:rsid w:val="00C3618C"/>
    <w:rsid w:val="00C3627C"/>
    <w:rsid w:val="00C36284"/>
    <w:rsid w:val="00C362B4"/>
    <w:rsid w:val="00C36302"/>
    <w:rsid w:val="00C36303"/>
    <w:rsid w:val="00C36338"/>
    <w:rsid w:val="00C36345"/>
    <w:rsid w:val="00C3636D"/>
    <w:rsid w:val="00C363D5"/>
    <w:rsid w:val="00C3644D"/>
    <w:rsid w:val="00C364AD"/>
    <w:rsid w:val="00C36554"/>
    <w:rsid w:val="00C367BE"/>
    <w:rsid w:val="00C367CE"/>
    <w:rsid w:val="00C36839"/>
    <w:rsid w:val="00C36895"/>
    <w:rsid w:val="00C36978"/>
    <w:rsid w:val="00C369EE"/>
    <w:rsid w:val="00C36C4C"/>
    <w:rsid w:val="00C36C86"/>
    <w:rsid w:val="00C36D96"/>
    <w:rsid w:val="00C36E7A"/>
    <w:rsid w:val="00C36EE2"/>
    <w:rsid w:val="00C36F7B"/>
    <w:rsid w:val="00C370BD"/>
    <w:rsid w:val="00C3713F"/>
    <w:rsid w:val="00C37257"/>
    <w:rsid w:val="00C37279"/>
    <w:rsid w:val="00C3728C"/>
    <w:rsid w:val="00C3740F"/>
    <w:rsid w:val="00C374D3"/>
    <w:rsid w:val="00C3766F"/>
    <w:rsid w:val="00C37757"/>
    <w:rsid w:val="00C37779"/>
    <w:rsid w:val="00C377AE"/>
    <w:rsid w:val="00C378B9"/>
    <w:rsid w:val="00C37A13"/>
    <w:rsid w:val="00C37A30"/>
    <w:rsid w:val="00C37BF1"/>
    <w:rsid w:val="00C37C78"/>
    <w:rsid w:val="00C37C8F"/>
    <w:rsid w:val="00C37CA2"/>
    <w:rsid w:val="00C37CAB"/>
    <w:rsid w:val="00C37D0B"/>
    <w:rsid w:val="00C37D24"/>
    <w:rsid w:val="00C37EAB"/>
    <w:rsid w:val="00C37F55"/>
    <w:rsid w:val="00C37F7F"/>
    <w:rsid w:val="00C37F98"/>
    <w:rsid w:val="00C37FE4"/>
    <w:rsid w:val="00C4000D"/>
    <w:rsid w:val="00C40036"/>
    <w:rsid w:val="00C40134"/>
    <w:rsid w:val="00C40149"/>
    <w:rsid w:val="00C40183"/>
    <w:rsid w:val="00C401E7"/>
    <w:rsid w:val="00C401F2"/>
    <w:rsid w:val="00C401F7"/>
    <w:rsid w:val="00C40223"/>
    <w:rsid w:val="00C40233"/>
    <w:rsid w:val="00C40269"/>
    <w:rsid w:val="00C402E3"/>
    <w:rsid w:val="00C40377"/>
    <w:rsid w:val="00C40390"/>
    <w:rsid w:val="00C404EC"/>
    <w:rsid w:val="00C40516"/>
    <w:rsid w:val="00C40579"/>
    <w:rsid w:val="00C40589"/>
    <w:rsid w:val="00C405DD"/>
    <w:rsid w:val="00C406C9"/>
    <w:rsid w:val="00C40734"/>
    <w:rsid w:val="00C4073D"/>
    <w:rsid w:val="00C4074D"/>
    <w:rsid w:val="00C40765"/>
    <w:rsid w:val="00C40782"/>
    <w:rsid w:val="00C40793"/>
    <w:rsid w:val="00C407FA"/>
    <w:rsid w:val="00C40833"/>
    <w:rsid w:val="00C408BB"/>
    <w:rsid w:val="00C408DE"/>
    <w:rsid w:val="00C408EE"/>
    <w:rsid w:val="00C40994"/>
    <w:rsid w:val="00C409F3"/>
    <w:rsid w:val="00C40ADD"/>
    <w:rsid w:val="00C40C2A"/>
    <w:rsid w:val="00C40CA4"/>
    <w:rsid w:val="00C40DB8"/>
    <w:rsid w:val="00C40DFE"/>
    <w:rsid w:val="00C40E5B"/>
    <w:rsid w:val="00C40F72"/>
    <w:rsid w:val="00C40FF2"/>
    <w:rsid w:val="00C4107D"/>
    <w:rsid w:val="00C410BC"/>
    <w:rsid w:val="00C410C9"/>
    <w:rsid w:val="00C41112"/>
    <w:rsid w:val="00C41174"/>
    <w:rsid w:val="00C41193"/>
    <w:rsid w:val="00C411C2"/>
    <w:rsid w:val="00C411D8"/>
    <w:rsid w:val="00C41215"/>
    <w:rsid w:val="00C4123A"/>
    <w:rsid w:val="00C4125C"/>
    <w:rsid w:val="00C41298"/>
    <w:rsid w:val="00C412FE"/>
    <w:rsid w:val="00C41398"/>
    <w:rsid w:val="00C413FB"/>
    <w:rsid w:val="00C414FD"/>
    <w:rsid w:val="00C41500"/>
    <w:rsid w:val="00C41584"/>
    <w:rsid w:val="00C4158C"/>
    <w:rsid w:val="00C41740"/>
    <w:rsid w:val="00C41769"/>
    <w:rsid w:val="00C4184E"/>
    <w:rsid w:val="00C4186E"/>
    <w:rsid w:val="00C4186F"/>
    <w:rsid w:val="00C41883"/>
    <w:rsid w:val="00C418B7"/>
    <w:rsid w:val="00C418BC"/>
    <w:rsid w:val="00C418D8"/>
    <w:rsid w:val="00C41900"/>
    <w:rsid w:val="00C41945"/>
    <w:rsid w:val="00C41988"/>
    <w:rsid w:val="00C419A8"/>
    <w:rsid w:val="00C419EF"/>
    <w:rsid w:val="00C419FD"/>
    <w:rsid w:val="00C41A8C"/>
    <w:rsid w:val="00C41BCF"/>
    <w:rsid w:val="00C41C09"/>
    <w:rsid w:val="00C41C51"/>
    <w:rsid w:val="00C41CC3"/>
    <w:rsid w:val="00C41D28"/>
    <w:rsid w:val="00C41DAC"/>
    <w:rsid w:val="00C41DAE"/>
    <w:rsid w:val="00C41E45"/>
    <w:rsid w:val="00C41EA7"/>
    <w:rsid w:val="00C41EDC"/>
    <w:rsid w:val="00C41EE2"/>
    <w:rsid w:val="00C41EF8"/>
    <w:rsid w:val="00C41F0A"/>
    <w:rsid w:val="00C41F83"/>
    <w:rsid w:val="00C41FDD"/>
    <w:rsid w:val="00C42011"/>
    <w:rsid w:val="00C4204C"/>
    <w:rsid w:val="00C4205A"/>
    <w:rsid w:val="00C4216B"/>
    <w:rsid w:val="00C421A9"/>
    <w:rsid w:val="00C4229F"/>
    <w:rsid w:val="00C42353"/>
    <w:rsid w:val="00C4236E"/>
    <w:rsid w:val="00C423B8"/>
    <w:rsid w:val="00C4241A"/>
    <w:rsid w:val="00C42432"/>
    <w:rsid w:val="00C424A2"/>
    <w:rsid w:val="00C424AD"/>
    <w:rsid w:val="00C42500"/>
    <w:rsid w:val="00C4252D"/>
    <w:rsid w:val="00C426C1"/>
    <w:rsid w:val="00C426D0"/>
    <w:rsid w:val="00C426D4"/>
    <w:rsid w:val="00C42737"/>
    <w:rsid w:val="00C42767"/>
    <w:rsid w:val="00C4276D"/>
    <w:rsid w:val="00C4277D"/>
    <w:rsid w:val="00C4277F"/>
    <w:rsid w:val="00C427B9"/>
    <w:rsid w:val="00C42805"/>
    <w:rsid w:val="00C428D4"/>
    <w:rsid w:val="00C42B47"/>
    <w:rsid w:val="00C42B8F"/>
    <w:rsid w:val="00C42BA0"/>
    <w:rsid w:val="00C42C72"/>
    <w:rsid w:val="00C42D60"/>
    <w:rsid w:val="00C42D65"/>
    <w:rsid w:val="00C42DDD"/>
    <w:rsid w:val="00C42DE1"/>
    <w:rsid w:val="00C42F30"/>
    <w:rsid w:val="00C42F5F"/>
    <w:rsid w:val="00C42F80"/>
    <w:rsid w:val="00C4304D"/>
    <w:rsid w:val="00C431A7"/>
    <w:rsid w:val="00C431A9"/>
    <w:rsid w:val="00C431DB"/>
    <w:rsid w:val="00C432DA"/>
    <w:rsid w:val="00C43378"/>
    <w:rsid w:val="00C433AD"/>
    <w:rsid w:val="00C434E6"/>
    <w:rsid w:val="00C43558"/>
    <w:rsid w:val="00C435CD"/>
    <w:rsid w:val="00C435CE"/>
    <w:rsid w:val="00C437D1"/>
    <w:rsid w:val="00C4387E"/>
    <w:rsid w:val="00C4388B"/>
    <w:rsid w:val="00C438D9"/>
    <w:rsid w:val="00C438DC"/>
    <w:rsid w:val="00C438E5"/>
    <w:rsid w:val="00C439FF"/>
    <w:rsid w:val="00C43A38"/>
    <w:rsid w:val="00C43A63"/>
    <w:rsid w:val="00C43A9C"/>
    <w:rsid w:val="00C43AA5"/>
    <w:rsid w:val="00C43B5C"/>
    <w:rsid w:val="00C43B86"/>
    <w:rsid w:val="00C43BF3"/>
    <w:rsid w:val="00C43C0B"/>
    <w:rsid w:val="00C43C3A"/>
    <w:rsid w:val="00C43DA0"/>
    <w:rsid w:val="00C43E39"/>
    <w:rsid w:val="00C43F1F"/>
    <w:rsid w:val="00C43F42"/>
    <w:rsid w:val="00C4401F"/>
    <w:rsid w:val="00C44069"/>
    <w:rsid w:val="00C440A6"/>
    <w:rsid w:val="00C440F3"/>
    <w:rsid w:val="00C44180"/>
    <w:rsid w:val="00C441DA"/>
    <w:rsid w:val="00C44232"/>
    <w:rsid w:val="00C44234"/>
    <w:rsid w:val="00C44290"/>
    <w:rsid w:val="00C44309"/>
    <w:rsid w:val="00C44400"/>
    <w:rsid w:val="00C44410"/>
    <w:rsid w:val="00C444BB"/>
    <w:rsid w:val="00C44500"/>
    <w:rsid w:val="00C44613"/>
    <w:rsid w:val="00C4468E"/>
    <w:rsid w:val="00C44701"/>
    <w:rsid w:val="00C447A6"/>
    <w:rsid w:val="00C447AF"/>
    <w:rsid w:val="00C4484D"/>
    <w:rsid w:val="00C448B6"/>
    <w:rsid w:val="00C44952"/>
    <w:rsid w:val="00C44A88"/>
    <w:rsid w:val="00C44ABD"/>
    <w:rsid w:val="00C44B18"/>
    <w:rsid w:val="00C44C37"/>
    <w:rsid w:val="00C44C41"/>
    <w:rsid w:val="00C44C63"/>
    <w:rsid w:val="00C44D0F"/>
    <w:rsid w:val="00C44D27"/>
    <w:rsid w:val="00C44D89"/>
    <w:rsid w:val="00C44EBF"/>
    <w:rsid w:val="00C45009"/>
    <w:rsid w:val="00C45046"/>
    <w:rsid w:val="00C45100"/>
    <w:rsid w:val="00C45117"/>
    <w:rsid w:val="00C45173"/>
    <w:rsid w:val="00C4518A"/>
    <w:rsid w:val="00C45197"/>
    <w:rsid w:val="00C451E2"/>
    <w:rsid w:val="00C4523A"/>
    <w:rsid w:val="00C4533F"/>
    <w:rsid w:val="00C453E3"/>
    <w:rsid w:val="00C4540B"/>
    <w:rsid w:val="00C45512"/>
    <w:rsid w:val="00C45583"/>
    <w:rsid w:val="00C45623"/>
    <w:rsid w:val="00C45691"/>
    <w:rsid w:val="00C457A5"/>
    <w:rsid w:val="00C45815"/>
    <w:rsid w:val="00C45834"/>
    <w:rsid w:val="00C4585E"/>
    <w:rsid w:val="00C4586E"/>
    <w:rsid w:val="00C45890"/>
    <w:rsid w:val="00C4592A"/>
    <w:rsid w:val="00C45932"/>
    <w:rsid w:val="00C4593D"/>
    <w:rsid w:val="00C4599C"/>
    <w:rsid w:val="00C459CA"/>
    <w:rsid w:val="00C45A82"/>
    <w:rsid w:val="00C45A8B"/>
    <w:rsid w:val="00C45AC5"/>
    <w:rsid w:val="00C45B46"/>
    <w:rsid w:val="00C45B6E"/>
    <w:rsid w:val="00C45CE7"/>
    <w:rsid w:val="00C45D2C"/>
    <w:rsid w:val="00C45D34"/>
    <w:rsid w:val="00C45E59"/>
    <w:rsid w:val="00C45F44"/>
    <w:rsid w:val="00C45F57"/>
    <w:rsid w:val="00C45F76"/>
    <w:rsid w:val="00C45FB9"/>
    <w:rsid w:val="00C4615E"/>
    <w:rsid w:val="00C46288"/>
    <w:rsid w:val="00C462C9"/>
    <w:rsid w:val="00C4633D"/>
    <w:rsid w:val="00C463A0"/>
    <w:rsid w:val="00C463B1"/>
    <w:rsid w:val="00C46466"/>
    <w:rsid w:val="00C46491"/>
    <w:rsid w:val="00C46496"/>
    <w:rsid w:val="00C46545"/>
    <w:rsid w:val="00C465C6"/>
    <w:rsid w:val="00C46657"/>
    <w:rsid w:val="00C4667B"/>
    <w:rsid w:val="00C466C6"/>
    <w:rsid w:val="00C4670B"/>
    <w:rsid w:val="00C46752"/>
    <w:rsid w:val="00C46818"/>
    <w:rsid w:val="00C46887"/>
    <w:rsid w:val="00C4696A"/>
    <w:rsid w:val="00C46A05"/>
    <w:rsid w:val="00C46A3E"/>
    <w:rsid w:val="00C46A71"/>
    <w:rsid w:val="00C46AF0"/>
    <w:rsid w:val="00C46B91"/>
    <w:rsid w:val="00C46BDA"/>
    <w:rsid w:val="00C46CF0"/>
    <w:rsid w:val="00C46D3D"/>
    <w:rsid w:val="00C46D61"/>
    <w:rsid w:val="00C46D94"/>
    <w:rsid w:val="00C46DAD"/>
    <w:rsid w:val="00C46E2E"/>
    <w:rsid w:val="00C46E41"/>
    <w:rsid w:val="00C46EFF"/>
    <w:rsid w:val="00C46F3F"/>
    <w:rsid w:val="00C46F5F"/>
    <w:rsid w:val="00C47031"/>
    <w:rsid w:val="00C470C2"/>
    <w:rsid w:val="00C4712E"/>
    <w:rsid w:val="00C4713F"/>
    <w:rsid w:val="00C4716B"/>
    <w:rsid w:val="00C472F7"/>
    <w:rsid w:val="00C4740D"/>
    <w:rsid w:val="00C4748B"/>
    <w:rsid w:val="00C474CF"/>
    <w:rsid w:val="00C4750E"/>
    <w:rsid w:val="00C47538"/>
    <w:rsid w:val="00C475CD"/>
    <w:rsid w:val="00C475F1"/>
    <w:rsid w:val="00C47600"/>
    <w:rsid w:val="00C4768A"/>
    <w:rsid w:val="00C476C4"/>
    <w:rsid w:val="00C476DF"/>
    <w:rsid w:val="00C47777"/>
    <w:rsid w:val="00C47826"/>
    <w:rsid w:val="00C4787C"/>
    <w:rsid w:val="00C478A9"/>
    <w:rsid w:val="00C478B8"/>
    <w:rsid w:val="00C4790F"/>
    <w:rsid w:val="00C4796D"/>
    <w:rsid w:val="00C479FF"/>
    <w:rsid w:val="00C47A09"/>
    <w:rsid w:val="00C47A0C"/>
    <w:rsid w:val="00C47A49"/>
    <w:rsid w:val="00C47AA1"/>
    <w:rsid w:val="00C47B0D"/>
    <w:rsid w:val="00C47CFA"/>
    <w:rsid w:val="00C47E16"/>
    <w:rsid w:val="00C47E1C"/>
    <w:rsid w:val="00C47EEB"/>
    <w:rsid w:val="00C47F18"/>
    <w:rsid w:val="00C47FE4"/>
    <w:rsid w:val="00C5007E"/>
    <w:rsid w:val="00C500E2"/>
    <w:rsid w:val="00C50125"/>
    <w:rsid w:val="00C5016E"/>
    <w:rsid w:val="00C50193"/>
    <w:rsid w:val="00C5019A"/>
    <w:rsid w:val="00C501CE"/>
    <w:rsid w:val="00C502CA"/>
    <w:rsid w:val="00C502EE"/>
    <w:rsid w:val="00C50306"/>
    <w:rsid w:val="00C5032A"/>
    <w:rsid w:val="00C50385"/>
    <w:rsid w:val="00C5043A"/>
    <w:rsid w:val="00C504BB"/>
    <w:rsid w:val="00C504E9"/>
    <w:rsid w:val="00C5050A"/>
    <w:rsid w:val="00C505AA"/>
    <w:rsid w:val="00C50611"/>
    <w:rsid w:val="00C5065E"/>
    <w:rsid w:val="00C50674"/>
    <w:rsid w:val="00C50681"/>
    <w:rsid w:val="00C507B6"/>
    <w:rsid w:val="00C507BF"/>
    <w:rsid w:val="00C509E6"/>
    <w:rsid w:val="00C50B1B"/>
    <w:rsid w:val="00C50C22"/>
    <w:rsid w:val="00C50DB0"/>
    <w:rsid w:val="00C50DD5"/>
    <w:rsid w:val="00C50ECF"/>
    <w:rsid w:val="00C50F7A"/>
    <w:rsid w:val="00C50FB0"/>
    <w:rsid w:val="00C50FBC"/>
    <w:rsid w:val="00C5103B"/>
    <w:rsid w:val="00C510CA"/>
    <w:rsid w:val="00C510CE"/>
    <w:rsid w:val="00C510D4"/>
    <w:rsid w:val="00C51134"/>
    <w:rsid w:val="00C511B7"/>
    <w:rsid w:val="00C51298"/>
    <w:rsid w:val="00C514C0"/>
    <w:rsid w:val="00C514C8"/>
    <w:rsid w:val="00C51554"/>
    <w:rsid w:val="00C51580"/>
    <w:rsid w:val="00C515A6"/>
    <w:rsid w:val="00C515C4"/>
    <w:rsid w:val="00C51603"/>
    <w:rsid w:val="00C51700"/>
    <w:rsid w:val="00C517DA"/>
    <w:rsid w:val="00C51857"/>
    <w:rsid w:val="00C518DE"/>
    <w:rsid w:val="00C51958"/>
    <w:rsid w:val="00C519FE"/>
    <w:rsid w:val="00C51ADF"/>
    <w:rsid w:val="00C51C90"/>
    <w:rsid w:val="00C51CDA"/>
    <w:rsid w:val="00C51D92"/>
    <w:rsid w:val="00C51EF3"/>
    <w:rsid w:val="00C51F40"/>
    <w:rsid w:val="00C51F78"/>
    <w:rsid w:val="00C51FA3"/>
    <w:rsid w:val="00C52013"/>
    <w:rsid w:val="00C52081"/>
    <w:rsid w:val="00C520BB"/>
    <w:rsid w:val="00C52184"/>
    <w:rsid w:val="00C521E4"/>
    <w:rsid w:val="00C522C4"/>
    <w:rsid w:val="00C52396"/>
    <w:rsid w:val="00C52483"/>
    <w:rsid w:val="00C524D9"/>
    <w:rsid w:val="00C52599"/>
    <w:rsid w:val="00C525F3"/>
    <w:rsid w:val="00C525F8"/>
    <w:rsid w:val="00C5267C"/>
    <w:rsid w:val="00C52778"/>
    <w:rsid w:val="00C5281B"/>
    <w:rsid w:val="00C52830"/>
    <w:rsid w:val="00C52836"/>
    <w:rsid w:val="00C528C3"/>
    <w:rsid w:val="00C52912"/>
    <w:rsid w:val="00C52A26"/>
    <w:rsid w:val="00C52A5F"/>
    <w:rsid w:val="00C52A89"/>
    <w:rsid w:val="00C52A8C"/>
    <w:rsid w:val="00C52AB3"/>
    <w:rsid w:val="00C52C46"/>
    <w:rsid w:val="00C52C64"/>
    <w:rsid w:val="00C52C75"/>
    <w:rsid w:val="00C52C7B"/>
    <w:rsid w:val="00C52CAE"/>
    <w:rsid w:val="00C52D3E"/>
    <w:rsid w:val="00C52FAF"/>
    <w:rsid w:val="00C52FB0"/>
    <w:rsid w:val="00C52FB8"/>
    <w:rsid w:val="00C52FFD"/>
    <w:rsid w:val="00C53006"/>
    <w:rsid w:val="00C53148"/>
    <w:rsid w:val="00C53194"/>
    <w:rsid w:val="00C532EA"/>
    <w:rsid w:val="00C53472"/>
    <w:rsid w:val="00C534C5"/>
    <w:rsid w:val="00C534F4"/>
    <w:rsid w:val="00C5350E"/>
    <w:rsid w:val="00C5364B"/>
    <w:rsid w:val="00C5370D"/>
    <w:rsid w:val="00C53749"/>
    <w:rsid w:val="00C53806"/>
    <w:rsid w:val="00C53854"/>
    <w:rsid w:val="00C5387F"/>
    <w:rsid w:val="00C538BD"/>
    <w:rsid w:val="00C5395A"/>
    <w:rsid w:val="00C53961"/>
    <w:rsid w:val="00C539BA"/>
    <w:rsid w:val="00C53A4C"/>
    <w:rsid w:val="00C53ADB"/>
    <w:rsid w:val="00C53B23"/>
    <w:rsid w:val="00C53BB4"/>
    <w:rsid w:val="00C53C01"/>
    <w:rsid w:val="00C53D08"/>
    <w:rsid w:val="00C53D30"/>
    <w:rsid w:val="00C53DFA"/>
    <w:rsid w:val="00C53FCF"/>
    <w:rsid w:val="00C53FD7"/>
    <w:rsid w:val="00C54065"/>
    <w:rsid w:val="00C540D9"/>
    <w:rsid w:val="00C541C6"/>
    <w:rsid w:val="00C541CC"/>
    <w:rsid w:val="00C54207"/>
    <w:rsid w:val="00C54264"/>
    <w:rsid w:val="00C542C3"/>
    <w:rsid w:val="00C542E7"/>
    <w:rsid w:val="00C5430D"/>
    <w:rsid w:val="00C545B1"/>
    <w:rsid w:val="00C545BA"/>
    <w:rsid w:val="00C545F7"/>
    <w:rsid w:val="00C546AB"/>
    <w:rsid w:val="00C546C3"/>
    <w:rsid w:val="00C546E1"/>
    <w:rsid w:val="00C54771"/>
    <w:rsid w:val="00C54776"/>
    <w:rsid w:val="00C54797"/>
    <w:rsid w:val="00C54836"/>
    <w:rsid w:val="00C548E0"/>
    <w:rsid w:val="00C54937"/>
    <w:rsid w:val="00C54972"/>
    <w:rsid w:val="00C5497D"/>
    <w:rsid w:val="00C54A09"/>
    <w:rsid w:val="00C54A4B"/>
    <w:rsid w:val="00C54A8C"/>
    <w:rsid w:val="00C54A9E"/>
    <w:rsid w:val="00C54ADF"/>
    <w:rsid w:val="00C54B6D"/>
    <w:rsid w:val="00C54B90"/>
    <w:rsid w:val="00C54BCD"/>
    <w:rsid w:val="00C54BED"/>
    <w:rsid w:val="00C54D63"/>
    <w:rsid w:val="00C54F1B"/>
    <w:rsid w:val="00C54F47"/>
    <w:rsid w:val="00C54F9E"/>
    <w:rsid w:val="00C54FA5"/>
    <w:rsid w:val="00C5502B"/>
    <w:rsid w:val="00C5503D"/>
    <w:rsid w:val="00C5505B"/>
    <w:rsid w:val="00C55072"/>
    <w:rsid w:val="00C55097"/>
    <w:rsid w:val="00C550EB"/>
    <w:rsid w:val="00C551AA"/>
    <w:rsid w:val="00C551D8"/>
    <w:rsid w:val="00C55238"/>
    <w:rsid w:val="00C553AD"/>
    <w:rsid w:val="00C553D0"/>
    <w:rsid w:val="00C55405"/>
    <w:rsid w:val="00C554EF"/>
    <w:rsid w:val="00C55547"/>
    <w:rsid w:val="00C5562A"/>
    <w:rsid w:val="00C556C9"/>
    <w:rsid w:val="00C556F8"/>
    <w:rsid w:val="00C55711"/>
    <w:rsid w:val="00C55729"/>
    <w:rsid w:val="00C55770"/>
    <w:rsid w:val="00C557C5"/>
    <w:rsid w:val="00C558C5"/>
    <w:rsid w:val="00C5594F"/>
    <w:rsid w:val="00C559BB"/>
    <w:rsid w:val="00C55A18"/>
    <w:rsid w:val="00C55A8C"/>
    <w:rsid w:val="00C55B72"/>
    <w:rsid w:val="00C55C09"/>
    <w:rsid w:val="00C55CA7"/>
    <w:rsid w:val="00C55D04"/>
    <w:rsid w:val="00C55D19"/>
    <w:rsid w:val="00C55E04"/>
    <w:rsid w:val="00C55E6F"/>
    <w:rsid w:val="00C55EAD"/>
    <w:rsid w:val="00C55F87"/>
    <w:rsid w:val="00C55FBC"/>
    <w:rsid w:val="00C55FCE"/>
    <w:rsid w:val="00C56022"/>
    <w:rsid w:val="00C560C6"/>
    <w:rsid w:val="00C56158"/>
    <w:rsid w:val="00C56197"/>
    <w:rsid w:val="00C562A7"/>
    <w:rsid w:val="00C562A9"/>
    <w:rsid w:val="00C562B2"/>
    <w:rsid w:val="00C562E6"/>
    <w:rsid w:val="00C56375"/>
    <w:rsid w:val="00C5637B"/>
    <w:rsid w:val="00C563CE"/>
    <w:rsid w:val="00C563DC"/>
    <w:rsid w:val="00C563E6"/>
    <w:rsid w:val="00C563FF"/>
    <w:rsid w:val="00C5642C"/>
    <w:rsid w:val="00C564A4"/>
    <w:rsid w:val="00C5659C"/>
    <w:rsid w:val="00C56609"/>
    <w:rsid w:val="00C56621"/>
    <w:rsid w:val="00C5665E"/>
    <w:rsid w:val="00C566B6"/>
    <w:rsid w:val="00C566CA"/>
    <w:rsid w:val="00C567BC"/>
    <w:rsid w:val="00C567BF"/>
    <w:rsid w:val="00C5692D"/>
    <w:rsid w:val="00C5695B"/>
    <w:rsid w:val="00C56A22"/>
    <w:rsid w:val="00C56BF5"/>
    <w:rsid w:val="00C56C1B"/>
    <w:rsid w:val="00C56D07"/>
    <w:rsid w:val="00C56D7B"/>
    <w:rsid w:val="00C56D9E"/>
    <w:rsid w:val="00C56DAC"/>
    <w:rsid w:val="00C56F19"/>
    <w:rsid w:val="00C56F55"/>
    <w:rsid w:val="00C56F66"/>
    <w:rsid w:val="00C570C4"/>
    <w:rsid w:val="00C57239"/>
    <w:rsid w:val="00C57288"/>
    <w:rsid w:val="00C573DC"/>
    <w:rsid w:val="00C57540"/>
    <w:rsid w:val="00C57559"/>
    <w:rsid w:val="00C5758A"/>
    <w:rsid w:val="00C5774C"/>
    <w:rsid w:val="00C57881"/>
    <w:rsid w:val="00C57884"/>
    <w:rsid w:val="00C578BE"/>
    <w:rsid w:val="00C5791D"/>
    <w:rsid w:val="00C57983"/>
    <w:rsid w:val="00C579A5"/>
    <w:rsid w:val="00C579BD"/>
    <w:rsid w:val="00C579CC"/>
    <w:rsid w:val="00C57AB4"/>
    <w:rsid w:val="00C57AE6"/>
    <w:rsid w:val="00C57B23"/>
    <w:rsid w:val="00C57B62"/>
    <w:rsid w:val="00C57DAC"/>
    <w:rsid w:val="00C57F47"/>
    <w:rsid w:val="00C57F51"/>
    <w:rsid w:val="00C57F74"/>
    <w:rsid w:val="00C6009D"/>
    <w:rsid w:val="00C600C6"/>
    <w:rsid w:val="00C60271"/>
    <w:rsid w:val="00C602F5"/>
    <w:rsid w:val="00C602FA"/>
    <w:rsid w:val="00C6032A"/>
    <w:rsid w:val="00C6032C"/>
    <w:rsid w:val="00C60334"/>
    <w:rsid w:val="00C60336"/>
    <w:rsid w:val="00C60348"/>
    <w:rsid w:val="00C604BF"/>
    <w:rsid w:val="00C604E4"/>
    <w:rsid w:val="00C6052A"/>
    <w:rsid w:val="00C605AF"/>
    <w:rsid w:val="00C6063A"/>
    <w:rsid w:val="00C606FF"/>
    <w:rsid w:val="00C607D8"/>
    <w:rsid w:val="00C607EF"/>
    <w:rsid w:val="00C6085C"/>
    <w:rsid w:val="00C609A2"/>
    <w:rsid w:val="00C60B7D"/>
    <w:rsid w:val="00C60CE6"/>
    <w:rsid w:val="00C60D80"/>
    <w:rsid w:val="00C60D88"/>
    <w:rsid w:val="00C60DA3"/>
    <w:rsid w:val="00C60E0E"/>
    <w:rsid w:val="00C60EB3"/>
    <w:rsid w:val="00C60FA1"/>
    <w:rsid w:val="00C60FCD"/>
    <w:rsid w:val="00C61055"/>
    <w:rsid w:val="00C610D6"/>
    <w:rsid w:val="00C6112E"/>
    <w:rsid w:val="00C61206"/>
    <w:rsid w:val="00C612A3"/>
    <w:rsid w:val="00C612DE"/>
    <w:rsid w:val="00C6144D"/>
    <w:rsid w:val="00C61470"/>
    <w:rsid w:val="00C61689"/>
    <w:rsid w:val="00C616DE"/>
    <w:rsid w:val="00C61744"/>
    <w:rsid w:val="00C61776"/>
    <w:rsid w:val="00C61893"/>
    <w:rsid w:val="00C6194F"/>
    <w:rsid w:val="00C61971"/>
    <w:rsid w:val="00C619F8"/>
    <w:rsid w:val="00C61A00"/>
    <w:rsid w:val="00C61AF8"/>
    <w:rsid w:val="00C61B83"/>
    <w:rsid w:val="00C61C29"/>
    <w:rsid w:val="00C61CF5"/>
    <w:rsid w:val="00C61DEA"/>
    <w:rsid w:val="00C61E30"/>
    <w:rsid w:val="00C61E3C"/>
    <w:rsid w:val="00C61E5E"/>
    <w:rsid w:val="00C61EE2"/>
    <w:rsid w:val="00C61F1F"/>
    <w:rsid w:val="00C61F9E"/>
    <w:rsid w:val="00C61FD6"/>
    <w:rsid w:val="00C6212B"/>
    <w:rsid w:val="00C62154"/>
    <w:rsid w:val="00C62164"/>
    <w:rsid w:val="00C621BC"/>
    <w:rsid w:val="00C62224"/>
    <w:rsid w:val="00C6223D"/>
    <w:rsid w:val="00C623E4"/>
    <w:rsid w:val="00C62403"/>
    <w:rsid w:val="00C624D6"/>
    <w:rsid w:val="00C62556"/>
    <w:rsid w:val="00C6259D"/>
    <w:rsid w:val="00C625D0"/>
    <w:rsid w:val="00C6267A"/>
    <w:rsid w:val="00C62699"/>
    <w:rsid w:val="00C627B7"/>
    <w:rsid w:val="00C627D8"/>
    <w:rsid w:val="00C628C2"/>
    <w:rsid w:val="00C628D1"/>
    <w:rsid w:val="00C628E2"/>
    <w:rsid w:val="00C62912"/>
    <w:rsid w:val="00C62913"/>
    <w:rsid w:val="00C629BF"/>
    <w:rsid w:val="00C62A0F"/>
    <w:rsid w:val="00C62A8F"/>
    <w:rsid w:val="00C62AAE"/>
    <w:rsid w:val="00C62B5E"/>
    <w:rsid w:val="00C62B69"/>
    <w:rsid w:val="00C62B6B"/>
    <w:rsid w:val="00C62C14"/>
    <w:rsid w:val="00C62CFF"/>
    <w:rsid w:val="00C62E0D"/>
    <w:rsid w:val="00C62E3A"/>
    <w:rsid w:val="00C62E88"/>
    <w:rsid w:val="00C6301E"/>
    <w:rsid w:val="00C6307D"/>
    <w:rsid w:val="00C63179"/>
    <w:rsid w:val="00C63215"/>
    <w:rsid w:val="00C6321D"/>
    <w:rsid w:val="00C6322C"/>
    <w:rsid w:val="00C6325F"/>
    <w:rsid w:val="00C63275"/>
    <w:rsid w:val="00C632B5"/>
    <w:rsid w:val="00C632B7"/>
    <w:rsid w:val="00C63366"/>
    <w:rsid w:val="00C6340E"/>
    <w:rsid w:val="00C63526"/>
    <w:rsid w:val="00C63601"/>
    <w:rsid w:val="00C63690"/>
    <w:rsid w:val="00C636B7"/>
    <w:rsid w:val="00C63705"/>
    <w:rsid w:val="00C637B6"/>
    <w:rsid w:val="00C63816"/>
    <w:rsid w:val="00C638CB"/>
    <w:rsid w:val="00C63980"/>
    <w:rsid w:val="00C639A8"/>
    <w:rsid w:val="00C639C3"/>
    <w:rsid w:val="00C63A00"/>
    <w:rsid w:val="00C63A33"/>
    <w:rsid w:val="00C63AEC"/>
    <w:rsid w:val="00C63B5D"/>
    <w:rsid w:val="00C63CC1"/>
    <w:rsid w:val="00C63D8A"/>
    <w:rsid w:val="00C63D96"/>
    <w:rsid w:val="00C63DBA"/>
    <w:rsid w:val="00C63DCC"/>
    <w:rsid w:val="00C63DD3"/>
    <w:rsid w:val="00C63F5F"/>
    <w:rsid w:val="00C63F6B"/>
    <w:rsid w:val="00C63FAD"/>
    <w:rsid w:val="00C6404B"/>
    <w:rsid w:val="00C640AE"/>
    <w:rsid w:val="00C64123"/>
    <w:rsid w:val="00C64128"/>
    <w:rsid w:val="00C6413D"/>
    <w:rsid w:val="00C64147"/>
    <w:rsid w:val="00C6427A"/>
    <w:rsid w:val="00C642A7"/>
    <w:rsid w:val="00C642C1"/>
    <w:rsid w:val="00C64305"/>
    <w:rsid w:val="00C643A4"/>
    <w:rsid w:val="00C643FC"/>
    <w:rsid w:val="00C6443D"/>
    <w:rsid w:val="00C644D2"/>
    <w:rsid w:val="00C6452E"/>
    <w:rsid w:val="00C64545"/>
    <w:rsid w:val="00C64572"/>
    <w:rsid w:val="00C64630"/>
    <w:rsid w:val="00C646C3"/>
    <w:rsid w:val="00C646D6"/>
    <w:rsid w:val="00C646DE"/>
    <w:rsid w:val="00C647F2"/>
    <w:rsid w:val="00C647F3"/>
    <w:rsid w:val="00C6480B"/>
    <w:rsid w:val="00C64978"/>
    <w:rsid w:val="00C64999"/>
    <w:rsid w:val="00C649FD"/>
    <w:rsid w:val="00C64A80"/>
    <w:rsid w:val="00C64B80"/>
    <w:rsid w:val="00C64BC4"/>
    <w:rsid w:val="00C64D09"/>
    <w:rsid w:val="00C64D7D"/>
    <w:rsid w:val="00C64D8D"/>
    <w:rsid w:val="00C64E30"/>
    <w:rsid w:val="00C64F6A"/>
    <w:rsid w:val="00C64FB6"/>
    <w:rsid w:val="00C650A0"/>
    <w:rsid w:val="00C650EE"/>
    <w:rsid w:val="00C6518D"/>
    <w:rsid w:val="00C651AE"/>
    <w:rsid w:val="00C651B7"/>
    <w:rsid w:val="00C65257"/>
    <w:rsid w:val="00C652BD"/>
    <w:rsid w:val="00C65307"/>
    <w:rsid w:val="00C654E4"/>
    <w:rsid w:val="00C6557B"/>
    <w:rsid w:val="00C655E3"/>
    <w:rsid w:val="00C65683"/>
    <w:rsid w:val="00C6586A"/>
    <w:rsid w:val="00C65888"/>
    <w:rsid w:val="00C658E1"/>
    <w:rsid w:val="00C65A9A"/>
    <w:rsid w:val="00C65AD3"/>
    <w:rsid w:val="00C65AE9"/>
    <w:rsid w:val="00C65B19"/>
    <w:rsid w:val="00C65BB8"/>
    <w:rsid w:val="00C65BE6"/>
    <w:rsid w:val="00C65C0B"/>
    <w:rsid w:val="00C65CAE"/>
    <w:rsid w:val="00C65D6C"/>
    <w:rsid w:val="00C65DCE"/>
    <w:rsid w:val="00C65DEB"/>
    <w:rsid w:val="00C65E02"/>
    <w:rsid w:val="00C65E32"/>
    <w:rsid w:val="00C66076"/>
    <w:rsid w:val="00C660A8"/>
    <w:rsid w:val="00C66179"/>
    <w:rsid w:val="00C661E3"/>
    <w:rsid w:val="00C66205"/>
    <w:rsid w:val="00C66286"/>
    <w:rsid w:val="00C662CB"/>
    <w:rsid w:val="00C662D0"/>
    <w:rsid w:val="00C662F8"/>
    <w:rsid w:val="00C662FD"/>
    <w:rsid w:val="00C6647F"/>
    <w:rsid w:val="00C664A7"/>
    <w:rsid w:val="00C6656C"/>
    <w:rsid w:val="00C665DB"/>
    <w:rsid w:val="00C66673"/>
    <w:rsid w:val="00C66764"/>
    <w:rsid w:val="00C66765"/>
    <w:rsid w:val="00C66790"/>
    <w:rsid w:val="00C66791"/>
    <w:rsid w:val="00C667EB"/>
    <w:rsid w:val="00C667F5"/>
    <w:rsid w:val="00C6681F"/>
    <w:rsid w:val="00C66851"/>
    <w:rsid w:val="00C66919"/>
    <w:rsid w:val="00C66953"/>
    <w:rsid w:val="00C6695D"/>
    <w:rsid w:val="00C66988"/>
    <w:rsid w:val="00C669B5"/>
    <w:rsid w:val="00C66A49"/>
    <w:rsid w:val="00C66A9E"/>
    <w:rsid w:val="00C66B0E"/>
    <w:rsid w:val="00C66B15"/>
    <w:rsid w:val="00C66BDA"/>
    <w:rsid w:val="00C66C99"/>
    <w:rsid w:val="00C66D51"/>
    <w:rsid w:val="00C66D94"/>
    <w:rsid w:val="00C66EB4"/>
    <w:rsid w:val="00C66F16"/>
    <w:rsid w:val="00C66F1C"/>
    <w:rsid w:val="00C66F4E"/>
    <w:rsid w:val="00C67039"/>
    <w:rsid w:val="00C670FB"/>
    <w:rsid w:val="00C67106"/>
    <w:rsid w:val="00C67156"/>
    <w:rsid w:val="00C6719B"/>
    <w:rsid w:val="00C671A4"/>
    <w:rsid w:val="00C6726B"/>
    <w:rsid w:val="00C6746B"/>
    <w:rsid w:val="00C6755C"/>
    <w:rsid w:val="00C67626"/>
    <w:rsid w:val="00C67658"/>
    <w:rsid w:val="00C67695"/>
    <w:rsid w:val="00C67696"/>
    <w:rsid w:val="00C67766"/>
    <w:rsid w:val="00C67791"/>
    <w:rsid w:val="00C677CB"/>
    <w:rsid w:val="00C67857"/>
    <w:rsid w:val="00C67956"/>
    <w:rsid w:val="00C679B4"/>
    <w:rsid w:val="00C679BA"/>
    <w:rsid w:val="00C679C3"/>
    <w:rsid w:val="00C679E4"/>
    <w:rsid w:val="00C67BFF"/>
    <w:rsid w:val="00C67C4D"/>
    <w:rsid w:val="00C67D91"/>
    <w:rsid w:val="00C67E33"/>
    <w:rsid w:val="00C67E6F"/>
    <w:rsid w:val="00C67F0F"/>
    <w:rsid w:val="00C67F58"/>
    <w:rsid w:val="00C7006D"/>
    <w:rsid w:val="00C70072"/>
    <w:rsid w:val="00C700CE"/>
    <w:rsid w:val="00C7012E"/>
    <w:rsid w:val="00C7029B"/>
    <w:rsid w:val="00C702D5"/>
    <w:rsid w:val="00C70398"/>
    <w:rsid w:val="00C7042B"/>
    <w:rsid w:val="00C70439"/>
    <w:rsid w:val="00C704E9"/>
    <w:rsid w:val="00C7063C"/>
    <w:rsid w:val="00C7066D"/>
    <w:rsid w:val="00C7069A"/>
    <w:rsid w:val="00C706CB"/>
    <w:rsid w:val="00C7073E"/>
    <w:rsid w:val="00C70907"/>
    <w:rsid w:val="00C7098F"/>
    <w:rsid w:val="00C70B77"/>
    <w:rsid w:val="00C70B80"/>
    <w:rsid w:val="00C70BB6"/>
    <w:rsid w:val="00C70C71"/>
    <w:rsid w:val="00C70CF3"/>
    <w:rsid w:val="00C70DA6"/>
    <w:rsid w:val="00C70DAD"/>
    <w:rsid w:val="00C70EE9"/>
    <w:rsid w:val="00C70F30"/>
    <w:rsid w:val="00C70FA2"/>
    <w:rsid w:val="00C70FF2"/>
    <w:rsid w:val="00C71010"/>
    <w:rsid w:val="00C71073"/>
    <w:rsid w:val="00C7110E"/>
    <w:rsid w:val="00C7115D"/>
    <w:rsid w:val="00C71179"/>
    <w:rsid w:val="00C711D3"/>
    <w:rsid w:val="00C71222"/>
    <w:rsid w:val="00C7127E"/>
    <w:rsid w:val="00C712BE"/>
    <w:rsid w:val="00C71315"/>
    <w:rsid w:val="00C7134B"/>
    <w:rsid w:val="00C71355"/>
    <w:rsid w:val="00C71397"/>
    <w:rsid w:val="00C713C3"/>
    <w:rsid w:val="00C713DC"/>
    <w:rsid w:val="00C713F8"/>
    <w:rsid w:val="00C714A4"/>
    <w:rsid w:val="00C714ED"/>
    <w:rsid w:val="00C715C0"/>
    <w:rsid w:val="00C715E8"/>
    <w:rsid w:val="00C71619"/>
    <w:rsid w:val="00C716BA"/>
    <w:rsid w:val="00C716BB"/>
    <w:rsid w:val="00C7173C"/>
    <w:rsid w:val="00C7174D"/>
    <w:rsid w:val="00C71804"/>
    <w:rsid w:val="00C7193B"/>
    <w:rsid w:val="00C7199C"/>
    <w:rsid w:val="00C719BB"/>
    <w:rsid w:val="00C719CB"/>
    <w:rsid w:val="00C71A9F"/>
    <w:rsid w:val="00C71AAE"/>
    <w:rsid w:val="00C71AEB"/>
    <w:rsid w:val="00C71C87"/>
    <w:rsid w:val="00C71C8E"/>
    <w:rsid w:val="00C71D1C"/>
    <w:rsid w:val="00C71DAE"/>
    <w:rsid w:val="00C71E03"/>
    <w:rsid w:val="00C71E35"/>
    <w:rsid w:val="00C71F53"/>
    <w:rsid w:val="00C71F89"/>
    <w:rsid w:val="00C71F91"/>
    <w:rsid w:val="00C71FDE"/>
    <w:rsid w:val="00C71FE1"/>
    <w:rsid w:val="00C721BA"/>
    <w:rsid w:val="00C72251"/>
    <w:rsid w:val="00C722F5"/>
    <w:rsid w:val="00C72355"/>
    <w:rsid w:val="00C72466"/>
    <w:rsid w:val="00C724D8"/>
    <w:rsid w:val="00C724FA"/>
    <w:rsid w:val="00C725AD"/>
    <w:rsid w:val="00C725BA"/>
    <w:rsid w:val="00C725D3"/>
    <w:rsid w:val="00C725FE"/>
    <w:rsid w:val="00C7261C"/>
    <w:rsid w:val="00C7263E"/>
    <w:rsid w:val="00C7266D"/>
    <w:rsid w:val="00C726EB"/>
    <w:rsid w:val="00C72726"/>
    <w:rsid w:val="00C7273F"/>
    <w:rsid w:val="00C7288E"/>
    <w:rsid w:val="00C72920"/>
    <w:rsid w:val="00C7293F"/>
    <w:rsid w:val="00C729B9"/>
    <w:rsid w:val="00C729BA"/>
    <w:rsid w:val="00C729D6"/>
    <w:rsid w:val="00C72AD4"/>
    <w:rsid w:val="00C72BAA"/>
    <w:rsid w:val="00C72C14"/>
    <w:rsid w:val="00C72C8F"/>
    <w:rsid w:val="00C72CCD"/>
    <w:rsid w:val="00C72CFC"/>
    <w:rsid w:val="00C72D3D"/>
    <w:rsid w:val="00C72D4E"/>
    <w:rsid w:val="00C72D58"/>
    <w:rsid w:val="00C72DD3"/>
    <w:rsid w:val="00C72E4A"/>
    <w:rsid w:val="00C72EFE"/>
    <w:rsid w:val="00C72F8F"/>
    <w:rsid w:val="00C72FF5"/>
    <w:rsid w:val="00C7308F"/>
    <w:rsid w:val="00C730F0"/>
    <w:rsid w:val="00C73107"/>
    <w:rsid w:val="00C73147"/>
    <w:rsid w:val="00C731CD"/>
    <w:rsid w:val="00C731DA"/>
    <w:rsid w:val="00C731F6"/>
    <w:rsid w:val="00C7329D"/>
    <w:rsid w:val="00C7329F"/>
    <w:rsid w:val="00C732B6"/>
    <w:rsid w:val="00C732D9"/>
    <w:rsid w:val="00C733A5"/>
    <w:rsid w:val="00C733C2"/>
    <w:rsid w:val="00C73432"/>
    <w:rsid w:val="00C73435"/>
    <w:rsid w:val="00C7343B"/>
    <w:rsid w:val="00C73472"/>
    <w:rsid w:val="00C734D0"/>
    <w:rsid w:val="00C73547"/>
    <w:rsid w:val="00C7356D"/>
    <w:rsid w:val="00C73594"/>
    <w:rsid w:val="00C735E3"/>
    <w:rsid w:val="00C73611"/>
    <w:rsid w:val="00C73671"/>
    <w:rsid w:val="00C7372C"/>
    <w:rsid w:val="00C73767"/>
    <w:rsid w:val="00C7385E"/>
    <w:rsid w:val="00C7395A"/>
    <w:rsid w:val="00C73968"/>
    <w:rsid w:val="00C739D1"/>
    <w:rsid w:val="00C73A31"/>
    <w:rsid w:val="00C73B3A"/>
    <w:rsid w:val="00C73B6A"/>
    <w:rsid w:val="00C73BBB"/>
    <w:rsid w:val="00C73D91"/>
    <w:rsid w:val="00C73DF8"/>
    <w:rsid w:val="00C73E65"/>
    <w:rsid w:val="00C73E8E"/>
    <w:rsid w:val="00C740DE"/>
    <w:rsid w:val="00C74414"/>
    <w:rsid w:val="00C74432"/>
    <w:rsid w:val="00C74433"/>
    <w:rsid w:val="00C7454B"/>
    <w:rsid w:val="00C7459D"/>
    <w:rsid w:val="00C745B2"/>
    <w:rsid w:val="00C745CF"/>
    <w:rsid w:val="00C74607"/>
    <w:rsid w:val="00C74627"/>
    <w:rsid w:val="00C746D9"/>
    <w:rsid w:val="00C746E3"/>
    <w:rsid w:val="00C7471E"/>
    <w:rsid w:val="00C74744"/>
    <w:rsid w:val="00C747BF"/>
    <w:rsid w:val="00C747D6"/>
    <w:rsid w:val="00C74859"/>
    <w:rsid w:val="00C7490F"/>
    <w:rsid w:val="00C749FD"/>
    <w:rsid w:val="00C74A06"/>
    <w:rsid w:val="00C74AE5"/>
    <w:rsid w:val="00C74B10"/>
    <w:rsid w:val="00C74B1B"/>
    <w:rsid w:val="00C74B2F"/>
    <w:rsid w:val="00C74C7C"/>
    <w:rsid w:val="00C74D0B"/>
    <w:rsid w:val="00C74D87"/>
    <w:rsid w:val="00C74EBF"/>
    <w:rsid w:val="00C74EDA"/>
    <w:rsid w:val="00C74FA2"/>
    <w:rsid w:val="00C74FD8"/>
    <w:rsid w:val="00C75142"/>
    <w:rsid w:val="00C75212"/>
    <w:rsid w:val="00C7521C"/>
    <w:rsid w:val="00C75278"/>
    <w:rsid w:val="00C752B3"/>
    <w:rsid w:val="00C75398"/>
    <w:rsid w:val="00C753A7"/>
    <w:rsid w:val="00C753C9"/>
    <w:rsid w:val="00C75485"/>
    <w:rsid w:val="00C754CE"/>
    <w:rsid w:val="00C754D6"/>
    <w:rsid w:val="00C75516"/>
    <w:rsid w:val="00C75526"/>
    <w:rsid w:val="00C75539"/>
    <w:rsid w:val="00C7556A"/>
    <w:rsid w:val="00C7557F"/>
    <w:rsid w:val="00C75638"/>
    <w:rsid w:val="00C758E2"/>
    <w:rsid w:val="00C75914"/>
    <w:rsid w:val="00C75951"/>
    <w:rsid w:val="00C759A3"/>
    <w:rsid w:val="00C759EC"/>
    <w:rsid w:val="00C75A43"/>
    <w:rsid w:val="00C75A78"/>
    <w:rsid w:val="00C75BAD"/>
    <w:rsid w:val="00C75C43"/>
    <w:rsid w:val="00C75CF9"/>
    <w:rsid w:val="00C75D56"/>
    <w:rsid w:val="00C75E48"/>
    <w:rsid w:val="00C75ED0"/>
    <w:rsid w:val="00C75FBE"/>
    <w:rsid w:val="00C76086"/>
    <w:rsid w:val="00C7609D"/>
    <w:rsid w:val="00C76122"/>
    <w:rsid w:val="00C76141"/>
    <w:rsid w:val="00C761FE"/>
    <w:rsid w:val="00C762C9"/>
    <w:rsid w:val="00C762F0"/>
    <w:rsid w:val="00C76312"/>
    <w:rsid w:val="00C76320"/>
    <w:rsid w:val="00C7636B"/>
    <w:rsid w:val="00C763CD"/>
    <w:rsid w:val="00C7641C"/>
    <w:rsid w:val="00C7642F"/>
    <w:rsid w:val="00C764B0"/>
    <w:rsid w:val="00C764DE"/>
    <w:rsid w:val="00C765CA"/>
    <w:rsid w:val="00C765CF"/>
    <w:rsid w:val="00C76745"/>
    <w:rsid w:val="00C767B0"/>
    <w:rsid w:val="00C767BE"/>
    <w:rsid w:val="00C76863"/>
    <w:rsid w:val="00C768F9"/>
    <w:rsid w:val="00C76960"/>
    <w:rsid w:val="00C769C7"/>
    <w:rsid w:val="00C76A10"/>
    <w:rsid w:val="00C76A7F"/>
    <w:rsid w:val="00C76B5B"/>
    <w:rsid w:val="00C76BD1"/>
    <w:rsid w:val="00C76C18"/>
    <w:rsid w:val="00C76D25"/>
    <w:rsid w:val="00C76D38"/>
    <w:rsid w:val="00C76DAF"/>
    <w:rsid w:val="00C76F4C"/>
    <w:rsid w:val="00C76F69"/>
    <w:rsid w:val="00C76F72"/>
    <w:rsid w:val="00C7708D"/>
    <w:rsid w:val="00C770D0"/>
    <w:rsid w:val="00C77146"/>
    <w:rsid w:val="00C77149"/>
    <w:rsid w:val="00C77186"/>
    <w:rsid w:val="00C772BE"/>
    <w:rsid w:val="00C772DA"/>
    <w:rsid w:val="00C77308"/>
    <w:rsid w:val="00C77384"/>
    <w:rsid w:val="00C773F0"/>
    <w:rsid w:val="00C7741A"/>
    <w:rsid w:val="00C77446"/>
    <w:rsid w:val="00C775BC"/>
    <w:rsid w:val="00C77602"/>
    <w:rsid w:val="00C77645"/>
    <w:rsid w:val="00C7767F"/>
    <w:rsid w:val="00C777F2"/>
    <w:rsid w:val="00C7794B"/>
    <w:rsid w:val="00C7795D"/>
    <w:rsid w:val="00C7797F"/>
    <w:rsid w:val="00C779B7"/>
    <w:rsid w:val="00C779DC"/>
    <w:rsid w:val="00C77A4F"/>
    <w:rsid w:val="00C77ADF"/>
    <w:rsid w:val="00C77C12"/>
    <w:rsid w:val="00C77C30"/>
    <w:rsid w:val="00C77C5D"/>
    <w:rsid w:val="00C77CA3"/>
    <w:rsid w:val="00C77DAF"/>
    <w:rsid w:val="00C77DB1"/>
    <w:rsid w:val="00C77DC9"/>
    <w:rsid w:val="00C77E21"/>
    <w:rsid w:val="00C77E81"/>
    <w:rsid w:val="00C77E9B"/>
    <w:rsid w:val="00C77F3E"/>
    <w:rsid w:val="00C77F49"/>
    <w:rsid w:val="00C77FD6"/>
    <w:rsid w:val="00C80077"/>
    <w:rsid w:val="00C80101"/>
    <w:rsid w:val="00C8019A"/>
    <w:rsid w:val="00C80257"/>
    <w:rsid w:val="00C802C1"/>
    <w:rsid w:val="00C802F8"/>
    <w:rsid w:val="00C804B5"/>
    <w:rsid w:val="00C804C5"/>
    <w:rsid w:val="00C80508"/>
    <w:rsid w:val="00C8050B"/>
    <w:rsid w:val="00C80577"/>
    <w:rsid w:val="00C8060F"/>
    <w:rsid w:val="00C80626"/>
    <w:rsid w:val="00C80679"/>
    <w:rsid w:val="00C80691"/>
    <w:rsid w:val="00C80696"/>
    <w:rsid w:val="00C80712"/>
    <w:rsid w:val="00C80797"/>
    <w:rsid w:val="00C80800"/>
    <w:rsid w:val="00C8089F"/>
    <w:rsid w:val="00C80963"/>
    <w:rsid w:val="00C80976"/>
    <w:rsid w:val="00C80984"/>
    <w:rsid w:val="00C80AF8"/>
    <w:rsid w:val="00C80AFB"/>
    <w:rsid w:val="00C80B89"/>
    <w:rsid w:val="00C80BC7"/>
    <w:rsid w:val="00C80C06"/>
    <w:rsid w:val="00C80C6F"/>
    <w:rsid w:val="00C80CCC"/>
    <w:rsid w:val="00C80D53"/>
    <w:rsid w:val="00C80D8A"/>
    <w:rsid w:val="00C80DCE"/>
    <w:rsid w:val="00C80DF4"/>
    <w:rsid w:val="00C80DFF"/>
    <w:rsid w:val="00C80EB9"/>
    <w:rsid w:val="00C80EFC"/>
    <w:rsid w:val="00C80F14"/>
    <w:rsid w:val="00C80FA3"/>
    <w:rsid w:val="00C80FA5"/>
    <w:rsid w:val="00C81047"/>
    <w:rsid w:val="00C812A1"/>
    <w:rsid w:val="00C81331"/>
    <w:rsid w:val="00C8144A"/>
    <w:rsid w:val="00C814C5"/>
    <w:rsid w:val="00C814FB"/>
    <w:rsid w:val="00C81579"/>
    <w:rsid w:val="00C8157B"/>
    <w:rsid w:val="00C815FB"/>
    <w:rsid w:val="00C81606"/>
    <w:rsid w:val="00C81697"/>
    <w:rsid w:val="00C816DD"/>
    <w:rsid w:val="00C81707"/>
    <w:rsid w:val="00C81768"/>
    <w:rsid w:val="00C8178C"/>
    <w:rsid w:val="00C8181C"/>
    <w:rsid w:val="00C818A0"/>
    <w:rsid w:val="00C81A06"/>
    <w:rsid w:val="00C81A24"/>
    <w:rsid w:val="00C81A4C"/>
    <w:rsid w:val="00C81A4D"/>
    <w:rsid w:val="00C81B15"/>
    <w:rsid w:val="00C81B52"/>
    <w:rsid w:val="00C81C36"/>
    <w:rsid w:val="00C81C3C"/>
    <w:rsid w:val="00C81C42"/>
    <w:rsid w:val="00C81DF0"/>
    <w:rsid w:val="00C81E2E"/>
    <w:rsid w:val="00C81E57"/>
    <w:rsid w:val="00C81EF8"/>
    <w:rsid w:val="00C81F82"/>
    <w:rsid w:val="00C82010"/>
    <w:rsid w:val="00C8205B"/>
    <w:rsid w:val="00C820A1"/>
    <w:rsid w:val="00C8219D"/>
    <w:rsid w:val="00C822F3"/>
    <w:rsid w:val="00C82308"/>
    <w:rsid w:val="00C8231D"/>
    <w:rsid w:val="00C823CD"/>
    <w:rsid w:val="00C82413"/>
    <w:rsid w:val="00C82431"/>
    <w:rsid w:val="00C82434"/>
    <w:rsid w:val="00C8255A"/>
    <w:rsid w:val="00C825A6"/>
    <w:rsid w:val="00C825CD"/>
    <w:rsid w:val="00C8273B"/>
    <w:rsid w:val="00C8273F"/>
    <w:rsid w:val="00C8287A"/>
    <w:rsid w:val="00C8288B"/>
    <w:rsid w:val="00C82936"/>
    <w:rsid w:val="00C8296B"/>
    <w:rsid w:val="00C829F6"/>
    <w:rsid w:val="00C82A0E"/>
    <w:rsid w:val="00C82A34"/>
    <w:rsid w:val="00C82A89"/>
    <w:rsid w:val="00C82B05"/>
    <w:rsid w:val="00C82B82"/>
    <w:rsid w:val="00C82BAF"/>
    <w:rsid w:val="00C82C0A"/>
    <w:rsid w:val="00C82C0C"/>
    <w:rsid w:val="00C82CE2"/>
    <w:rsid w:val="00C82CE5"/>
    <w:rsid w:val="00C82D20"/>
    <w:rsid w:val="00C82E76"/>
    <w:rsid w:val="00C832D6"/>
    <w:rsid w:val="00C832DD"/>
    <w:rsid w:val="00C83338"/>
    <w:rsid w:val="00C8335C"/>
    <w:rsid w:val="00C83364"/>
    <w:rsid w:val="00C83490"/>
    <w:rsid w:val="00C834EC"/>
    <w:rsid w:val="00C834ED"/>
    <w:rsid w:val="00C83544"/>
    <w:rsid w:val="00C83643"/>
    <w:rsid w:val="00C8366A"/>
    <w:rsid w:val="00C83682"/>
    <w:rsid w:val="00C837E0"/>
    <w:rsid w:val="00C83806"/>
    <w:rsid w:val="00C838F9"/>
    <w:rsid w:val="00C8399D"/>
    <w:rsid w:val="00C839AE"/>
    <w:rsid w:val="00C83B1D"/>
    <w:rsid w:val="00C83BBF"/>
    <w:rsid w:val="00C83BD9"/>
    <w:rsid w:val="00C83BF9"/>
    <w:rsid w:val="00C83C29"/>
    <w:rsid w:val="00C83CA7"/>
    <w:rsid w:val="00C83D2C"/>
    <w:rsid w:val="00C83D74"/>
    <w:rsid w:val="00C83EA1"/>
    <w:rsid w:val="00C83F78"/>
    <w:rsid w:val="00C8405D"/>
    <w:rsid w:val="00C840F8"/>
    <w:rsid w:val="00C84114"/>
    <w:rsid w:val="00C8420A"/>
    <w:rsid w:val="00C8421A"/>
    <w:rsid w:val="00C842E2"/>
    <w:rsid w:val="00C8431D"/>
    <w:rsid w:val="00C8439A"/>
    <w:rsid w:val="00C844A5"/>
    <w:rsid w:val="00C84553"/>
    <w:rsid w:val="00C84571"/>
    <w:rsid w:val="00C845D8"/>
    <w:rsid w:val="00C84613"/>
    <w:rsid w:val="00C84661"/>
    <w:rsid w:val="00C84687"/>
    <w:rsid w:val="00C846E9"/>
    <w:rsid w:val="00C846F4"/>
    <w:rsid w:val="00C84740"/>
    <w:rsid w:val="00C8477B"/>
    <w:rsid w:val="00C84784"/>
    <w:rsid w:val="00C8479B"/>
    <w:rsid w:val="00C847B8"/>
    <w:rsid w:val="00C847C9"/>
    <w:rsid w:val="00C84808"/>
    <w:rsid w:val="00C84875"/>
    <w:rsid w:val="00C8488B"/>
    <w:rsid w:val="00C84891"/>
    <w:rsid w:val="00C848A8"/>
    <w:rsid w:val="00C848F7"/>
    <w:rsid w:val="00C8494C"/>
    <w:rsid w:val="00C8497C"/>
    <w:rsid w:val="00C849A4"/>
    <w:rsid w:val="00C849D1"/>
    <w:rsid w:val="00C84A49"/>
    <w:rsid w:val="00C84A56"/>
    <w:rsid w:val="00C84AEF"/>
    <w:rsid w:val="00C84B20"/>
    <w:rsid w:val="00C84B44"/>
    <w:rsid w:val="00C84B90"/>
    <w:rsid w:val="00C84B9D"/>
    <w:rsid w:val="00C84BBA"/>
    <w:rsid w:val="00C84C30"/>
    <w:rsid w:val="00C84D9E"/>
    <w:rsid w:val="00C84EE4"/>
    <w:rsid w:val="00C84F4B"/>
    <w:rsid w:val="00C84F5A"/>
    <w:rsid w:val="00C84F71"/>
    <w:rsid w:val="00C85120"/>
    <w:rsid w:val="00C85129"/>
    <w:rsid w:val="00C85187"/>
    <w:rsid w:val="00C85228"/>
    <w:rsid w:val="00C852A7"/>
    <w:rsid w:val="00C85317"/>
    <w:rsid w:val="00C854AC"/>
    <w:rsid w:val="00C854CD"/>
    <w:rsid w:val="00C855D0"/>
    <w:rsid w:val="00C855D4"/>
    <w:rsid w:val="00C856F6"/>
    <w:rsid w:val="00C85792"/>
    <w:rsid w:val="00C857DA"/>
    <w:rsid w:val="00C85824"/>
    <w:rsid w:val="00C858C7"/>
    <w:rsid w:val="00C858E0"/>
    <w:rsid w:val="00C85987"/>
    <w:rsid w:val="00C85997"/>
    <w:rsid w:val="00C85BD9"/>
    <w:rsid w:val="00C85C3C"/>
    <w:rsid w:val="00C85C44"/>
    <w:rsid w:val="00C85C8E"/>
    <w:rsid w:val="00C85CA4"/>
    <w:rsid w:val="00C85CFA"/>
    <w:rsid w:val="00C85D49"/>
    <w:rsid w:val="00C85D87"/>
    <w:rsid w:val="00C85E6E"/>
    <w:rsid w:val="00C85FAB"/>
    <w:rsid w:val="00C86045"/>
    <w:rsid w:val="00C8604A"/>
    <w:rsid w:val="00C86081"/>
    <w:rsid w:val="00C86103"/>
    <w:rsid w:val="00C86180"/>
    <w:rsid w:val="00C86265"/>
    <w:rsid w:val="00C8626B"/>
    <w:rsid w:val="00C8629A"/>
    <w:rsid w:val="00C862D4"/>
    <w:rsid w:val="00C862DE"/>
    <w:rsid w:val="00C86312"/>
    <w:rsid w:val="00C8633D"/>
    <w:rsid w:val="00C86394"/>
    <w:rsid w:val="00C864AA"/>
    <w:rsid w:val="00C86553"/>
    <w:rsid w:val="00C865E4"/>
    <w:rsid w:val="00C865F5"/>
    <w:rsid w:val="00C86607"/>
    <w:rsid w:val="00C8661F"/>
    <w:rsid w:val="00C86622"/>
    <w:rsid w:val="00C8679C"/>
    <w:rsid w:val="00C86838"/>
    <w:rsid w:val="00C86876"/>
    <w:rsid w:val="00C868EF"/>
    <w:rsid w:val="00C8699A"/>
    <w:rsid w:val="00C86A2B"/>
    <w:rsid w:val="00C86A2F"/>
    <w:rsid w:val="00C86AB4"/>
    <w:rsid w:val="00C86BA8"/>
    <w:rsid w:val="00C86BE0"/>
    <w:rsid w:val="00C86C82"/>
    <w:rsid w:val="00C86D52"/>
    <w:rsid w:val="00C86EF8"/>
    <w:rsid w:val="00C86F19"/>
    <w:rsid w:val="00C86F61"/>
    <w:rsid w:val="00C86FA7"/>
    <w:rsid w:val="00C86FB3"/>
    <w:rsid w:val="00C87085"/>
    <w:rsid w:val="00C870B2"/>
    <w:rsid w:val="00C870E1"/>
    <w:rsid w:val="00C871BA"/>
    <w:rsid w:val="00C871EA"/>
    <w:rsid w:val="00C8728C"/>
    <w:rsid w:val="00C87298"/>
    <w:rsid w:val="00C87351"/>
    <w:rsid w:val="00C8739C"/>
    <w:rsid w:val="00C873EB"/>
    <w:rsid w:val="00C875CA"/>
    <w:rsid w:val="00C8762D"/>
    <w:rsid w:val="00C87662"/>
    <w:rsid w:val="00C8769F"/>
    <w:rsid w:val="00C87831"/>
    <w:rsid w:val="00C878D0"/>
    <w:rsid w:val="00C878EE"/>
    <w:rsid w:val="00C87929"/>
    <w:rsid w:val="00C879A1"/>
    <w:rsid w:val="00C879CF"/>
    <w:rsid w:val="00C87A3D"/>
    <w:rsid w:val="00C87B26"/>
    <w:rsid w:val="00C87CAA"/>
    <w:rsid w:val="00C87CBE"/>
    <w:rsid w:val="00C87DD1"/>
    <w:rsid w:val="00C87E08"/>
    <w:rsid w:val="00C87E62"/>
    <w:rsid w:val="00C87E63"/>
    <w:rsid w:val="00C87E79"/>
    <w:rsid w:val="00C87E8D"/>
    <w:rsid w:val="00C87EBD"/>
    <w:rsid w:val="00C87F16"/>
    <w:rsid w:val="00C87F2C"/>
    <w:rsid w:val="00C87FCC"/>
    <w:rsid w:val="00C90015"/>
    <w:rsid w:val="00C90030"/>
    <w:rsid w:val="00C9008F"/>
    <w:rsid w:val="00C9011A"/>
    <w:rsid w:val="00C90125"/>
    <w:rsid w:val="00C90195"/>
    <w:rsid w:val="00C902BA"/>
    <w:rsid w:val="00C902DE"/>
    <w:rsid w:val="00C90301"/>
    <w:rsid w:val="00C90350"/>
    <w:rsid w:val="00C90385"/>
    <w:rsid w:val="00C9044A"/>
    <w:rsid w:val="00C9059E"/>
    <w:rsid w:val="00C905B7"/>
    <w:rsid w:val="00C905BB"/>
    <w:rsid w:val="00C905BD"/>
    <w:rsid w:val="00C90609"/>
    <w:rsid w:val="00C90665"/>
    <w:rsid w:val="00C90672"/>
    <w:rsid w:val="00C9067E"/>
    <w:rsid w:val="00C9068F"/>
    <w:rsid w:val="00C90717"/>
    <w:rsid w:val="00C9071E"/>
    <w:rsid w:val="00C90766"/>
    <w:rsid w:val="00C90769"/>
    <w:rsid w:val="00C908E9"/>
    <w:rsid w:val="00C908F5"/>
    <w:rsid w:val="00C9093C"/>
    <w:rsid w:val="00C909C5"/>
    <w:rsid w:val="00C90A19"/>
    <w:rsid w:val="00C90A33"/>
    <w:rsid w:val="00C90A94"/>
    <w:rsid w:val="00C90AB4"/>
    <w:rsid w:val="00C90AC5"/>
    <w:rsid w:val="00C90B57"/>
    <w:rsid w:val="00C90B59"/>
    <w:rsid w:val="00C90B8B"/>
    <w:rsid w:val="00C90BD6"/>
    <w:rsid w:val="00C90C03"/>
    <w:rsid w:val="00C90C59"/>
    <w:rsid w:val="00C90C9C"/>
    <w:rsid w:val="00C90CDE"/>
    <w:rsid w:val="00C90DC8"/>
    <w:rsid w:val="00C90DC9"/>
    <w:rsid w:val="00C90E27"/>
    <w:rsid w:val="00C90E8E"/>
    <w:rsid w:val="00C90FA4"/>
    <w:rsid w:val="00C90FCD"/>
    <w:rsid w:val="00C90FE4"/>
    <w:rsid w:val="00C91074"/>
    <w:rsid w:val="00C910A8"/>
    <w:rsid w:val="00C911CF"/>
    <w:rsid w:val="00C911DC"/>
    <w:rsid w:val="00C911E1"/>
    <w:rsid w:val="00C911EA"/>
    <w:rsid w:val="00C912A6"/>
    <w:rsid w:val="00C9135A"/>
    <w:rsid w:val="00C9139A"/>
    <w:rsid w:val="00C91436"/>
    <w:rsid w:val="00C914A1"/>
    <w:rsid w:val="00C915E6"/>
    <w:rsid w:val="00C9167B"/>
    <w:rsid w:val="00C91757"/>
    <w:rsid w:val="00C9176C"/>
    <w:rsid w:val="00C918BE"/>
    <w:rsid w:val="00C91A78"/>
    <w:rsid w:val="00C91A96"/>
    <w:rsid w:val="00C91AEC"/>
    <w:rsid w:val="00C91AFC"/>
    <w:rsid w:val="00C91B66"/>
    <w:rsid w:val="00C91B8C"/>
    <w:rsid w:val="00C91BE5"/>
    <w:rsid w:val="00C91BF7"/>
    <w:rsid w:val="00C91C1E"/>
    <w:rsid w:val="00C91C25"/>
    <w:rsid w:val="00C91C66"/>
    <w:rsid w:val="00C91C9B"/>
    <w:rsid w:val="00C91D56"/>
    <w:rsid w:val="00C91E25"/>
    <w:rsid w:val="00C91EDD"/>
    <w:rsid w:val="00C91FB3"/>
    <w:rsid w:val="00C91FC8"/>
    <w:rsid w:val="00C92029"/>
    <w:rsid w:val="00C92103"/>
    <w:rsid w:val="00C92115"/>
    <w:rsid w:val="00C92116"/>
    <w:rsid w:val="00C92120"/>
    <w:rsid w:val="00C921E2"/>
    <w:rsid w:val="00C921E9"/>
    <w:rsid w:val="00C92254"/>
    <w:rsid w:val="00C9229F"/>
    <w:rsid w:val="00C922D0"/>
    <w:rsid w:val="00C9230E"/>
    <w:rsid w:val="00C923E8"/>
    <w:rsid w:val="00C923FA"/>
    <w:rsid w:val="00C92494"/>
    <w:rsid w:val="00C924A0"/>
    <w:rsid w:val="00C924EF"/>
    <w:rsid w:val="00C92500"/>
    <w:rsid w:val="00C925C8"/>
    <w:rsid w:val="00C925F1"/>
    <w:rsid w:val="00C92659"/>
    <w:rsid w:val="00C926A0"/>
    <w:rsid w:val="00C926EF"/>
    <w:rsid w:val="00C927C6"/>
    <w:rsid w:val="00C9281B"/>
    <w:rsid w:val="00C92844"/>
    <w:rsid w:val="00C92877"/>
    <w:rsid w:val="00C92920"/>
    <w:rsid w:val="00C9299A"/>
    <w:rsid w:val="00C929B6"/>
    <w:rsid w:val="00C929C3"/>
    <w:rsid w:val="00C929D2"/>
    <w:rsid w:val="00C92A2D"/>
    <w:rsid w:val="00C92A5B"/>
    <w:rsid w:val="00C92A73"/>
    <w:rsid w:val="00C92A77"/>
    <w:rsid w:val="00C92AEF"/>
    <w:rsid w:val="00C92B38"/>
    <w:rsid w:val="00C92BA4"/>
    <w:rsid w:val="00C92BFF"/>
    <w:rsid w:val="00C92CBC"/>
    <w:rsid w:val="00C92DAD"/>
    <w:rsid w:val="00C92E50"/>
    <w:rsid w:val="00C92E59"/>
    <w:rsid w:val="00C92F03"/>
    <w:rsid w:val="00C92F5B"/>
    <w:rsid w:val="00C92FD4"/>
    <w:rsid w:val="00C9304A"/>
    <w:rsid w:val="00C93090"/>
    <w:rsid w:val="00C93096"/>
    <w:rsid w:val="00C930AA"/>
    <w:rsid w:val="00C930CE"/>
    <w:rsid w:val="00C93181"/>
    <w:rsid w:val="00C931E3"/>
    <w:rsid w:val="00C932A6"/>
    <w:rsid w:val="00C932DC"/>
    <w:rsid w:val="00C93316"/>
    <w:rsid w:val="00C933F8"/>
    <w:rsid w:val="00C93455"/>
    <w:rsid w:val="00C934FA"/>
    <w:rsid w:val="00C9350D"/>
    <w:rsid w:val="00C9356E"/>
    <w:rsid w:val="00C935B1"/>
    <w:rsid w:val="00C935BA"/>
    <w:rsid w:val="00C935E0"/>
    <w:rsid w:val="00C93638"/>
    <w:rsid w:val="00C93668"/>
    <w:rsid w:val="00C9368F"/>
    <w:rsid w:val="00C936F3"/>
    <w:rsid w:val="00C9374F"/>
    <w:rsid w:val="00C937FF"/>
    <w:rsid w:val="00C938E4"/>
    <w:rsid w:val="00C9396E"/>
    <w:rsid w:val="00C93978"/>
    <w:rsid w:val="00C93A82"/>
    <w:rsid w:val="00C93B39"/>
    <w:rsid w:val="00C93B46"/>
    <w:rsid w:val="00C93BC3"/>
    <w:rsid w:val="00C93BFC"/>
    <w:rsid w:val="00C93CC2"/>
    <w:rsid w:val="00C93D52"/>
    <w:rsid w:val="00C93D77"/>
    <w:rsid w:val="00C93D80"/>
    <w:rsid w:val="00C93D89"/>
    <w:rsid w:val="00C93D99"/>
    <w:rsid w:val="00C93E12"/>
    <w:rsid w:val="00C93E45"/>
    <w:rsid w:val="00C93F44"/>
    <w:rsid w:val="00C93F6A"/>
    <w:rsid w:val="00C93FC9"/>
    <w:rsid w:val="00C94046"/>
    <w:rsid w:val="00C94047"/>
    <w:rsid w:val="00C940EF"/>
    <w:rsid w:val="00C9413B"/>
    <w:rsid w:val="00C941AC"/>
    <w:rsid w:val="00C94234"/>
    <w:rsid w:val="00C9424D"/>
    <w:rsid w:val="00C9427E"/>
    <w:rsid w:val="00C94375"/>
    <w:rsid w:val="00C943FC"/>
    <w:rsid w:val="00C944CC"/>
    <w:rsid w:val="00C946EA"/>
    <w:rsid w:val="00C94791"/>
    <w:rsid w:val="00C94798"/>
    <w:rsid w:val="00C94847"/>
    <w:rsid w:val="00C94877"/>
    <w:rsid w:val="00C948B0"/>
    <w:rsid w:val="00C949F3"/>
    <w:rsid w:val="00C94A6A"/>
    <w:rsid w:val="00C94B30"/>
    <w:rsid w:val="00C94B42"/>
    <w:rsid w:val="00C94B5F"/>
    <w:rsid w:val="00C94C40"/>
    <w:rsid w:val="00C94C6A"/>
    <w:rsid w:val="00C94CA6"/>
    <w:rsid w:val="00C94CD5"/>
    <w:rsid w:val="00C94D18"/>
    <w:rsid w:val="00C94DFE"/>
    <w:rsid w:val="00C94E1C"/>
    <w:rsid w:val="00C94E30"/>
    <w:rsid w:val="00C94F01"/>
    <w:rsid w:val="00C94F62"/>
    <w:rsid w:val="00C95053"/>
    <w:rsid w:val="00C950A3"/>
    <w:rsid w:val="00C950B9"/>
    <w:rsid w:val="00C95233"/>
    <w:rsid w:val="00C952A6"/>
    <w:rsid w:val="00C952B3"/>
    <w:rsid w:val="00C95339"/>
    <w:rsid w:val="00C954F7"/>
    <w:rsid w:val="00C95517"/>
    <w:rsid w:val="00C95548"/>
    <w:rsid w:val="00C95714"/>
    <w:rsid w:val="00C95725"/>
    <w:rsid w:val="00C9579F"/>
    <w:rsid w:val="00C957B5"/>
    <w:rsid w:val="00C957E2"/>
    <w:rsid w:val="00C958AC"/>
    <w:rsid w:val="00C958B1"/>
    <w:rsid w:val="00C958DD"/>
    <w:rsid w:val="00C95997"/>
    <w:rsid w:val="00C95A77"/>
    <w:rsid w:val="00C95A92"/>
    <w:rsid w:val="00C95ABB"/>
    <w:rsid w:val="00C95B04"/>
    <w:rsid w:val="00C95B3E"/>
    <w:rsid w:val="00C95CC5"/>
    <w:rsid w:val="00C95DC1"/>
    <w:rsid w:val="00C95DC7"/>
    <w:rsid w:val="00C95DDB"/>
    <w:rsid w:val="00C95DFC"/>
    <w:rsid w:val="00C95E54"/>
    <w:rsid w:val="00C95E66"/>
    <w:rsid w:val="00C95E71"/>
    <w:rsid w:val="00C95E7B"/>
    <w:rsid w:val="00C95EF6"/>
    <w:rsid w:val="00C95FC1"/>
    <w:rsid w:val="00C960BD"/>
    <w:rsid w:val="00C96140"/>
    <w:rsid w:val="00C961AB"/>
    <w:rsid w:val="00C961DC"/>
    <w:rsid w:val="00C9620B"/>
    <w:rsid w:val="00C96269"/>
    <w:rsid w:val="00C962BA"/>
    <w:rsid w:val="00C9637D"/>
    <w:rsid w:val="00C964B2"/>
    <w:rsid w:val="00C96545"/>
    <w:rsid w:val="00C96571"/>
    <w:rsid w:val="00C96717"/>
    <w:rsid w:val="00C96726"/>
    <w:rsid w:val="00C968EF"/>
    <w:rsid w:val="00C9691E"/>
    <w:rsid w:val="00C96920"/>
    <w:rsid w:val="00C96993"/>
    <w:rsid w:val="00C96A05"/>
    <w:rsid w:val="00C96B34"/>
    <w:rsid w:val="00C96B4D"/>
    <w:rsid w:val="00C96BAD"/>
    <w:rsid w:val="00C96C14"/>
    <w:rsid w:val="00C96D41"/>
    <w:rsid w:val="00C96D5C"/>
    <w:rsid w:val="00C96DD7"/>
    <w:rsid w:val="00C96E8F"/>
    <w:rsid w:val="00C96FB2"/>
    <w:rsid w:val="00C96FCC"/>
    <w:rsid w:val="00C96FE5"/>
    <w:rsid w:val="00C96FF3"/>
    <w:rsid w:val="00C970E8"/>
    <w:rsid w:val="00C97107"/>
    <w:rsid w:val="00C971AF"/>
    <w:rsid w:val="00C973C2"/>
    <w:rsid w:val="00C97652"/>
    <w:rsid w:val="00C976E6"/>
    <w:rsid w:val="00C97726"/>
    <w:rsid w:val="00C97743"/>
    <w:rsid w:val="00C978ED"/>
    <w:rsid w:val="00C9798A"/>
    <w:rsid w:val="00C97B31"/>
    <w:rsid w:val="00C97BDB"/>
    <w:rsid w:val="00C97CC9"/>
    <w:rsid w:val="00C97DD4"/>
    <w:rsid w:val="00C97ECF"/>
    <w:rsid w:val="00CA000D"/>
    <w:rsid w:val="00CA00F8"/>
    <w:rsid w:val="00CA0281"/>
    <w:rsid w:val="00CA0324"/>
    <w:rsid w:val="00CA039D"/>
    <w:rsid w:val="00CA03B3"/>
    <w:rsid w:val="00CA03B4"/>
    <w:rsid w:val="00CA059B"/>
    <w:rsid w:val="00CA05ED"/>
    <w:rsid w:val="00CA05FA"/>
    <w:rsid w:val="00CA06B9"/>
    <w:rsid w:val="00CA06CB"/>
    <w:rsid w:val="00CA06D7"/>
    <w:rsid w:val="00CA07C1"/>
    <w:rsid w:val="00CA08A7"/>
    <w:rsid w:val="00CA08CD"/>
    <w:rsid w:val="00CA090D"/>
    <w:rsid w:val="00CA090F"/>
    <w:rsid w:val="00CA098D"/>
    <w:rsid w:val="00CA09CB"/>
    <w:rsid w:val="00CA0A6D"/>
    <w:rsid w:val="00CA0BA1"/>
    <w:rsid w:val="00CA0BCD"/>
    <w:rsid w:val="00CA0BDF"/>
    <w:rsid w:val="00CA0CA7"/>
    <w:rsid w:val="00CA0D4C"/>
    <w:rsid w:val="00CA0DD8"/>
    <w:rsid w:val="00CA0E60"/>
    <w:rsid w:val="00CA0E67"/>
    <w:rsid w:val="00CA0E97"/>
    <w:rsid w:val="00CA0EC4"/>
    <w:rsid w:val="00CA0EE0"/>
    <w:rsid w:val="00CA0F0C"/>
    <w:rsid w:val="00CA0F13"/>
    <w:rsid w:val="00CA0F3D"/>
    <w:rsid w:val="00CA0FA8"/>
    <w:rsid w:val="00CA0FE3"/>
    <w:rsid w:val="00CA1008"/>
    <w:rsid w:val="00CA1032"/>
    <w:rsid w:val="00CA1089"/>
    <w:rsid w:val="00CA10E0"/>
    <w:rsid w:val="00CA10FB"/>
    <w:rsid w:val="00CA1174"/>
    <w:rsid w:val="00CA1274"/>
    <w:rsid w:val="00CA1277"/>
    <w:rsid w:val="00CA1298"/>
    <w:rsid w:val="00CA12C2"/>
    <w:rsid w:val="00CA12F7"/>
    <w:rsid w:val="00CA1335"/>
    <w:rsid w:val="00CA1339"/>
    <w:rsid w:val="00CA1466"/>
    <w:rsid w:val="00CA16A2"/>
    <w:rsid w:val="00CA16C1"/>
    <w:rsid w:val="00CA16F2"/>
    <w:rsid w:val="00CA176A"/>
    <w:rsid w:val="00CA17CB"/>
    <w:rsid w:val="00CA18FC"/>
    <w:rsid w:val="00CA192C"/>
    <w:rsid w:val="00CA192D"/>
    <w:rsid w:val="00CA1969"/>
    <w:rsid w:val="00CA1A52"/>
    <w:rsid w:val="00CA1A68"/>
    <w:rsid w:val="00CA1B7F"/>
    <w:rsid w:val="00CA1BDD"/>
    <w:rsid w:val="00CA1CD6"/>
    <w:rsid w:val="00CA1CE5"/>
    <w:rsid w:val="00CA1DA4"/>
    <w:rsid w:val="00CA1DE6"/>
    <w:rsid w:val="00CA1E12"/>
    <w:rsid w:val="00CA1E9F"/>
    <w:rsid w:val="00CA1EFC"/>
    <w:rsid w:val="00CA1F59"/>
    <w:rsid w:val="00CA1FAB"/>
    <w:rsid w:val="00CA2007"/>
    <w:rsid w:val="00CA202C"/>
    <w:rsid w:val="00CA204A"/>
    <w:rsid w:val="00CA20E8"/>
    <w:rsid w:val="00CA212F"/>
    <w:rsid w:val="00CA233D"/>
    <w:rsid w:val="00CA2390"/>
    <w:rsid w:val="00CA2428"/>
    <w:rsid w:val="00CA24BC"/>
    <w:rsid w:val="00CA252B"/>
    <w:rsid w:val="00CA25F9"/>
    <w:rsid w:val="00CA261E"/>
    <w:rsid w:val="00CA26DC"/>
    <w:rsid w:val="00CA26F0"/>
    <w:rsid w:val="00CA2709"/>
    <w:rsid w:val="00CA2749"/>
    <w:rsid w:val="00CA27B6"/>
    <w:rsid w:val="00CA27E4"/>
    <w:rsid w:val="00CA2836"/>
    <w:rsid w:val="00CA283B"/>
    <w:rsid w:val="00CA28C7"/>
    <w:rsid w:val="00CA2945"/>
    <w:rsid w:val="00CA2984"/>
    <w:rsid w:val="00CA2986"/>
    <w:rsid w:val="00CA29AC"/>
    <w:rsid w:val="00CA29D8"/>
    <w:rsid w:val="00CA2A26"/>
    <w:rsid w:val="00CA2A32"/>
    <w:rsid w:val="00CA2B4C"/>
    <w:rsid w:val="00CA2B53"/>
    <w:rsid w:val="00CA2B8D"/>
    <w:rsid w:val="00CA2BEC"/>
    <w:rsid w:val="00CA2C40"/>
    <w:rsid w:val="00CA2CA5"/>
    <w:rsid w:val="00CA2CE6"/>
    <w:rsid w:val="00CA2D3E"/>
    <w:rsid w:val="00CA2D6E"/>
    <w:rsid w:val="00CA2E0E"/>
    <w:rsid w:val="00CA2E46"/>
    <w:rsid w:val="00CA2F19"/>
    <w:rsid w:val="00CA30AC"/>
    <w:rsid w:val="00CA30E9"/>
    <w:rsid w:val="00CA311A"/>
    <w:rsid w:val="00CA3132"/>
    <w:rsid w:val="00CA317B"/>
    <w:rsid w:val="00CA31C5"/>
    <w:rsid w:val="00CA325E"/>
    <w:rsid w:val="00CA32B9"/>
    <w:rsid w:val="00CA32DA"/>
    <w:rsid w:val="00CA338C"/>
    <w:rsid w:val="00CA33C5"/>
    <w:rsid w:val="00CA3440"/>
    <w:rsid w:val="00CA3487"/>
    <w:rsid w:val="00CA34D8"/>
    <w:rsid w:val="00CA352F"/>
    <w:rsid w:val="00CA3538"/>
    <w:rsid w:val="00CA355F"/>
    <w:rsid w:val="00CA356E"/>
    <w:rsid w:val="00CA35D8"/>
    <w:rsid w:val="00CA3610"/>
    <w:rsid w:val="00CA3632"/>
    <w:rsid w:val="00CA3798"/>
    <w:rsid w:val="00CA37D1"/>
    <w:rsid w:val="00CA389D"/>
    <w:rsid w:val="00CA3915"/>
    <w:rsid w:val="00CA3980"/>
    <w:rsid w:val="00CA3A18"/>
    <w:rsid w:val="00CA3AA8"/>
    <w:rsid w:val="00CA3AC3"/>
    <w:rsid w:val="00CA3B02"/>
    <w:rsid w:val="00CA3B1D"/>
    <w:rsid w:val="00CA3B64"/>
    <w:rsid w:val="00CA3B6C"/>
    <w:rsid w:val="00CA3C37"/>
    <w:rsid w:val="00CA3CF0"/>
    <w:rsid w:val="00CA3CFE"/>
    <w:rsid w:val="00CA3D26"/>
    <w:rsid w:val="00CA3D28"/>
    <w:rsid w:val="00CA3E03"/>
    <w:rsid w:val="00CA3E30"/>
    <w:rsid w:val="00CA3E74"/>
    <w:rsid w:val="00CA3E9E"/>
    <w:rsid w:val="00CA3EF3"/>
    <w:rsid w:val="00CA3F90"/>
    <w:rsid w:val="00CA3F95"/>
    <w:rsid w:val="00CA3FEC"/>
    <w:rsid w:val="00CA403A"/>
    <w:rsid w:val="00CA40E0"/>
    <w:rsid w:val="00CA4134"/>
    <w:rsid w:val="00CA4151"/>
    <w:rsid w:val="00CA41B0"/>
    <w:rsid w:val="00CA420D"/>
    <w:rsid w:val="00CA4283"/>
    <w:rsid w:val="00CA431A"/>
    <w:rsid w:val="00CA434F"/>
    <w:rsid w:val="00CA4351"/>
    <w:rsid w:val="00CA436E"/>
    <w:rsid w:val="00CA43D0"/>
    <w:rsid w:val="00CA4434"/>
    <w:rsid w:val="00CA4438"/>
    <w:rsid w:val="00CA443C"/>
    <w:rsid w:val="00CA44DD"/>
    <w:rsid w:val="00CA45E0"/>
    <w:rsid w:val="00CA467E"/>
    <w:rsid w:val="00CA46B3"/>
    <w:rsid w:val="00CA46C7"/>
    <w:rsid w:val="00CA46ED"/>
    <w:rsid w:val="00CA4737"/>
    <w:rsid w:val="00CA473B"/>
    <w:rsid w:val="00CA4767"/>
    <w:rsid w:val="00CA477E"/>
    <w:rsid w:val="00CA47CE"/>
    <w:rsid w:val="00CA47D5"/>
    <w:rsid w:val="00CA482E"/>
    <w:rsid w:val="00CA4921"/>
    <w:rsid w:val="00CA4928"/>
    <w:rsid w:val="00CA4998"/>
    <w:rsid w:val="00CA4A49"/>
    <w:rsid w:val="00CA4AD7"/>
    <w:rsid w:val="00CA4AE9"/>
    <w:rsid w:val="00CA4DC1"/>
    <w:rsid w:val="00CA4DE8"/>
    <w:rsid w:val="00CA4DF7"/>
    <w:rsid w:val="00CA4E1A"/>
    <w:rsid w:val="00CA4E3C"/>
    <w:rsid w:val="00CA4E94"/>
    <w:rsid w:val="00CA4EE9"/>
    <w:rsid w:val="00CA4F03"/>
    <w:rsid w:val="00CA4F34"/>
    <w:rsid w:val="00CA4F5E"/>
    <w:rsid w:val="00CA4F65"/>
    <w:rsid w:val="00CA5048"/>
    <w:rsid w:val="00CA51A2"/>
    <w:rsid w:val="00CA51A8"/>
    <w:rsid w:val="00CA5238"/>
    <w:rsid w:val="00CA5247"/>
    <w:rsid w:val="00CA5278"/>
    <w:rsid w:val="00CA5415"/>
    <w:rsid w:val="00CA5556"/>
    <w:rsid w:val="00CA5589"/>
    <w:rsid w:val="00CA55A4"/>
    <w:rsid w:val="00CA5612"/>
    <w:rsid w:val="00CA577A"/>
    <w:rsid w:val="00CA5795"/>
    <w:rsid w:val="00CA5798"/>
    <w:rsid w:val="00CA57EA"/>
    <w:rsid w:val="00CA58CF"/>
    <w:rsid w:val="00CA5B6F"/>
    <w:rsid w:val="00CA5BCE"/>
    <w:rsid w:val="00CA5C4C"/>
    <w:rsid w:val="00CA5CD1"/>
    <w:rsid w:val="00CA5DD1"/>
    <w:rsid w:val="00CA5E5F"/>
    <w:rsid w:val="00CA5EAB"/>
    <w:rsid w:val="00CA5F28"/>
    <w:rsid w:val="00CA609D"/>
    <w:rsid w:val="00CA6245"/>
    <w:rsid w:val="00CA6263"/>
    <w:rsid w:val="00CA62F8"/>
    <w:rsid w:val="00CA639F"/>
    <w:rsid w:val="00CA63B5"/>
    <w:rsid w:val="00CA6492"/>
    <w:rsid w:val="00CA649C"/>
    <w:rsid w:val="00CA64B3"/>
    <w:rsid w:val="00CA64CC"/>
    <w:rsid w:val="00CA64DF"/>
    <w:rsid w:val="00CA655A"/>
    <w:rsid w:val="00CA6679"/>
    <w:rsid w:val="00CA6713"/>
    <w:rsid w:val="00CA67BF"/>
    <w:rsid w:val="00CA6885"/>
    <w:rsid w:val="00CA68F5"/>
    <w:rsid w:val="00CA69A1"/>
    <w:rsid w:val="00CA6A9A"/>
    <w:rsid w:val="00CA6C09"/>
    <w:rsid w:val="00CA6DFB"/>
    <w:rsid w:val="00CA6E19"/>
    <w:rsid w:val="00CA6E5D"/>
    <w:rsid w:val="00CA6E95"/>
    <w:rsid w:val="00CA6F02"/>
    <w:rsid w:val="00CA6F0F"/>
    <w:rsid w:val="00CA6F17"/>
    <w:rsid w:val="00CA6F59"/>
    <w:rsid w:val="00CA6F61"/>
    <w:rsid w:val="00CA6F75"/>
    <w:rsid w:val="00CA7038"/>
    <w:rsid w:val="00CA7153"/>
    <w:rsid w:val="00CA7155"/>
    <w:rsid w:val="00CA7181"/>
    <w:rsid w:val="00CA7258"/>
    <w:rsid w:val="00CA72AA"/>
    <w:rsid w:val="00CA7352"/>
    <w:rsid w:val="00CA73DD"/>
    <w:rsid w:val="00CA743D"/>
    <w:rsid w:val="00CA7478"/>
    <w:rsid w:val="00CA754F"/>
    <w:rsid w:val="00CA7560"/>
    <w:rsid w:val="00CA761D"/>
    <w:rsid w:val="00CA7690"/>
    <w:rsid w:val="00CA76E9"/>
    <w:rsid w:val="00CA7716"/>
    <w:rsid w:val="00CA777C"/>
    <w:rsid w:val="00CA77CE"/>
    <w:rsid w:val="00CA782E"/>
    <w:rsid w:val="00CA790B"/>
    <w:rsid w:val="00CA7986"/>
    <w:rsid w:val="00CA79F5"/>
    <w:rsid w:val="00CA7A3D"/>
    <w:rsid w:val="00CA7A99"/>
    <w:rsid w:val="00CA7AA7"/>
    <w:rsid w:val="00CA7AF7"/>
    <w:rsid w:val="00CA7B6B"/>
    <w:rsid w:val="00CA7BD3"/>
    <w:rsid w:val="00CA7C27"/>
    <w:rsid w:val="00CA7CB1"/>
    <w:rsid w:val="00CA7CCC"/>
    <w:rsid w:val="00CA7D23"/>
    <w:rsid w:val="00CA7D63"/>
    <w:rsid w:val="00CA7E73"/>
    <w:rsid w:val="00CA7EA9"/>
    <w:rsid w:val="00CA7FBA"/>
    <w:rsid w:val="00CB0122"/>
    <w:rsid w:val="00CB0160"/>
    <w:rsid w:val="00CB028D"/>
    <w:rsid w:val="00CB037B"/>
    <w:rsid w:val="00CB03E7"/>
    <w:rsid w:val="00CB04A5"/>
    <w:rsid w:val="00CB0568"/>
    <w:rsid w:val="00CB06B5"/>
    <w:rsid w:val="00CB076B"/>
    <w:rsid w:val="00CB091B"/>
    <w:rsid w:val="00CB0920"/>
    <w:rsid w:val="00CB0AD9"/>
    <w:rsid w:val="00CB0BA6"/>
    <w:rsid w:val="00CB0CEA"/>
    <w:rsid w:val="00CB0D55"/>
    <w:rsid w:val="00CB0DC1"/>
    <w:rsid w:val="00CB0DFB"/>
    <w:rsid w:val="00CB0E2F"/>
    <w:rsid w:val="00CB0E78"/>
    <w:rsid w:val="00CB0E83"/>
    <w:rsid w:val="00CB0E93"/>
    <w:rsid w:val="00CB0EDF"/>
    <w:rsid w:val="00CB0F28"/>
    <w:rsid w:val="00CB0F35"/>
    <w:rsid w:val="00CB0F9B"/>
    <w:rsid w:val="00CB0FCE"/>
    <w:rsid w:val="00CB0FFE"/>
    <w:rsid w:val="00CB1061"/>
    <w:rsid w:val="00CB107C"/>
    <w:rsid w:val="00CB119A"/>
    <w:rsid w:val="00CB11D0"/>
    <w:rsid w:val="00CB1241"/>
    <w:rsid w:val="00CB1363"/>
    <w:rsid w:val="00CB13BF"/>
    <w:rsid w:val="00CB13E5"/>
    <w:rsid w:val="00CB140B"/>
    <w:rsid w:val="00CB1483"/>
    <w:rsid w:val="00CB1541"/>
    <w:rsid w:val="00CB158C"/>
    <w:rsid w:val="00CB1623"/>
    <w:rsid w:val="00CB1669"/>
    <w:rsid w:val="00CB16AE"/>
    <w:rsid w:val="00CB16FC"/>
    <w:rsid w:val="00CB1737"/>
    <w:rsid w:val="00CB1743"/>
    <w:rsid w:val="00CB184E"/>
    <w:rsid w:val="00CB1913"/>
    <w:rsid w:val="00CB1960"/>
    <w:rsid w:val="00CB19B2"/>
    <w:rsid w:val="00CB19FA"/>
    <w:rsid w:val="00CB1A90"/>
    <w:rsid w:val="00CB1AA8"/>
    <w:rsid w:val="00CB1AC0"/>
    <w:rsid w:val="00CB1AE4"/>
    <w:rsid w:val="00CB1BAC"/>
    <w:rsid w:val="00CB1BF1"/>
    <w:rsid w:val="00CB1C00"/>
    <w:rsid w:val="00CB1C19"/>
    <w:rsid w:val="00CB1C9C"/>
    <w:rsid w:val="00CB1CF4"/>
    <w:rsid w:val="00CB1DFA"/>
    <w:rsid w:val="00CB1EE1"/>
    <w:rsid w:val="00CB1F58"/>
    <w:rsid w:val="00CB1F99"/>
    <w:rsid w:val="00CB1FF7"/>
    <w:rsid w:val="00CB2017"/>
    <w:rsid w:val="00CB219B"/>
    <w:rsid w:val="00CB21C7"/>
    <w:rsid w:val="00CB2244"/>
    <w:rsid w:val="00CB225B"/>
    <w:rsid w:val="00CB22A2"/>
    <w:rsid w:val="00CB2347"/>
    <w:rsid w:val="00CB238B"/>
    <w:rsid w:val="00CB23CB"/>
    <w:rsid w:val="00CB2410"/>
    <w:rsid w:val="00CB2474"/>
    <w:rsid w:val="00CB24B2"/>
    <w:rsid w:val="00CB2586"/>
    <w:rsid w:val="00CB2595"/>
    <w:rsid w:val="00CB2661"/>
    <w:rsid w:val="00CB26D6"/>
    <w:rsid w:val="00CB285F"/>
    <w:rsid w:val="00CB28AE"/>
    <w:rsid w:val="00CB28D7"/>
    <w:rsid w:val="00CB2980"/>
    <w:rsid w:val="00CB29F1"/>
    <w:rsid w:val="00CB2A24"/>
    <w:rsid w:val="00CB2AC6"/>
    <w:rsid w:val="00CB2ACA"/>
    <w:rsid w:val="00CB2BF5"/>
    <w:rsid w:val="00CB2C14"/>
    <w:rsid w:val="00CB2C31"/>
    <w:rsid w:val="00CB2C46"/>
    <w:rsid w:val="00CB2CA0"/>
    <w:rsid w:val="00CB2CE7"/>
    <w:rsid w:val="00CB2D33"/>
    <w:rsid w:val="00CB2D6E"/>
    <w:rsid w:val="00CB2D80"/>
    <w:rsid w:val="00CB2ECD"/>
    <w:rsid w:val="00CB2EF7"/>
    <w:rsid w:val="00CB2F26"/>
    <w:rsid w:val="00CB2F32"/>
    <w:rsid w:val="00CB2FC2"/>
    <w:rsid w:val="00CB300F"/>
    <w:rsid w:val="00CB301F"/>
    <w:rsid w:val="00CB3059"/>
    <w:rsid w:val="00CB3076"/>
    <w:rsid w:val="00CB318E"/>
    <w:rsid w:val="00CB3226"/>
    <w:rsid w:val="00CB3378"/>
    <w:rsid w:val="00CB33BC"/>
    <w:rsid w:val="00CB33C7"/>
    <w:rsid w:val="00CB34E3"/>
    <w:rsid w:val="00CB35C5"/>
    <w:rsid w:val="00CB35D6"/>
    <w:rsid w:val="00CB3601"/>
    <w:rsid w:val="00CB3639"/>
    <w:rsid w:val="00CB3641"/>
    <w:rsid w:val="00CB3678"/>
    <w:rsid w:val="00CB376C"/>
    <w:rsid w:val="00CB378D"/>
    <w:rsid w:val="00CB38AD"/>
    <w:rsid w:val="00CB38DC"/>
    <w:rsid w:val="00CB3916"/>
    <w:rsid w:val="00CB394E"/>
    <w:rsid w:val="00CB3956"/>
    <w:rsid w:val="00CB3B84"/>
    <w:rsid w:val="00CB3BA8"/>
    <w:rsid w:val="00CB3C36"/>
    <w:rsid w:val="00CB3D65"/>
    <w:rsid w:val="00CB3DCE"/>
    <w:rsid w:val="00CB3E0B"/>
    <w:rsid w:val="00CB3E21"/>
    <w:rsid w:val="00CB3EE4"/>
    <w:rsid w:val="00CB3F32"/>
    <w:rsid w:val="00CB3F98"/>
    <w:rsid w:val="00CB3FCF"/>
    <w:rsid w:val="00CB3FDF"/>
    <w:rsid w:val="00CB401F"/>
    <w:rsid w:val="00CB40E4"/>
    <w:rsid w:val="00CB41D4"/>
    <w:rsid w:val="00CB4214"/>
    <w:rsid w:val="00CB425C"/>
    <w:rsid w:val="00CB4268"/>
    <w:rsid w:val="00CB427C"/>
    <w:rsid w:val="00CB430C"/>
    <w:rsid w:val="00CB430D"/>
    <w:rsid w:val="00CB434C"/>
    <w:rsid w:val="00CB436C"/>
    <w:rsid w:val="00CB43C6"/>
    <w:rsid w:val="00CB4482"/>
    <w:rsid w:val="00CB44D5"/>
    <w:rsid w:val="00CB45ED"/>
    <w:rsid w:val="00CB4A96"/>
    <w:rsid w:val="00CB4AA3"/>
    <w:rsid w:val="00CB4AAB"/>
    <w:rsid w:val="00CB4AEC"/>
    <w:rsid w:val="00CB4BAD"/>
    <w:rsid w:val="00CB4BF8"/>
    <w:rsid w:val="00CB4D09"/>
    <w:rsid w:val="00CB4D0A"/>
    <w:rsid w:val="00CB4D54"/>
    <w:rsid w:val="00CB4DE3"/>
    <w:rsid w:val="00CB4E31"/>
    <w:rsid w:val="00CB4F32"/>
    <w:rsid w:val="00CB4F7B"/>
    <w:rsid w:val="00CB5039"/>
    <w:rsid w:val="00CB5043"/>
    <w:rsid w:val="00CB50A5"/>
    <w:rsid w:val="00CB5113"/>
    <w:rsid w:val="00CB5161"/>
    <w:rsid w:val="00CB518E"/>
    <w:rsid w:val="00CB5293"/>
    <w:rsid w:val="00CB52BE"/>
    <w:rsid w:val="00CB5352"/>
    <w:rsid w:val="00CB542A"/>
    <w:rsid w:val="00CB55B6"/>
    <w:rsid w:val="00CB5678"/>
    <w:rsid w:val="00CB568A"/>
    <w:rsid w:val="00CB56DD"/>
    <w:rsid w:val="00CB571E"/>
    <w:rsid w:val="00CB5766"/>
    <w:rsid w:val="00CB5783"/>
    <w:rsid w:val="00CB57A4"/>
    <w:rsid w:val="00CB57DE"/>
    <w:rsid w:val="00CB57F8"/>
    <w:rsid w:val="00CB5804"/>
    <w:rsid w:val="00CB58C1"/>
    <w:rsid w:val="00CB595E"/>
    <w:rsid w:val="00CB5967"/>
    <w:rsid w:val="00CB5B09"/>
    <w:rsid w:val="00CB5B61"/>
    <w:rsid w:val="00CB5B68"/>
    <w:rsid w:val="00CB5BE8"/>
    <w:rsid w:val="00CB5C1A"/>
    <w:rsid w:val="00CB5D8C"/>
    <w:rsid w:val="00CB5DD4"/>
    <w:rsid w:val="00CB5DE5"/>
    <w:rsid w:val="00CB5E21"/>
    <w:rsid w:val="00CB5E67"/>
    <w:rsid w:val="00CB5E71"/>
    <w:rsid w:val="00CB5E8C"/>
    <w:rsid w:val="00CB5EA6"/>
    <w:rsid w:val="00CB5EAC"/>
    <w:rsid w:val="00CB5EC1"/>
    <w:rsid w:val="00CB5F40"/>
    <w:rsid w:val="00CB5F5D"/>
    <w:rsid w:val="00CB603A"/>
    <w:rsid w:val="00CB608F"/>
    <w:rsid w:val="00CB60D5"/>
    <w:rsid w:val="00CB60F9"/>
    <w:rsid w:val="00CB610D"/>
    <w:rsid w:val="00CB6145"/>
    <w:rsid w:val="00CB6165"/>
    <w:rsid w:val="00CB6169"/>
    <w:rsid w:val="00CB617F"/>
    <w:rsid w:val="00CB618A"/>
    <w:rsid w:val="00CB61D9"/>
    <w:rsid w:val="00CB61DD"/>
    <w:rsid w:val="00CB63E1"/>
    <w:rsid w:val="00CB63FD"/>
    <w:rsid w:val="00CB6482"/>
    <w:rsid w:val="00CB6490"/>
    <w:rsid w:val="00CB6607"/>
    <w:rsid w:val="00CB667A"/>
    <w:rsid w:val="00CB669A"/>
    <w:rsid w:val="00CB66B4"/>
    <w:rsid w:val="00CB66E5"/>
    <w:rsid w:val="00CB66F9"/>
    <w:rsid w:val="00CB6861"/>
    <w:rsid w:val="00CB68E1"/>
    <w:rsid w:val="00CB690A"/>
    <w:rsid w:val="00CB6947"/>
    <w:rsid w:val="00CB69F6"/>
    <w:rsid w:val="00CB6A41"/>
    <w:rsid w:val="00CB6A66"/>
    <w:rsid w:val="00CB6AC7"/>
    <w:rsid w:val="00CB6AF0"/>
    <w:rsid w:val="00CB6B18"/>
    <w:rsid w:val="00CB6B41"/>
    <w:rsid w:val="00CB6B4E"/>
    <w:rsid w:val="00CB6C79"/>
    <w:rsid w:val="00CB6CFA"/>
    <w:rsid w:val="00CB6D4B"/>
    <w:rsid w:val="00CB6E06"/>
    <w:rsid w:val="00CB6E52"/>
    <w:rsid w:val="00CB6EE0"/>
    <w:rsid w:val="00CB6F86"/>
    <w:rsid w:val="00CB6FAE"/>
    <w:rsid w:val="00CB705C"/>
    <w:rsid w:val="00CB7099"/>
    <w:rsid w:val="00CB70AD"/>
    <w:rsid w:val="00CB713E"/>
    <w:rsid w:val="00CB71CC"/>
    <w:rsid w:val="00CB72D0"/>
    <w:rsid w:val="00CB733F"/>
    <w:rsid w:val="00CB7370"/>
    <w:rsid w:val="00CB7421"/>
    <w:rsid w:val="00CB746E"/>
    <w:rsid w:val="00CB7481"/>
    <w:rsid w:val="00CB7482"/>
    <w:rsid w:val="00CB74C2"/>
    <w:rsid w:val="00CB7502"/>
    <w:rsid w:val="00CB7594"/>
    <w:rsid w:val="00CB75E0"/>
    <w:rsid w:val="00CB7602"/>
    <w:rsid w:val="00CB7633"/>
    <w:rsid w:val="00CB7651"/>
    <w:rsid w:val="00CB76DC"/>
    <w:rsid w:val="00CB7799"/>
    <w:rsid w:val="00CB781E"/>
    <w:rsid w:val="00CB788E"/>
    <w:rsid w:val="00CB7A6C"/>
    <w:rsid w:val="00CB7C37"/>
    <w:rsid w:val="00CB7C3F"/>
    <w:rsid w:val="00CB7C84"/>
    <w:rsid w:val="00CB7CCB"/>
    <w:rsid w:val="00CB7D22"/>
    <w:rsid w:val="00CB7F42"/>
    <w:rsid w:val="00CB7F59"/>
    <w:rsid w:val="00CB7F8C"/>
    <w:rsid w:val="00CC006B"/>
    <w:rsid w:val="00CC00AF"/>
    <w:rsid w:val="00CC00CE"/>
    <w:rsid w:val="00CC0185"/>
    <w:rsid w:val="00CC01C3"/>
    <w:rsid w:val="00CC01E9"/>
    <w:rsid w:val="00CC01FA"/>
    <w:rsid w:val="00CC027B"/>
    <w:rsid w:val="00CC02D8"/>
    <w:rsid w:val="00CC032F"/>
    <w:rsid w:val="00CC0376"/>
    <w:rsid w:val="00CC0392"/>
    <w:rsid w:val="00CC03C7"/>
    <w:rsid w:val="00CC0416"/>
    <w:rsid w:val="00CC04A1"/>
    <w:rsid w:val="00CC0621"/>
    <w:rsid w:val="00CC0640"/>
    <w:rsid w:val="00CC066D"/>
    <w:rsid w:val="00CC06FD"/>
    <w:rsid w:val="00CC0720"/>
    <w:rsid w:val="00CC0786"/>
    <w:rsid w:val="00CC07B6"/>
    <w:rsid w:val="00CC07E7"/>
    <w:rsid w:val="00CC08FF"/>
    <w:rsid w:val="00CC09B2"/>
    <w:rsid w:val="00CC0A69"/>
    <w:rsid w:val="00CC0B1E"/>
    <w:rsid w:val="00CC0B48"/>
    <w:rsid w:val="00CC0C00"/>
    <w:rsid w:val="00CC0CE0"/>
    <w:rsid w:val="00CC0CFE"/>
    <w:rsid w:val="00CC0D7C"/>
    <w:rsid w:val="00CC0DBD"/>
    <w:rsid w:val="00CC0E25"/>
    <w:rsid w:val="00CC0E45"/>
    <w:rsid w:val="00CC0EA6"/>
    <w:rsid w:val="00CC109B"/>
    <w:rsid w:val="00CC10D5"/>
    <w:rsid w:val="00CC1128"/>
    <w:rsid w:val="00CC1169"/>
    <w:rsid w:val="00CC1206"/>
    <w:rsid w:val="00CC122C"/>
    <w:rsid w:val="00CC129D"/>
    <w:rsid w:val="00CC12BE"/>
    <w:rsid w:val="00CC1397"/>
    <w:rsid w:val="00CC13FD"/>
    <w:rsid w:val="00CC1410"/>
    <w:rsid w:val="00CC1539"/>
    <w:rsid w:val="00CC15BD"/>
    <w:rsid w:val="00CC15C1"/>
    <w:rsid w:val="00CC15DF"/>
    <w:rsid w:val="00CC15FB"/>
    <w:rsid w:val="00CC166F"/>
    <w:rsid w:val="00CC1747"/>
    <w:rsid w:val="00CC175F"/>
    <w:rsid w:val="00CC176E"/>
    <w:rsid w:val="00CC1936"/>
    <w:rsid w:val="00CC1970"/>
    <w:rsid w:val="00CC198F"/>
    <w:rsid w:val="00CC19E3"/>
    <w:rsid w:val="00CC1A19"/>
    <w:rsid w:val="00CC1BA3"/>
    <w:rsid w:val="00CC1C25"/>
    <w:rsid w:val="00CC1CBE"/>
    <w:rsid w:val="00CC1CEC"/>
    <w:rsid w:val="00CC1D43"/>
    <w:rsid w:val="00CC1D6E"/>
    <w:rsid w:val="00CC1DBB"/>
    <w:rsid w:val="00CC1E56"/>
    <w:rsid w:val="00CC1ECC"/>
    <w:rsid w:val="00CC1F44"/>
    <w:rsid w:val="00CC208E"/>
    <w:rsid w:val="00CC21C5"/>
    <w:rsid w:val="00CC226D"/>
    <w:rsid w:val="00CC233D"/>
    <w:rsid w:val="00CC2353"/>
    <w:rsid w:val="00CC23D4"/>
    <w:rsid w:val="00CC24E9"/>
    <w:rsid w:val="00CC2666"/>
    <w:rsid w:val="00CC26B2"/>
    <w:rsid w:val="00CC272A"/>
    <w:rsid w:val="00CC274A"/>
    <w:rsid w:val="00CC27DA"/>
    <w:rsid w:val="00CC28DB"/>
    <w:rsid w:val="00CC29C2"/>
    <w:rsid w:val="00CC29C5"/>
    <w:rsid w:val="00CC2A1B"/>
    <w:rsid w:val="00CC2A95"/>
    <w:rsid w:val="00CC2B00"/>
    <w:rsid w:val="00CC2B2A"/>
    <w:rsid w:val="00CC2B3F"/>
    <w:rsid w:val="00CC2B4F"/>
    <w:rsid w:val="00CC2B91"/>
    <w:rsid w:val="00CC2BCE"/>
    <w:rsid w:val="00CC2C52"/>
    <w:rsid w:val="00CC2C62"/>
    <w:rsid w:val="00CC2C8B"/>
    <w:rsid w:val="00CC2C8E"/>
    <w:rsid w:val="00CC2CEF"/>
    <w:rsid w:val="00CC2D5A"/>
    <w:rsid w:val="00CC2FF3"/>
    <w:rsid w:val="00CC3003"/>
    <w:rsid w:val="00CC3083"/>
    <w:rsid w:val="00CC308E"/>
    <w:rsid w:val="00CC318F"/>
    <w:rsid w:val="00CC319C"/>
    <w:rsid w:val="00CC31B2"/>
    <w:rsid w:val="00CC31D4"/>
    <w:rsid w:val="00CC3209"/>
    <w:rsid w:val="00CC323F"/>
    <w:rsid w:val="00CC3291"/>
    <w:rsid w:val="00CC32D8"/>
    <w:rsid w:val="00CC32F1"/>
    <w:rsid w:val="00CC33D3"/>
    <w:rsid w:val="00CC3640"/>
    <w:rsid w:val="00CC369F"/>
    <w:rsid w:val="00CC36E5"/>
    <w:rsid w:val="00CC36E8"/>
    <w:rsid w:val="00CC36F8"/>
    <w:rsid w:val="00CC3725"/>
    <w:rsid w:val="00CC3730"/>
    <w:rsid w:val="00CC3743"/>
    <w:rsid w:val="00CC37B0"/>
    <w:rsid w:val="00CC3844"/>
    <w:rsid w:val="00CC386E"/>
    <w:rsid w:val="00CC3895"/>
    <w:rsid w:val="00CC3916"/>
    <w:rsid w:val="00CC394E"/>
    <w:rsid w:val="00CC3A05"/>
    <w:rsid w:val="00CC3A1A"/>
    <w:rsid w:val="00CC3A22"/>
    <w:rsid w:val="00CC3A2B"/>
    <w:rsid w:val="00CC3A75"/>
    <w:rsid w:val="00CC3ACE"/>
    <w:rsid w:val="00CC3BC3"/>
    <w:rsid w:val="00CC3C29"/>
    <w:rsid w:val="00CC3D5E"/>
    <w:rsid w:val="00CC3E47"/>
    <w:rsid w:val="00CC3E52"/>
    <w:rsid w:val="00CC3F01"/>
    <w:rsid w:val="00CC3F3D"/>
    <w:rsid w:val="00CC3F44"/>
    <w:rsid w:val="00CC3F5D"/>
    <w:rsid w:val="00CC3F75"/>
    <w:rsid w:val="00CC3F9C"/>
    <w:rsid w:val="00CC3FB6"/>
    <w:rsid w:val="00CC4062"/>
    <w:rsid w:val="00CC40C6"/>
    <w:rsid w:val="00CC4106"/>
    <w:rsid w:val="00CC4152"/>
    <w:rsid w:val="00CC41E8"/>
    <w:rsid w:val="00CC423A"/>
    <w:rsid w:val="00CC43A3"/>
    <w:rsid w:val="00CC43AE"/>
    <w:rsid w:val="00CC45B4"/>
    <w:rsid w:val="00CC4625"/>
    <w:rsid w:val="00CC4692"/>
    <w:rsid w:val="00CC4738"/>
    <w:rsid w:val="00CC4786"/>
    <w:rsid w:val="00CC4862"/>
    <w:rsid w:val="00CC49F6"/>
    <w:rsid w:val="00CC4A61"/>
    <w:rsid w:val="00CC4B73"/>
    <w:rsid w:val="00CC4D64"/>
    <w:rsid w:val="00CC4DBB"/>
    <w:rsid w:val="00CC4E19"/>
    <w:rsid w:val="00CC4EB6"/>
    <w:rsid w:val="00CC4EBB"/>
    <w:rsid w:val="00CC4F94"/>
    <w:rsid w:val="00CC50AF"/>
    <w:rsid w:val="00CC5183"/>
    <w:rsid w:val="00CC5232"/>
    <w:rsid w:val="00CC5358"/>
    <w:rsid w:val="00CC53D1"/>
    <w:rsid w:val="00CC543B"/>
    <w:rsid w:val="00CC5448"/>
    <w:rsid w:val="00CC5459"/>
    <w:rsid w:val="00CC5475"/>
    <w:rsid w:val="00CC5501"/>
    <w:rsid w:val="00CC55E3"/>
    <w:rsid w:val="00CC5697"/>
    <w:rsid w:val="00CC57DF"/>
    <w:rsid w:val="00CC582E"/>
    <w:rsid w:val="00CC5875"/>
    <w:rsid w:val="00CC58F9"/>
    <w:rsid w:val="00CC595A"/>
    <w:rsid w:val="00CC598D"/>
    <w:rsid w:val="00CC59DB"/>
    <w:rsid w:val="00CC5A4E"/>
    <w:rsid w:val="00CC5AB1"/>
    <w:rsid w:val="00CC5BA8"/>
    <w:rsid w:val="00CC5D2C"/>
    <w:rsid w:val="00CC5D40"/>
    <w:rsid w:val="00CC5D97"/>
    <w:rsid w:val="00CC5DCF"/>
    <w:rsid w:val="00CC5E0A"/>
    <w:rsid w:val="00CC5E2C"/>
    <w:rsid w:val="00CC5F40"/>
    <w:rsid w:val="00CC5FBA"/>
    <w:rsid w:val="00CC5FEB"/>
    <w:rsid w:val="00CC60DA"/>
    <w:rsid w:val="00CC6181"/>
    <w:rsid w:val="00CC62FA"/>
    <w:rsid w:val="00CC6562"/>
    <w:rsid w:val="00CC656E"/>
    <w:rsid w:val="00CC65C5"/>
    <w:rsid w:val="00CC662B"/>
    <w:rsid w:val="00CC6675"/>
    <w:rsid w:val="00CC6701"/>
    <w:rsid w:val="00CC672E"/>
    <w:rsid w:val="00CC6737"/>
    <w:rsid w:val="00CC6890"/>
    <w:rsid w:val="00CC68C5"/>
    <w:rsid w:val="00CC6971"/>
    <w:rsid w:val="00CC69B2"/>
    <w:rsid w:val="00CC69B4"/>
    <w:rsid w:val="00CC69B6"/>
    <w:rsid w:val="00CC6A68"/>
    <w:rsid w:val="00CC6A81"/>
    <w:rsid w:val="00CC6BB6"/>
    <w:rsid w:val="00CC6BF3"/>
    <w:rsid w:val="00CC6C3D"/>
    <w:rsid w:val="00CC6ED6"/>
    <w:rsid w:val="00CC6F10"/>
    <w:rsid w:val="00CC6FB9"/>
    <w:rsid w:val="00CC7045"/>
    <w:rsid w:val="00CC70E2"/>
    <w:rsid w:val="00CC7185"/>
    <w:rsid w:val="00CC72DD"/>
    <w:rsid w:val="00CC72E3"/>
    <w:rsid w:val="00CC7365"/>
    <w:rsid w:val="00CC73B2"/>
    <w:rsid w:val="00CC7433"/>
    <w:rsid w:val="00CC744C"/>
    <w:rsid w:val="00CC7463"/>
    <w:rsid w:val="00CC74E8"/>
    <w:rsid w:val="00CC7584"/>
    <w:rsid w:val="00CC75A5"/>
    <w:rsid w:val="00CC75DE"/>
    <w:rsid w:val="00CC7617"/>
    <w:rsid w:val="00CC761E"/>
    <w:rsid w:val="00CC7673"/>
    <w:rsid w:val="00CC768E"/>
    <w:rsid w:val="00CC779A"/>
    <w:rsid w:val="00CC77E6"/>
    <w:rsid w:val="00CC78A9"/>
    <w:rsid w:val="00CC7AD3"/>
    <w:rsid w:val="00CC7B35"/>
    <w:rsid w:val="00CC7B9F"/>
    <w:rsid w:val="00CC7BEB"/>
    <w:rsid w:val="00CC7C60"/>
    <w:rsid w:val="00CC7CE7"/>
    <w:rsid w:val="00CC7D07"/>
    <w:rsid w:val="00CC7DED"/>
    <w:rsid w:val="00CC7E1B"/>
    <w:rsid w:val="00CC7E5C"/>
    <w:rsid w:val="00CC7E82"/>
    <w:rsid w:val="00CC7E8D"/>
    <w:rsid w:val="00CC7EA1"/>
    <w:rsid w:val="00CC7F41"/>
    <w:rsid w:val="00CC7F99"/>
    <w:rsid w:val="00CC7F9C"/>
    <w:rsid w:val="00CC7FDE"/>
    <w:rsid w:val="00CD002D"/>
    <w:rsid w:val="00CD00F5"/>
    <w:rsid w:val="00CD0193"/>
    <w:rsid w:val="00CD02B3"/>
    <w:rsid w:val="00CD02B7"/>
    <w:rsid w:val="00CD02FC"/>
    <w:rsid w:val="00CD0309"/>
    <w:rsid w:val="00CD041B"/>
    <w:rsid w:val="00CD042E"/>
    <w:rsid w:val="00CD04D9"/>
    <w:rsid w:val="00CD055B"/>
    <w:rsid w:val="00CD0562"/>
    <w:rsid w:val="00CD07A3"/>
    <w:rsid w:val="00CD07C9"/>
    <w:rsid w:val="00CD07DF"/>
    <w:rsid w:val="00CD08CB"/>
    <w:rsid w:val="00CD08D8"/>
    <w:rsid w:val="00CD090D"/>
    <w:rsid w:val="00CD095A"/>
    <w:rsid w:val="00CD0A27"/>
    <w:rsid w:val="00CD0A76"/>
    <w:rsid w:val="00CD0AB7"/>
    <w:rsid w:val="00CD0BD8"/>
    <w:rsid w:val="00CD0C23"/>
    <w:rsid w:val="00CD0C3E"/>
    <w:rsid w:val="00CD0CF3"/>
    <w:rsid w:val="00CD0D08"/>
    <w:rsid w:val="00CD0F79"/>
    <w:rsid w:val="00CD0F8E"/>
    <w:rsid w:val="00CD10F8"/>
    <w:rsid w:val="00CD11DB"/>
    <w:rsid w:val="00CD11FC"/>
    <w:rsid w:val="00CD1213"/>
    <w:rsid w:val="00CD12FC"/>
    <w:rsid w:val="00CD1381"/>
    <w:rsid w:val="00CD144B"/>
    <w:rsid w:val="00CD14F9"/>
    <w:rsid w:val="00CD1518"/>
    <w:rsid w:val="00CD156E"/>
    <w:rsid w:val="00CD16B4"/>
    <w:rsid w:val="00CD1870"/>
    <w:rsid w:val="00CD1892"/>
    <w:rsid w:val="00CD18F1"/>
    <w:rsid w:val="00CD1934"/>
    <w:rsid w:val="00CD194A"/>
    <w:rsid w:val="00CD196C"/>
    <w:rsid w:val="00CD1AE0"/>
    <w:rsid w:val="00CD1B3E"/>
    <w:rsid w:val="00CD1B69"/>
    <w:rsid w:val="00CD1B79"/>
    <w:rsid w:val="00CD1B8B"/>
    <w:rsid w:val="00CD1C8E"/>
    <w:rsid w:val="00CD1CA2"/>
    <w:rsid w:val="00CD1D4A"/>
    <w:rsid w:val="00CD1E21"/>
    <w:rsid w:val="00CD1E75"/>
    <w:rsid w:val="00CD1E91"/>
    <w:rsid w:val="00CD1F0F"/>
    <w:rsid w:val="00CD1F4B"/>
    <w:rsid w:val="00CD1FE8"/>
    <w:rsid w:val="00CD202D"/>
    <w:rsid w:val="00CD213B"/>
    <w:rsid w:val="00CD22AC"/>
    <w:rsid w:val="00CD232B"/>
    <w:rsid w:val="00CD2331"/>
    <w:rsid w:val="00CD2359"/>
    <w:rsid w:val="00CD2372"/>
    <w:rsid w:val="00CD238E"/>
    <w:rsid w:val="00CD2392"/>
    <w:rsid w:val="00CD23C7"/>
    <w:rsid w:val="00CD23CD"/>
    <w:rsid w:val="00CD243F"/>
    <w:rsid w:val="00CD249B"/>
    <w:rsid w:val="00CD24C5"/>
    <w:rsid w:val="00CD2500"/>
    <w:rsid w:val="00CD2551"/>
    <w:rsid w:val="00CD2584"/>
    <w:rsid w:val="00CD25CA"/>
    <w:rsid w:val="00CD25FE"/>
    <w:rsid w:val="00CD267E"/>
    <w:rsid w:val="00CD26C1"/>
    <w:rsid w:val="00CD2862"/>
    <w:rsid w:val="00CD28A3"/>
    <w:rsid w:val="00CD296D"/>
    <w:rsid w:val="00CD2A69"/>
    <w:rsid w:val="00CD2B5F"/>
    <w:rsid w:val="00CD2BA2"/>
    <w:rsid w:val="00CD2D55"/>
    <w:rsid w:val="00CD2E45"/>
    <w:rsid w:val="00CD2E93"/>
    <w:rsid w:val="00CD2EEF"/>
    <w:rsid w:val="00CD2F9B"/>
    <w:rsid w:val="00CD2FBA"/>
    <w:rsid w:val="00CD3139"/>
    <w:rsid w:val="00CD315A"/>
    <w:rsid w:val="00CD3234"/>
    <w:rsid w:val="00CD32D2"/>
    <w:rsid w:val="00CD33DB"/>
    <w:rsid w:val="00CD33F3"/>
    <w:rsid w:val="00CD3488"/>
    <w:rsid w:val="00CD348E"/>
    <w:rsid w:val="00CD34C4"/>
    <w:rsid w:val="00CD35B8"/>
    <w:rsid w:val="00CD35FF"/>
    <w:rsid w:val="00CD3635"/>
    <w:rsid w:val="00CD366A"/>
    <w:rsid w:val="00CD371C"/>
    <w:rsid w:val="00CD3736"/>
    <w:rsid w:val="00CD37DB"/>
    <w:rsid w:val="00CD3822"/>
    <w:rsid w:val="00CD38E7"/>
    <w:rsid w:val="00CD3923"/>
    <w:rsid w:val="00CD3AD7"/>
    <w:rsid w:val="00CD3B60"/>
    <w:rsid w:val="00CD3B90"/>
    <w:rsid w:val="00CD3BF4"/>
    <w:rsid w:val="00CD3CB1"/>
    <w:rsid w:val="00CD3CCA"/>
    <w:rsid w:val="00CD3CFC"/>
    <w:rsid w:val="00CD3DEA"/>
    <w:rsid w:val="00CD3DF5"/>
    <w:rsid w:val="00CD3E7F"/>
    <w:rsid w:val="00CD3E8C"/>
    <w:rsid w:val="00CD40AD"/>
    <w:rsid w:val="00CD414E"/>
    <w:rsid w:val="00CD415A"/>
    <w:rsid w:val="00CD41BB"/>
    <w:rsid w:val="00CD4344"/>
    <w:rsid w:val="00CD4437"/>
    <w:rsid w:val="00CD44D0"/>
    <w:rsid w:val="00CD44ED"/>
    <w:rsid w:val="00CD4580"/>
    <w:rsid w:val="00CD458C"/>
    <w:rsid w:val="00CD4627"/>
    <w:rsid w:val="00CD4692"/>
    <w:rsid w:val="00CD4750"/>
    <w:rsid w:val="00CD4760"/>
    <w:rsid w:val="00CD4795"/>
    <w:rsid w:val="00CD47A9"/>
    <w:rsid w:val="00CD47C3"/>
    <w:rsid w:val="00CD4883"/>
    <w:rsid w:val="00CD4897"/>
    <w:rsid w:val="00CD490B"/>
    <w:rsid w:val="00CD4A8F"/>
    <w:rsid w:val="00CD4B41"/>
    <w:rsid w:val="00CD4C8D"/>
    <w:rsid w:val="00CD4D01"/>
    <w:rsid w:val="00CD4D71"/>
    <w:rsid w:val="00CD4D84"/>
    <w:rsid w:val="00CD4DD8"/>
    <w:rsid w:val="00CD4E32"/>
    <w:rsid w:val="00CD4EE3"/>
    <w:rsid w:val="00CD4F51"/>
    <w:rsid w:val="00CD4F77"/>
    <w:rsid w:val="00CD4F9B"/>
    <w:rsid w:val="00CD4F9D"/>
    <w:rsid w:val="00CD5018"/>
    <w:rsid w:val="00CD506E"/>
    <w:rsid w:val="00CD50C3"/>
    <w:rsid w:val="00CD5184"/>
    <w:rsid w:val="00CD51D7"/>
    <w:rsid w:val="00CD51FF"/>
    <w:rsid w:val="00CD52B9"/>
    <w:rsid w:val="00CD52D4"/>
    <w:rsid w:val="00CD5303"/>
    <w:rsid w:val="00CD535E"/>
    <w:rsid w:val="00CD540B"/>
    <w:rsid w:val="00CD5457"/>
    <w:rsid w:val="00CD54B4"/>
    <w:rsid w:val="00CD553C"/>
    <w:rsid w:val="00CD5594"/>
    <w:rsid w:val="00CD55AF"/>
    <w:rsid w:val="00CD55C1"/>
    <w:rsid w:val="00CD5631"/>
    <w:rsid w:val="00CD57A7"/>
    <w:rsid w:val="00CD580F"/>
    <w:rsid w:val="00CD5817"/>
    <w:rsid w:val="00CD587F"/>
    <w:rsid w:val="00CD58B5"/>
    <w:rsid w:val="00CD5989"/>
    <w:rsid w:val="00CD5B5C"/>
    <w:rsid w:val="00CD5C49"/>
    <w:rsid w:val="00CD5C73"/>
    <w:rsid w:val="00CD5CF1"/>
    <w:rsid w:val="00CD5CF8"/>
    <w:rsid w:val="00CD5D30"/>
    <w:rsid w:val="00CD5D88"/>
    <w:rsid w:val="00CD5D9A"/>
    <w:rsid w:val="00CD5E8D"/>
    <w:rsid w:val="00CD5E99"/>
    <w:rsid w:val="00CD5EA9"/>
    <w:rsid w:val="00CD5F09"/>
    <w:rsid w:val="00CD5F25"/>
    <w:rsid w:val="00CD5F3A"/>
    <w:rsid w:val="00CD6007"/>
    <w:rsid w:val="00CD6040"/>
    <w:rsid w:val="00CD60E6"/>
    <w:rsid w:val="00CD6322"/>
    <w:rsid w:val="00CD645E"/>
    <w:rsid w:val="00CD64BE"/>
    <w:rsid w:val="00CD64CA"/>
    <w:rsid w:val="00CD64D9"/>
    <w:rsid w:val="00CD6514"/>
    <w:rsid w:val="00CD6518"/>
    <w:rsid w:val="00CD65F1"/>
    <w:rsid w:val="00CD65F7"/>
    <w:rsid w:val="00CD666C"/>
    <w:rsid w:val="00CD666F"/>
    <w:rsid w:val="00CD66B6"/>
    <w:rsid w:val="00CD66C4"/>
    <w:rsid w:val="00CD6712"/>
    <w:rsid w:val="00CD6788"/>
    <w:rsid w:val="00CD6809"/>
    <w:rsid w:val="00CD6859"/>
    <w:rsid w:val="00CD6882"/>
    <w:rsid w:val="00CD698C"/>
    <w:rsid w:val="00CD6A14"/>
    <w:rsid w:val="00CD6B72"/>
    <w:rsid w:val="00CD6C0C"/>
    <w:rsid w:val="00CD6C14"/>
    <w:rsid w:val="00CD6C56"/>
    <w:rsid w:val="00CD6C7E"/>
    <w:rsid w:val="00CD6D18"/>
    <w:rsid w:val="00CD6D55"/>
    <w:rsid w:val="00CD6DB1"/>
    <w:rsid w:val="00CD6DF4"/>
    <w:rsid w:val="00CD6E72"/>
    <w:rsid w:val="00CD6E9C"/>
    <w:rsid w:val="00CD6F34"/>
    <w:rsid w:val="00CD700E"/>
    <w:rsid w:val="00CD7069"/>
    <w:rsid w:val="00CD706D"/>
    <w:rsid w:val="00CD708A"/>
    <w:rsid w:val="00CD708E"/>
    <w:rsid w:val="00CD71CC"/>
    <w:rsid w:val="00CD71CD"/>
    <w:rsid w:val="00CD7289"/>
    <w:rsid w:val="00CD7388"/>
    <w:rsid w:val="00CD749C"/>
    <w:rsid w:val="00CD74BD"/>
    <w:rsid w:val="00CD756D"/>
    <w:rsid w:val="00CD757D"/>
    <w:rsid w:val="00CD7603"/>
    <w:rsid w:val="00CD7644"/>
    <w:rsid w:val="00CD7691"/>
    <w:rsid w:val="00CD7860"/>
    <w:rsid w:val="00CD798D"/>
    <w:rsid w:val="00CD7A00"/>
    <w:rsid w:val="00CD7A2E"/>
    <w:rsid w:val="00CD7A31"/>
    <w:rsid w:val="00CD7AF9"/>
    <w:rsid w:val="00CD7AFC"/>
    <w:rsid w:val="00CD7B07"/>
    <w:rsid w:val="00CD7B96"/>
    <w:rsid w:val="00CD7C83"/>
    <w:rsid w:val="00CD7C85"/>
    <w:rsid w:val="00CD7E4B"/>
    <w:rsid w:val="00CD7E4E"/>
    <w:rsid w:val="00CD7E6A"/>
    <w:rsid w:val="00CD7EC7"/>
    <w:rsid w:val="00CD7F00"/>
    <w:rsid w:val="00CD7F6F"/>
    <w:rsid w:val="00CD7F96"/>
    <w:rsid w:val="00CD7FDB"/>
    <w:rsid w:val="00CE0013"/>
    <w:rsid w:val="00CE0054"/>
    <w:rsid w:val="00CE0122"/>
    <w:rsid w:val="00CE0163"/>
    <w:rsid w:val="00CE021A"/>
    <w:rsid w:val="00CE022F"/>
    <w:rsid w:val="00CE023B"/>
    <w:rsid w:val="00CE025C"/>
    <w:rsid w:val="00CE02B5"/>
    <w:rsid w:val="00CE0496"/>
    <w:rsid w:val="00CE049D"/>
    <w:rsid w:val="00CE053D"/>
    <w:rsid w:val="00CE056D"/>
    <w:rsid w:val="00CE05A1"/>
    <w:rsid w:val="00CE05D4"/>
    <w:rsid w:val="00CE0668"/>
    <w:rsid w:val="00CE077C"/>
    <w:rsid w:val="00CE07C1"/>
    <w:rsid w:val="00CE0828"/>
    <w:rsid w:val="00CE0917"/>
    <w:rsid w:val="00CE0932"/>
    <w:rsid w:val="00CE0962"/>
    <w:rsid w:val="00CE0B48"/>
    <w:rsid w:val="00CE0BE3"/>
    <w:rsid w:val="00CE0CBD"/>
    <w:rsid w:val="00CE0CDD"/>
    <w:rsid w:val="00CE0D32"/>
    <w:rsid w:val="00CE0F0B"/>
    <w:rsid w:val="00CE0F5F"/>
    <w:rsid w:val="00CE1064"/>
    <w:rsid w:val="00CE1075"/>
    <w:rsid w:val="00CE10D8"/>
    <w:rsid w:val="00CE1263"/>
    <w:rsid w:val="00CE127C"/>
    <w:rsid w:val="00CE1315"/>
    <w:rsid w:val="00CE1325"/>
    <w:rsid w:val="00CE1581"/>
    <w:rsid w:val="00CE15BE"/>
    <w:rsid w:val="00CE1609"/>
    <w:rsid w:val="00CE1630"/>
    <w:rsid w:val="00CE1775"/>
    <w:rsid w:val="00CE17DA"/>
    <w:rsid w:val="00CE1A21"/>
    <w:rsid w:val="00CE1AB1"/>
    <w:rsid w:val="00CE1B10"/>
    <w:rsid w:val="00CE1BF0"/>
    <w:rsid w:val="00CE1C04"/>
    <w:rsid w:val="00CE1C53"/>
    <w:rsid w:val="00CE1E2F"/>
    <w:rsid w:val="00CE1EAB"/>
    <w:rsid w:val="00CE1ECF"/>
    <w:rsid w:val="00CE1F71"/>
    <w:rsid w:val="00CE1F89"/>
    <w:rsid w:val="00CE2028"/>
    <w:rsid w:val="00CE2044"/>
    <w:rsid w:val="00CE204C"/>
    <w:rsid w:val="00CE20C5"/>
    <w:rsid w:val="00CE215D"/>
    <w:rsid w:val="00CE22F9"/>
    <w:rsid w:val="00CE2360"/>
    <w:rsid w:val="00CE240E"/>
    <w:rsid w:val="00CE2464"/>
    <w:rsid w:val="00CE248B"/>
    <w:rsid w:val="00CE2497"/>
    <w:rsid w:val="00CE24A9"/>
    <w:rsid w:val="00CE24B4"/>
    <w:rsid w:val="00CE24EF"/>
    <w:rsid w:val="00CE2568"/>
    <w:rsid w:val="00CE25A3"/>
    <w:rsid w:val="00CE2653"/>
    <w:rsid w:val="00CE2820"/>
    <w:rsid w:val="00CE2A08"/>
    <w:rsid w:val="00CE2A9B"/>
    <w:rsid w:val="00CE2AB5"/>
    <w:rsid w:val="00CE2AD9"/>
    <w:rsid w:val="00CE2AE2"/>
    <w:rsid w:val="00CE2BF5"/>
    <w:rsid w:val="00CE2C2F"/>
    <w:rsid w:val="00CE2C40"/>
    <w:rsid w:val="00CE2C8F"/>
    <w:rsid w:val="00CE2D56"/>
    <w:rsid w:val="00CE2E1A"/>
    <w:rsid w:val="00CE2E52"/>
    <w:rsid w:val="00CE2E82"/>
    <w:rsid w:val="00CE2E99"/>
    <w:rsid w:val="00CE2EAD"/>
    <w:rsid w:val="00CE2EBD"/>
    <w:rsid w:val="00CE2F0A"/>
    <w:rsid w:val="00CE2F10"/>
    <w:rsid w:val="00CE2F4B"/>
    <w:rsid w:val="00CE2F75"/>
    <w:rsid w:val="00CE2F92"/>
    <w:rsid w:val="00CE2F94"/>
    <w:rsid w:val="00CE2FA9"/>
    <w:rsid w:val="00CE3014"/>
    <w:rsid w:val="00CE302C"/>
    <w:rsid w:val="00CE3037"/>
    <w:rsid w:val="00CE304D"/>
    <w:rsid w:val="00CE3307"/>
    <w:rsid w:val="00CE3342"/>
    <w:rsid w:val="00CE33AC"/>
    <w:rsid w:val="00CE33FB"/>
    <w:rsid w:val="00CE33FE"/>
    <w:rsid w:val="00CE34C6"/>
    <w:rsid w:val="00CE3602"/>
    <w:rsid w:val="00CE3696"/>
    <w:rsid w:val="00CE36C1"/>
    <w:rsid w:val="00CE379B"/>
    <w:rsid w:val="00CE3851"/>
    <w:rsid w:val="00CE38CC"/>
    <w:rsid w:val="00CE3919"/>
    <w:rsid w:val="00CE3996"/>
    <w:rsid w:val="00CE39A1"/>
    <w:rsid w:val="00CE39B9"/>
    <w:rsid w:val="00CE3CBE"/>
    <w:rsid w:val="00CE3CC5"/>
    <w:rsid w:val="00CE3CD1"/>
    <w:rsid w:val="00CE3D35"/>
    <w:rsid w:val="00CE3E20"/>
    <w:rsid w:val="00CE3EF3"/>
    <w:rsid w:val="00CE3F9A"/>
    <w:rsid w:val="00CE4035"/>
    <w:rsid w:val="00CE40CE"/>
    <w:rsid w:val="00CE412E"/>
    <w:rsid w:val="00CE4190"/>
    <w:rsid w:val="00CE41C3"/>
    <w:rsid w:val="00CE4315"/>
    <w:rsid w:val="00CE459E"/>
    <w:rsid w:val="00CE45DC"/>
    <w:rsid w:val="00CE46A9"/>
    <w:rsid w:val="00CE46BF"/>
    <w:rsid w:val="00CE476D"/>
    <w:rsid w:val="00CE480A"/>
    <w:rsid w:val="00CE4949"/>
    <w:rsid w:val="00CE4AAB"/>
    <w:rsid w:val="00CE4C0C"/>
    <w:rsid w:val="00CE4C1A"/>
    <w:rsid w:val="00CE4C40"/>
    <w:rsid w:val="00CE4C66"/>
    <w:rsid w:val="00CE4CBE"/>
    <w:rsid w:val="00CE4CC3"/>
    <w:rsid w:val="00CE4CE4"/>
    <w:rsid w:val="00CE4D33"/>
    <w:rsid w:val="00CE4E14"/>
    <w:rsid w:val="00CE4E2D"/>
    <w:rsid w:val="00CE4FEA"/>
    <w:rsid w:val="00CE5014"/>
    <w:rsid w:val="00CE5087"/>
    <w:rsid w:val="00CE5110"/>
    <w:rsid w:val="00CE511E"/>
    <w:rsid w:val="00CE5155"/>
    <w:rsid w:val="00CE51FD"/>
    <w:rsid w:val="00CE5228"/>
    <w:rsid w:val="00CE525E"/>
    <w:rsid w:val="00CE52A1"/>
    <w:rsid w:val="00CE52EF"/>
    <w:rsid w:val="00CE5307"/>
    <w:rsid w:val="00CE5335"/>
    <w:rsid w:val="00CE5348"/>
    <w:rsid w:val="00CE5358"/>
    <w:rsid w:val="00CE53AB"/>
    <w:rsid w:val="00CE53DD"/>
    <w:rsid w:val="00CE54F4"/>
    <w:rsid w:val="00CE5519"/>
    <w:rsid w:val="00CE5541"/>
    <w:rsid w:val="00CE5825"/>
    <w:rsid w:val="00CE583D"/>
    <w:rsid w:val="00CE5916"/>
    <w:rsid w:val="00CE5AE2"/>
    <w:rsid w:val="00CE5AED"/>
    <w:rsid w:val="00CE5AFB"/>
    <w:rsid w:val="00CE5B3F"/>
    <w:rsid w:val="00CE5B52"/>
    <w:rsid w:val="00CE5C2D"/>
    <w:rsid w:val="00CE5C7D"/>
    <w:rsid w:val="00CE5C86"/>
    <w:rsid w:val="00CE5C91"/>
    <w:rsid w:val="00CE5D5D"/>
    <w:rsid w:val="00CE5D75"/>
    <w:rsid w:val="00CE5E0E"/>
    <w:rsid w:val="00CE5EF6"/>
    <w:rsid w:val="00CE5EFD"/>
    <w:rsid w:val="00CE5F06"/>
    <w:rsid w:val="00CE602F"/>
    <w:rsid w:val="00CE603E"/>
    <w:rsid w:val="00CE60C7"/>
    <w:rsid w:val="00CE60ED"/>
    <w:rsid w:val="00CE60FF"/>
    <w:rsid w:val="00CE612D"/>
    <w:rsid w:val="00CE615F"/>
    <w:rsid w:val="00CE618D"/>
    <w:rsid w:val="00CE61B3"/>
    <w:rsid w:val="00CE621E"/>
    <w:rsid w:val="00CE622C"/>
    <w:rsid w:val="00CE623B"/>
    <w:rsid w:val="00CE628F"/>
    <w:rsid w:val="00CE63A9"/>
    <w:rsid w:val="00CE63EE"/>
    <w:rsid w:val="00CE63F7"/>
    <w:rsid w:val="00CE649C"/>
    <w:rsid w:val="00CE6547"/>
    <w:rsid w:val="00CE654D"/>
    <w:rsid w:val="00CE65C9"/>
    <w:rsid w:val="00CE6756"/>
    <w:rsid w:val="00CE67FF"/>
    <w:rsid w:val="00CE68DC"/>
    <w:rsid w:val="00CE6A61"/>
    <w:rsid w:val="00CE6AA7"/>
    <w:rsid w:val="00CE6B04"/>
    <w:rsid w:val="00CE6B09"/>
    <w:rsid w:val="00CE6B2F"/>
    <w:rsid w:val="00CE6B39"/>
    <w:rsid w:val="00CE6BBD"/>
    <w:rsid w:val="00CE6BCC"/>
    <w:rsid w:val="00CE6BE8"/>
    <w:rsid w:val="00CE6C1E"/>
    <w:rsid w:val="00CE6C2F"/>
    <w:rsid w:val="00CE6C61"/>
    <w:rsid w:val="00CE6D2C"/>
    <w:rsid w:val="00CE6D9B"/>
    <w:rsid w:val="00CE6DC7"/>
    <w:rsid w:val="00CE6E99"/>
    <w:rsid w:val="00CE6FF9"/>
    <w:rsid w:val="00CE70B1"/>
    <w:rsid w:val="00CE70B9"/>
    <w:rsid w:val="00CE70EF"/>
    <w:rsid w:val="00CE7194"/>
    <w:rsid w:val="00CE71B0"/>
    <w:rsid w:val="00CE7257"/>
    <w:rsid w:val="00CE7282"/>
    <w:rsid w:val="00CE7316"/>
    <w:rsid w:val="00CE7362"/>
    <w:rsid w:val="00CE747C"/>
    <w:rsid w:val="00CE749A"/>
    <w:rsid w:val="00CE7531"/>
    <w:rsid w:val="00CE75A3"/>
    <w:rsid w:val="00CE75A8"/>
    <w:rsid w:val="00CE7664"/>
    <w:rsid w:val="00CE76FB"/>
    <w:rsid w:val="00CE77B8"/>
    <w:rsid w:val="00CE77F7"/>
    <w:rsid w:val="00CE7805"/>
    <w:rsid w:val="00CE7840"/>
    <w:rsid w:val="00CE7865"/>
    <w:rsid w:val="00CE78A4"/>
    <w:rsid w:val="00CE78AF"/>
    <w:rsid w:val="00CE793B"/>
    <w:rsid w:val="00CE79C0"/>
    <w:rsid w:val="00CE7A89"/>
    <w:rsid w:val="00CE7ADB"/>
    <w:rsid w:val="00CE7B54"/>
    <w:rsid w:val="00CE7B72"/>
    <w:rsid w:val="00CE7B81"/>
    <w:rsid w:val="00CE7B8E"/>
    <w:rsid w:val="00CE7C51"/>
    <w:rsid w:val="00CE7D3D"/>
    <w:rsid w:val="00CE7DA4"/>
    <w:rsid w:val="00CE7DCB"/>
    <w:rsid w:val="00CE7E44"/>
    <w:rsid w:val="00CE7EE3"/>
    <w:rsid w:val="00CF0010"/>
    <w:rsid w:val="00CF001A"/>
    <w:rsid w:val="00CF0070"/>
    <w:rsid w:val="00CF0088"/>
    <w:rsid w:val="00CF008F"/>
    <w:rsid w:val="00CF00AA"/>
    <w:rsid w:val="00CF00B0"/>
    <w:rsid w:val="00CF00C0"/>
    <w:rsid w:val="00CF0153"/>
    <w:rsid w:val="00CF016F"/>
    <w:rsid w:val="00CF01A5"/>
    <w:rsid w:val="00CF03E7"/>
    <w:rsid w:val="00CF0403"/>
    <w:rsid w:val="00CF04FF"/>
    <w:rsid w:val="00CF0504"/>
    <w:rsid w:val="00CF061B"/>
    <w:rsid w:val="00CF064B"/>
    <w:rsid w:val="00CF06A3"/>
    <w:rsid w:val="00CF06D4"/>
    <w:rsid w:val="00CF0715"/>
    <w:rsid w:val="00CF075D"/>
    <w:rsid w:val="00CF0882"/>
    <w:rsid w:val="00CF090D"/>
    <w:rsid w:val="00CF090E"/>
    <w:rsid w:val="00CF098E"/>
    <w:rsid w:val="00CF09ED"/>
    <w:rsid w:val="00CF0A4C"/>
    <w:rsid w:val="00CF0A5A"/>
    <w:rsid w:val="00CF0A98"/>
    <w:rsid w:val="00CF0B92"/>
    <w:rsid w:val="00CF0BDF"/>
    <w:rsid w:val="00CF0C59"/>
    <w:rsid w:val="00CF0CB5"/>
    <w:rsid w:val="00CF0D7F"/>
    <w:rsid w:val="00CF0DEE"/>
    <w:rsid w:val="00CF0F45"/>
    <w:rsid w:val="00CF0FA2"/>
    <w:rsid w:val="00CF0FCB"/>
    <w:rsid w:val="00CF107A"/>
    <w:rsid w:val="00CF10BE"/>
    <w:rsid w:val="00CF11AB"/>
    <w:rsid w:val="00CF1217"/>
    <w:rsid w:val="00CF127C"/>
    <w:rsid w:val="00CF12D6"/>
    <w:rsid w:val="00CF1310"/>
    <w:rsid w:val="00CF135D"/>
    <w:rsid w:val="00CF1384"/>
    <w:rsid w:val="00CF13BA"/>
    <w:rsid w:val="00CF13F7"/>
    <w:rsid w:val="00CF1400"/>
    <w:rsid w:val="00CF1409"/>
    <w:rsid w:val="00CF140E"/>
    <w:rsid w:val="00CF1437"/>
    <w:rsid w:val="00CF1551"/>
    <w:rsid w:val="00CF15E1"/>
    <w:rsid w:val="00CF1656"/>
    <w:rsid w:val="00CF1674"/>
    <w:rsid w:val="00CF173B"/>
    <w:rsid w:val="00CF1759"/>
    <w:rsid w:val="00CF1817"/>
    <w:rsid w:val="00CF18A1"/>
    <w:rsid w:val="00CF1922"/>
    <w:rsid w:val="00CF193F"/>
    <w:rsid w:val="00CF1984"/>
    <w:rsid w:val="00CF19AA"/>
    <w:rsid w:val="00CF1ADE"/>
    <w:rsid w:val="00CF1B7F"/>
    <w:rsid w:val="00CF1D01"/>
    <w:rsid w:val="00CF1DA2"/>
    <w:rsid w:val="00CF1F5D"/>
    <w:rsid w:val="00CF1F72"/>
    <w:rsid w:val="00CF2028"/>
    <w:rsid w:val="00CF203A"/>
    <w:rsid w:val="00CF2111"/>
    <w:rsid w:val="00CF211C"/>
    <w:rsid w:val="00CF2141"/>
    <w:rsid w:val="00CF21CB"/>
    <w:rsid w:val="00CF224D"/>
    <w:rsid w:val="00CF22CD"/>
    <w:rsid w:val="00CF2309"/>
    <w:rsid w:val="00CF2335"/>
    <w:rsid w:val="00CF23CF"/>
    <w:rsid w:val="00CF2445"/>
    <w:rsid w:val="00CF2471"/>
    <w:rsid w:val="00CF248F"/>
    <w:rsid w:val="00CF2516"/>
    <w:rsid w:val="00CF254E"/>
    <w:rsid w:val="00CF2659"/>
    <w:rsid w:val="00CF27D5"/>
    <w:rsid w:val="00CF2878"/>
    <w:rsid w:val="00CF292F"/>
    <w:rsid w:val="00CF2942"/>
    <w:rsid w:val="00CF2948"/>
    <w:rsid w:val="00CF29B1"/>
    <w:rsid w:val="00CF29ED"/>
    <w:rsid w:val="00CF2BF6"/>
    <w:rsid w:val="00CF2C0C"/>
    <w:rsid w:val="00CF2C15"/>
    <w:rsid w:val="00CF2C62"/>
    <w:rsid w:val="00CF2DB8"/>
    <w:rsid w:val="00CF2F01"/>
    <w:rsid w:val="00CF2F67"/>
    <w:rsid w:val="00CF304C"/>
    <w:rsid w:val="00CF30A0"/>
    <w:rsid w:val="00CF30AC"/>
    <w:rsid w:val="00CF30AE"/>
    <w:rsid w:val="00CF30E6"/>
    <w:rsid w:val="00CF3194"/>
    <w:rsid w:val="00CF3210"/>
    <w:rsid w:val="00CF3254"/>
    <w:rsid w:val="00CF327A"/>
    <w:rsid w:val="00CF32D4"/>
    <w:rsid w:val="00CF3306"/>
    <w:rsid w:val="00CF3341"/>
    <w:rsid w:val="00CF3353"/>
    <w:rsid w:val="00CF3365"/>
    <w:rsid w:val="00CF33AB"/>
    <w:rsid w:val="00CF345F"/>
    <w:rsid w:val="00CF34CA"/>
    <w:rsid w:val="00CF3514"/>
    <w:rsid w:val="00CF3582"/>
    <w:rsid w:val="00CF3593"/>
    <w:rsid w:val="00CF35E4"/>
    <w:rsid w:val="00CF360B"/>
    <w:rsid w:val="00CF363D"/>
    <w:rsid w:val="00CF366D"/>
    <w:rsid w:val="00CF36EA"/>
    <w:rsid w:val="00CF3742"/>
    <w:rsid w:val="00CF374F"/>
    <w:rsid w:val="00CF382E"/>
    <w:rsid w:val="00CF3864"/>
    <w:rsid w:val="00CF390D"/>
    <w:rsid w:val="00CF3938"/>
    <w:rsid w:val="00CF395F"/>
    <w:rsid w:val="00CF399E"/>
    <w:rsid w:val="00CF39E2"/>
    <w:rsid w:val="00CF3A5B"/>
    <w:rsid w:val="00CF3B6A"/>
    <w:rsid w:val="00CF3BD7"/>
    <w:rsid w:val="00CF3C46"/>
    <w:rsid w:val="00CF3C74"/>
    <w:rsid w:val="00CF3C85"/>
    <w:rsid w:val="00CF3C8F"/>
    <w:rsid w:val="00CF3CAE"/>
    <w:rsid w:val="00CF3CAF"/>
    <w:rsid w:val="00CF3D03"/>
    <w:rsid w:val="00CF3D0E"/>
    <w:rsid w:val="00CF3D78"/>
    <w:rsid w:val="00CF3DFE"/>
    <w:rsid w:val="00CF3EB5"/>
    <w:rsid w:val="00CF3EBC"/>
    <w:rsid w:val="00CF3FA3"/>
    <w:rsid w:val="00CF3FD7"/>
    <w:rsid w:val="00CF4161"/>
    <w:rsid w:val="00CF416C"/>
    <w:rsid w:val="00CF41B3"/>
    <w:rsid w:val="00CF4200"/>
    <w:rsid w:val="00CF4243"/>
    <w:rsid w:val="00CF4256"/>
    <w:rsid w:val="00CF42AC"/>
    <w:rsid w:val="00CF42E7"/>
    <w:rsid w:val="00CF4405"/>
    <w:rsid w:val="00CF4407"/>
    <w:rsid w:val="00CF4538"/>
    <w:rsid w:val="00CF4557"/>
    <w:rsid w:val="00CF45B6"/>
    <w:rsid w:val="00CF4681"/>
    <w:rsid w:val="00CF47C0"/>
    <w:rsid w:val="00CF494C"/>
    <w:rsid w:val="00CF4974"/>
    <w:rsid w:val="00CF498C"/>
    <w:rsid w:val="00CF49DD"/>
    <w:rsid w:val="00CF4A4A"/>
    <w:rsid w:val="00CF4A56"/>
    <w:rsid w:val="00CF4AB0"/>
    <w:rsid w:val="00CF4AB6"/>
    <w:rsid w:val="00CF4B88"/>
    <w:rsid w:val="00CF4C5F"/>
    <w:rsid w:val="00CF4C66"/>
    <w:rsid w:val="00CF4C6B"/>
    <w:rsid w:val="00CF4CA6"/>
    <w:rsid w:val="00CF4D09"/>
    <w:rsid w:val="00CF4D93"/>
    <w:rsid w:val="00CF4DDD"/>
    <w:rsid w:val="00CF4E44"/>
    <w:rsid w:val="00CF4EBC"/>
    <w:rsid w:val="00CF4F29"/>
    <w:rsid w:val="00CF4F3B"/>
    <w:rsid w:val="00CF5006"/>
    <w:rsid w:val="00CF50D2"/>
    <w:rsid w:val="00CF50F1"/>
    <w:rsid w:val="00CF5119"/>
    <w:rsid w:val="00CF520C"/>
    <w:rsid w:val="00CF5222"/>
    <w:rsid w:val="00CF5269"/>
    <w:rsid w:val="00CF526E"/>
    <w:rsid w:val="00CF52A6"/>
    <w:rsid w:val="00CF530B"/>
    <w:rsid w:val="00CF5326"/>
    <w:rsid w:val="00CF5369"/>
    <w:rsid w:val="00CF539B"/>
    <w:rsid w:val="00CF53E3"/>
    <w:rsid w:val="00CF53F4"/>
    <w:rsid w:val="00CF54D8"/>
    <w:rsid w:val="00CF550D"/>
    <w:rsid w:val="00CF552B"/>
    <w:rsid w:val="00CF5571"/>
    <w:rsid w:val="00CF55F5"/>
    <w:rsid w:val="00CF5632"/>
    <w:rsid w:val="00CF568E"/>
    <w:rsid w:val="00CF56CC"/>
    <w:rsid w:val="00CF573A"/>
    <w:rsid w:val="00CF578D"/>
    <w:rsid w:val="00CF57B6"/>
    <w:rsid w:val="00CF580B"/>
    <w:rsid w:val="00CF58AE"/>
    <w:rsid w:val="00CF59AD"/>
    <w:rsid w:val="00CF59D0"/>
    <w:rsid w:val="00CF5A59"/>
    <w:rsid w:val="00CF5ABD"/>
    <w:rsid w:val="00CF5B39"/>
    <w:rsid w:val="00CF5C50"/>
    <w:rsid w:val="00CF5C9C"/>
    <w:rsid w:val="00CF5CEA"/>
    <w:rsid w:val="00CF5E7B"/>
    <w:rsid w:val="00CF5EEB"/>
    <w:rsid w:val="00CF5F33"/>
    <w:rsid w:val="00CF5F99"/>
    <w:rsid w:val="00CF6091"/>
    <w:rsid w:val="00CF60AE"/>
    <w:rsid w:val="00CF60B0"/>
    <w:rsid w:val="00CF6123"/>
    <w:rsid w:val="00CF6152"/>
    <w:rsid w:val="00CF617E"/>
    <w:rsid w:val="00CF61D3"/>
    <w:rsid w:val="00CF6230"/>
    <w:rsid w:val="00CF6256"/>
    <w:rsid w:val="00CF62A3"/>
    <w:rsid w:val="00CF62A8"/>
    <w:rsid w:val="00CF630D"/>
    <w:rsid w:val="00CF6468"/>
    <w:rsid w:val="00CF6837"/>
    <w:rsid w:val="00CF699D"/>
    <w:rsid w:val="00CF6A71"/>
    <w:rsid w:val="00CF6B92"/>
    <w:rsid w:val="00CF6BD2"/>
    <w:rsid w:val="00CF6C68"/>
    <w:rsid w:val="00CF6C69"/>
    <w:rsid w:val="00CF6CB7"/>
    <w:rsid w:val="00CF6D3A"/>
    <w:rsid w:val="00CF6D7C"/>
    <w:rsid w:val="00CF6E39"/>
    <w:rsid w:val="00CF6F5B"/>
    <w:rsid w:val="00CF6F65"/>
    <w:rsid w:val="00CF6FAB"/>
    <w:rsid w:val="00CF707C"/>
    <w:rsid w:val="00CF709C"/>
    <w:rsid w:val="00CF709F"/>
    <w:rsid w:val="00CF70C6"/>
    <w:rsid w:val="00CF716F"/>
    <w:rsid w:val="00CF71BA"/>
    <w:rsid w:val="00CF721E"/>
    <w:rsid w:val="00CF72F3"/>
    <w:rsid w:val="00CF735B"/>
    <w:rsid w:val="00CF7446"/>
    <w:rsid w:val="00CF7490"/>
    <w:rsid w:val="00CF74A4"/>
    <w:rsid w:val="00CF74BD"/>
    <w:rsid w:val="00CF7533"/>
    <w:rsid w:val="00CF753E"/>
    <w:rsid w:val="00CF7548"/>
    <w:rsid w:val="00CF75C8"/>
    <w:rsid w:val="00CF765A"/>
    <w:rsid w:val="00CF776D"/>
    <w:rsid w:val="00CF781D"/>
    <w:rsid w:val="00CF7876"/>
    <w:rsid w:val="00CF7899"/>
    <w:rsid w:val="00CF78F5"/>
    <w:rsid w:val="00CF7995"/>
    <w:rsid w:val="00CF79F8"/>
    <w:rsid w:val="00CF7A4B"/>
    <w:rsid w:val="00CF7AED"/>
    <w:rsid w:val="00CF7AFF"/>
    <w:rsid w:val="00CF7B1F"/>
    <w:rsid w:val="00CF7B6D"/>
    <w:rsid w:val="00CF7CEB"/>
    <w:rsid w:val="00CF7F0C"/>
    <w:rsid w:val="00CF7F5C"/>
    <w:rsid w:val="00CF7F83"/>
    <w:rsid w:val="00D0002E"/>
    <w:rsid w:val="00D00083"/>
    <w:rsid w:val="00D0012F"/>
    <w:rsid w:val="00D00142"/>
    <w:rsid w:val="00D00161"/>
    <w:rsid w:val="00D0018D"/>
    <w:rsid w:val="00D001A5"/>
    <w:rsid w:val="00D00267"/>
    <w:rsid w:val="00D00269"/>
    <w:rsid w:val="00D002D7"/>
    <w:rsid w:val="00D00322"/>
    <w:rsid w:val="00D003D4"/>
    <w:rsid w:val="00D00403"/>
    <w:rsid w:val="00D0049D"/>
    <w:rsid w:val="00D004D6"/>
    <w:rsid w:val="00D0052C"/>
    <w:rsid w:val="00D0058C"/>
    <w:rsid w:val="00D0061D"/>
    <w:rsid w:val="00D007C3"/>
    <w:rsid w:val="00D00904"/>
    <w:rsid w:val="00D009A4"/>
    <w:rsid w:val="00D009FE"/>
    <w:rsid w:val="00D00AA6"/>
    <w:rsid w:val="00D00B4D"/>
    <w:rsid w:val="00D00B68"/>
    <w:rsid w:val="00D00BF3"/>
    <w:rsid w:val="00D00CF8"/>
    <w:rsid w:val="00D00D79"/>
    <w:rsid w:val="00D00D9B"/>
    <w:rsid w:val="00D00DAA"/>
    <w:rsid w:val="00D00DBF"/>
    <w:rsid w:val="00D00E2E"/>
    <w:rsid w:val="00D00E95"/>
    <w:rsid w:val="00D00F2B"/>
    <w:rsid w:val="00D00FAA"/>
    <w:rsid w:val="00D010CA"/>
    <w:rsid w:val="00D01224"/>
    <w:rsid w:val="00D01314"/>
    <w:rsid w:val="00D01366"/>
    <w:rsid w:val="00D01421"/>
    <w:rsid w:val="00D0143C"/>
    <w:rsid w:val="00D01453"/>
    <w:rsid w:val="00D01529"/>
    <w:rsid w:val="00D016CF"/>
    <w:rsid w:val="00D01710"/>
    <w:rsid w:val="00D0175B"/>
    <w:rsid w:val="00D0197B"/>
    <w:rsid w:val="00D01A17"/>
    <w:rsid w:val="00D01AE8"/>
    <w:rsid w:val="00D01D4C"/>
    <w:rsid w:val="00D01D4F"/>
    <w:rsid w:val="00D01E2C"/>
    <w:rsid w:val="00D0200A"/>
    <w:rsid w:val="00D0209E"/>
    <w:rsid w:val="00D020CE"/>
    <w:rsid w:val="00D02220"/>
    <w:rsid w:val="00D022D8"/>
    <w:rsid w:val="00D022FA"/>
    <w:rsid w:val="00D02379"/>
    <w:rsid w:val="00D0243C"/>
    <w:rsid w:val="00D024D6"/>
    <w:rsid w:val="00D02501"/>
    <w:rsid w:val="00D025C1"/>
    <w:rsid w:val="00D0260D"/>
    <w:rsid w:val="00D02613"/>
    <w:rsid w:val="00D02614"/>
    <w:rsid w:val="00D0266B"/>
    <w:rsid w:val="00D026B0"/>
    <w:rsid w:val="00D02713"/>
    <w:rsid w:val="00D02776"/>
    <w:rsid w:val="00D027E7"/>
    <w:rsid w:val="00D02813"/>
    <w:rsid w:val="00D02837"/>
    <w:rsid w:val="00D029C0"/>
    <w:rsid w:val="00D02B1D"/>
    <w:rsid w:val="00D02B26"/>
    <w:rsid w:val="00D02BEE"/>
    <w:rsid w:val="00D02D12"/>
    <w:rsid w:val="00D02D54"/>
    <w:rsid w:val="00D02DA0"/>
    <w:rsid w:val="00D02E33"/>
    <w:rsid w:val="00D02EAD"/>
    <w:rsid w:val="00D030D5"/>
    <w:rsid w:val="00D03175"/>
    <w:rsid w:val="00D03224"/>
    <w:rsid w:val="00D032F4"/>
    <w:rsid w:val="00D0331C"/>
    <w:rsid w:val="00D033D9"/>
    <w:rsid w:val="00D034DC"/>
    <w:rsid w:val="00D03500"/>
    <w:rsid w:val="00D0357C"/>
    <w:rsid w:val="00D0359E"/>
    <w:rsid w:val="00D035A2"/>
    <w:rsid w:val="00D036DD"/>
    <w:rsid w:val="00D036DF"/>
    <w:rsid w:val="00D037CF"/>
    <w:rsid w:val="00D0381D"/>
    <w:rsid w:val="00D0383A"/>
    <w:rsid w:val="00D0383E"/>
    <w:rsid w:val="00D03863"/>
    <w:rsid w:val="00D03876"/>
    <w:rsid w:val="00D038B9"/>
    <w:rsid w:val="00D038FF"/>
    <w:rsid w:val="00D0391C"/>
    <w:rsid w:val="00D03982"/>
    <w:rsid w:val="00D03A0D"/>
    <w:rsid w:val="00D03AF5"/>
    <w:rsid w:val="00D03B25"/>
    <w:rsid w:val="00D03B5E"/>
    <w:rsid w:val="00D03B6B"/>
    <w:rsid w:val="00D03BA7"/>
    <w:rsid w:val="00D03BE9"/>
    <w:rsid w:val="00D03CAC"/>
    <w:rsid w:val="00D03CBA"/>
    <w:rsid w:val="00D03CDE"/>
    <w:rsid w:val="00D03D80"/>
    <w:rsid w:val="00D03D8D"/>
    <w:rsid w:val="00D03D98"/>
    <w:rsid w:val="00D03E24"/>
    <w:rsid w:val="00D03E32"/>
    <w:rsid w:val="00D03E55"/>
    <w:rsid w:val="00D03FAD"/>
    <w:rsid w:val="00D03FE6"/>
    <w:rsid w:val="00D04045"/>
    <w:rsid w:val="00D04064"/>
    <w:rsid w:val="00D04065"/>
    <w:rsid w:val="00D0407A"/>
    <w:rsid w:val="00D040AD"/>
    <w:rsid w:val="00D040EC"/>
    <w:rsid w:val="00D040FA"/>
    <w:rsid w:val="00D04109"/>
    <w:rsid w:val="00D0418D"/>
    <w:rsid w:val="00D041AF"/>
    <w:rsid w:val="00D041D0"/>
    <w:rsid w:val="00D04219"/>
    <w:rsid w:val="00D04244"/>
    <w:rsid w:val="00D04372"/>
    <w:rsid w:val="00D043E2"/>
    <w:rsid w:val="00D04546"/>
    <w:rsid w:val="00D045DC"/>
    <w:rsid w:val="00D04664"/>
    <w:rsid w:val="00D046D8"/>
    <w:rsid w:val="00D0475B"/>
    <w:rsid w:val="00D04804"/>
    <w:rsid w:val="00D04823"/>
    <w:rsid w:val="00D0494A"/>
    <w:rsid w:val="00D049B2"/>
    <w:rsid w:val="00D04A0B"/>
    <w:rsid w:val="00D04B7C"/>
    <w:rsid w:val="00D04B91"/>
    <w:rsid w:val="00D04BC3"/>
    <w:rsid w:val="00D04BD6"/>
    <w:rsid w:val="00D04C47"/>
    <w:rsid w:val="00D04CCD"/>
    <w:rsid w:val="00D04D64"/>
    <w:rsid w:val="00D04D84"/>
    <w:rsid w:val="00D04DD8"/>
    <w:rsid w:val="00D04E40"/>
    <w:rsid w:val="00D04E72"/>
    <w:rsid w:val="00D04E73"/>
    <w:rsid w:val="00D04EF4"/>
    <w:rsid w:val="00D04F02"/>
    <w:rsid w:val="00D04F83"/>
    <w:rsid w:val="00D04FC4"/>
    <w:rsid w:val="00D05022"/>
    <w:rsid w:val="00D05259"/>
    <w:rsid w:val="00D0527D"/>
    <w:rsid w:val="00D052A2"/>
    <w:rsid w:val="00D052E0"/>
    <w:rsid w:val="00D05301"/>
    <w:rsid w:val="00D05311"/>
    <w:rsid w:val="00D0539D"/>
    <w:rsid w:val="00D053B9"/>
    <w:rsid w:val="00D0542B"/>
    <w:rsid w:val="00D054AA"/>
    <w:rsid w:val="00D05502"/>
    <w:rsid w:val="00D05542"/>
    <w:rsid w:val="00D0557A"/>
    <w:rsid w:val="00D055E5"/>
    <w:rsid w:val="00D05640"/>
    <w:rsid w:val="00D056E2"/>
    <w:rsid w:val="00D0577E"/>
    <w:rsid w:val="00D057A6"/>
    <w:rsid w:val="00D057F3"/>
    <w:rsid w:val="00D0580D"/>
    <w:rsid w:val="00D058A8"/>
    <w:rsid w:val="00D05971"/>
    <w:rsid w:val="00D05993"/>
    <w:rsid w:val="00D05B6C"/>
    <w:rsid w:val="00D05BC1"/>
    <w:rsid w:val="00D05D0D"/>
    <w:rsid w:val="00D05DF0"/>
    <w:rsid w:val="00D05E53"/>
    <w:rsid w:val="00D05EC6"/>
    <w:rsid w:val="00D05EE2"/>
    <w:rsid w:val="00D05F8D"/>
    <w:rsid w:val="00D05FB8"/>
    <w:rsid w:val="00D06118"/>
    <w:rsid w:val="00D06276"/>
    <w:rsid w:val="00D0628C"/>
    <w:rsid w:val="00D06338"/>
    <w:rsid w:val="00D06453"/>
    <w:rsid w:val="00D06490"/>
    <w:rsid w:val="00D064BE"/>
    <w:rsid w:val="00D065B2"/>
    <w:rsid w:val="00D065FF"/>
    <w:rsid w:val="00D0667B"/>
    <w:rsid w:val="00D06703"/>
    <w:rsid w:val="00D0672B"/>
    <w:rsid w:val="00D06767"/>
    <w:rsid w:val="00D06882"/>
    <w:rsid w:val="00D068E6"/>
    <w:rsid w:val="00D06909"/>
    <w:rsid w:val="00D06911"/>
    <w:rsid w:val="00D06A15"/>
    <w:rsid w:val="00D06A5B"/>
    <w:rsid w:val="00D06A6C"/>
    <w:rsid w:val="00D06A7F"/>
    <w:rsid w:val="00D06AB0"/>
    <w:rsid w:val="00D06B18"/>
    <w:rsid w:val="00D06B28"/>
    <w:rsid w:val="00D06BF7"/>
    <w:rsid w:val="00D06CC8"/>
    <w:rsid w:val="00D06DE5"/>
    <w:rsid w:val="00D06E39"/>
    <w:rsid w:val="00D06E6E"/>
    <w:rsid w:val="00D06E9C"/>
    <w:rsid w:val="00D06EAC"/>
    <w:rsid w:val="00D06EAD"/>
    <w:rsid w:val="00D06EAE"/>
    <w:rsid w:val="00D06EBF"/>
    <w:rsid w:val="00D06ECE"/>
    <w:rsid w:val="00D07005"/>
    <w:rsid w:val="00D07071"/>
    <w:rsid w:val="00D070A4"/>
    <w:rsid w:val="00D070B8"/>
    <w:rsid w:val="00D070C8"/>
    <w:rsid w:val="00D07157"/>
    <w:rsid w:val="00D07202"/>
    <w:rsid w:val="00D072A1"/>
    <w:rsid w:val="00D073A8"/>
    <w:rsid w:val="00D07433"/>
    <w:rsid w:val="00D07444"/>
    <w:rsid w:val="00D07485"/>
    <w:rsid w:val="00D074E9"/>
    <w:rsid w:val="00D07575"/>
    <w:rsid w:val="00D07671"/>
    <w:rsid w:val="00D0767D"/>
    <w:rsid w:val="00D0771D"/>
    <w:rsid w:val="00D07736"/>
    <w:rsid w:val="00D077BE"/>
    <w:rsid w:val="00D0788D"/>
    <w:rsid w:val="00D078D4"/>
    <w:rsid w:val="00D07957"/>
    <w:rsid w:val="00D079E3"/>
    <w:rsid w:val="00D07A80"/>
    <w:rsid w:val="00D07A84"/>
    <w:rsid w:val="00D07A8F"/>
    <w:rsid w:val="00D07B3D"/>
    <w:rsid w:val="00D07C33"/>
    <w:rsid w:val="00D07C50"/>
    <w:rsid w:val="00D07D05"/>
    <w:rsid w:val="00D07D7E"/>
    <w:rsid w:val="00D07E11"/>
    <w:rsid w:val="00D07E7A"/>
    <w:rsid w:val="00D07E7C"/>
    <w:rsid w:val="00D07EFB"/>
    <w:rsid w:val="00D07F51"/>
    <w:rsid w:val="00D07FDF"/>
    <w:rsid w:val="00D10065"/>
    <w:rsid w:val="00D100F9"/>
    <w:rsid w:val="00D10174"/>
    <w:rsid w:val="00D10190"/>
    <w:rsid w:val="00D101F1"/>
    <w:rsid w:val="00D10209"/>
    <w:rsid w:val="00D1025B"/>
    <w:rsid w:val="00D1029A"/>
    <w:rsid w:val="00D102C0"/>
    <w:rsid w:val="00D1032B"/>
    <w:rsid w:val="00D10363"/>
    <w:rsid w:val="00D104B3"/>
    <w:rsid w:val="00D104F7"/>
    <w:rsid w:val="00D105EF"/>
    <w:rsid w:val="00D10653"/>
    <w:rsid w:val="00D10680"/>
    <w:rsid w:val="00D10696"/>
    <w:rsid w:val="00D106C5"/>
    <w:rsid w:val="00D106D5"/>
    <w:rsid w:val="00D10744"/>
    <w:rsid w:val="00D107AF"/>
    <w:rsid w:val="00D1081A"/>
    <w:rsid w:val="00D108C4"/>
    <w:rsid w:val="00D108D9"/>
    <w:rsid w:val="00D10AC0"/>
    <w:rsid w:val="00D10AE2"/>
    <w:rsid w:val="00D10B67"/>
    <w:rsid w:val="00D10B91"/>
    <w:rsid w:val="00D10BD6"/>
    <w:rsid w:val="00D10C45"/>
    <w:rsid w:val="00D10CBC"/>
    <w:rsid w:val="00D10D59"/>
    <w:rsid w:val="00D10DBA"/>
    <w:rsid w:val="00D10F32"/>
    <w:rsid w:val="00D10FA8"/>
    <w:rsid w:val="00D10FAC"/>
    <w:rsid w:val="00D10FBD"/>
    <w:rsid w:val="00D10FDD"/>
    <w:rsid w:val="00D10FE9"/>
    <w:rsid w:val="00D1103A"/>
    <w:rsid w:val="00D110BF"/>
    <w:rsid w:val="00D11103"/>
    <w:rsid w:val="00D11136"/>
    <w:rsid w:val="00D1117E"/>
    <w:rsid w:val="00D11262"/>
    <w:rsid w:val="00D11272"/>
    <w:rsid w:val="00D113B3"/>
    <w:rsid w:val="00D115D6"/>
    <w:rsid w:val="00D115F6"/>
    <w:rsid w:val="00D11626"/>
    <w:rsid w:val="00D11634"/>
    <w:rsid w:val="00D11709"/>
    <w:rsid w:val="00D11842"/>
    <w:rsid w:val="00D11882"/>
    <w:rsid w:val="00D11992"/>
    <w:rsid w:val="00D11A39"/>
    <w:rsid w:val="00D11A54"/>
    <w:rsid w:val="00D11A59"/>
    <w:rsid w:val="00D11BA3"/>
    <w:rsid w:val="00D11BB3"/>
    <w:rsid w:val="00D11BFB"/>
    <w:rsid w:val="00D11CCE"/>
    <w:rsid w:val="00D11D26"/>
    <w:rsid w:val="00D11EF1"/>
    <w:rsid w:val="00D11F82"/>
    <w:rsid w:val="00D11FED"/>
    <w:rsid w:val="00D12042"/>
    <w:rsid w:val="00D120BB"/>
    <w:rsid w:val="00D12167"/>
    <w:rsid w:val="00D12257"/>
    <w:rsid w:val="00D122FD"/>
    <w:rsid w:val="00D1236C"/>
    <w:rsid w:val="00D1241C"/>
    <w:rsid w:val="00D12431"/>
    <w:rsid w:val="00D12478"/>
    <w:rsid w:val="00D12552"/>
    <w:rsid w:val="00D1256B"/>
    <w:rsid w:val="00D125D6"/>
    <w:rsid w:val="00D125D7"/>
    <w:rsid w:val="00D1265E"/>
    <w:rsid w:val="00D1267A"/>
    <w:rsid w:val="00D126AC"/>
    <w:rsid w:val="00D12824"/>
    <w:rsid w:val="00D12886"/>
    <w:rsid w:val="00D1288F"/>
    <w:rsid w:val="00D128ED"/>
    <w:rsid w:val="00D1290A"/>
    <w:rsid w:val="00D12923"/>
    <w:rsid w:val="00D12924"/>
    <w:rsid w:val="00D129D5"/>
    <w:rsid w:val="00D129DC"/>
    <w:rsid w:val="00D12A40"/>
    <w:rsid w:val="00D12B08"/>
    <w:rsid w:val="00D12B62"/>
    <w:rsid w:val="00D12B64"/>
    <w:rsid w:val="00D12BBB"/>
    <w:rsid w:val="00D12BC2"/>
    <w:rsid w:val="00D12C2C"/>
    <w:rsid w:val="00D12C59"/>
    <w:rsid w:val="00D12D20"/>
    <w:rsid w:val="00D12D3F"/>
    <w:rsid w:val="00D12F16"/>
    <w:rsid w:val="00D12FB9"/>
    <w:rsid w:val="00D12FD2"/>
    <w:rsid w:val="00D1302B"/>
    <w:rsid w:val="00D13079"/>
    <w:rsid w:val="00D13161"/>
    <w:rsid w:val="00D13184"/>
    <w:rsid w:val="00D131AE"/>
    <w:rsid w:val="00D131DC"/>
    <w:rsid w:val="00D13222"/>
    <w:rsid w:val="00D13249"/>
    <w:rsid w:val="00D1331F"/>
    <w:rsid w:val="00D13422"/>
    <w:rsid w:val="00D13468"/>
    <w:rsid w:val="00D13482"/>
    <w:rsid w:val="00D134B1"/>
    <w:rsid w:val="00D1350C"/>
    <w:rsid w:val="00D13542"/>
    <w:rsid w:val="00D13590"/>
    <w:rsid w:val="00D135DB"/>
    <w:rsid w:val="00D1361D"/>
    <w:rsid w:val="00D1362A"/>
    <w:rsid w:val="00D13647"/>
    <w:rsid w:val="00D13663"/>
    <w:rsid w:val="00D1368F"/>
    <w:rsid w:val="00D136D0"/>
    <w:rsid w:val="00D13863"/>
    <w:rsid w:val="00D1386E"/>
    <w:rsid w:val="00D138E9"/>
    <w:rsid w:val="00D13907"/>
    <w:rsid w:val="00D13922"/>
    <w:rsid w:val="00D139C9"/>
    <w:rsid w:val="00D13B16"/>
    <w:rsid w:val="00D13B1C"/>
    <w:rsid w:val="00D13BB5"/>
    <w:rsid w:val="00D13C22"/>
    <w:rsid w:val="00D13C60"/>
    <w:rsid w:val="00D13CC4"/>
    <w:rsid w:val="00D13D77"/>
    <w:rsid w:val="00D13D9B"/>
    <w:rsid w:val="00D13E8A"/>
    <w:rsid w:val="00D13F01"/>
    <w:rsid w:val="00D13F5F"/>
    <w:rsid w:val="00D13F70"/>
    <w:rsid w:val="00D13FB7"/>
    <w:rsid w:val="00D1415D"/>
    <w:rsid w:val="00D14174"/>
    <w:rsid w:val="00D14233"/>
    <w:rsid w:val="00D14238"/>
    <w:rsid w:val="00D14264"/>
    <w:rsid w:val="00D142B1"/>
    <w:rsid w:val="00D1430C"/>
    <w:rsid w:val="00D14397"/>
    <w:rsid w:val="00D1440E"/>
    <w:rsid w:val="00D1441A"/>
    <w:rsid w:val="00D14429"/>
    <w:rsid w:val="00D14459"/>
    <w:rsid w:val="00D14462"/>
    <w:rsid w:val="00D1446D"/>
    <w:rsid w:val="00D14519"/>
    <w:rsid w:val="00D1460B"/>
    <w:rsid w:val="00D14631"/>
    <w:rsid w:val="00D1468A"/>
    <w:rsid w:val="00D14716"/>
    <w:rsid w:val="00D147B8"/>
    <w:rsid w:val="00D147D6"/>
    <w:rsid w:val="00D147F1"/>
    <w:rsid w:val="00D147F3"/>
    <w:rsid w:val="00D1484A"/>
    <w:rsid w:val="00D148FF"/>
    <w:rsid w:val="00D14919"/>
    <w:rsid w:val="00D149BD"/>
    <w:rsid w:val="00D149F9"/>
    <w:rsid w:val="00D14A04"/>
    <w:rsid w:val="00D14A4E"/>
    <w:rsid w:val="00D14A89"/>
    <w:rsid w:val="00D14B36"/>
    <w:rsid w:val="00D14B4A"/>
    <w:rsid w:val="00D14BF0"/>
    <w:rsid w:val="00D14CEC"/>
    <w:rsid w:val="00D14D70"/>
    <w:rsid w:val="00D14E1A"/>
    <w:rsid w:val="00D14E52"/>
    <w:rsid w:val="00D14F04"/>
    <w:rsid w:val="00D14F08"/>
    <w:rsid w:val="00D14F47"/>
    <w:rsid w:val="00D14FEB"/>
    <w:rsid w:val="00D1514C"/>
    <w:rsid w:val="00D151B9"/>
    <w:rsid w:val="00D151C3"/>
    <w:rsid w:val="00D153B2"/>
    <w:rsid w:val="00D15407"/>
    <w:rsid w:val="00D15446"/>
    <w:rsid w:val="00D154D1"/>
    <w:rsid w:val="00D15557"/>
    <w:rsid w:val="00D1556C"/>
    <w:rsid w:val="00D15592"/>
    <w:rsid w:val="00D155CD"/>
    <w:rsid w:val="00D155DB"/>
    <w:rsid w:val="00D1577F"/>
    <w:rsid w:val="00D1585C"/>
    <w:rsid w:val="00D15897"/>
    <w:rsid w:val="00D1589E"/>
    <w:rsid w:val="00D158DD"/>
    <w:rsid w:val="00D158FA"/>
    <w:rsid w:val="00D1592D"/>
    <w:rsid w:val="00D15944"/>
    <w:rsid w:val="00D15989"/>
    <w:rsid w:val="00D15A43"/>
    <w:rsid w:val="00D15A53"/>
    <w:rsid w:val="00D15A65"/>
    <w:rsid w:val="00D15A73"/>
    <w:rsid w:val="00D15A9D"/>
    <w:rsid w:val="00D15AC5"/>
    <w:rsid w:val="00D15B72"/>
    <w:rsid w:val="00D15BB2"/>
    <w:rsid w:val="00D15D88"/>
    <w:rsid w:val="00D15DF9"/>
    <w:rsid w:val="00D15E2B"/>
    <w:rsid w:val="00D15E2C"/>
    <w:rsid w:val="00D15ECB"/>
    <w:rsid w:val="00D15ED6"/>
    <w:rsid w:val="00D16004"/>
    <w:rsid w:val="00D1610D"/>
    <w:rsid w:val="00D16258"/>
    <w:rsid w:val="00D162F1"/>
    <w:rsid w:val="00D16461"/>
    <w:rsid w:val="00D16526"/>
    <w:rsid w:val="00D165B4"/>
    <w:rsid w:val="00D16648"/>
    <w:rsid w:val="00D167BF"/>
    <w:rsid w:val="00D167EA"/>
    <w:rsid w:val="00D16858"/>
    <w:rsid w:val="00D16916"/>
    <w:rsid w:val="00D16A43"/>
    <w:rsid w:val="00D16AD8"/>
    <w:rsid w:val="00D16B0F"/>
    <w:rsid w:val="00D16B30"/>
    <w:rsid w:val="00D16B8A"/>
    <w:rsid w:val="00D16BBB"/>
    <w:rsid w:val="00D16C4B"/>
    <w:rsid w:val="00D16D5B"/>
    <w:rsid w:val="00D16DA2"/>
    <w:rsid w:val="00D16E40"/>
    <w:rsid w:val="00D16F05"/>
    <w:rsid w:val="00D16FD3"/>
    <w:rsid w:val="00D17098"/>
    <w:rsid w:val="00D1716C"/>
    <w:rsid w:val="00D17269"/>
    <w:rsid w:val="00D17329"/>
    <w:rsid w:val="00D17348"/>
    <w:rsid w:val="00D17451"/>
    <w:rsid w:val="00D1747E"/>
    <w:rsid w:val="00D1748E"/>
    <w:rsid w:val="00D1749C"/>
    <w:rsid w:val="00D174B3"/>
    <w:rsid w:val="00D17529"/>
    <w:rsid w:val="00D17558"/>
    <w:rsid w:val="00D17582"/>
    <w:rsid w:val="00D175CA"/>
    <w:rsid w:val="00D17660"/>
    <w:rsid w:val="00D176BE"/>
    <w:rsid w:val="00D17746"/>
    <w:rsid w:val="00D1786C"/>
    <w:rsid w:val="00D178F7"/>
    <w:rsid w:val="00D17A08"/>
    <w:rsid w:val="00D17A44"/>
    <w:rsid w:val="00D17A5F"/>
    <w:rsid w:val="00D17B0F"/>
    <w:rsid w:val="00D17B1F"/>
    <w:rsid w:val="00D17B24"/>
    <w:rsid w:val="00D17B4A"/>
    <w:rsid w:val="00D17B6E"/>
    <w:rsid w:val="00D17BA6"/>
    <w:rsid w:val="00D17CAB"/>
    <w:rsid w:val="00D17CCD"/>
    <w:rsid w:val="00D17CD3"/>
    <w:rsid w:val="00D17CEB"/>
    <w:rsid w:val="00D17D2A"/>
    <w:rsid w:val="00D17E27"/>
    <w:rsid w:val="00D17E69"/>
    <w:rsid w:val="00D17E7D"/>
    <w:rsid w:val="00D200A3"/>
    <w:rsid w:val="00D200AE"/>
    <w:rsid w:val="00D20160"/>
    <w:rsid w:val="00D2017C"/>
    <w:rsid w:val="00D20208"/>
    <w:rsid w:val="00D2029E"/>
    <w:rsid w:val="00D20320"/>
    <w:rsid w:val="00D203CC"/>
    <w:rsid w:val="00D203F1"/>
    <w:rsid w:val="00D204FD"/>
    <w:rsid w:val="00D205A1"/>
    <w:rsid w:val="00D205A2"/>
    <w:rsid w:val="00D205AA"/>
    <w:rsid w:val="00D20624"/>
    <w:rsid w:val="00D2064B"/>
    <w:rsid w:val="00D20678"/>
    <w:rsid w:val="00D20689"/>
    <w:rsid w:val="00D20794"/>
    <w:rsid w:val="00D2081D"/>
    <w:rsid w:val="00D20847"/>
    <w:rsid w:val="00D20885"/>
    <w:rsid w:val="00D20908"/>
    <w:rsid w:val="00D20914"/>
    <w:rsid w:val="00D20973"/>
    <w:rsid w:val="00D2098F"/>
    <w:rsid w:val="00D2099A"/>
    <w:rsid w:val="00D20B00"/>
    <w:rsid w:val="00D20C65"/>
    <w:rsid w:val="00D20C71"/>
    <w:rsid w:val="00D20CCD"/>
    <w:rsid w:val="00D20D62"/>
    <w:rsid w:val="00D20EED"/>
    <w:rsid w:val="00D20F4B"/>
    <w:rsid w:val="00D20F77"/>
    <w:rsid w:val="00D20FC3"/>
    <w:rsid w:val="00D21059"/>
    <w:rsid w:val="00D2114F"/>
    <w:rsid w:val="00D21166"/>
    <w:rsid w:val="00D2122E"/>
    <w:rsid w:val="00D2123D"/>
    <w:rsid w:val="00D21267"/>
    <w:rsid w:val="00D21347"/>
    <w:rsid w:val="00D21449"/>
    <w:rsid w:val="00D2145B"/>
    <w:rsid w:val="00D21499"/>
    <w:rsid w:val="00D2149A"/>
    <w:rsid w:val="00D21644"/>
    <w:rsid w:val="00D2192E"/>
    <w:rsid w:val="00D2196E"/>
    <w:rsid w:val="00D2198E"/>
    <w:rsid w:val="00D21A2A"/>
    <w:rsid w:val="00D21AF4"/>
    <w:rsid w:val="00D21AF5"/>
    <w:rsid w:val="00D21B07"/>
    <w:rsid w:val="00D21B45"/>
    <w:rsid w:val="00D21C03"/>
    <w:rsid w:val="00D21C8F"/>
    <w:rsid w:val="00D21D58"/>
    <w:rsid w:val="00D21EB3"/>
    <w:rsid w:val="00D21F02"/>
    <w:rsid w:val="00D21F61"/>
    <w:rsid w:val="00D21FDC"/>
    <w:rsid w:val="00D22130"/>
    <w:rsid w:val="00D22181"/>
    <w:rsid w:val="00D2219B"/>
    <w:rsid w:val="00D2223E"/>
    <w:rsid w:val="00D22243"/>
    <w:rsid w:val="00D222AD"/>
    <w:rsid w:val="00D222D1"/>
    <w:rsid w:val="00D222E1"/>
    <w:rsid w:val="00D222E9"/>
    <w:rsid w:val="00D2235B"/>
    <w:rsid w:val="00D223B2"/>
    <w:rsid w:val="00D224B2"/>
    <w:rsid w:val="00D22565"/>
    <w:rsid w:val="00D2256F"/>
    <w:rsid w:val="00D22625"/>
    <w:rsid w:val="00D22676"/>
    <w:rsid w:val="00D226CF"/>
    <w:rsid w:val="00D2270B"/>
    <w:rsid w:val="00D2270C"/>
    <w:rsid w:val="00D2289C"/>
    <w:rsid w:val="00D22927"/>
    <w:rsid w:val="00D22946"/>
    <w:rsid w:val="00D22A1B"/>
    <w:rsid w:val="00D22A29"/>
    <w:rsid w:val="00D22A4C"/>
    <w:rsid w:val="00D22AB0"/>
    <w:rsid w:val="00D22ABE"/>
    <w:rsid w:val="00D22B1A"/>
    <w:rsid w:val="00D22CC1"/>
    <w:rsid w:val="00D22CD3"/>
    <w:rsid w:val="00D22E49"/>
    <w:rsid w:val="00D22E4F"/>
    <w:rsid w:val="00D22E77"/>
    <w:rsid w:val="00D22EEE"/>
    <w:rsid w:val="00D22FB5"/>
    <w:rsid w:val="00D22FC4"/>
    <w:rsid w:val="00D22FCB"/>
    <w:rsid w:val="00D23108"/>
    <w:rsid w:val="00D23195"/>
    <w:rsid w:val="00D231C7"/>
    <w:rsid w:val="00D232A9"/>
    <w:rsid w:val="00D2330F"/>
    <w:rsid w:val="00D233BE"/>
    <w:rsid w:val="00D23458"/>
    <w:rsid w:val="00D235C7"/>
    <w:rsid w:val="00D2364E"/>
    <w:rsid w:val="00D23745"/>
    <w:rsid w:val="00D238C7"/>
    <w:rsid w:val="00D2393F"/>
    <w:rsid w:val="00D23A25"/>
    <w:rsid w:val="00D23A61"/>
    <w:rsid w:val="00D23AEF"/>
    <w:rsid w:val="00D23AF1"/>
    <w:rsid w:val="00D23B6A"/>
    <w:rsid w:val="00D23BB7"/>
    <w:rsid w:val="00D23BE6"/>
    <w:rsid w:val="00D23C04"/>
    <w:rsid w:val="00D23C73"/>
    <w:rsid w:val="00D23CD7"/>
    <w:rsid w:val="00D23D27"/>
    <w:rsid w:val="00D23E90"/>
    <w:rsid w:val="00D23EC3"/>
    <w:rsid w:val="00D23F4A"/>
    <w:rsid w:val="00D23F9B"/>
    <w:rsid w:val="00D2402A"/>
    <w:rsid w:val="00D24049"/>
    <w:rsid w:val="00D24143"/>
    <w:rsid w:val="00D241A5"/>
    <w:rsid w:val="00D242B3"/>
    <w:rsid w:val="00D24450"/>
    <w:rsid w:val="00D2445A"/>
    <w:rsid w:val="00D2446B"/>
    <w:rsid w:val="00D244BC"/>
    <w:rsid w:val="00D2451E"/>
    <w:rsid w:val="00D245C5"/>
    <w:rsid w:val="00D24662"/>
    <w:rsid w:val="00D24676"/>
    <w:rsid w:val="00D246A9"/>
    <w:rsid w:val="00D2471C"/>
    <w:rsid w:val="00D24756"/>
    <w:rsid w:val="00D247C1"/>
    <w:rsid w:val="00D247E2"/>
    <w:rsid w:val="00D24813"/>
    <w:rsid w:val="00D2485D"/>
    <w:rsid w:val="00D248BB"/>
    <w:rsid w:val="00D249AB"/>
    <w:rsid w:val="00D24A89"/>
    <w:rsid w:val="00D24B4E"/>
    <w:rsid w:val="00D24BFE"/>
    <w:rsid w:val="00D24C8C"/>
    <w:rsid w:val="00D24CA2"/>
    <w:rsid w:val="00D24CD1"/>
    <w:rsid w:val="00D24CF6"/>
    <w:rsid w:val="00D24D88"/>
    <w:rsid w:val="00D24DB8"/>
    <w:rsid w:val="00D24E0A"/>
    <w:rsid w:val="00D24E4E"/>
    <w:rsid w:val="00D24F11"/>
    <w:rsid w:val="00D24F35"/>
    <w:rsid w:val="00D24FFA"/>
    <w:rsid w:val="00D250CD"/>
    <w:rsid w:val="00D251E6"/>
    <w:rsid w:val="00D251FE"/>
    <w:rsid w:val="00D25230"/>
    <w:rsid w:val="00D254BC"/>
    <w:rsid w:val="00D254BE"/>
    <w:rsid w:val="00D2550B"/>
    <w:rsid w:val="00D255E0"/>
    <w:rsid w:val="00D256D9"/>
    <w:rsid w:val="00D2571C"/>
    <w:rsid w:val="00D25753"/>
    <w:rsid w:val="00D257E9"/>
    <w:rsid w:val="00D25804"/>
    <w:rsid w:val="00D25809"/>
    <w:rsid w:val="00D25843"/>
    <w:rsid w:val="00D2585A"/>
    <w:rsid w:val="00D25977"/>
    <w:rsid w:val="00D259CF"/>
    <w:rsid w:val="00D25ABA"/>
    <w:rsid w:val="00D25AE8"/>
    <w:rsid w:val="00D25BAF"/>
    <w:rsid w:val="00D25BCB"/>
    <w:rsid w:val="00D25C5F"/>
    <w:rsid w:val="00D25CA0"/>
    <w:rsid w:val="00D25CC4"/>
    <w:rsid w:val="00D25CD3"/>
    <w:rsid w:val="00D25E71"/>
    <w:rsid w:val="00D25E93"/>
    <w:rsid w:val="00D25E9F"/>
    <w:rsid w:val="00D25ECC"/>
    <w:rsid w:val="00D25F08"/>
    <w:rsid w:val="00D25F97"/>
    <w:rsid w:val="00D26063"/>
    <w:rsid w:val="00D2608F"/>
    <w:rsid w:val="00D260F2"/>
    <w:rsid w:val="00D26107"/>
    <w:rsid w:val="00D26108"/>
    <w:rsid w:val="00D2612A"/>
    <w:rsid w:val="00D262AE"/>
    <w:rsid w:val="00D262B6"/>
    <w:rsid w:val="00D262D0"/>
    <w:rsid w:val="00D263F0"/>
    <w:rsid w:val="00D2648B"/>
    <w:rsid w:val="00D264F1"/>
    <w:rsid w:val="00D2653D"/>
    <w:rsid w:val="00D26672"/>
    <w:rsid w:val="00D266FE"/>
    <w:rsid w:val="00D267D8"/>
    <w:rsid w:val="00D26830"/>
    <w:rsid w:val="00D2698D"/>
    <w:rsid w:val="00D269AF"/>
    <w:rsid w:val="00D269FF"/>
    <w:rsid w:val="00D26AC3"/>
    <w:rsid w:val="00D26AD3"/>
    <w:rsid w:val="00D26B18"/>
    <w:rsid w:val="00D26BD4"/>
    <w:rsid w:val="00D26BDA"/>
    <w:rsid w:val="00D26BEF"/>
    <w:rsid w:val="00D26C4F"/>
    <w:rsid w:val="00D26C8D"/>
    <w:rsid w:val="00D26CDF"/>
    <w:rsid w:val="00D26D55"/>
    <w:rsid w:val="00D26DAF"/>
    <w:rsid w:val="00D26DC9"/>
    <w:rsid w:val="00D26E40"/>
    <w:rsid w:val="00D26EE4"/>
    <w:rsid w:val="00D26F01"/>
    <w:rsid w:val="00D26F10"/>
    <w:rsid w:val="00D26F4D"/>
    <w:rsid w:val="00D26F73"/>
    <w:rsid w:val="00D26FBD"/>
    <w:rsid w:val="00D26FFE"/>
    <w:rsid w:val="00D270AB"/>
    <w:rsid w:val="00D2717C"/>
    <w:rsid w:val="00D2718F"/>
    <w:rsid w:val="00D2719A"/>
    <w:rsid w:val="00D2724B"/>
    <w:rsid w:val="00D27277"/>
    <w:rsid w:val="00D272B8"/>
    <w:rsid w:val="00D272BF"/>
    <w:rsid w:val="00D2746D"/>
    <w:rsid w:val="00D274A7"/>
    <w:rsid w:val="00D274AC"/>
    <w:rsid w:val="00D274DD"/>
    <w:rsid w:val="00D274FF"/>
    <w:rsid w:val="00D27557"/>
    <w:rsid w:val="00D275B5"/>
    <w:rsid w:val="00D27622"/>
    <w:rsid w:val="00D2765E"/>
    <w:rsid w:val="00D276CB"/>
    <w:rsid w:val="00D276E2"/>
    <w:rsid w:val="00D27704"/>
    <w:rsid w:val="00D27729"/>
    <w:rsid w:val="00D27738"/>
    <w:rsid w:val="00D27771"/>
    <w:rsid w:val="00D2778F"/>
    <w:rsid w:val="00D2779F"/>
    <w:rsid w:val="00D278AA"/>
    <w:rsid w:val="00D27A8B"/>
    <w:rsid w:val="00D27BC2"/>
    <w:rsid w:val="00D27C38"/>
    <w:rsid w:val="00D27C62"/>
    <w:rsid w:val="00D27C83"/>
    <w:rsid w:val="00D27C89"/>
    <w:rsid w:val="00D27D96"/>
    <w:rsid w:val="00D27DB9"/>
    <w:rsid w:val="00D27E8A"/>
    <w:rsid w:val="00D27F4D"/>
    <w:rsid w:val="00D27FFE"/>
    <w:rsid w:val="00D30003"/>
    <w:rsid w:val="00D30055"/>
    <w:rsid w:val="00D3013F"/>
    <w:rsid w:val="00D30312"/>
    <w:rsid w:val="00D3036A"/>
    <w:rsid w:val="00D303A6"/>
    <w:rsid w:val="00D303AE"/>
    <w:rsid w:val="00D30441"/>
    <w:rsid w:val="00D3044F"/>
    <w:rsid w:val="00D30497"/>
    <w:rsid w:val="00D30502"/>
    <w:rsid w:val="00D30505"/>
    <w:rsid w:val="00D305AD"/>
    <w:rsid w:val="00D306AB"/>
    <w:rsid w:val="00D3076A"/>
    <w:rsid w:val="00D307B7"/>
    <w:rsid w:val="00D30878"/>
    <w:rsid w:val="00D308D3"/>
    <w:rsid w:val="00D3093E"/>
    <w:rsid w:val="00D3094A"/>
    <w:rsid w:val="00D309C3"/>
    <w:rsid w:val="00D30B93"/>
    <w:rsid w:val="00D30BBF"/>
    <w:rsid w:val="00D30C05"/>
    <w:rsid w:val="00D30C21"/>
    <w:rsid w:val="00D30C51"/>
    <w:rsid w:val="00D30C8A"/>
    <w:rsid w:val="00D30C96"/>
    <w:rsid w:val="00D30D7A"/>
    <w:rsid w:val="00D30DE0"/>
    <w:rsid w:val="00D30E69"/>
    <w:rsid w:val="00D30EC9"/>
    <w:rsid w:val="00D30F68"/>
    <w:rsid w:val="00D30FCB"/>
    <w:rsid w:val="00D31064"/>
    <w:rsid w:val="00D31153"/>
    <w:rsid w:val="00D31182"/>
    <w:rsid w:val="00D311BE"/>
    <w:rsid w:val="00D3122C"/>
    <w:rsid w:val="00D31243"/>
    <w:rsid w:val="00D31261"/>
    <w:rsid w:val="00D3128A"/>
    <w:rsid w:val="00D314B0"/>
    <w:rsid w:val="00D31567"/>
    <w:rsid w:val="00D315E2"/>
    <w:rsid w:val="00D31608"/>
    <w:rsid w:val="00D31715"/>
    <w:rsid w:val="00D31746"/>
    <w:rsid w:val="00D317A8"/>
    <w:rsid w:val="00D317FE"/>
    <w:rsid w:val="00D318B4"/>
    <w:rsid w:val="00D318D6"/>
    <w:rsid w:val="00D318FF"/>
    <w:rsid w:val="00D3197E"/>
    <w:rsid w:val="00D31998"/>
    <w:rsid w:val="00D31ACD"/>
    <w:rsid w:val="00D31B1C"/>
    <w:rsid w:val="00D31BF5"/>
    <w:rsid w:val="00D31DEE"/>
    <w:rsid w:val="00D31E2A"/>
    <w:rsid w:val="00D31E8D"/>
    <w:rsid w:val="00D31EBB"/>
    <w:rsid w:val="00D31F47"/>
    <w:rsid w:val="00D31F9D"/>
    <w:rsid w:val="00D31FEC"/>
    <w:rsid w:val="00D31FF6"/>
    <w:rsid w:val="00D32019"/>
    <w:rsid w:val="00D32090"/>
    <w:rsid w:val="00D32138"/>
    <w:rsid w:val="00D3223E"/>
    <w:rsid w:val="00D3226B"/>
    <w:rsid w:val="00D322D8"/>
    <w:rsid w:val="00D322DC"/>
    <w:rsid w:val="00D32449"/>
    <w:rsid w:val="00D32512"/>
    <w:rsid w:val="00D3257D"/>
    <w:rsid w:val="00D325A4"/>
    <w:rsid w:val="00D3265B"/>
    <w:rsid w:val="00D32681"/>
    <w:rsid w:val="00D326CC"/>
    <w:rsid w:val="00D326F5"/>
    <w:rsid w:val="00D32705"/>
    <w:rsid w:val="00D3282B"/>
    <w:rsid w:val="00D3283D"/>
    <w:rsid w:val="00D328F6"/>
    <w:rsid w:val="00D3296D"/>
    <w:rsid w:val="00D32980"/>
    <w:rsid w:val="00D329B9"/>
    <w:rsid w:val="00D32ACB"/>
    <w:rsid w:val="00D32B2A"/>
    <w:rsid w:val="00D32B84"/>
    <w:rsid w:val="00D32BD3"/>
    <w:rsid w:val="00D32C1F"/>
    <w:rsid w:val="00D32CA1"/>
    <w:rsid w:val="00D32CCA"/>
    <w:rsid w:val="00D32D0F"/>
    <w:rsid w:val="00D32D5B"/>
    <w:rsid w:val="00D32EB6"/>
    <w:rsid w:val="00D32EEB"/>
    <w:rsid w:val="00D32F47"/>
    <w:rsid w:val="00D32F6F"/>
    <w:rsid w:val="00D32F76"/>
    <w:rsid w:val="00D32F9D"/>
    <w:rsid w:val="00D32FCE"/>
    <w:rsid w:val="00D32FEF"/>
    <w:rsid w:val="00D32FF4"/>
    <w:rsid w:val="00D33047"/>
    <w:rsid w:val="00D33094"/>
    <w:rsid w:val="00D330CF"/>
    <w:rsid w:val="00D33121"/>
    <w:rsid w:val="00D33149"/>
    <w:rsid w:val="00D3347E"/>
    <w:rsid w:val="00D33483"/>
    <w:rsid w:val="00D33485"/>
    <w:rsid w:val="00D33535"/>
    <w:rsid w:val="00D33550"/>
    <w:rsid w:val="00D335CD"/>
    <w:rsid w:val="00D33695"/>
    <w:rsid w:val="00D33734"/>
    <w:rsid w:val="00D33747"/>
    <w:rsid w:val="00D33782"/>
    <w:rsid w:val="00D33840"/>
    <w:rsid w:val="00D33884"/>
    <w:rsid w:val="00D338AC"/>
    <w:rsid w:val="00D338C9"/>
    <w:rsid w:val="00D3394F"/>
    <w:rsid w:val="00D3395D"/>
    <w:rsid w:val="00D33995"/>
    <w:rsid w:val="00D339E9"/>
    <w:rsid w:val="00D33A67"/>
    <w:rsid w:val="00D33B0D"/>
    <w:rsid w:val="00D33D21"/>
    <w:rsid w:val="00D33D29"/>
    <w:rsid w:val="00D33DBC"/>
    <w:rsid w:val="00D33EAA"/>
    <w:rsid w:val="00D33EFE"/>
    <w:rsid w:val="00D33F6B"/>
    <w:rsid w:val="00D33FD2"/>
    <w:rsid w:val="00D340AE"/>
    <w:rsid w:val="00D3410D"/>
    <w:rsid w:val="00D34157"/>
    <w:rsid w:val="00D3417B"/>
    <w:rsid w:val="00D341CB"/>
    <w:rsid w:val="00D341D6"/>
    <w:rsid w:val="00D341DB"/>
    <w:rsid w:val="00D34247"/>
    <w:rsid w:val="00D34265"/>
    <w:rsid w:val="00D34283"/>
    <w:rsid w:val="00D342EB"/>
    <w:rsid w:val="00D3432B"/>
    <w:rsid w:val="00D34352"/>
    <w:rsid w:val="00D34384"/>
    <w:rsid w:val="00D3438E"/>
    <w:rsid w:val="00D343F2"/>
    <w:rsid w:val="00D3452A"/>
    <w:rsid w:val="00D3455A"/>
    <w:rsid w:val="00D34614"/>
    <w:rsid w:val="00D34642"/>
    <w:rsid w:val="00D34712"/>
    <w:rsid w:val="00D3476B"/>
    <w:rsid w:val="00D34830"/>
    <w:rsid w:val="00D348AF"/>
    <w:rsid w:val="00D3490C"/>
    <w:rsid w:val="00D34953"/>
    <w:rsid w:val="00D34A3E"/>
    <w:rsid w:val="00D34A89"/>
    <w:rsid w:val="00D34B64"/>
    <w:rsid w:val="00D34C7E"/>
    <w:rsid w:val="00D34C81"/>
    <w:rsid w:val="00D34CB0"/>
    <w:rsid w:val="00D34D30"/>
    <w:rsid w:val="00D34DB3"/>
    <w:rsid w:val="00D34DC9"/>
    <w:rsid w:val="00D34DEF"/>
    <w:rsid w:val="00D34EEE"/>
    <w:rsid w:val="00D34F1F"/>
    <w:rsid w:val="00D34F32"/>
    <w:rsid w:val="00D34F34"/>
    <w:rsid w:val="00D34F94"/>
    <w:rsid w:val="00D34F9A"/>
    <w:rsid w:val="00D3507C"/>
    <w:rsid w:val="00D35084"/>
    <w:rsid w:val="00D35086"/>
    <w:rsid w:val="00D3511C"/>
    <w:rsid w:val="00D351E6"/>
    <w:rsid w:val="00D3536B"/>
    <w:rsid w:val="00D35470"/>
    <w:rsid w:val="00D35511"/>
    <w:rsid w:val="00D3560B"/>
    <w:rsid w:val="00D35686"/>
    <w:rsid w:val="00D356F6"/>
    <w:rsid w:val="00D358B5"/>
    <w:rsid w:val="00D35B0F"/>
    <w:rsid w:val="00D35B29"/>
    <w:rsid w:val="00D35C36"/>
    <w:rsid w:val="00D35C52"/>
    <w:rsid w:val="00D35D54"/>
    <w:rsid w:val="00D35DA2"/>
    <w:rsid w:val="00D35DA4"/>
    <w:rsid w:val="00D35DBD"/>
    <w:rsid w:val="00D35E3A"/>
    <w:rsid w:val="00D35EAB"/>
    <w:rsid w:val="00D35F1F"/>
    <w:rsid w:val="00D35F41"/>
    <w:rsid w:val="00D35F49"/>
    <w:rsid w:val="00D36088"/>
    <w:rsid w:val="00D360E9"/>
    <w:rsid w:val="00D361D6"/>
    <w:rsid w:val="00D362C7"/>
    <w:rsid w:val="00D36370"/>
    <w:rsid w:val="00D3638A"/>
    <w:rsid w:val="00D363EA"/>
    <w:rsid w:val="00D3642B"/>
    <w:rsid w:val="00D36433"/>
    <w:rsid w:val="00D364AB"/>
    <w:rsid w:val="00D36529"/>
    <w:rsid w:val="00D36611"/>
    <w:rsid w:val="00D3667E"/>
    <w:rsid w:val="00D366E0"/>
    <w:rsid w:val="00D36705"/>
    <w:rsid w:val="00D36707"/>
    <w:rsid w:val="00D367B0"/>
    <w:rsid w:val="00D367BB"/>
    <w:rsid w:val="00D367EF"/>
    <w:rsid w:val="00D368B0"/>
    <w:rsid w:val="00D36929"/>
    <w:rsid w:val="00D36935"/>
    <w:rsid w:val="00D369DF"/>
    <w:rsid w:val="00D369FF"/>
    <w:rsid w:val="00D36AD6"/>
    <w:rsid w:val="00D36B1B"/>
    <w:rsid w:val="00D36B60"/>
    <w:rsid w:val="00D36B89"/>
    <w:rsid w:val="00D36BC2"/>
    <w:rsid w:val="00D36BF0"/>
    <w:rsid w:val="00D36BF8"/>
    <w:rsid w:val="00D36C64"/>
    <w:rsid w:val="00D36C6C"/>
    <w:rsid w:val="00D36CA2"/>
    <w:rsid w:val="00D36CE3"/>
    <w:rsid w:val="00D36D4D"/>
    <w:rsid w:val="00D36D8E"/>
    <w:rsid w:val="00D36DCE"/>
    <w:rsid w:val="00D36DDE"/>
    <w:rsid w:val="00D36DFD"/>
    <w:rsid w:val="00D36EEF"/>
    <w:rsid w:val="00D36F4E"/>
    <w:rsid w:val="00D36FF1"/>
    <w:rsid w:val="00D3703E"/>
    <w:rsid w:val="00D370E6"/>
    <w:rsid w:val="00D370FE"/>
    <w:rsid w:val="00D3711E"/>
    <w:rsid w:val="00D37179"/>
    <w:rsid w:val="00D371B8"/>
    <w:rsid w:val="00D372AA"/>
    <w:rsid w:val="00D372CE"/>
    <w:rsid w:val="00D372DC"/>
    <w:rsid w:val="00D37408"/>
    <w:rsid w:val="00D374D2"/>
    <w:rsid w:val="00D37516"/>
    <w:rsid w:val="00D3753C"/>
    <w:rsid w:val="00D37562"/>
    <w:rsid w:val="00D37648"/>
    <w:rsid w:val="00D37651"/>
    <w:rsid w:val="00D3765A"/>
    <w:rsid w:val="00D3767C"/>
    <w:rsid w:val="00D3767F"/>
    <w:rsid w:val="00D37746"/>
    <w:rsid w:val="00D3779D"/>
    <w:rsid w:val="00D37837"/>
    <w:rsid w:val="00D3784E"/>
    <w:rsid w:val="00D378D2"/>
    <w:rsid w:val="00D378E7"/>
    <w:rsid w:val="00D3790E"/>
    <w:rsid w:val="00D379BA"/>
    <w:rsid w:val="00D379E2"/>
    <w:rsid w:val="00D37A3C"/>
    <w:rsid w:val="00D37A6B"/>
    <w:rsid w:val="00D37ADC"/>
    <w:rsid w:val="00D37B9C"/>
    <w:rsid w:val="00D37BE9"/>
    <w:rsid w:val="00D37C38"/>
    <w:rsid w:val="00D37C6B"/>
    <w:rsid w:val="00D37D71"/>
    <w:rsid w:val="00D37DE7"/>
    <w:rsid w:val="00D37E12"/>
    <w:rsid w:val="00D37F9C"/>
    <w:rsid w:val="00D37FA9"/>
    <w:rsid w:val="00D400ED"/>
    <w:rsid w:val="00D40101"/>
    <w:rsid w:val="00D40169"/>
    <w:rsid w:val="00D401CD"/>
    <w:rsid w:val="00D40228"/>
    <w:rsid w:val="00D4022B"/>
    <w:rsid w:val="00D40381"/>
    <w:rsid w:val="00D403FD"/>
    <w:rsid w:val="00D40565"/>
    <w:rsid w:val="00D405E7"/>
    <w:rsid w:val="00D406EC"/>
    <w:rsid w:val="00D40732"/>
    <w:rsid w:val="00D4079E"/>
    <w:rsid w:val="00D4086A"/>
    <w:rsid w:val="00D4096A"/>
    <w:rsid w:val="00D40971"/>
    <w:rsid w:val="00D409C0"/>
    <w:rsid w:val="00D409D4"/>
    <w:rsid w:val="00D40A0C"/>
    <w:rsid w:val="00D40A45"/>
    <w:rsid w:val="00D40A74"/>
    <w:rsid w:val="00D40A92"/>
    <w:rsid w:val="00D40ADD"/>
    <w:rsid w:val="00D40B5F"/>
    <w:rsid w:val="00D40C08"/>
    <w:rsid w:val="00D40C4C"/>
    <w:rsid w:val="00D40C53"/>
    <w:rsid w:val="00D40CD3"/>
    <w:rsid w:val="00D40D0E"/>
    <w:rsid w:val="00D40D10"/>
    <w:rsid w:val="00D40D1B"/>
    <w:rsid w:val="00D40DC4"/>
    <w:rsid w:val="00D40DE2"/>
    <w:rsid w:val="00D40DEF"/>
    <w:rsid w:val="00D40E0C"/>
    <w:rsid w:val="00D40F4B"/>
    <w:rsid w:val="00D4105F"/>
    <w:rsid w:val="00D41182"/>
    <w:rsid w:val="00D411D4"/>
    <w:rsid w:val="00D41253"/>
    <w:rsid w:val="00D4126B"/>
    <w:rsid w:val="00D41298"/>
    <w:rsid w:val="00D412B8"/>
    <w:rsid w:val="00D41403"/>
    <w:rsid w:val="00D414A6"/>
    <w:rsid w:val="00D414CF"/>
    <w:rsid w:val="00D41543"/>
    <w:rsid w:val="00D41594"/>
    <w:rsid w:val="00D415D2"/>
    <w:rsid w:val="00D41742"/>
    <w:rsid w:val="00D417C9"/>
    <w:rsid w:val="00D417E6"/>
    <w:rsid w:val="00D41932"/>
    <w:rsid w:val="00D4196B"/>
    <w:rsid w:val="00D4198F"/>
    <w:rsid w:val="00D41B06"/>
    <w:rsid w:val="00D41B71"/>
    <w:rsid w:val="00D41C20"/>
    <w:rsid w:val="00D41C54"/>
    <w:rsid w:val="00D41C74"/>
    <w:rsid w:val="00D41CCE"/>
    <w:rsid w:val="00D41D1C"/>
    <w:rsid w:val="00D41DB5"/>
    <w:rsid w:val="00D41F11"/>
    <w:rsid w:val="00D41F39"/>
    <w:rsid w:val="00D41FC7"/>
    <w:rsid w:val="00D41FEA"/>
    <w:rsid w:val="00D42319"/>
    <w:rsid w:val="00D4231B"/>
    <w:rsid w:val="00D42421"/>
    <w:rsid w:val="00D424B8"/>
    <w:rsid w:val="00D42513"/>
    <w:rsid w:val="00D425C7"/>
    <w:rsid w:val="00D42636"/>
    <w:rsid w:val="00D426BF"/>
    <w:rsid w:val="00D42748"/>
    <w:rsid w:val="00D427B3"/>
    <w:rsid w:val="00D427E3"/>
    <w:rsid w:val="00D427F5"/>
    <w:rsid w:val="00D42874"/>
    <w:rsid w:val="00D428A6"/>
    <w:rsid w:val="00D42905"/>
    <w:rsid w:val="00D4293A"/>
    <w:rsid w:val="00D42A89"/>
    <w:rsid w:val="00D42B80"/>
    <w:rsid w:val="00D42B90"/>
    <w:rsid w:val="00D42D42"/>
    <w:rsid w:val="00D42D45"/>
    <w:rsid w:val="00D42DB4"/>
    <w:rsid w:val="00D42DD4"/>
    <w:rsid w:val="00D42DE3"/>
    <w:rsid w:val="00D42EC6"/>
    <w:rsid w:val="00D42F89"/>
    <w:rsid w:val="00D43053"/>
    <w:rsid w:val="00D430FA"/>
    <w:rsid w:val="00D43174"/>
    <w:rsid w:val="00D431B6"/>
    <w:rsid w:val="00D433D6"/>
    <w:rsid w:val="00D433E8"/>
    <w:rsid w:val="00D43429"/>
    <w:rsid w:val="00D4345B"/>
    <w:rsid w:val="00D43518"/>
    <w:rsid w:val="00D43546"/>
    <w:rsid w:val="00D4358B"/>
    <w:rsid w:val="00D43677"/>
    <w:rsid w:val="00D4368B"/>
    <w:rsid w:val="00D436B4"/>
    <w:rsid w:val="00D43717"/>
    <w:rsid w:val="00D4371E"/>
    <w:rsid w:val="00D43845"/>
    <w:rsid w:val="00D43881"/>
    <w:rsid w:val="00D4389B"/>
    <w:rsid w:val="00D438F8"/>
    <w:rsid w:val="00D439AA"/>
    <w:rsid w:val="00D43A26"/>
    <w:rsid w:val="00D43A69"/>
    <w:rsid w:val="00D43AB9"/>
    <w:rsid w:val="00D43B2D"/>
    <w:rsid w:val="00D43B46"/>
    <w:rsid w:val="00D43B5C"/>
    <w:rsid w:val="00D43C0D"/>
    <w:rsid w:val="00D43D2D"/>
    <w:rsid w:val="00D43D96"/>
    <w:rsid w:val="00D43DCB"/>
    <w:rsid w:val="00D43DFB"/>
    <w:rsid w:val="00D43E07"/>
    <w:rsid w:val="00D43E5C"/>
    <w:rsid w:val="00D43E85"/>
    <w:rsid w:val="00D43E97"/>
    <w:rsid w:val="00D43FDF"/>
    <w:rsid w:val="00D44008"/>
    <w:rsid w:val="00D44079"/>
    <w:rsid w:val="00D44165"/>
    <w:rsid w:val="00D441C3"/>
    <w:rsid w:val="00D44298"/>
    <w:rsid w:val="00D44312"/>
    <w:rsid w:val="00D44386"/>
    <w:rsid w:val="00D44399"/>
    <w:rsid w:val="00D4451F"/>
    <w:rsid w:val="00D4458F"/>
    <w:rsid w:val="00D445CA"/>
    <w:rsid w:val="00D445EC"/>
    <w:rsid w:val="00D44603"/>
    <w:rsid w:val="00D44651"/>
    <w:rsid w:val="00D44653"/>
    <w:rsid w:val="00D446AC"/>
    <w:rsid w:val="00D44797"/>
    <w:rsid w:val="00D44801"/>
    <w:rsid w:val="00D44854"/>
    <w:rsid w:val="00D44879"/>
    <w:rsid w:val="00D44896"/>
    <w:rsid w:val="00D44976"/>
    <w:rsid w:val="00D449CF"/>
    <w:rsid w:val="00D44AD2"/>
    <w:rsid w:val="00D44B19"/>
    <w:rsid w:val="00D44BE5"/>
    <w:rsid w:val="00D44BFA"/>
    <w:rsid w:val="00D44C0A"/>
    <w:rsid w:val="00D44C93"/>
    <w:rsid w:val="00D44CDC"/>
    <w:rsid w:val="00D44D0C"/>
    <w:rsid w:val="00D44DF8"/>
    <w:rsid w:val="00D44EAC"/>
    <w:rsid w:val="00D44ED2"/>
    <w:rsid w:val="00D44F8B"/>
    <w:rsid w:val="00D44FF4"/>
    <w:rsid w:val="00D45009"/>
    <w:rsid w:val="00D4508A"/>
    <w:rsid w:val="00D450EB"/>
    <w:rsid w:val="00D45129"/>
    <w:rsid w:val="00D4518B"/>
    <w:rsid w:val="00D451DC"/>
    <w:rsid w:val="00D452D4"/>
    <w:rsid w:val="00D452DF"/>
    <w:rsid w:val="00D452F2"/>
    <w:rsid w:val="00D45315"/>
    <w:rsid w:val="00D4531C"/>
    <w:rsid w:val="00D454C9"/>
    <w:rsid w:val="00D45536"/>
    <w:rsid w:val="00D4558F"/>
    <w:rsid w:val="00D455DE"/>
    <w:rsid w:val="00D4560A"/>
    <w:rsid w:val="00D456A0"/>
    <w:rsid w:val="00D456BD"/>
    <w:rsid w:val="00D456C1"/>
    <w:rsid w:val="00D4571B"/>
    <w:rsid w:val="00D4572E"/>
    <w:rsid w:val="00D45837"/>
    <w:rsid w:val="00D4585D"/>
    <w:rsid w:val="00D4588E"/>
    <w:rsid w:val="00D45943"/>
    <w:rsid w:val="00D459C9"/>
    <w:rsid w:val="00D45A21"/>
    <w:rsid w:val="00D45A49"/>
    <w:rsid w:val="00D45AC6"/>
    <w:rsid w:val="00D45AF0"/>
    <w:rsid w:val="00D45B2E"/>
    <w:rsid w:val="00D45B55"/>
    <w:rsid w:val="00D45B76"/>
    <w:rsid w:val="00D45CC7"/>
    <w:rsid w:val="00D45DDA"/>
    <w:rsid w:val="00D45DE7"/>
    <w:rsid w:val="00D45E76"/>
    <w:rsid w:val="00D45EE4"/>
    <w:rsid w:val="00D45EEC"/>
    <w:rsid w:val="00D45F6D"/>
    <w:rsid w:val="00D45F95"/>
    <w:rsid w:val="00D45FC4"/>
    <w:rsid w:val="00D45FC9"/>
    <w:rsid w:val="00D4606B"/>
    <w:rsid w:val="00D4613A"/>
    <w:rsid w:val="00D46172"/>
    <w:rsid w:val="00D46194"/>
    <w:rsid w:val="00D461EB"/>
    <w:rsid w:val="00D46287"/>
    <w:rsid w:val="00D462CC"/>
    <w:rsid w:val="00D46321"/>
    <w:rsid w:val="00D463AB"/>
    <w:rsid w:val="00D4647A"/>
    <w:rsid w:val="00D4647B"/>
    <w:rsid w:val="00D464A1"/>
    <w:rsid w:val="00D4657A"/>
    <w:rsid w:val="00D465A2"/>
    <w:rsid w:val="00D466B6"/>
    <w:rsid w:val="00D466BA"/>
    <w:rsid w:val="00D466D9"/>
    <w:rsid w:val="00D4670B"/>
    <w:rsid w:val="00D469B8"/>
    <w:rsid w:val="00D46A5D"/>
    <w:rsid w:val="00D46AB9"/>
    <w:rsid w:val="00D46AF8"/>
    <w:rsid w:val="00D46CCF"/>
    <w:rsid w:val="00D46D23"/>
    <w:rsid w:val="00D46DA7"/>
    <w:rsid w:val="00D46EC9"/>
    <w:rsid w:val="00D46F02"/>
    <w:rsid w:val="00D46F7E"/>
    <w:rsid w:val="00D4701E"/>
    <w:rsid w:val="00D47224"/>
    <w:rsid w:val="00D47296"/>
    <w:rsid w:val="00D472CC"/>
    <w:rsid w:val="00D47303"/>
    <w:rsid w:val="00D47354"/>
    <w:rsid w:val="00D4738E"/>
    <w:rsid w:val="00D473CB"/>
    <w:rsid w:val="00D473F7"/>
    <w:rsid w:val="00D47419"/>
    <w:rsid w:val="00D474A8"/>
    <w:rsid w:val="00D47510"/>
    <w:rsid w:val="00D475E4"/>
    <w:rsid w:val="00D4761C"/>
    <w:rsid w:val="00D4764B"/>
    <w:rsid w:val="00D476BD"/>
    <w:rsid w:val="00D4784F"/>
    <w:rsid w:val="00D47860"/>
    <w:rsid w:val="00D4789C"/>
    <w:rsid w:val="00D478CD"/>
    <w:rsid w:val="00D47A49"/>
    <w:rsid w:val="00D47ADC"/>
    <w:rsid w:val="00D47AF1"/>
    <w:rsid w:val="00D47B02"/>
    <w:rsid w:val="00D47B3C"/>
    <w:rsid w:val="00D47B63"/>
    <w:rsid w:val="00D47B65"/>
    <w:rsid w:val="00D47BB8"/>
    <w:rsid w:val="00D47C81"/>
    <w:rsid w:val="00D47C8D"/>
    <w:rsid w:val="00D47D04"/>
    <w:rsid w:val="00D47D8E"/>
    <w:rsid w:val="00D47E61"/>
    <w:rsid w:val="00D47E8B"/>
    <w:rsid w:val="00D47ECF"/>
    <w:rsid w:val="00D47F02"/>
    <w:rsid w:val="00D47FCD"/>
    <w:rsid w:val="00D47FF2"/>
    <w:rsid w:val="00D5000E"/>
    <w:rsid w:val="00D5003A"/>
    <w:rsid w:val="00D5003F"/>
    <w:rsid w:val="00D5005D"/>
    <w:rsid w:val="00D5006F"/>
    <w:rsid w:val="00D5007B"/>
    <w:rsid w:val="00D500ED"/>
    <w:rsid w:val="00D50125"/>
    <w:rsid w:val="00D50147"/>
    <w:rsid w:val="00D501BA"/>
    <w:rsid w:val="00D501C7"/>
    <w:rsid w:val="00D50202"/>
    <w:rsid w:val="00D50233"/>
    <w:rsid w:val="00D502A6"/>
    <w:rsid w:val="00D50350"/>
    <w:rsid w:val="00D503D2"/>
    <w:rsid w:val="00D50410"/>
    <w:rsid w:val="00D5041F"/>
    <w:rsid w:val="00D504B1"/>
    <w:rsid w:val="00D504CD"/>
    <w:rsid w:val="00D504F7"/>
    <w:rsid w:val="00D50524"/>
    <w:rsid w:val="00D50559"/>
    <w:rsid w:val="00D505F9"/>
    <w:rsid w:val="00D50675"/>
    <w:rsid w:val="00D506EF"/>
    <w:rsid w:val="00D507A2"/>
    <w:rsid w:val="00D507C8"/>
    <w:rsid w:val="00D5085A"/>
    <w:rsid w:val="00D508AF"/>
    <w:rsid w:val="00D50933"/>
    <w:rsid w:val="00D509BF"/>
    <w:rsid w:val="00D509E9"/>
    <w:rsid w:val="00D509ED"/>
    <w:rsid w:val="00D50A05"/>
    <w:rsid w:val="00D50A21"/>
    <w:rsid w:val="00D50AE8"/>
    <w:rsid w:val="00D50B38"/>
    <w:rsid w:val="00D50B43"/>
    <w:rsid w:val="00D50C1E"/>
    <w:rsid w:val="00D50C32"/>
    <w:rsid w:val="00D50C74"/>
    <w:rsid w:val="00D50C8C"/>
    <w:rsid w:val="00D50CB2"/>
    <w:rsid w:val="00D50D31"/>
    <w:rsid w:val="00D50DA5"/>
    <w:rsid w:val="00D50DB3"/>
    <w:rsid w:val="00D50E0C"/>
    <w:rsid w:val="00D50E33"/>
    <w:rsid w:val="00D50EAB"/>
    <w:rsid w:val="00D50F34"/>
    <w:rsid w:val="00D50F58"/>
    <w:rsid w:val="00D51028"/>
    <w:rsid w:val="00D51058"/>
    <w:rsid w:val="00D5109C"/>
    <w:rsid w:val="00D510EF"/>
    <w:rsid w:val="00D510FC"/>
    <w:rsid w:val="00D511B1"/>
    <w:rsid w:val="00D512C5"/>
    <w:rsid w:val="00D512F5"/>
    <w:rsid w:val="00D51435"/>
    <w:rsid w:val="00D514ED"/>
    <w:rsid w:val="00D51506"/>
    <w:rsid w:val="00D51795"/>
    <w:rsid w:val="00D517BF"/>
    <w:rsid w:val="00D51833"/>
    <w:rsid w:val="00D5183F"/>
    <w:rsid w:val="00D51851"/>
    <w:rsid w:val="00D51896"/>
    <w:rsid w:val="00D518C0"/>
    <w:rsid w:val="00D5192D"/>
    <w:rsid w:val="00D51B6A"/>
    <w:rsid w:val="00D51B71"/>
    <w:rsid w:val="00D51BCC"/>
    <w:rsid w:val="00D51C82"/>
    <w:rsid w:val="00D51C96"/>
    <w:rsid w:val="00D51E2D"/>
    <w:rsid w:val="00D51F8D"/>
    <w:rsid w:val="00D51FE9"/>
    <w:rsid w:val="00D52080"/>
    <w:rsid w:val="00D52106"/>
    <w:rsid w:val="00D5211C"/>
    <w:rsid w:val="00D5216C"/>
    <w:rsid w:val="00D521E1"/>
    <w:rsid w:val="00D52255"/>
    <w:rsid w:val="00D52291"/>
    <w:rsid w:val="00D522AA"/>
    <w:rsid w:val="00D522CF"/>
    <w:rsid w:val="00D522F3"/>
    <w:rsid w:val="00D52350"/>
    <w:rsid w:val="00D523C7"/>
    <w:rsid w:val="00D524D7"/>
    <w:rsid w:val="00D52508"/>
    <w:rsid w:val="00D525CF"/>
    <w:rsid w:val="00D525F6"/>
    <w:rsid w:val="00D52622"/>
    <w:rsid w:val="00D5279F"/>
    <w:rsid w:val="00D527C3"/>
    <w:rsid w:val="00D5284C"/>
    <w:rsid w:val="00D529A3"/>
    <w:rsid w:val="00D529BA"/>
    <w:rsid w:val="00D52AFB"/>
    <w:rsid w:val="00D52AFD"/>
    <w:rsid w:val="00D52B35"/>
    <w:rsid w:val="00D52B5D"/>
    <w:rsid w:val="00D52BF1"/>
    <w:rsid w:val="00D52C7D"/>
    <w:rsid w:val="00D52CF0"/>
    <w:rsid w:val="00D52CFE"/>
    <w:rsid w:val="00D52D5E"/>
    <w:rsid w:val="00D52DB7"/>
    <w:rsid w:val="00D52DEA"/>
    <w:rsid w:val="00D52DF6"/>
    <w:rsid w:val="00D52DFB"/>
    <w:rsid w:val="00D52FC0"/>
    <w:rsid w:val="00D531E3"/>
    <w:rsid w:val="00D533BA"/>
    <w:rsid w:val="00D5345A"/>
    <w:rsid w:val="00D534E2"/>
    <w:rsid w:val="00D53513"/>
    <w:rsid w:val="00D53586"/>
    <w:rsid w:val="00D5358F"/>
    <w:rsid w:val="00D535E7"/>
    <w:rsid w:val="00D5363B"/>
    <w:rsid w:val="00D536ED"/>
    <w:rsid w:val="00D536F7"/>
    <w:rsid w:val="00D53780"/>
    <w:rsid w:val="00D538AD"/>
    <w:rsid w:val="00D538D4"/>
    <w:rsid w:val="00D538D5"/>
    <w:rsid w:val="00D538E0"/>
    <w:rsid w:val="00D53956"/>
    <w:rsid w:val="00D53979"/>
    <w:rsid w:val="00D539E5"/>
    <w:rsid w:val="00D53ADD"/>
    <w:rsid w:val="00D53B29"/>
    <w:rsid w:val="00D53D5E"/>
    <w:rsid w:val="00D53DBF"/>
    <w:rsid w:val="00D53DD3"/>
    <w:rsid w:val="00D53E0B"/>
    <w:rsid w:val="00D53E3F"/>
    <w:rsid w:val="00D53F6F"/>
    <w:rsid w:val="00D5400C"/>
    <w:rsid w:val="00D5401E"/>
    <w:rsid w:val="00D5401F"/>
    <w:rsid w:val="00D54022"/>
    <w:rsid w:val="00D54024"/>
    <w:rsid w:val="00D5402B"/>
    <w:rsid w:val="00D54034"/>
    <w:rsid w:val="00D540F1"/>
    <w:rsid w:val="00D5419C"/>
    <w:rsid w:val="00D541B5"/>
    <w:rsid w:val="00D54207"/>
    <w:rsid w:val="00D54218"/>
    <w:rsid w:val="00D542A5"/>
    <w:rsid w:val="00D542AD"/>
    <w:rsid w:val="00D542D6"/>
    <w:rsid w:val="00D543E0"/>
    <w:rsid w:val="00D54440"/>
    <w:rsid w:val="00D544DD"/>
    <w:rsid w:val="00D54533"/>
    <w:rsid w:val="00D5454D"/>
    <w:rsid w:val="00D54570"/>
    <w:rsid w:val="00D5461A"/>
    <w:rsid w:val="00D5462F"/>
    <w:rsid w:val="00D54663"/>
    <w:rsid w:val="00D54667"/>
    <w:rsid w:val="00D54673"/>
    <w:rsid w:val="00D546AD"/>
    <w:rsid w:val="00D546B8"/>
    <w:rsid w:val="00D5472C"/>
    <w:rsid w:val="00D547F5"/>
    <w:rsid w:val="00D547FE"/>
    <w:rsid w:val="00D548A9"/>
    <w:rsid w:val="00D54991"/>
    <w:rsid w:val="00D549A6"/>
    <w:rsid w:val="00D54A3D"/>
    <w:rsid w:val="00D54A6A"/>
    <w:rsid w:val="00D54AC3"/>
    <w:rsid w:val="00D54B0D"/>
    <w:rsid w:val="00D54B21"/>
    <w:rsid w:val="00D54D1D"/>
    <w:rsid w:val="00D54D71"/>
    <w:rsid w:val="00D54DB4"/>
    <w:rsid w:val="00D54DE5"/>
    <w:rsid w:val="00D54DF1"/>
    <w:rsid w:val="00D54E21"/>
    <w:rsid w:val="00D54E5F"/>
    <w:rsid w:val="00D54FFD"/>
    <w:rsid w:val="00D5500F"/>
    <w:rsid w:val="00D550B6"/>
    <w:rsid w:val="00D550C2"/>
    <w:rsid w:val="00D55195"/>
    <w:rsid w:val="00D55244"/>
    <w:rsid w:val="00D55270"/>
    <w:rsid w:val="00D55289"/>
    <w:rsid w:val="00D552DA"/>
    <w:rsid w:val="00D5541A"/>
    <w:rsid w:val="00D55537"/>
    <w:rsid w:val="00D5554D"/>
    <w:rsid w:val="00D5559C"/>
    <w:rsid w:val="00D55666"/>
    <w:rsid w:val="00D55712"/>
    <w:rsid w:val="00D55725"/>
    <w:rsid w:val="00D557DC"/>
    <w:rsid w:val="00D5584A"/>
    <w:rsid w:val="00D5586A"/>
    <w:rsid w:val="00D558A5"/>
    <w:rsid w:val="00D55907"/>
    <w:rsid w:val="00D55928"/>
    <w:rsid w:val="00D55BCA"/>
    <w:rsid w:val="00D55C12"/>
    <w:rsid w:val="00D55C8F"/>
    <w:rsid w:val="00D55CCC"/>
    <w:rsid w:val="00D55D2A"/>
    <w:rsid w:val="00D55D5E"/>
    <w:rsid w:val="00D55EB6"/>
    <w:rsid w:val="00D55F04"/>
    <w:rsid w:val="00D5603F"/>
    <w:rsid w:val="00D56203"/>
    <w:rsid w:val="00D5627A"/>
    <w:rsid w:val="00D56310"/>
    <w:rsid w:val="00D5633B"/>
    <w:rsid w:val="00D5644F"/>
    <w:rsid w:val="00D56450"/>
    <w:rsid w:val="00D5650C"/>
    <w:rsid w:val="00D5653C"/>
    <w:rsid w:val="00D5655B"/>
    <w:rsid w:val="00D566E1"/>
    <w:rsid w:val="00D566EE"/>
    <w:rsid w:val="00D566FA"/>
    <w:rsid w:val="00D568FB"/>
    <w:rsid w:val="00D56996"/>
    <w:rsid w:val="00D569C5"/>
    <w:rsid w:val="00D56A1D"/>
    <w:rsid w:val="00D56A36"/>
    <w:rsid w:val="00D56A93"/>
    <w:rsid w:val="00D56B83"/>
    <w:rsid w:val="00D56B84"/>
    <w:rsid w:val="00D56CEC"/>
    <w:rsid w:val="00D56E51"/>
    <w:rsid w:val="00D56E63"/>
    <w:rsid w:val="00D56F49"/>
    <w:rsid w:val="00D56FBA"/>
    <w:rsid w:val="00D56FFC"/>
    <w:rsid w:val="00D57049"/>
    <w:rsid w:val="00D5710F"/>
    <w:rsid w:val="00D57144"/>
    <w:rsid w:val="00D57176"/>
    <w:rsid w:val="00D571C8"/>
    <w:rsid w:val="00D57211"/>
    <w:rsid w:val="00D5725F"/>
    <w:rsid w:val="00D572EE"/>
    <w:rsid w:val="00D572F1"/>
    <w:rsid w:val="00D57308"/>
    <w:rsid w:val="00D5731A"/>
    <w:rsid w:val="00D5736A"/>
    <w:rsid w:val="00D5737E"/>
    <w:rsid w:val="00D57417"/>
    <w:rsid w:val="00D5749F"/>
    <w:rsid w:val="00D57577"/>
    <w:rsid w:val="00D57597"/>
    <w:rsid w:val="00D57630"/>
    <w:rsid w:val="00D5767C"/>
    <w:rsid w:val="00D576B9"/>
    <w:rsid w:val="00D576E7"/>
    <w:rsid w:val="00D57777"/>
    <w:rsid w:val="00D577E9"/>
    <w:rsid w:val="00D57815"/>
    <w:rsid w:val="00D57932"/>
    <w:rsid w:val="00D5799E"/>
    <w:rsid w:val="00D57A08"/>
    <w:rsid w:val="00D57A92"/>
    <w:rsid w:val="00D57AC5"/>
    <w:rsid w:val="00D57D1E"/>
    <w:rsid w:val="00D57DF8"/>
    <w:rsid w:val="00D57E20"/>
    <w:rsid w:val="00D57EA0"/>
    <w:rsid w:val="00D57EF5"/>
    <w:rsid w:val="00D57F74"/>
    <w:rsid w:val="00D57FD8"/>
    <w:rsid w:val="00D60032"/>
    <w:rsid w:val="00D60065"/>
    <w:rsid w:val="00D60148"/>
    <w:rsid w:val="00D60170"/>
    <w:rsid w:val="00D601A5"/>
    <w:rsid w:val="00D601F3"/>
    <w:rsid w:val="00D6021E"/>
    <w:rsid w:val="00D60332"/>
    <w:rsid w:val="00D6033F"/>
    <w:rsid w:val="00D603A2"/>
    <w:rsid w:val="00D603CD"/>
    <w:rsid w:val="00D6048D"/>
    <w:rsid w:val="00D6053D"/>
    <w:rsid w:val="00D605CA"/>
    <w:rsid w:val="00D606C7"/>
    <w:rsid w:val="00D606CF"/>
    <w:rsid w:val="00D606E1"/>
    <w:rsid w:val="00D60781"/>
    <w:rsid w:val="00D607A0"/>
    <w:rsid w:val="00D607D0"/>
    <w:rsid w:val="00D6080B"/>
    <w:rsid w:val="00D6083D"/>
    <w:rsid w:val="00D60A83"/>
    <w:rsid w:val="00D60A8C"/>
    <w:rsid w:val="00D60AA6"/>
    <w:rsid w:val="00D60AAB"/>
    <w:rsid w:val="00D60AF9"/>
    <w:rsid w:val="00D60B56"/>
    <w:rsid w:val="00D60BC9"/>
    <w:rsid w:val="00D60BF8"/>
    <w:rsid w:val="00D60C19"/>
    <w:rsid w:val="00D60C6A"/>
    <w:rsid w:val="00D60CCF"/>
    <w:rsid w:val="00D60D23"/>
    <w:rsid w:val="00D60D61"/>
    <w:rsid w:val="00D60DF5"/>
    <w:rsid w:val="00D60DFA"/>
    <w:rsid w:val="00D60E3B"/>
    <w:rsid w:val="00D60E62"/>
    <w:rsid w:val="00D60E85"/>
    <w:rsid w:val="00D60ED8"/>
    <w:rsid w:val="00D60F15"/>
    <w:rsid w:val="00D60F31"/>
    <w:rsid w:val="00D60F46"/>
    <w:rsid w:val="00D60FD5"/>
    <w:rsid w:val="00D61044"/>
    <w:rsid w:val="00D6104D"/>
    <w:rsid w:val="00D610A1"/>
    <w:rsid w:val="00D61119"/>
    <w:rsid w:val="00D61127"/>
    <w:rsid w:val="00D6117C"/>
    <w:rsid w:val="00D612C7"/>
    <w:rsid w:val="00D61333"/>
    <w:rsid w:val="00D614D4"/>
    <w:rsid w:val="00D614EC"/>
    <w:rsid w:val="00D61502"/>
    <w:rsid w:val="00D61506"/>
    <w:rsid w:val="00D61646"/>
    <w:rsid w:val="00D61671"/>
    <w:rsid w:val="00D616E0"/>
    <w:rsid w:val="00D61747"/>
    <w:rsid w:val="00D6177F"/>
    <w:rsid w:val="00D61782"/>
    <w:rsid w:val="00D617E7"/>
    <w:rsid w:val="00D61A24"/>
    <w:rsid w:val="00D61A39"/>
    <w:rsid w:val="00D61A9F"/>
    <w:rsid w:val="00D61AEB"/>
    <w:rsid w:val="00D61B9E"/>
    <w:rsid w:val="00D61BF4"/>
    <w:rsid w:val="00D61BFD"/>
    <w:rsid w:val="00D61C03"/>
    <w:rsid w:val="00D61C3F"/>
    <w:rsid w:val="00D61E39"/>
    <w:rsid w:val="00D61F64"/>
    <w:rsid w:val="00D6201C"/>
    <w:rsid w:val="00D62106"/>
    <w:rsid w:val="00D62180"/>
    <w:rsid w:val="00D62188"/>
    <w:rsid w:val="00D621E0"/>
    <w:rsid w:val="00D622D1"/>
    <w:rsid w:val="00D62358"/>
    <w:rsid w:val="00D6236F"/>
    <w:rsid w:val="00D623C1"/>
    <w:rsid w:val="00D6243C"/>
    <w:rsid w:val="00D62458"/>
    <w:rsid w:val="00D62511"/>
    <w:rsid w:val="00D6252A"/>
    <w:rsid w:val="00D6255D"/>
    <w:rsid w:val="00D62646"/>
    <w:rsid w:val="00D626A4"/>
    <w:rsid w:val="00D626D2"/>
    <w:rsid w:val="00D6274E"/>
    <w:rsid w:val="00D6279F"/>
    <w:rsid w:val="00D627A1"/>
    <w:rsid w:val="00D627BD"/>
    <w:rsid w:val="00D62898"/>
    <w:rsid w:val="00D628DE"/>
    <w:rsid w:val="00D62973"/>
    <w:rsid w:val="00D6299C"/>
    <w:rsid w:val="00D629A4"/>
    <w:rsid w:val="00D62A91"/>
    <w:rsid w:val="00D62B0D"/>
    <w:rsid w:val="00D62CD4"/>
    <w:rsid w:val="00D62D39"/>
    <w:rsid w:val="00D62E91"/>
    <w:rsid w:val="00D62F2A"/>
    <w:rsid w:val="00D62FBF"/>
    <w:rsid w:val="00D62FE8"/>
    <w:rsid w:val="00D62FF6"/>
    <w:rsid w:val="00D6306B"/>
    <w:rsid w:val="00D6309B"/>
    <w:rsid w:val="00D630DE"/>
    <w:rsid w:val="00D632E7"/>
    <w:rsid w:val="00D632FB"/>
    <w:rsid w:val="00D63393"/>
    <w:rsid w:val="00D6342E"/>
    <w:rsid w:val="00D634A9"/>
    <w:rsid w:val="00D6353B"/>
    <w:rsid w:val="00D636E6"/>
    <w:rsid w:val="00D6370A"/>
    <w:rsid w:val="00D63748"/>
    <w:rsid w:val="00D63765"/>
    <w:rsid w:val="00D63773"/>
    <w:rsid w:val="00D637CA"/>
    <w:rsid w:val="00D637D5"/>
    <w:rsid w:val="00D63811"/>
    <w:rsid w:val="00D63854"/>
    <w:rsid w:val="00D639DE"/>
    <w:rsid w:val="00D63A35"/>
    <w:rsid w:val="00D63A44"/>
    <w:rsid w:val="00D63A6E"/>
    <w:rsid w:val="00D63BE9"/>
    <w:rsid w:val="00D63CDE"/>
    <w:rsid w:val="00D63CE4"/>
    <w:rsid w:val="00D63D7B"/>
    <w:rsid w:val="00D63E46"/>
    <w:rsid w:val="00D63EC5"/>
    <w:rsid w:val="00D6401E"/>
    <w:rsid w:val="00D6409F"/>
    <w:rsid w:val="00D640EE"/>
    <w:rsid w:val="00D641D6"/>
    <w:rsid w:val="00D64232"/>
    <w:rsid w:val="00D642FA"/>
    <w:rsid w:val="00D6430E"/>
    <w:rsid w:val="00D6443D"/>
    <w:rsid w:val="00D64469"/>
    <w:rsid w:val="00D6448C"/>
    <w:rsid w:val="00D644BC"/>
    <w:rsid w:val="00D64525"/>
    <w:rsid w:val="00D64571"/>
    <w:rsid w:val="00D64573"/>
    <w:rsid w:val="00D645E5"/>
    <w:rsid w:val="00D647C7"/>
    <w:rsid w:val="00D647EC"/>
    <w:rsid w:val="00D64843"/>
    <w:rsid w:val="00D64909"/>
    <w:rsid w:val="00D649A8"/>
    <w:rsid w:val="00D649B3"/>
    <w:rsid w:val="00D64A10"/>
    <w:rsid w:val="00D64A82"/>
    <w:rsid w:val="00D64B01"/>
    <w:rsid w:val="00D64BD8"/>
    <w:rsid w:val="00D64C9C"/>
    <w:rsid w:val="00D64CB0"/>
    <w:rsid w:val="00D64D54"/>
    <w:rsid w:val="00D64E28"/>
    <w:rsid w:val="00D64E2C"/>
    <w:rsid w:val="00D64EB5"/>
    <w:rsid w:val="00D64F5F"/>
    <w:rsid w:val="00D64F85"/>
    <w:rsid w:val="00D64F8F"/>
    <w:rsid w:val="00D6503E"/>
    <w:rsid w:val="00D65057"/>
    <w:rsid w:val="00D650B9"/>
    <w:rsid w:val="00D650EC"/>
    <w:rsid w:val="00D650F0"/>
    <w:rsid w:val="00D652AE"/>
    <w:rsid w:val="00D652B8"/>
    <w:rsid w:val="00D65338"/>
    <w:rsid w:val="00D653A4"/>
    <w:rsid w:val="00D653F4"/>
    <w:rsid w:val="00D65417"/>
    <w:rsid w:val="00D65529"/>
    <w:rsid w:val="00D6552A"/>
    <w:rsid w:val="00D6554E"/>
    <w:rsid w:val="00D65552"/>
    <w:rsid w:val="00D6555D"/>
    <w:rsid w:val="00D655F6"/>
    <w:rsid w:val="00D6561E"/>
    <w:rsid w:val="00D65620"/>
    <w:rsid w:val="00D65646"/>
    <w:rsid w:val="00D65657"/>
    <w:rsid w:val="00D65679"/>
    <w:rsid w:val="00D65705"/>
    <w:rsid w:val="00D65711"/>
    <w:rsid w:val="00D65724"/>
    <w:rsid w:val="00D657DE"/>
    <w:rsid w:val="00D65833"/>
    <w:rsid w:val="00D658E9"/>
    <w:rsid w:val="00D658F6"/>
    <w:rsid w:val="00D65919"/>
    <w:rsid w:val="00D65941"/>
    <w:rsid w:val="00D65A40"/>
    <w:rsid w:val="00D65A62"/>
    <w:rsid w:val="00D65A7A"/>
    <w:rsid w:val="00D65ABC"/>
    <w:rsid w:val="00D65AD7"/>
    <w:rsid w:val="00D65AF9"/>
    <w:rsid w:val="00D65B05"/>
    <w:rsid w:val="00D65BA2"/>
    <w:rsid w:val="00D65C18"/>
    <w:rsid w:val="00D65C3A"/>
    <w:rsid w:val="00D65CBB"/>
    <w:rsid w:val="00D65D75"/>
    <w:rsid w:val="00D65F1B"/>
    <w:rsid w:val="00D65F56"/>
    <w:rsid w:val="00D65F65"/>
    <w:rsid w:val="00D65FAA"/>
    <w:rsid w:val="00D65FE7"/>
    <w:rsid w:val="00D66019"/>
    <w:rsid w:val="00D660B6"/>
    <w:rsid w:val="00D6611D"/>
    <w:rsid w:val="00D6611E"/>
    <w:rsid w:val="00D6614D"/>
    <w:rsid w:val="00D66171"/>
    <w:rsid w:val="00D66175"/>
    <w:rsid w:val="00D661EF"/>
    <w:rsid w:val="00D661F9"/>
    <w:rsid w:val="00D6622D"/>
    <w:rsid w:val="00D66293"/>
    <w:rsid w:val="00D66315"/>
    <w:rsid w:val="00D66317"/>
    <w:rsid w:val="00D6633D"/>
    <w:rsid w:val="00D664BA"/>
    <w:rsid w:val="00D665A3"/>
    <w:rsid w:val="00D665D5"/>
    <w:rsid w:val="00D665EE"/>
    <w:rsid w:val="00D6665B"/>
    <w:rsid w:val="00D666E7"/>
    <w:rsid w:val="00D6671C"/>
    <w:rsid w:val="00D6675D"/>
    <w:rsid w:val="00D66785"/>
    <w:rsid w:val="00D668A8"/>
    <w:rsid w:val="00D668F8"/>
    <w:rsid w:val="00D6690B"/>
    <w:rsid w:val="00D66920"/>
    <w:rsid w:val="00D6695C"/>
    <w:rsid w:val="00D669F2"/>
    <w:rsid w:val="00D66A28"/>
    <w:rsid w:val="00D66AD4"/>
    <w:rsid w:val="00D66B12"/>
    <w:rsid w:val="00D66B31"/>
    <w:rsid w:val="00D66B83"/>
    <w:rsid w:val="00D66C10"/>
    <w:rsid w:val="00D66C35"/>
    <w:rsid w:val="00D66C90"/>
    <w:rsid w:val="00D66D13"/>
    <w:rsid w:val="00D66DE4"/>
    <w:rsid w:val="00D66E3C"/>
    <w:rsid w:val="00D66E76"/>
    <w:rsid w:val="00D67014"/>
    <w:rsid w:val="00D67132"/>
    <w:rsid w:val="00D67144"/>
    <w:rsid w:val="00D6719B"/>
    <w:rsid w:val="00D6725F"/>
    <w:rsid w:val="00D67337"/>
    <w:rsid w:val="00D67344"/>
    <w:rsid w:val="00D67365"/>
    <w:rsid w:val="00D6749A"/>
    <w:rsid w:val="00D674C7"/>
    <w:rsid w:val="00D675A4"/>
    <w:rsid w:val="00D675D8"/>
    <w:rsid w:val="00D676EA"/>
    <w:rsid w:val="00D6777D"/>
    <w:rsid w:val="00D67780"/>
    <w:rsid w:val="00D677E2"/>
    <w:rsid w:val="00D678AF"/>
    <w:rsid w:val="00D678D7"/>
    <w:rsid w:val="00D67917"/>
    <w:rsid w:val="00D6796E"/>
    <w:rsid w:val="00D679C4"/>
    <w:rsid w:val="00D67A06"/>
    <w:rsid w:val="00D67A70"/>
    <w:rsid w:val="00D67B0B"/>
    <w:rsid w:val="00D67B28"/>
    <w:rsid w:val="00D67B52"/>
    <w:rsid w:val="00D67B6E"/>
    <w:rsid w:val="00D67BB0"/>
    <w:rsid w:val="00D67C0C"/>
    <w:rsid w:val="00D67C1B"/>
    <w:rsid w:val="00D67D09"/>
    <w:rsid w:val="00D67D51"/>
    <w:rsid w:val="00D67D88"/>
    <w:rsid w:val="00D67DC3"/>
    <w:rsid w:val="00D67DC4"/>
    <w:rsid w:val="00D67DC8"/>
    <w:rsid w:val="00D67DC9"/>
    <w:rsid w:val="00D67EA7"/>
    <w:rsid w:val="00D67EB2"/>
    <w:rsid w:val="00D67F99"/>
    <w:rsid w:val="00D67FD5"/>
    <w:rsid w:val="00D70016"/>
    <w:rsid w:val="00D70030"/>
    <w:rsid w:val="00D70056"/>
    <w:rsid w:val="00D7018F"/>
    <w:rsid w:val="00D70224"/>
    <w:rsid w:val="00D702A8"/>
    <w:rsid w:val="00D70306"/>
    <w:rsid w:val="00D7031C"/>
    <w:rsid w:val="00D703A2"/>
    <w:rsid w:val="00D703AE"/>
    <w:rsid w:val="00D703C0"/>
    <w:rsid w:val="00D7047E"/>
    <w:rsid w:val="00D704E7"/>
    <w:rsid w:val="00D705E3"/>
    <w:rsid w:val="00D70609"/>
    <w:rsid w:val="00D70684"/>
    <w:rsid w:val="00D707A6"/>
    <w:rsid w:val="00D70809"/>
    <w:rsid w:val="00D7087F"/>
    <w:rsid w:val="00D708CB"/>
    <w:rsid w:val="00D708FA"/>
    <w:rsid w:val="00D70903"/>
    <w:rsid w:val="00D70A4B"/>
    <w:rsid w:val="00D70AC6"/>
    <w:rsid w:val="00D70B45"/>
    <w:rsid w:val="00D70B48"/>
    <w:rsid w:val="00D70BA4"/>
    <w:rsid w:val="00D70D6E"/>
    <w:rsid w:val="00D70D8B"/>
    <w:rsid w:val="00D70E04"/>
    <w:rsid w:val="00D70E41"/>
    <w:rsid w:val="00D70EC3"/>
    <w:rsid w:val="00D70F59"/>
    <w:rsid w:val="00D70F7B"/>
    <w:rsid w:val="00D70FDA"/>
    <w:rsid w:val="00D71015"/>
    <w:rsid w:val="00D7104C"/>
    <w:rsid w:val="00D710E1"/>
    <w:rsid w:val="00D7119B"/>
    <w:rsid w:val="00D711AB"/>
    <w:rsid w:val="00D71256"/>
    <w:rsid w:val="00D71370"/>
    <w:rsid w:val="00D71383"/>
    <w:rsid w:val="00D7155E"/>
    <w:rsid w:val="00D715C6"/>
    <w:rsid w:val="00D715D6"/>
    <w:rsid w:val="00D715FF"/>
    <w:rsid w:val="00D71618"/>
    <w:rsid w:val="00D7161B"/>
    <w:rsid w:val="00D71685"/>
    <w:rsid w:val="00D716C4"/>
    <w:rsid w:val="00D717B0"/>
    <w:rsid w:val="00D717E3"/>
    <w:rsid w:val="00D717FF"/>
    <w:rsid w:val="00D71852"/>
    <w:rsid w:val="00D7196F"/>
    <w:rsid w:val="00D71970"/>
    <w:rsid w:val="00D71971"/>
    <w:rsid w:val="00D71990"/>
    <w:rsid w:val="00D71A75"/>
    <w:rsid w:val="00D71AE1"/>
    <w:rsid w:val="00D71B1E"/>
    <w:rsid w:val="00D71B75"/>
    <w:rsid w:val="00D71B8B"/>
    <w:rsid w:val="00D71BD0"/>
    <w:rsid w:val="00D71C5B"/>
    <w:rsid w:val="00D71CD0"/>
    <w:rsid w:val="00D71D39"/>
    <w:rsid w:val="00D71E10"/>
    <w:rsid w:val="00D71E28"/>
    <w:rsid w:val="00D71E3D"/>
    <w:rsid w:val="00D71E6F"/>
    <w:rsid w:val="00D71EAE"/>
    <w:rsid w:val="00D71F35"/>
    <w:rsid w:val="00D71F3A"/>
    <w:rsid w:val="00D71F48"/>
    <w:rsid w:val="00D71FBA"/>
    <w:rsid w:val="00D71FC4"/>
    <w:rsid w:val="00D72004"/>
    <w:rsid w:val="00D72034"/>
    <w:rsid w:val="00D72074"/>
    <w:rsid w:val="00D72089"/>
    <w:rsid w:val="00D72097"/>
    <w:rsid w:val="00D72146"/>
    <w:rsid w:val="00D72148"/>
    <w:rsid w:val="00D72153"/>
    <w:rsid w:val="00D72243"/>
    <w:rsid w:val="00D722A0"/>
    <w:rsid w:val="00D7231A"/>
    <w:rsid w:val="00D7236C"/>
    <w:rsid w:val="00D72530"/>
    <w:rsid w:val="00D72550"/>
    <w:rsid w:val="00D7256D"/>
    <w:rsid w:val="00D72632"/>
    <w:rsid w:val="00D7271D"/>
    <w:rsid w:val="00D72760"/>
    <w:rsid w:val="00D72821"/>
    <w:rsid w:val="00D729B7"/>
    <w:rsid w:val="00D729C2"/>
    <w:rsid w:val="00D72A41"/>
    <w:rsid w:val="00D72A93"/>
    <w:rsid w:val="00D72AA6"/>
    <w:rsid w:val="00D72B3D"/>
    <w:rsid w:val="00D72B92"/>
    <w:rsid w:val="00D72BCE"/>
    <w:rsid w:val="00D72BD0"/>
    <w:rsid w:val="00D72C17"/>
    <w:rsid w:val="00D72C35"/>
    <w:rsid w:val="00D72C41"/>
    <w:rsid w:val="00D72C6D"/>
    <w:rsid w:val="00D72CFC"/>
    <w:rsid w:val="00D72D2C"/>
    <w:rsid w:val="00D72D55"/>
    <w:rsid w:val="00D72DA2"/>
    <w:rsid w:val="00D72F39"/>
    <w:rsid w:val="00D72F77"/>
    <w:rsid w:val="00D73008"/>
    <w:rsid w:val="00D73009"/>
    <w:rsid w:val="00D7303F"/>
    <w:rsid w:val="00D73083"/>
    <w:rsid w:val="00D73142"/>
    <w:rsid w:val="00D73160"/>
    <w:rsid w:val="00D73182"/>
    <w:rsid w:val="00D731AE"/>
    <w:rsid w:val="00D73206"/>
    <w:rsid w:val="00D73255"/>
    <w:rsid w:val="00D7333D"/>
    <w:rsid w:val="00D7337C"/>
    <w:rsid w:val="00D73383"/>
    <w:rsid w:val="00D73393"/>
    <w:rsid w:val="00D73407"/>
    <w:rsid w:val="00D73409"/>
    <w:rsid w:val="00D7359E"/>
    <w:rsid w:val="00D735A2"/>
    <w:rsid w:val="00D735DB"/>
    <w:rsid w:val="00D73673"/>
    <w:rsid w:val="00D7370B"/>
    <w:rsid w:val="00D7370F"/>
    <w:rsid w:val="00D73722"/>
    <w:rsid w:val="00D7389A"/>
    <w:rsid w:val="00D738D4"/>
    <w:rsid w:val="00D738F6"/>
    <w:rsid w:val="00D73983"/>
    <w:rsid w:val="00D73993"/>
    <w:rsid w:val="00D739EA"/>
    <w:rsid w:val="00D73A29"/>
    <w:rsid w:val="00D73AA8"/>
    <w:rsid w:val="00D73B5D"/>
    <w:rsid w:val="00D73BCC"/>
    <w:rsid w:val="00D73C5B"/>
    <w:rsid w:val="00D73CE4"/>
    <w:rsid w:val="00D73ED6"/>
    <w:rsid w:val="00D73FED"/>
    <w:rsid w:val="00D74060"/>
    <w:rsid w:val="00D74156"/>
    <w:rsid w:val="00D741B9"/>
    <w:rsid w:val="00D74219"/>
    <w:rsid w:val="00D74282"/>
    <w:rsid w:val="00D74355"/>
    <w:rsid w:val="00D744B5"/>
    <w:rsid w:val="00D744BD"/>
    <w:rsid w:val="00D744EA"/>
    <w:rsid w:val="00D744EF"/>
    <w:rsid w:val="00D745B6"/>
    <w:rsid w:val="00D746E8"/>
    <w:rsid w:val="00D7472E"/>
    <w:rsid w:val="00D74730"/>
    <w:rsid w:val="00D747BB"/>
    <w:rsid w:val="00D747F2"/>
    <w:rsid w:val="00D748C2"/>
    <w:rsid w:val="00D74914"/>
    <w:rsid w:val="00D74926"/>
    <w:rsid w:val="00D749F2"/>
    <w:rsid w:val="00D74A0F"/>
    <w:rsid w:val="00D74A23"/>
    <w:rsid w:val="00D74A54"/>
    <w:rsid w:val="00D74A59"/>
    <w:rsid w:val="00D74B34"/>
    <w:rsid w:val="00D74B43"/>
    <w:rsid w:val="00D74C30"/>
    <w:rsid w:val="00D74D49"/>
    <w:rsid w:val="00D74DBE"/>
    <w:rsid w:val="00D74DC0"/>
    <w:rsid w:val="00D74E6C"/>
    <w:rsid w:val="00D74EA0"/>
    <w:rsid w:val="00D74F98"/>
    <w:rsid w:val="00D7503C"/>
    <w:rsid w:val="00D750F3"/>
    <w:rsid w:val="00D751B2"/>
    <w:rsid w:val="00D751E0"/>
    <w:rsid w:val="00D75246"/>
    <w:rsid w:val="00D75401"/>
    <w:rsid w:val="00D75407"/>
    <w:rsid w:val="00D755B5"/>
    <w:rsid w:val="00D755BD"/>
    <w:rsid w:val="00D7560D"/>
    <w:rsid w:val="00D75621"/>
    <w:rsid w:val="00D75758"/>
    <w:rsid w:val="00D75760"/>
    <w:rsid w:val="00D75784"/>
    <w:rsid w:val="00D757A3"/>
    <w:rsid w:val="00D757CE"/>
    <w:rsid w:val="00D758AC"/>
    <w:rsid w:val="00D75972"/>
    <w:rsid w:val="00D759F2"/>
    <w:rsid w:val="00D75AC2"/>
    <w:rsid w:val="00D75B4E"/>
    <w:rsid w:val="00D75BD4"/>
    <w:rsid w:val="00D75C38"/>
    <w:rsid w:val="00D75C46"/>
    <w:rsid w:val="00D75C8A"/>
    <w:rsid w:val="00D75DEB"/>
    <w:rsid w:val="00D75F89"/>
    <w:rsid w:val="00D76010"/>
    <w:rsid w:val="00D76079"/>
    <w:rsid w:val="00D76107"/>
    <w:rsid w:val="00D76149"/>
    <w:rsid w:val="00D761EE"/>
    <w:rsid w:val="00D762AE"/>
    <w:rsid w:val="00D7631F"/>
    <w:rsid w:val="00D7640B"/>
    <w:rsid w:val="00D764D5"/>
    <w:rsid w:val="00D76500"/>
    <w:rsid w:val="00D76504"/>
    <w:rsid w:val="00D76724"/>
    <w:rsid w:val="00D76794"/>
    <w:rsid w:val="00D76809"/>
    <w:rsid w:val="00D768C5"/>
    <w:rsid w:val="00D768FB"/>
    <w:rsid w:val="00D768FD"/>
    <w:rsid w:val="00D769D6"/>
    <w:rsid w:val="00D76A14"/>
    <w:rsid w:val="00D76B2C"/>
    <w:rsid w:val="00D76B61"/>
    <w:rsid w:val="00D76B9C"/>
    <w:rsid w:val="00D76C71"/>
    <w:rsid w:val="00D76D52"/>
    <w:rsid w:val="00D76D65"/>
    <w:rsid w:val="00D76D78"/>
    <w:rsid w:val="00D76E8D"/>
    <w:rsid w:val="00D76F4E"/>
    <w:rsid w:val="00D76F60"/>
    <w:rsid w:val="00D76FB5"/>
    <w:rsid w:val="00D76FC8"/>
    <w:rsid w:val="00D76FD9"/>
    <w:rsid w:val="00D7704A"/>
    <w:rsid w:val="00D77067"/>
    <w:rsid w:val="00D770BD"/>
    <w:rsid w:val="00D771B0"/>
    <w:rsid w:val="00D771C0"/>
    <w:rsid w:val="00D771E2"/>
    <w:rsid w:val="00D7721A"/>
    <w:rsid w:val="00D772C6"/>
    <w:rsid w:val="00D77322"/>
    <w:rsid w:val="00D773DB"/>
    <w:rsid w:val="00D77589"/>
    <w:rsid w:val="00D77597"/>
    <w:rsid w:val="00D775C4"/>
    <w:rsid w:val="00D77606"/>
    <w:rsid w:val="00D77663"/>
    <w:rsid w:val="00D776FE"/>
    <w:rsid w:val="00D7773C"/>
    <w:rsid w:val="00D777C5"/>
    <w:rsid w:val="00D777F5"/>
    <w:rsid w:val="00D77906"/>
    <w:rsid w:val="00D77A72"/>
    <w:rsid w:val="00D77A80"/>
    <w:rsid w:val="00D77A89"/>
    <w:rsid w:val="00D77AA4"/>
    <w:rsid w:val="00D77AC8"/>
    <w:rsid w:val="00D77AF5"/>
    <w:rsid w:val="00D77B3F"/>
    <w:rsid w:val="00D77BEB"/>
    <w:rsid w:val="00D77BF5"/>
    <w:rsid w:val="00D77BFB"/>
    <w:rsid w:val="00D77CCE"/>
    <w:rsid w:val="00D77CED"/>
    <w:rsid w:val="00D77D25"/>
    <w:rsid w:val="00D77D59"/>
    <w:rsid w:val="00D77D74"/>
    <w:rsid w:val="00D77D80"/>
    <w:rsid w:val="00D77E09"/>
    <w:rsid w:val="00D77F30"/>
    <w:rsid w:val="00D77F52"/>
    <w:rsid w:val="00D77FE7"/>
    <w:rsid w:val="00D8002F"/>
    <w:rsid w:val="00D8013B"/>
    <w:rsid w:val="00D8019F"/>
    <w:rsid w:val="00D801B7"/>
    <w:rsid w:val="00D8027B"/>
    <w:rsid w:val="00D80322"/>
    <w:rsid w:val="00D8036D"/>
    <w:rsid w:val="00D80389"/>
    <w:rsid w:val="00D803D3"/>
    <w:rsid w:val="00D803EE"/>
    <w:rsid w:val="00D8048D"/>
    <w:rsid w:val="00D804B3"/>
    <w:rsid w:val="00D804B6"/>
    <w:rsid w:val="00D80593"/>
    <w:rsid w:val="00D805BB"/>
    <w:rsid w:val="00D80658"/>
    <w:rsid w:val="00D80717"/>
    <w:rsid w:val="00D80746"/>
    <w:rsid w:val="00D80752"/>
    <w:rsid w:val="00D8077F"/>
    <w:rsid w:val="00D8078A"/>
    <w:rsid w:val="00D807A2"/>
    <w:rsid w:val="00D80817"/>
    <w:rsid w:val="00D8081B"/>
    <w:rsid w:val="00D8086E"/>
    <w:rsid w:val="00D80883"/>
    <w:rsid w:val="00D808D9"/>
    <w:rsid w:val="00D808EF"/>
    <w:rsid w:val="00D808FA"/>
    <w:rsid w:val="00D8095C"/>
    <w:rsid w:val="00D80989"/>
    <w:rsid w:val="00D80A3E"/>
    <w:rsid w:val="00D80AC9"/>
    <w:rsid w:val="00D80B24"/>
    <w:rsid w:val="00D80B7D"/>
    <w:rsid w:val="00D80B85"/>
    <w:rsid w:val="00D80BD5"/>
    <w:rsid w:val="00D80C36"/>
    <w:rsid w:val="00D80EB8"/>
    <w:rsid w:val="00D80EC6"/>
    <w:rsid w:val="00D80EDF"/>
    <w:rsid w:val="00D80F7C"/>
    <w:rsid w:val="00D80FB5"/>
    <w:rsid w:val="00D81012"/>
    <w:rsid w:val="00D8103F"/>
    <w:rsid w:val="00D81053"/>
    <w:rsid w:val="00D810A0"/>
    <w:rsid w:val="00D810CE"/>
    <w:rsid w:val="00D81122"/>
    <w:rsid w:val="00D8112A"/>
    <w:rsid w:val="00D81135"/>
    <w:rsid w:val="00D8121E"/>
    <w:rsid w:val="00D81237"/>
    <w:rsid w:val="00D81247"/>
    <w:rsid w:val="00D81251"/>
    <w:rsid w:val="00D814CA"/>
    <w:rsid w:val="00D81590"/>
    <w:rsid w:val="00D815B0"/>
    <w:rsid w:val="00D815DB"/>
    <w:rsid w:val="00D815DF"/>
    <w:rsid w:val="00D81697"/>
    <w:rsid w:val="00D816BA"/>
    <w:rsid w:val="00D817AE"/>
    <w:rsid w:val="00D817C2"/>
    <w:rsid w:val="00D81822"/>
    <w:rsid w:val="00D8184B"/>
    <w:rsid w:val="00D81960"/>
    <w:rsid w:val="00D81991"/>
    <w:rsid w:val="00D81AE4"/>
    <w:rsid w:val="00D81B08"/>
    <w:rsid w:val="00D81B32"/>
    <w:rsid w:val="00D81B35"/>
    <w:rsid w:val="00D81C34"/>
    <w:rsid w:val="00D81C54"/>
    <w:rsid w:val="00D81C55"/>
    <w:rsid w:val="00D81C79"/>
    <w:rsid w:val="00D81CAD"/>
    <w:rsid w:val="00D81D24"/>
    <w:rsid w:val="00D81DB2"/>
    <w:rsid w:val="00D81DD9"/>
    <w:rsid w:val="00D81F77"/>
    <w:rsid w:val="00D82004"/>
    <w:rsid w:val="00D8207B"/>
    <w:rsid w:val="00D82097"/>
    <w:rsid w:val="00D820E8"/>
    <w:rsid w:val="00D82144"/>
    <w:rsid w:val="00D82155"/>
    <w:rsid w:val="00D82180"/>
    <w:rsid w:val="00D82191"/>
    <w:rsid w:val="00D821AF"/>
    <w:rsid w:val="00D822EA"/>
    <w:rsid w:val="00D82301"/>
    <w:rsid w:val="00D82303"/>
    <w:rsid w:val="00D82400"/>
    <w:rsid w:val="00D82417"/>
    <w:rsid w:val="00D82512"/>
    <w:rsid w:val="00D82561"/>
    <w:rsid w:val="00D825A6"/>
    <w:rsid w:val="00D825BD"/>
    <w:rsid w:val="00D82664"/>
    <w:rsid w:val="00D826D0"/>
    <w:rsid w:val="00D8272B"/>
    <w:rsid w:val="00D827BB"/>
    <w:rsid w:val="00D827C3"/>
    <w:rsid w:val="00D827FB"/>
    <w:rsid w:val="00D828A0"/>
    <w:rsid w:val="00D828E6"/>
    <w:rsid w:val="00D82907"/>
    <w:rsid w:val="00D82A10"/>
    <w:rsid w:val="00D82A50"/>
    <w:rsid w:val="00D82B41"/>
    <w:rsid w:val="00D82B97"/>
    <w:rsid w:val="00D82BCE"/>
    <w:rsid w:val="00D82C8F"/>
    <w:rsid w:val="00D82CF4"/>
    <w:rsid w:val="00D82D4D"/>
    <w:rsid w:val="00D82E10"/>
    <w:rsid w:val="00D82E80"/>
    <w:rsid w:val="00D82F05"/>
    <w:rsid w:val="00D82F40"/>
    <w:rsid w:val="00D82F47"/>
    <w:rsid w:val="00D82F63"/>
    <w:rsid w:val="00D82F66"/>
    <w:rsid w:val="00D8301B"/>
    <w:rsid w:val="00D83037"/>
    <w:rsid w:val="00D83051"/>
    <w:rsid w:val="00D830D6"/>
    <w:rsid w:val="00D8313C"/>
    <w:rsid w:val="00D831BC"/>
    <w:rsid w:val="00D831C2"/>
    <w:rsid w:val="00D83234"/>
    <w:rsid w:val="00D8325F"/>
    <w:rsid w:val="00D832D8"/>
    <w:rsid w:val="00D834BC"/>
    <w:rsid w:val="00D83543"/>
    <w:rsid w:val="00D83575"/>
    <w:rsid w:val="00D835F5"/>
    <w:rsid w:val="00D83641"/>
    <w:rsid w:val="00D83687"/>
    <w:rsid w:val="00D836B0"/>
    <w:rsid w:val="00D836C0"/>
    <w:rsid w:val="00D8371C"/>
    <w:rsid w:val="00D83773"/>
    <w:rsid w:val="00D837A3"/>
    <w:rsid w:val="00D837CA"/>
    <w:rsid w:val="00D837CD"/>
    <w:rsid w:val="00D83B89"/>
    <w:rsid w:val="00D83C03"/>
    <w:rsid w:val="00D83CB2"/>
    <w:rsid w:val="00D83D1E"/>
    <w:rsid w:val="00D83D3F"/>
    <w:rsid w:val="00D83D47"/>
    <w:rsid w:val="00D83E0D"/>
    <w:rsid w:val="00D83E2F"/>
    <w:rsid w:val="00D83E51"/>
    <w:rsid w:val="00D83F9E"/>
    <w:rsid w:val="00D84056"/>
    <w:rsid w:val="00D8411D"/>
    <w:rsid w:val="00D84153"/>
    <w:rsid w:val="00D841C3"/>
    <w:rsid w:val="00D841F6"/>
    <w:rsid w:val="00D8429B"/>
    <w:rsid w:val="00D842CB"/>
    <w:rsid w:val="00D842DF"/>
    <w:rsid w:val="00D8444B"/>
    <w:rsid w:val="00D844CA"/>
    <w:rsid w:val="00D844F7"/>
    <w:rsid w:val="00D845A0"/>
    <w:rsid w:val="00D845B2"/>
    <w:rsid w:val="00D84686"/>
    <w:rsid w:val="00D846CC"/>
    <w:rsid w:val="00D847E3"/>
    <w:rsid w:val="00D84806"/>
    <w:rsid w:val="00D84891"/>
    <w:rsid w:val="00D84A28"/>
    <w:rsid w:val="00D84A73"/>
    <w:rsid w:val="00D84AFC"/>
    <w:rsid w:val="00D84B24"/>
    <w:rsid w:val="00D84B38"/>
    <w:rsid w:val="00D84B6E"/>
    <w:rsid w:val="00D84C32"/>
    <w:rsid w:val="00D84C33"/>
    <w:rsid w:val="00D84E57"/>
    <w:rsid w:val="00D84FD3"/>
    <w:rsid w:val="00D8500C"/>
    <w:rsid w:val="00D85084"/>
    <w:rsid w:val="00D85129"/>
    <w:rsid w:val="00D85173"/>
    <w:rsid w:val="00D8522B"/>
    <w:rsid w:val="00D8529A"/>
    <w:rsid w:val="00D853B7"/>
    <w:rsid w:val="00D8547F"/>
    <w:rsid w:val="00D854FA"/>
    <w:rsid w:val="00D85543"/>
    <w:rsid w:val="00D855D2"/>
    <w:rsid w:val="00D855F8"/>
    <w:rsid w:val="00D856E8"/>
    <w:rsid w:val="00D8573F"/>
    <w:rsid w:val="00D858CF"/>
    <w:rsid w:val="00D8590D"/>
    <w:rsid w:val="00D85923"/>
    <w:rsid w:val="00D85A88"/>
    <w:rsid w:val="00D85B68"/>
    <w:rsid w:val="00D85BD0"/>
    <w:rsid w:val="00D85BF8"/>
    <w:rsid w:val="00D85C1A"/>
    <w:rsid w:val="00D85C7C"/>
    <w:rsid w:val="00D85C85"/>
    <w:rsid w:val="00D85CF8"/>
    <w:rsid w:val="00D85D4A"/>
    <w:rsid w:val="00D85D87"/>
    <w:rsid w:val="00D85E38"/>
    <w:rsid w:val="00D85ECF"/>
    <w:rsid w:val="00D85FC1"/>
    <w:rsid w:val="00D8603E"/>
    <w:rsid w:val="00D86147"/>
    <w:rsid w:val="00D861C4"/>
    <w:rsid w:val="00D86294"/>
    <w:rsid w:val="00D862B5"/>
    <w:rsid w:val="00D863A3"/>
    <w:rsid w:val="00D86461"/>
    <w:rsid w:val="00D86464"/>
    <w:rsid w:val="00D86578"/>
    <w:rsid w:val="00D865CB"/>
    <w:rsid w:val="00D865D3"/>
    <w:rsid w:val="00D8671C"/>
    <w:rsid w:val="00D8674A"/>
    <w:rsid w:val="00D86852"/>
    <w:rsid w:val="00D86869"/>
    <w:rsid w:val="00D86902"/>
    <w:rsid w:val="00D86A5F"/>
    <w:rsid w:val="00D86A6E"/>
    <w:rsid w:val="00D86A93"/>
    <w:rsid w:val="00D86AB1"/>
    <w:rsid w:val="00D86B08"/>
    <w:rsid w:val="00D86B7C"/>
    <w:rsid w:val="00D86CA2"/>
    <w:rsid w:val="00D86D09"/>
    <w:rsid w:val="00D86E6F"/>
    <w:rsid w:val="00D86EA0"/>
    <w:rsid w:val="00D86ECA"/>
    <w:rsid w:val="00D86EF1"/>
    <w:rsid w:val="00D86FFE"/>
    <w:rsid w:val="00D87051"/>
    <w:rsid w:val="00D870CD"/>
    <w:rsid w:val="00D870D0"/>
    <w:rsid w:val="00D87115"/>
    <w:rsid w:val="00D871E6"/>
    <w:rsid w:val="00D87315"/>
    <w:rsid w:val="00D8738D"/>
    <w:rsid w:val="00D87403"/>
    <w:rsid w:val="00D87445"/>
    <w:rsid w:val="00D8746F"/>
    <w:rsid w:val="00D874C3"/>
    <w:rsid w:val="00D875DF"/>
    <w:rsid w:val="00D87783"/>
    <w:rsid w:val="00D877C0"/>
    <w:rsid w:val="00D87914"/>
    <w:rsid w:val="00D87972"/>
    <w:rsid w:val="00D87976"/>
    <w:rsid w:val="00D87987"/>
    <w:rsid w:val="00D87990"/>
    <w:rsid w:val="00D879FA"/>
    <w:rsid w:val="00D87A5B"/>
    <w:rsid w:val="00D87AAD"/>
    <w:rsid w:val="00D87B2E"/>
    <w:rsid w:val="00D87B40"/>
    <w:rsid w:val="00D87B8C"/>
    <w:rsid w:val="00D87C1C"/>
    <w:rsid w:val="00D87CCE"/>
    <w:rsid w:val="00D87D05"/>
    <w:rsid w:val="00D87D0C"/>
    <w:rsid w:val="00D87D39"/>
    <w:rsid w:val="00D87D50"/>
    <w:rsid w:val="00D87DF9"/>
    <w:rsid w:val="00D87E3B"/>
    <w:rsid w:val="00D87E3C"/>
    <w:rsid w:val="00D87E71"/>
    <w:rsid w:val="00D87E8A"/>
    <w:rsid w:val="00D87EA0"/>
    <w:rsid w:val="00D87FA2"/>
    <w:rsid w:val="00D8C293"/>
    <w:rsid w:val="00D9002C"/>
    <w:rsid w:val="00D90092"/>
    <w:rsid w:val="00D90134"/>
    <w:rsid w:val="00D901BC"/>
    <w:rsid w:val="00D90232"/>
    <w:rsid w:val="00D90237"/>
    <w:rsid w:val="00D90335"/>
    <w:rsid w:val="00D90378"/>
    <w:rsid w:val="00D903B8"/>
    <w:rsid w:val="00D903E9"/>
    <w:rsid w:val="00D90404"/>
    <w:rsid w:val="00D9044D"/>
    <w:rsid w:val="00D904C6"/>
    <w:rsid w:val="00D90502"/>
    <w:rsid w:val="00D9054C"/>
    <w:rsid w:val="00D9056A"/>
    <w:rsid w:val="00D9061F"/>
    <w:rsid w:val="00D906C9"/>
    <w:rsid w:val="00D9071C"/>
    <w:rsid w:val="00D9081C"/>
    <w:rsid w:val="00D908D0"/>
    <w:rsid w:val="00D908EC"/>
    <w:rsid w:val="00D9091C"/>
    <w:rsid w:val="00D90989"/>
    <w:rsid w:val="00D909E8"/>
    <w:rsid w:val="00D90A48"/>
    <w:rsid w:val="00D90A4F"/>
    <w:rsid w:val="00D90A8F"/>
    <w:rsid w:val="00D90AC0"/>
    <w:rsid w:val="00D90AFC"/>
    <w:rsid w:val="00D90B68"/>
    <w:rsid w:val="00D90D37"/>
    <w:rsid w:val="00D90D4C"/>
    <w:rsid w:val="00D90D88"/>
    <w:rsid w:val="00D90E2A"/>
    <w:rsid w:val="00D90E4C"/>
    <w:rsid w:val="00D90E62"/>
    <w:rsid w:val="00D90EF9"/>
    <w:rsid w:val="00D90F72"/>
    <w:rsid w:val="00D90F92"/>
    <w:rsid w:val="00D90FA9"/>
    <w:rsid w:val="00D90FBC"/>
    <w:rsid w:val="00D9114D"/>
    <w:rsid w:val="00D9119D"/>
    <w:rsid w:val="00D911FD"/>
    <w:rsid w:val="00D91205"/>
    <w:rsid w:val="00D91247"/>
    <w:rsid w:val="00D91262"/>
    <w:rsid w:val="00D91274"/>
    <w:rsid w:val="00D91363"/>
    <w:rsid w:val="00D913CB"/>
    <w:rsid w:val="00D913E7"/>
    <w:rsid w:val="00D91407"/>
    <w:rsid w:val="00D9144F"/>
    <w:rsid w:val="00D91510"/>
    <w:rsid w:val="00D915C8"/>
    <w:rsid w:val="00D915E2"/>
    <w:rsid w:val="00D916A9"/>
    <w:rsid w:val="00D916F9"/>
    <w:rsid w:val="00D91790"/>
    <w:rsid w:val="00D917B0"/>
    <w:rsid w:val="00D917B6"/>
    <w:rsid w:val="00D91850"/>
    <w:rsid w:val="00D91864"/>
    <w:rsid w:val="00D91874"/>
    <w:rsid w:val="00D91905"/>
    <w:rsid w:val="00D91908"/>
    <w:rsid w:val="00D9196D"/>
    <w:rsid w:val="00D91986"/>
    <w:rsid w:val="00D91A33"/>
    <w:rsid w:val="00D91C16"/>
    <w:rsid w:val="00D91C37"/>
    <w:rsid w:val="00D91D01"/>
    <w:rsid w:val="00D91DD3"/>
    <w:rsid w:val="00D91E2A"/>
    <w:rsid w:val="00D91E41"/>
    <w:rsid w:val="00D91EA3"/>
    <w:rsid w:val="00D91F1B"/>
    <w:rsid w:val="00D91F20"/>
    <w:rsid w:val="00D920C2"/>
    <w:rsid w:val="00D9213A"/>
    <w:rsid w:val="00D921B4"/>
    <w:rsid w:val="00D921D7"/>
    <w:rsid w:val="00D9230B"/>
    <w:rsid w:val="00D92368"/>
    <w:rsid w:val="00D9249B"/>
    <w:rsid w:val="00D9258E"/>
    <w:rsid w:val="00D92623"/>
    <w:rsid w:val="00D92676"/>
    <w:rsid w:val="00D92707"/>
    <w:rsid w:val="00D9279F"/>
    <w:rsid w:val="00D927CE"/>
    <w:rsid w:val="00D927F0"/>
    <w:rsid w:val="00D92880"/>
    <w:rsid w:val="00D9290A"/>
    <w:rsid w:val="00D9295A"/>
    <w:rsid w:val="00D92967"/>
    <w:rsid w:val="00D92ADE"/>
    <w:rsid w:val="00D92B69"/>
    <w:rsid w:val="00D92C56"/>
    <w:rsid w:val="00D92C7B"/>
    <w:rsid w:val="00D92CAE"/>
    <w:rsid w:val="00D92D15"/>
    <w:rsid w:val="00D92DC2"/>
    <w:rsid w:val="00D92E03"/>
    <w:rsid w:val="00D92EA1"/>
    <w:rsid w:val="00D92EC6"/>
    <w:rsid w:val="00D92EE4"/>
    <w:rsid w:val="00D92EF2"/>
    <w:rsid w:val="00D92F4C"/>
    <w:rsid w:val="00D92F6E"/>
    <w:rsid w:val="00D93000"/>
    <w:rsid w:val="00D93134"/>
    <w:rsid w:val="00D9313F"/>
    <w:rsid w:val="00D93165"/>
    <w:rsid w:val="00D93171"/>
    <w:rsid w:val="00D9317B"/>
    <w:rsid w:val="00D93191"/>
    <w:rsid w:val="00D93220"/>
    <w:rsid w:val="00D93237"/>
    <w:rsid w:val="00D9332E"/>
    <w:rsid w:val="00D93348"/>
    <w:rsid w:val="00D93397"/>
    <w:rsid w:val="00D9344D"/>
    <w:rsid w:val="00D934A7"/>
    <w:rsid w:val="00D93513"/>
    <w:rsid w:val="00D9356E"/>
    <w:rsid w:val="00D93649"/>
    <w:rsid w:val="00D93653"/>
    <w:rsid w:val="00D936B0"/>
    <w:rsid w:val="00D936B6"/>
    <w:rsid w:val="00D936EE"/>
    <w:rsid w:val="00D93711"/>
    <w:rsid w:val="00D93750"/>
    <w:rsid w:val="00D93759"/>
    <w:rsid w:val="00D937D3"/>
    <w:rsid w:val="00D937E1"/>
    <w:rsid w:val="00D9380C"/>
    <w:rsid w:val="00D9386E"/>
    <w:rsid w:val="00D939A0"/>
    <w:rsid w:val="00D93AAF"/>
    <w:rsid w:val="00D93B1B"/>
    <w:rsid w:val="00D93BAC"/>
    <w:rsid w:val="00D93C30"/>
    <w:rsid w:val="00D93C3D"/>
    <w:rsid w:val="00D93C8A"/>
    <w:rsid w:val="00D93D37"/>
    <w:rsid w:val="00D93D86"/>
    <w:rsid w:val="00D93E12"/>
    <w:rsid w:val="00D93E1D"/>
    <w:rsid w:val="00D93EC4"/>
    <w:rsid w:val="00D93F20"/>
    <w:rsid w:val="00D93FCA"/>
    <w:rsid w:val="00D94020"/>
    <w:rsid w:val="00D940E7"/>
    <w:rsid w:val="00D94140"/>
    <w:rsid w:val="00D94144"/>
    <w:rsid w:val="00D94148"/>
    <w:rsid w:val="00D94222"/>
    <w:rsid w:val="00D943A4"/>
    <w:rsid w:val="00D944A5"/>
    <w:rsid w:val="00D944DA"/>
    <w:rsid w:val="00D944E3"/>
    <w:rsid w:val="00D944F0"/>
    <w:rsid w:val="00D9455C"/>
    <w:rsid w:val="00D94574"/>
    <w:rsid w:val="00D945E3"/>
    <w:rsid w:val="00D94630"/>
    <w:rsid w:val="00D94669"/>
    <w:rsid w:val="00D946DE"/>
    <w:rsid w:val="00D94726"/>
    <w:rsid w:val="00D94811"/>
    <w:rsid w:val="00D9484D"/>
    <w:rsid w:val="00D9486E"/>
    <w:rsid w:val="00D94935"/>
    <w:rsid w:val="00D949B9"/>
    <w:rsid w:val="00D94AE7"/>
    <w:rsid w:val="00D94B07"/>
    <w:rsid w:val="00D94B0B"/>
    <w:rsid w:val="00D94BB8"/>
    <w:rsid w:val="00D94CC8"/>
    <w:rsid w:val="00D94D79"/>
    <w:rsid w:val="00D94DDE"/>
    <w:rsid w:val="00D94DF9"/>
    <w:rsid w:val="00D94E55"/>
    <w:rsid w:val="00D94ECC"/>
    <w:rsid w:val="00D94F03"/>
    <w:rsid w:val="00D94F04"/>
    <w:rsid w:val="00D9503C"/>
    <w:rsid w:val="00D950A8"/>
    <w:rsid w:val="00D950F5"/>
    <w:rsid w:val="00D95107"/>
    <w:rsid w:val="00D951E7"/>
    <w:rsid w:val="00D95360"/>
    <w:rsid w:val="00D953F0"/>
    <w:rsid w:val="00D9542C"/>
    <w:rsid w:val="00D95494"/>
    <w:rsid w:val="00D954F7"/>
    <w:rsid w:val="00D9550E"/>
    <w:rsid w:val="00D955E6"/>
    <w:rsid w:val="00D95654"/>
    <w:rsid w:val="00D95682"/>
    <w:rsid w:val="00D956E9"/>
    <w:rsid w:val="00D95719"/>
    <w:rsid w:val="00D9578D"/>
    <w:rsid w:val="00D957BF"/>
    <w:rsid w:val="00D9581C"/>
    <w:rsid w:val="00D958E0"/>
    <w:rsid w:val="00D95912"/>
    <w:rsid w:val="00D95933"/>
    <w:rsid w:val="00D9597F"/>
    <w:rsid w:val="00D959A1"/>
    <w:rsid w:val="00D959AE"/>
    <w:rsid w:val="00D959E5"/>
    <w:rsid w:val="00D95A7A"/>
    <w:rsid w:val="00D95A87"/>
    <w:rsid w:val="00D95A8C"/>
    <w:rsid w:val="00D95AE9"/>
    <w:rsid w:val="00D95B9F"/>
    <w:rsid w:val="00D95BCC"/>
    <w:rsid w:val="00D95C71"/>
    <w:rsid w:val="00D95E29"/>
    <w:rsid w:val="00D95F0B"/>
    <w:rsid w:val="00D95F84"/>
    <w:rsid w:val="00D96031"/>
    <w:rsid w:val="00D9603A"/>
    <w:rsid w:val="00D9604C"/>
    <w:rsid w:val="00D96050"/>
    <w:rsid w:val="00D960AB"/>
    <w:rsid w:val="00D96147"/>
    <w:rsid w:val="00D962F8"/>
    <w:rsid w:val="00D96337"/>
    <w:rsid w:val="00D9635C"/>
    <w:rsid w:val="00D963A6"/>
    <w:rsid w:val="00D96484"/>
    <w:rsid w:val="00D965BA"/>
    <w:rsid w:val="00D965FA"/>
    <w:rsid w:val="00D9663B"/>
    <w:rsid w:val="00D96681"/>
    <w:rsid w:val="00D966B9"/>
    <w:rsid w:val="00D966F2"/>
    <w:rsid w:val="00D9673D"/>
    <w:rsid w:val="00D96776"/>
    <w:rsid w:val="00D967E3"/>
    <w:rsid w:val="00D9684D"/>
    <w:rsid w:val="00D96877"/>
    <w:rsid w:val="00D968AA"/>
    <w:rsid w:val="00D968CD"/>
    <w:rsid w:val="00D968E7"/>
    <w:rsid w:val="00D96931"/>
    <w:rsid w:val="00D9693E"/>
    <w:rsid w:val="00D96957"/>
    <w:rsid w:val="00D969A7"/>
    <w:rsid w:val="00D96A6D"/>
    <w:rsid w:val="00D96B43"/>
    <w:rsid w:val="00D96BE7"/>
    <w:rsid w:val="00D96C15"/>
    <w:rsid w:val="00D96C29"/>
    <w:rsid w:val="00D96CE2"/>
    <w:rsid w:val="00D96CEB"/>
    <w:rsid w:val="00D96E2B"/>
    <w:rsid w:val="00D970D8"/>
    <w:rsid w:val="00D97120"/>
    <w:rsid w:val="00D971BC"/>
    <w:rsid w:val="00D97310"/>
    <w:rsid w:val="00D9740F"/>
    <w:rsid w:val="00D9742C"/>
    <w:rsid w:val="00D97449"/>
    <w:rsid w:val="00D97450"/>
    <w:rsid w:val="00D975A2"/>
    <w:rsid w:val="00D975CF"/>
    <w:rsid w:val="00D97622"/>
    <w:rsid w:val="00D9779D"/>
    <w:rsid w:val="00D977B2"/>
    <w:rsid w:val="00D97942"/>
    <w:rsid w:val="00D9798A"/>
    <w:rsid w:val="00D979B2"/>
    <w:rsid w:val="00D97ADB"/>
    <w:rsid w:val="00D97AEC"/>
    <w:rsid w:val="00D97B4C"/>
    <w:rsid w:val="00D97B74"/>
    <w:rsid w:val="00D97C0A"/>
    <w:rsid w:val="00D97C25"/>
    <w:rsid w:val="00D97C64"/>
    <w:rsid w:val="00D97D69"/>
    <w:rsid w:val="00D97D9C"/>
    <w:rsid w:val="00D97DAA"/>
    <w:rsid w:val="00D97DFC"/>
    <w:rsid w:val="00D97E5E"/>
    <w:rsid w:val="00D97E6D"/>
    <w:rsid w:val="00D97E9B"/>
    <w:rsid w:val="00D97EBA"/>
    <w:rsid w:val="00DA00DB"/>
    <w:rsid w:val="00DA011A"/>
    <w:rsid w:val="00DA017B"/>
    <w:rsid w:val="00DA0194"/>
    <w:rsid w:val="00DA0204"/>
    <w:rsid w:val="00DA0265"/>
    <w:rsid w:val="00DA0405"/>
    <w:rsid w:val="00DA040F"/>
    <w:rsid w:val="00DA0641"/>
    <w:rsid w:val="00DA0658"/>
    <w:rsid w:val="00DA0671"/>
    <w:rsid w:val="00DA0749"/>
    <w:rsid w:val="00DA07AF"/>
    <w:rsid w:val="00DA07C7"/>
    <w:rsid w:val="00DA0802"/>
    <w:rsid w:val="00DA082B"/>
    <w:rsid w:val="00DA0877"/>
    <w:rsid w:val="00DA08DD"/>
    <w:rsid w:val="00DA0910"/>
    <w:rsid w:val="00DA09F2"/>
    <w:rsid w:val="00DA0A4E"/>
    <w:rsid w:val="00DA0AD1"/>
    <w:rsid w:val="00DA0AE0"/>
    <w:rsid w:val="00DA0BA6"/>
    <w:rsid w:val="00DA0C3A"/>
    <w:rsid w:val="00DA0C56"/>
    <w:rsid w:val="00DA0CA8"/>
    <w:rsid w:val="00DA0CC6"/>
    <w:rsid w:val="00DA0D1E"/>
    <w:rsid w:val="00DA10D5"/>
    <w:rsid w:val="00DA10F7"/>
    <w:rsid w:val="00DA117C"/>
    <w:rsid w:val="00DA121A"/>
    <w:rsid w:val="00DA1231"/>
    <w:rsid w:val="00DA1238"/>
    <w:rsid w:val="00DA124B"/>
    <w:rsid w:val="00DA1278"/>
    <w:rsid w:val="00DA12CD"/>
    <w:rsid w:val="00DA135D"/>
    <w:rsid w:val="00DA13B8"/>
    <w:rsid w:val="00DA13EA"/>
    <w:rsid w:val="00DA1443"/>
    <w:rsid w:val="00DA14B5"/>
    <w:rsid w:val="00DA1504"/>
    <w:rsid w:val="00DA155F"/>
    <w:rsid w:val="00DA1684"/>
    <w:rsid w:val="00DA1702"/>
    <w:rsid w:val="00DA1765"/>
    <w:rsid w:val="00DA182F"/>
    <w:rsid w:val="00DA1861"/>
    <w:rsid w:val="00DA18C8"/>
    <w:rsid w:val="00DA193F"/>
    <w:rsid w:val="00DA1947"/>
    <w:rsid w:val="00DA1A64"/>
    <w:rsid w:val="00DA1B0B"/>
    <w:rsid w:val="00DA1C61"/>
    <w:rsid w:val="00DA1CF6"/>
    <w:rsid w:val="00DA1F42"/>
    <w:rsid w:val="00DA1F57"/>
    <w:rsid w:val="00DA1F61"/>
    <w:rsid w:val="00DA1F74"/>
    <w:rsid w:val="00DA2043"/>
    <w:rsid w:val="00DA2165"/>
    <w:rsid w:val="00DA21CB"/>
    <w:rsid w:val="00DA224E"/>
    <w:rsid w:val="00DA22F5"/>
    <w:rsid w:val="00DA2393"/>
    <w:rsid w:val="00DA23F5"/>
    <w:rsid w:val="00DA240E"/>
    <w:rsid w:val="00DA2485"/>
    <w:rsid w:val="00DA24DF"/>
    <w:rsid w:val="00DA251A"/>
    <w:rsid w:val="00DA254C"/>
    <w:rsid w:val="00DA25F1"/>
    <w:rsid w:val="00DA263C"/>
    <w:rsid w:val="00DA2765"/>
    <w:rsid w:val="00DA278E"/>
    <w:rsid w:val="00DA2958"/>
    <w:rsid w:val="00DA29D6"/>
    <w:rsid w:val="00DA2A43"/>
    <w:rsid w:val="00DA2A75"/>
    <w:rsid w:val="00DA2D21"/>
    <w:rsid w:val="00DA2D52"/>
    <w:rsid w:val="00DA2D7C"/>
    <w:rsid w:val="00DA2E18"/>
    <w:rsid w:val="00DA2E84"/>
    <w:rsid w:val="00DA2F26"/>
    <w:rsid w:val="00DA2FBC"/>
    <w:rsid w:val="00DA30E9"/>
    <w:rsid w:val="00DA3165"/>
    <w:rsid w:val="00DA317D"/>
    <w:rsid w:val="00DA320B"/>
    <w:rsid w:val="00DA32DB"/>
    <w:rsid w:val="00DA32F2"/>
    <w:rsid w:val="00DA32F5"/>
    <w:rsid w:val="00DA3303"/>
    <w:rsid w:val="00DA3336"/>
    <w:rsid w:val="00DA33A2"/>
    <w:rsid w:val="00DA33BF"/>
    <w:rsid w:val="00DA33F7"/>
    <w:rsid w:val="00DA33FB"/>
    <w:rsid w:val="00DA3400"/>
    <w:rsid w:val="00DA369A"/>
    <w:rsid w:val="00DA371B"/>
    <w:rsid w:val="00DA38DB"/>
    <w:rsid w:val="00DA3AA8"/>
    <w:rsid w:val="00DA3B30"/>
    <w:rsid w:val="00DA3D04"/>
    <w:rsid w:val="00DA3D18"/>
    <w:rsid w:val="00DA3DF6"/>
    <w:rsid w:val="00DA3E0F"/>
    <w:rsid w:val="00DA3EDA"/>
    <w:rsid w:val="00DA3EED"/>
    <w:rsid w:val="00DA3F0C"/>
    <w:rsid w:val="00DA3F34"/>
    <w:rsid w:val="00DA4017"/>
    <w:rsid w:val="00DA4071"/>
    <w:rsid w:val="00DA40A8"/>
    <w:rsid w:val="00DA410D"/>
    <w:rsid w:val="00DA41BF"/>
    <w:rsid w:val="00DA41F2"/>
    <w:rsid w:val="00DA420C"/>
    <w:rsid w:val="00DA4211"/>
    <w:rsid w:val="00DA4461"/>
    <w:rsid w:val="00DA44B5"/>
    <w:rsid w:val="00DA44D3"/>
    <w:rsid w:val="00DA4500"/>
    <w:rsid w:val="00DA457E"/>
    <w:rsid w:val="00DA45A2"/>
    <w:rsid w:val="00DA47A8"/>
    <w:rsid w:val="00DA47DF"/>
    <w:rsid w:val="00DA47EF"/>
    <w:rsid w:val="00DA492F"/>
    <w:rsid w:val="00DA4A28"/>
    <w:rsid w:val="00DA4ACE"/>
    <w:rsid w:val="00DA4AFD"/>
    <w:rsid w:val="00DA4BA3"/>
    <w:rsid w:val="00DA4BD2"/>
    <w:rsid w:val="00DA4C05"/>
    <w:rsid w:val="00DA4C83"/>
    <w:rsid w:val="00DA4D28"/>
    <w:rsid w:val="00DA4D3D"/>
    <w:rsid w:val="00DA4D7C"/>
    <w:rsid w:val="00DA4DA6"/>
    <w:rsid w:val="00DA4DCA"/>
    <w:rsid w:val="00DA4EC5"/>
    <w:rsid w:val="00DA4F3E"/>
    <w:rsid w:val="00DA4FFF"/>
    <w:rsid w:val="00DA50B7"/>
    <w:rsid w:val="00DA50C9"/>
    <w:rsid w:val="00DA50EB"/>
    <w:rsid w:val="00DA51BB"/>
    <w:rsid w:val="00DA523D"/>
    <w:rsid w:val="00DA5321"/>
    <w:rsid w:val="00DA533C"/>
    <w:rsid w:val="00DA549F"/>
    <w:rsid w:val="00DA5541"/>
    <w:rsid w:val="00DA55A0"/>
    <w:rsid w:val="00DA55DA"/>
    <w:rsid w:val="00DA55DE"/>
    <w:rsid w:val="00DA55E4"/>
    <w:rsid w:val="00DA5642"/>
    <w:rsid w:val="00DA568E"/>
    <w:rsid w:val="00DA5712"/>
    <w:rsid w:val="00DA5745"/>
    <w:rsid w:val="00DA5863"/>
    <w:rsid w:val="00DA58F5"/>
    <w:rsid w:val="00DA59B6"/>
    <w:rsid w:val="00DA59D6"/>
    <w:rsid w:val="00DA5A64"/>
    <w:rsid w:val="00DA5AA1"/>
    <w:rsid w:val="00DA5B87"/>
    <w:rsid w:val="00DA5CEB"/>
    <w:rsid w:val="00DA5D9E"/>
    <w:rsid w:val="00DA5DBD"/>
    <w:rsid w:val="00DA5DEE"/>
    <w:rsid w:val="00DA5E25"/>
    <w:rsid w:val="00DA5E6B"/>
    <w:rsid w:val="00DA5E81"/>
    <w:rsid w:val="00DA5EE4"/>
    <w:rsid w:val="00DA5F07"/>
    <w:rsid w:val="00DA5FA6"/>
    <w:rsid w:val="00DA606C"/>
    <w:rsid w:val="00DA6176"/>
    <w:rsid w:val="00DA6216"/>
    <w:rsid w:val="00DA62B1"/>
    <w:rsid w:val="00DA6344"/>
    <w:rsid w:val="00DA6428"/>
    <w:rsid w:val="00DA642E"/>
    <w:rsid w:val="00DA6461"/>
    <w:rsid w:val="00DA6487"/>
    <w:rsid w:val="00DA655A"/>
    <w:rsid w:val="00DA6580"/>
    <w:rsid w:val="00DA6591"/>
    <w:rsid w:val="00DA65C9"/>
    <w:rsid w:val="00DA664C"/>
    <w:rsid w:val="00DA6656"/>
    <w:rsid w:val="00DA673D"/>
    <w:rsid w:val="00DA682E"/>
    <w:rsid w:val="00DA6870"/>
    <w:rsid w:val="00DA68F8"/>
    <w:rsid w:val="00DA690A"/>
    <w:rsid w:val="00DA693B"/>
    <w:rsid w:val="00DA6A03"/>
    <w:rsid w:val="00DA6A62"/>
    <w:rsid w:val="00DA6A63"/>
    <w:rsid w:val="00DA6AA4"/>
    <w:rsid w:val="00DA6ABB"/>
    <w:rsid w:val="00DA6AEE"/>
    <w:rsid w:val="00DA6B93"/>
    <w:rsid w:val="00DA6BE6"/>
    <w:rsid w:val="00DA6BED"/>
    <w:rsid w:val="00DA6BF2"/>
    <w:rsid w:val="00DA6C7D"/>
    <w:rsid w:val="00DA6D39"/>
    <w:rsid w:val="00DA6D8F"/>
    <w:rsid w:val="00DA6E18"/>
    <w:rsid w:val="00DA6E43"/>
    <w:rsid w:val="00DA6F41"/>
    <w:rsid w:val="00DA6F58"/>
    <w:rsid w:val="00DA6FCA"/>
    <w:rsid w:val="00DA7008"/>
    <w:rsid w:val="00DA7099"/>
    <w:rsid w:val="00DA7103"/>
    <w:rsid w:val="00DA7129"/>
    <w:rsid w:val="00DA718A"/>
    <w:rsid w:val="00DA71A6"/>
    <w:rsid w:val="00DA71B9"/>
    <w:rsid w:val="00DA73ED"/>
    <w:rsid w:val="00DA7405"/>
    <w:rsid w:val="00DA74B6"/>
    <w:rsid w:val="00DA74C5"/>
    <w:rsid w:val="00DA765B"/>
    <w:rsid w:val="00DA76B4"/>
    <w:rsid w:val="00DA76C3"/>
    <w:rsid w:val="00DA76DC"/>
    <w:rsid w:val="00DA7746"/>
    <w:rsid w:val="00DA782B"/>
    <w:rsid w:val="00DA7857"/>
    <w:rsid w:val="00DA78DF"/>
    <w:rsid w:val="00DA79AA"/>
    <w:rsid w:val="00DA7A2A"/>
    <w:rsid w:val="00DA7AC5"/>
    <w:rsid w:val="00DA7B47"/>
    <w:rsid w:val="00DA7B4B"/>
    <w:rsid w:val="00DA7BB4"/>
    <w:rsid w:val="00DA7BB9"/>
    <w:rsid w:val="00DA7C2C"/>
    <w:rsid w:val="00DA7C85"/>
    <w:rsid w:val="00DA7D32"/>
    <w:rsid w:val="00DA7D4C"/>
    <w:rsid w:val="00DA7D8F"/>
    <w:rsid w:val="00DA7E8B"/>
    <w:rsid w:val="00DA7E9F"/>
    <w:rsid w:val="00DA7F4C"/>
    <w:rsid w:val="00DA7F69"/>
    <w:rsid w:val="00DA7F75"/>
    <w:rsid w:val="00DB0080"/>
    <w:rsid w:val="00DB00F4"/>
    <w:rsid w:val="00DB0157"/>
    <w:rsid w:val="00DB0215"/>
    <w:rsid w:val="00DB02CC"/>
    <w:rsid w:val="00DB02D4"/>
    <w:rsid w:val="00DB0331"/>
    <w:rsid w:val="00DB03BB"/>
    <w:rsid w:val="00DB0477"/>
    <w:rsid w:val="00DB048C"/>
    <w:rsid w:val="00DB05DD"/>
    <w:rsid w:val="00DB0608"/>
    <w:rsid w:val="00DB063E"/>
    <w:rsid w:val="00DB0654"/>
    <w:rsid w:val="00DB066E"/>
    <w:rsid w:val="00DB06E9"/>
    <w:rsid w:val="00DB06EB"/>
    <w:rsid w:val="00DB06F5"/>
    <w:rsid w:val="00DB079B"/>
    <w:rsid w:val="00DB07F2"/>
    <w:rsid w:val="00DB092F"/>
    <w:rsid w:val="00DB0AD0"/>
    <w:rsid w:val="00DB0B46"/>
    <w:rsid w:val="00DB0BB2"/>
    <w:rsid w:val="00DB0BEB"/>
    <w:rsid w:val="00DB0C65"/>
    <w:rsid w:val="00DB0C90"/>
    <w:rsid w:val="00DB0D30"/>
    <w:rsid w:val="00DB0DFA"/>
    <w:rsid w:val="00DB0E4B"/>
    <w:rsid w:val="00DB0E50"/>
    <w:rsid w:val="00DB0E7D"/>
    <w:rsid w:val="00DB0F63"/>
    <w:rsid w:val="00DB1036"/>
    <w:rsid w:val="00DB103D"/>
    <w:rsid w:val="00DB104A"/>
    <w:rsid w:val="00DB1064"/>
    <w:rsid w:val="00DB1183"/>
    <w:rsid w:val="00DB11B4"/>
    <w:rsid w:val="00DB1230"/>
    <w:rsid w:val="00DB1307"/>
    <w:rsid w:val="00DB1332"/>
    <w:rsid w:val="00DB1448"/>
    <w:rsid w:val="00DB1527"/>
    <w:rsid w:val="00DB162C"/>
    <w:rsid w:val="00DB1642"/>
    <w:rsid w:val="00DB16D6"/>
    <w:rsid w:val="00DB1700"/>
    <w:rsid w:val="00DB1714"/>
    <w:rsid w:val="00DB1724"/>
    <w:rsid w:val="00DB179D"/>
    <w:rsid w:val="00DB17C8"/>
    <w:rsid w:val="00DB18A2"/>
    <w:rsid w:val="00DB18F6"/>
    <w:rsid w:val="00DB1963"/>
    <w:rsid w:val="00DB1986"/>
    <w:rsid w:val="00DB198F"/>
    <w:rsid w:val="00DB19EA"/>
    <w:rsid w:val="00DB1ADC"/>
    <w:rsid w:val="00DB1BA7"/>
    <w:rsid w:val="00DB1BD7"/>
    <w:rsid w:val="00DB1BDE"/>
    <w:rsid w:val="00DB1CD2"/>
    <w:rsid w:val="00DB1D0D"/>
    <w:rsid w:val="00DB1D45"/>
    <w:rsid w:val="00DB1D92"/>
    <w:rsid w:val="00DB1DA6"/>
    <w:rsid w:val="00DB1DD9"/>
    <w:rsid w:val="00DB1E09"/>
    <w:rsid w:val="00DB1E3C"/>
    <w:rsid w:val="00DB1FA6"/>
    <w:rsid w:val="00DB2024"/>
    <w:rsid w:val="00DB203C"/>
    <w:rsid w:val="00DB203F"/>
    <w:rsid w:val="00DB2048"/>
    <w:rsid w:val="00DB2185"/>
    <w:rsid w:val="00DB21A3"/>
    <w:rsid w:val="00DB21F0"/>
    <w:rsid w:val="00DB2216"/>
    <w:rsid w:val="00DB2287"/>
    <w:rsid w:val="00DB22C7"/>
    <w:rsid w:val="00DB237E"/>
    <w:rsid w:val="00DB23B9"/>
    <w:rsid w:val="00DB24EE"/>
    <w:rsid w:val="00DB2518"/>
    <w:rsid w:val="00DB265B"/>
    <w:rsid w:val="00DB2671"/>
    <w:rsid w:val="00DB26C6"/>
    <w:rsid w:val="00DB27A3"/>
    <w:rsid w:val="00DB27AF"/>
    <w:rsid w:val="00DB2A9E"/>
    <w:rsid w:val="00DB2B8C"/>
    <w:rsid w:val="00DB2B93"/>
    <w:rsid w:val="00DB2BF1"/>
    <w:rsid w:val="00DB2CD3"/>
    <w:rsid w:val="00DB2E2E"/>
    <w:rsid w:val="00DB2E31"/>
    <w:rsid w:val="00DB2EB5"/>
    <w:rsid w:val="00DB2F50"/>
    <w:rsid w:val="00DB2F8C"/>
    <w:rsid w:val="00DB3001"/>
    <w:rsid w:val="00DB306E"/>
    <w:rsid w:val="00DB32B1"/>
    <w:rsid w:val="00DB32CA"/>
    <w:rsid w:val="00DB336A"/>
    <w:rsid w:val="00DB33A9"/>
    <w:rsid w:val="00DB3416"/>
    <w:rsid w:val="00DB3419"/>
    <w:rsid w:val="00DB344E"/>
    <w:rsid w:val="00DB344F"/>
    <w:rsid w:val="00DB347C"/>
    <w:rsid w:val="00DB3508"/>
    <w:rsid w:val="00DB352D"/>
    <w:rsid w:val="00DB3683"/>
    <w:rsid w:val="00DB38AC"/>
    <w:rsid w:val="00DB38BE"/>
    <w:rsid w:val="00DB397A"/>
    <w:rsid w:val="00DB3A16"/>
    <w:rsid w:val="00DB3A22"/>
    <w:rsid w:val="00DB3A76"/>
    <w:rsid w:val="00DB3BBD"/>
    <w:rsid w:val="00DB3C60"/>
    <w:rsid w:val="00DB3CB1"/>
    <w:rsid w:val="00DB3D52"/>
    <w:rsid w:val="00DB3DCC"/>
    <w:rsid w:val="00DB3DF0"/>
    <w:rsid w:val="00DB3DF4"/>
    <w:rsid w:val="00DB3E21"/>
    <w:rsid w:val="00DB3E79"/>
    <w:rsid w:val="00DB3E98"/>
    <w:rsid w:val="00DB3F93"/>
    <w:rsid w:val="00DB3FAC"/>
    <w:rsid w:val="00DB41C2"/>
    <w:rsid w:val="00DB41E5"/>
    <w:rsid w:val="00DB4264"/>
    <w:rsid w:val="00DB4432"/>
    <w:rsid w:val="00DB446E"/>
    <w:rsid w:val="00DB455A"/>
    <w:rsid w:val="00DB462B"/>
    <w:rsid w:val="00DB4679"/>
    <w:rsid w:val="00DB472C"/>
    <w:rsid w:val="00DB47E0"/>
    <w:rsid w:val="00DB47FD"/>
    <w:rsid w:val="00DB4806"/>
    <w:rsid w:val="00DB483A"/>
    <w:rsid w:val="00DB48B4"/>
    <w:rsid w:val="00DB48D1"/>
    <w:rsid w:val="00DB48EF"/>
    <w:rsid w:val="00DB4932"/>
    <w:rsid w:val="00DB497E"/>
    <w:rsid w:val="00DB4983"/>
    <w:rsid w:val="00DB4A69"/>
    <w:rsid w:val="00DB4ADA"/>
    <w:rsid w:val="00DB4B23"/>
    <w:rsid w:val="00DB4B54"/>
    <w:rsid w:val="00DB4C33"/>
    <w:rsid w:val="00DB4CD9"/>
    <w:rsid w:val="00DB4D05"/>
    <w:rsid w:val="00DB4E23"/>
    <w:rsid w:val="00DB4F52"/>
    <w:rsid w:val="00DB4FE8"/>
    <w:rsid w:val="00DB5033"/>
    <w:rsid w:val="00DB507D"/>
    <w:rsid w:val="00DB5085"/>
    <w:rsid w:val="00DB50D9"/>
    <w:rsid w:val="00DB516F"/>
    <w:rsid w:val="00DB51A3"/>
    <w:rsid w:val="00DB5249"/>
    <w:rsid w:val="00DB536F"/>
    <w:rsid w:val="00DB53F8"/>
    <w:rsid w:val="00DB5483"/>
    <w:rsid w:val="00DB549C"/>
    <w:rsid w:val="00DB549D"/>
    <w:rsid w:val="00DB54E6"/>
    <w:rsid w:val="00DB5634"/>
    <w:rsid w:val="00DB565A"/>
    <w:rsid w:val="00DB5785"/>
    <w:rsid w:val="00DB57C3"/>
    <w:rsid w:val="00DB5837"/>
    <w:rsid w:val="00DB585B"/>
    <w:rsid w:val="00DB58D8"/>
    <w:rsid w:val="00DB5997"/>
    <w:rsid w:val="00DB5A2B"/>
    <w:rsid w:val="00DB5A5E"/>
    <w:rsid w:val="00DB5B1E"/>
    <w:rsid w:val="00DB5B27"/>
    <w:rsid w:val="00DB5B44"/>
    <w:rsid w:val="00DB5BA8"/>
    <w:rsid w:val="00DB5C27"/>
    <w:rsid w:val="00DB5CB6"/>
    <w:rsid w:val="00DB5CE1"/>
    <w:rsid w:val="00DB5CE2"/>
    <w:rsid w:val="00DB5E8E"/>
    <w:rsid w:val="00DB5EA0"/>
    <w:rsid w:val="00DB5F25"/>
    <w:rsid w:val="00DB5FEE"/>
    <w:rsid w:val="00DB6067"/>
    <w:rsid w:val="00DB6097"/>
    <w:rsid w:val="00DB60EE"/>
    <w:rsid w:val="00DB6105"/>
    <w:rsid w:val="00DB61C0"/>
    <w:rsid w:val="00DB62C5"/>
    <w:rsid w:val="00DB62CB"/>
    <w:rsid w:val="00DB6400"/>
    <w:rsid w:val="00DB6497"/>
    <w:rsid w:val="00DB667D"/>
    <w:rsid w:val="00DB6696"/>
    <w:rsid w:val="00DB67AD"/>
    <w:rsid w:val="00DB67CD"/>
    <w:rsid w:val="00DB68AB"/>
    <w:rsid w:val="00DB68D8"/>
    <w:rsid w:val="00DB68FB"/>
    <w:rsid w:val="00DB6A5F"/>
    <w:rsid w:val="00DB6ADD"/>
    <w:rsid w:val="00DB6BD2"/>
    <w:rsid w:val="00DB6C49"/>
    <w:rsid w:val="00DB6C55"/>
    <w:rsid w:val="00DB6C5E"/>
    <w:rsid w:val="00DB6C8C"/>
    <w:rsid w:val="00DB6E3C"/>
    <w:rsid w:val="00DB6E88"/>
    <w:rsid w:val="00DB6F46"/>
    <w:rsid w:val="00DB6F91"/>
    <w:rsid w:val="00DB703C"/>
    <w:rsid w:val="00DB7085"/>
    <w:rsid w:val="00DB7137"/>
    <w:rsid w:val="00DB719B"/>
    <w:rsid w:val="00DB720D"/>
    <w:rsid w:val="00DB7235"/>
    <w:rsid w:val="00DB723B"/>
    <w:rsid w:val="00DB726C"/>
    <w:rsid w:val="00DB72BE"/>
    <w:rsid w:val="00DB7324"/>
    <w:rsid w:val="00DB74EA"/>
    <w:rsid w:val="00DB74FE"/>
    <w:rsid w:val="00DB75FE"/>
    <w:rsid w:val="00DB77EE"/>
    <w:rsid w:val="00DB77F7"/>
    <w:rsid w:val="00DB7875"/>
    <w:rsid w:val="00DB78E8"/>
    <w:rsid w:val="00DB78FE"/>
    <w:rsid w:val="00DB7936"/>
    <w:rsid w:val="00DB7984"/>
    <w:rsid w:val="00DB7AD4"/>
    <w:rsid w:val="00DB7AFD"/>
    <w:rsid w:val="00DB7B7B"/>
    <w:rsid w:val="00DB7BB3"/>
    <w:rsid w:val="00DB7C29"/>
    <w:rsid w:val="00DB7C89"/>
    <w:rsid w:val="00DB7D18"/>
    <w:rsid w:val="00DB7F26"/>
    <w:rsid w:val="00DC009E"/>
    <w:rsid w:val="00DC0154"/>
    <w:rsid w:val="00DC0182"/>
    <w:rsid w:val="00DC0196"/>
    <w:rsid w:val="00DC023F"/>
    <w:rsid w:val="00DC0255"/>
    <w:rsid w:val="00DC027B"/>
    <w:rsid w:val="00DC032C"/>
    <w:rsid w:val="00DC0355"/>
    <w:rsid w:val="00DC043A"/>
    <w:rsid w:val="00DC0481"/>
    <w:rsid w:val="00DC0492"/>
    <w:rsid w:val="00DC04BE"/>
    <w:rsid w:val="00DC04C2"/>
    <w:rsid w:val="00DC04FC"/>
    <w:rsid w:val="00DC0567"/>
    <w:rsid w:val="00DC05EB"/>
    <w:rsid w:val="00DC0672"/>
    <w:rsid w:val="00DC06D4"/>
    <w:rsid w:val="00DC0736"/>
    <w:rsid w:val="00DC0758"/>
    <w:rsid w:val="00DC07A1"/>
    <w:rsid w:val="00DC07C0"/>
    <w:rsid w:val="00DC07DD"/>
    <w:rsid w:val="00DC0813"/>
    <w:rsid w:val="00DC086F"/>
    <w:rsid w:val="00DC093F"/>
    <w:rsid w:val="00DC0AD7"/>
    <w:rsid w:val="00DC0AEF"/>
    <w:rsid w:val="00DC0B07"/>
    <w:rsid w:val="00DC0B09"/>
    <w:rsid w:val="00DC0C8A"/>
    <w:rsid w:val="00DC0DB0"/>
    <w:rsid w:val="00DC0DCB"/>
    <w:rsid w:val="00DC0E1E"/>
    <w:rsid w:val="00DC0E5A"/>
    <w:rsid w:val="00DC0EEE"/>
    <w:rsid w:val="00DC0F2B"/>
    <w:rsid w:val="00DC0FB6"/>
    <w:rsid w:val="00DC0FFF"/>
    <w:rsid w:val="00DC1011"/>
    <w:rsid w:val="00DC1099"/>
    <w:rsid w:val="00DC10BA"/>
    <w:rsid w:val="00DC116B"/>
    <w:rsid w:val="00DC1307"/>
    <w:rsid w:val="00DC138B"/>
    <w:rsid w:val="00DC13E6"/>
    <w:rsid w:val="00DC143A"/>
    <w:rsid w:val="00DC14E4"/>
    <w:rsid w:val="00DC150F"/>
    <w:rsid w:val="00DC15E1"/>
    <w:rsid w:val="00DC15EF"/>
    <w:rsid w:val="00DC15F4"/>
    <w:rsid w:val="00DC161C"/>
    <w:rsid w:val="00DC1621"/>
    <w:rsid w:val="00DC16B9"/>
    <w:rsid w:val="00DC16D5"/>
    <w:rsid w:val="00DC16E5"/>
    <w:rsid w:val="00DC1791"/>
    <w:rsid w:val="00DC17B3"/>
    <w:rsid w:val="00DC1817"/>
    <w:rsid w:val="00DC183B"/>
    <w:rsid w:val="00DC1880"/>
    <w:rsid w:val="00DC1959"/>
    <w:rsid w:val="00DC195D"/>
    <w:rsid w:val="00DC1A7C"/>
    <w:rsid w:val="00DC1ACC"/>
    <w:rsid w:val="00DC1C07"/>
    <w:rsid w:val="00DC1DF7"/>
    <w:rsid w:val="00DC1E63"/>
    <w:rsid w:val="00DC1E9D"/>
    <w:rsid w:val="00DC1EFF"/>
    <w:rsid w:val="00DC1F6F"/>
    <w:rsid w:val="00DC1F85"/>
    <w:rsid w:val="00DC1FAF"/>
    <w:rsid w:val="00DC1FD2"/>
    <w:rsid w:val="00DC201F"/>
    <w:rsid w:val="00DC203B"/>
    <w:rsid w:val="00DC2074"/>
    <w:rsid w:val="00DC215A"/>
    <w:rsid w:val="00DC2169"/>
    <w:rsid w:val="00DC2256"/>
    <w:rsid w:val="00DC2403"/>
    <w:rsid w:val="00DC241D"/>
    <w:rsid w:val="00DC254A"/>
    <w:rsid w:val="00DC254C"/>
    <w:rsid w:val="00DC2581"/>
    <w:rsid w:val="00DC25F6"/>
    <w:rsid w:val="00DC2640"/>
    <w:rsid w:val="00DC2665"/>
    <w:rsid w:val="00DC26D3"/>
    <w:rsid w:val="00DC272A"/>
    <w:rsid w:val="00DC2947"/>
    <w:rsid w:val="00DC2AE7"/>
    <w:rsid w:val="00DC2B0A"/>
    <w:rsid w:val="00DC2B7D"/>
    <w:rsid w:val="00DC2BA6"/>
    <w:rsid w:val="00DC2BF6"/>
    <w:rsid w:val="00DC2BFB"/>
    <w:rsid w:val="00DC2C03"/>
    <w:rsid w:val="00DC2CC5"/>
    <w:rsid w:val="00DC2DEA"/>
    <w:rsid w:val="00DC2E2C"/>
    <w:rsid w:val="00DC2E4C"/>
    <w:rsid w:val="00DC2EE1"/>
    <w:rsid w:val="00DC2F36"/>
    <w:rsid w:val="00DC2FCA"/>
    <w:rsid w:val="00DC3035"/>
    <w:rsid w:val="00DC309C"/>
    <w:rsid w:val="00DC30EE"/>
    <w:rsid w:val="00DC3111"/>
    <w:rsid w:val="00DC32F7"/>
    <w:rsid w:val="00DC33D3"/>
    <w:rsid w:val="00DC33E0"/>
    <w:rsid w:val="00DC3409"/>
    <w:rsid w:val="00DC340C"/>
    <w:rsid w:val="00DC3421"/>
    <w:rsid w:val="00DC34DB"/>
    <w:rsid w:val="00DC3518"/>
    <w:rsid w:val="00DC3647"/>
    <w:rsid w:val="00DC3719"/>
    <w:rsid w:val="00DC371B"/>
    <w:rsid w:val="00DC3728"/>
    <w:rsid w:val="00DC3730"/>
    <w:rsid w:val="00DC37B3"/>
    <w:rsid w:val="00DC37D4"/>
    <w:rsid w:val="00DC3837"/>
    <w:rsid w:val="00DC3936"/>
    <w:rsid w:val="00DC3963"/>
    <w:rsid w:val="00DC3A12"/>
    <w:rsid w:val="00DC3ABE"/>
    <w:rsid w:val="00DC3B3B"/>
    <w:rsid w:val="00DC3C88"/>
    <w:rsid w:val="00DC3C95"/>
    <w:rsid w:val="00DC3DA5"/>
    <w:rsid w:val="00DC3DBE"/>
    <w:rsid w:val="00DC3DF5"/>
    <w:rsid w:val="00DC3F03"/>
    <w:rsid w:val="00DC3FDD"/>
    <w:rsid w:val="00DC3FE6"/>
    <w:rsid w:val="00DC4061"/>
    <w:rsid w:val="00DC40C0"/>
    <w:rsid w:val="00DC40EE"/>
    <w:rsid w:val="00DC4150"/>
    <w:rsid w:val="00DC41C9"/>
    <w:rsid w:val="00DC4217"/>
    <w:rsid w:val="00DC4218"/>
    <w:rsid w:val="00DC4257"/>
    <w:rsid w:val="00DC4375"/>
    <w:rsid w:val="00DC43B5"/>
    <w:rsid w:val="00DC44FD"/>
    <w:rsid w:val="00DC4504"/>
    <w:rsid w:val="00DC4538"/>
    <w:rsid w:val="00DC45B8"/>
    <w:rsid w:val="00DC45E2"/>
    <w:rsid w:val="00DC461C"/>
    <w:rsid w:val="00DC4671"/>
    <w:rsid w:val="00DC469E"/>
    <w:rsid w:val="00DC46C4"/>
    <w:rsid w:val="00DC4705"/>
    <w:rsid w:val="00DC47A6"/>
    <w:rsid w:val="00DC47E2"/>
    <w:rsid w:val="00DC4818"/>
    <w:rsid w:val="00DC48F3"/>
    <w:rsid w:val="00DC4903"/>
    <w:rsid w:val="00DC4950"/>
    <w:rsid w:val="00DC49D9"/>
    <w:rsid w:val="00DC4A93"/>
    <w:rsid w:val="00DC4B40"/>
    <w:rsid w:val="00DC4B50"/>
    <w:rsid w:val="00DC4BF3"/>
    <w:rsid w:val="00DC4D02"/>
    <w:rsid w:val="00DC4D30"/>
    <w:rsid w:val="00DC4D8F"/>
    <w:rsid w:val="00DC4DB1"/>
    <w:rsid w:val="00DC4E9C"/>
    <w:rsid w:val="00DC4F36"/>
    <w:rsid w:val="00DC4F81"/>
    <w:rsid w:val="00DC4F86"/>
    <w:rsid w:val="00DC5036"/>
    <w:rsid w:val="00DC515E"/>
    <w:rsid w:val="00DC51C3"/>
    <w:rsid w:val="00DC53F4"/>
    <w:rsid w:val="00DC5554"/>
    <w:rsid w:val="00DC55EF"/>
    <w:rsid w:val="00DC574A"/>
    <w:rsid w:val="00DC574F"/>
    <w:rsid w:val="00DC578D"/>
    <w:rsid w:val="00DC58BA"/>
    <w:rsid w:val="00DC58D7"/>
    <w:rsid w:val="00DC592C"/>
    <w:rsid w:val="00DC5933"/>
    <w:rsid w:val="00DC59A3"/>
    <w:rsid w:val="00DC59E0"/>
    <w:rsid w:val="00DC5A3E"/>
    <w:rsid w:val="00DC5A6B"/>
    <w:rsid w:val="00DC5ABB"/>
    <w:rsid w:val="00DC5B1C"/>
    <w:rsid w:val="00DC5B64"/>
    <w:rsid w:val="00DC5B86"/>
    <w:rsid w:val="00DC5C8A"/>
    <w:rsid w:val="00DC5CDD"/>
    <w:rsid w:val="00DC5D04"/>
    <w:rsid w:val="00DC5D2F"/>
    <w:rsid w:val="00DC5D51"/>
    <w:rsid w:val="00DC5D94"/>
    <w:rsid w:val="00DC5DAF"/>
    <w:rsid w:val="00DC5E0A"/>
    <w:rsid w:val="00DC5E1B"/>
    <w:rsid w:val="00DC5E76"/>
    <w:rsid w:val="00DC5F18"/>
    <w:rsid w:val="00DC5F40"/>
    <w:rsid w:val="00DC5FB5"/>
    <w:rsid w:val="00DC5FC3"/>
    <w:rsid w:val="00DC6069"/>
    <w:rsid w:val="00DC608C"/>
    <w:rsid w:val="00DC60B6"/>
    <w:rsid w:val="00DC619D"/>
    <w:rsid w:val="00DC6250"/>
    <w:rsid w:val="00DC62B6"/>
    <w:rsid w:val="00DC6325"/>
    <w:rsid w:val="00DC63AF"/>
    <w:rsid w:val="00DC6527"/>
    <w:rsid w:val="00DC65CF"/>
    <w:rsid w:val="00DC65ED"/>
    <w:rsid w:val="00DC660F"/>
    <w:rsid w:val="00DC6616"/>
    <w:rsid w:val="00DC6650"/>
    <w:rsid w:val="00DC66CA"/>
    <w:rsid w:val="00DC6929"/>
    <w:rsid w:val="00DC6933"/>
    <w:rsid w:val="00DC6935"/>
    <w:rsid w:val="00DC698E"/>
    <w:rsid w:val="00DC69BE"/>
    <w:rsid w:val="00DC69E3"/>
    <w:rsid w:val="00DC6B89"/>
    <w:rsid w:val="00DC6BE0"/>
    <w:rsid w:val="00DC6C80"/>
    <w:rsid w:val="00DC6CBC"/>
    <w:rsid w:val="00DC6D41"/>
    <w:rsid w:val="00DC6E7C"/>
    <w:rsid w:val="00DC6F37"/>
    <w:rsid w:val="00DC6FB7"/>
    <w:rsid w:val="00DC705F"/>
    <w:rsid w:val="00DC70A2"/>
    <w:rsid w:val="00DC710D"/>
    <w:rsid w:val="00DC71FE"/>
    <w:rsid w:val="00DC725B"/>
    <w:rsid w:val="00DC728A"/>
    <w:rsid w:val="00DC728B"/>
    <w:rsid w:val="00DC729E"/>
    <w:rsid w:val="00DC72B1"/>
    <w:rsid w:val="00DC72D6"/>
    <w:rsid w:val="00DC732F"/>
    <w:rsid w:val="00DC7340"/>
    <w:rsid w:val="00DC7395"/>
    <w:rsid w:val="00DC7396"/>
    <w:rsid w:val="00DC739F"/>
    <w:rsid w:val="00DC75D1"/>
    <w:rsid w:val="00DC75E8"/>
    <w:rsid w:val="00DC761A"/>
    <w:rsid w:val="00DC769F"/>
    <w:rsid w:val="00DC76BA"/>
    <w:rsid w:val="00DC7765"/>
    <w:rsid w:val="00DC77CF"/>
    <w:rsid w:val="00DC7801"/>
    <w:rsid w:val="00DC784E"/>
    <w:rsid w:val="00DC78FD"/>
    <w:rsid w:val="00DC7AF6"/>
    <w:rsid w:val="00DC7B05"/>
    <w:rsid w:val="00DC7B17"/>
    <w:rsid w:val="00DC7B6B"/>
    <w:rsid w:val="00DC7BA0"/>
    <w:rsid w:val="00DC7C04"/>
    <w:rsid w:val="00DC7C34"/>
    <w:rsid w:val="00DC7CB9"/>
    <w:rsid w:val="00DC7D83"/>
    <w:rsid w:val="00DC7DA5"/>
    <w:rsid w:val="00DC7E10"/>
    <w:rsid w:val="00DC7E8A"/>
    <w:rsid w:val="00DC7EF2"/>
    <w:rsid w:val="00DC7F88"/>
    <w:rsid w:val="00DC7FEB"/>
    <w:rsid w:val="00DD0059"/>
    <w:rsid w:val="00DD006C"/>
    <w:rsid w:val="00DD00C3"/>
    <w:rsid w:val="00DD00C6"/>
    <w:rsid w:val="00DD00D3"/>
    <w:rsid w:val="00DD0159"/>
    <w:rsid w:val="00DD016B"/>
    <w:rsid w:val="00DD01CB"/>
    <w:rsid w:val="00DD0216"/>
    <w:rsid w:val="00DD028B"/>
    <w:rsid w:val="00DD02E6"/>
    <w:rsid w:val="00DD02EA"/>
    <w:rsid w:val="00DD0319"/>
    <w:rsid w:val="00DD0398"/>
    <w:rsid w:val="00DD0399"/>
    <w:rsid w:val="00DD043F"/>
    <w:rsid w:val="00DD0453"/>
    <w:rsid w:val="00DD04B6"/>
    <w:rsid w:val="00DD050D"/>
    <w:rsid w:val="00DD0538"/>
    <w:rsid w:val="00DD0554"/>
    <w:rsid w:val="00DD05A1"/>
    <w:rsid w:val="00DD05A6"/>
    <w:rsid w:val="00DD05B7"/>
    <w:rsid w:val="00DD05B9"/>
    <w:rsid w:val="00DD05C9"/>
    <w:rsid w:val="00DD05FD"/>
    <w:rsid w:val="00DD0698"/>
    <w:rsid w:val="00DD07C4"/>
    <w:rsid w:val="00DD07C9"/>
    <w:rsid w:val="00DD07E5"/>
    <w:rsid w:val="00DD084B"/>
    <w:rsid w:val="00DD084E"/>
    <w:rsid w:val="00DD08D9"/>
    <w:rsid w:val="00DD090F"/>
    <w:rsid w:val="00DD09C4"/>
    <w:rsid w:val="00DD0C8C"/>
    <w:rsid w:val="00DD0D23"/>
    <w:rsid w:val="00DD0E0B"/>
    <w:rsid w:val="00DD0E50"/>
    <w:rsid w:val="00DD0E68"/>
    <w:rsid w:val="00DD0ED9"/>
    <w:rsid w:val="00DD0EDE"/>
    <w:rsid w:val="00DD0FEB"/>
    <w:rsid w:val="00DD108D"/>
    <w:rsid w:val="00DD10BC"/>
    <w:rsid w:val="00DD10EA"/>
    <w:rsid w:val="00DD11C5"/>
    <w:rsid w:val="00DD1222"/>
    <w:rsid w:val="00DD1267"/>
    <w:rsid w:val="00DD12DC"/>
    <w:rsid w:val="00DD1324"/>
    <w:rsid w:val="00DD138B"/>
    <w:rsid w:val="00DD14C2"/>
    <w:rsid w:val="00DD14C5"/>
    <w:rsid w:val="00DD1550"/>
    <w:rsid w:val="00DD1556"/>
    <w:rsid w:val="00DD1599"/>
    <w:rsid w:val="00DD1661"/>
    <w:rsid w:val="00DD16AA"/>
    <w:rsid w:val="00DD16CC"/>
    <w:rsid w:val="00DD1907"/>
    <w:rsid w:val="00DD1914"/>
    <w:rsid w:val="00DD1981"/>
    <w:rsid w:val="00DD19E0"/>
    <w:rsid w:val="00DD1A33"/>
    <w:rsid w:val="00DD1A54"/>
    <w:rsid w:val="00DD1A8B"/>
    <w:rsid w:val="00DD1B51"/>
    <w:rsid w:val="00DD1BB1"/>
    <w:rsid w:val="00DD1BE7"/>
    <w:rsid w:val="00DD1CDF"/>
    <w:rsid w:val="00DD1D58"/>
    <w:rsid w:val="00DD1E2F"/>
    <w:rsid w:val="00DD1E88"/>
    <w:rsid w:val="00DD1EE3"/>
    <w:rsid w:val="00DD1FA4"/>
    <w:rsid w:val="00DD2054"/>
    <w:rsid w:val="00DD2069"/>
    <w:rsid w:val="00DD2200"/>
    <w:rsid w:val="00DD2298"/>
    <w:rsid w:val="00DD22D8"/>
    <w:rsid w:val="00DD2333"/>
    <w:rsid w:val="00DD23D4"/>
    <w:rsid w:val="00DD23DB"/>
    <w:rsid w:val="00DD2419"/>
    <w:rsid w:val="00DD245A"/>
    <w:rsid w:val="00DD2491"/>
    <w:rsid w:val="00DD2508"/>
    <w:rsid w:val="00DD2575"/>
    <w:rsid w:val="00DD2598"/>
    <w:rsid w:val="00DD25CB"/>
    <w:rsid w:val="00DD25D9"/>
    <w:rsid w:val="00DD2629"/>
    <w:rsid w:val="00DD26C1"/>
    <w:rsid w:val="00DD26E9"/>
    <w:rsid w:val="00DD2757"/>
    <w:rsid w:val="00DD2760"/>
    <w:rsid w:val="00DD27D1"/>
    <w:rsid w:val="00DD280D"/>
    <w:rsid w:val="00DD28E7"/>
    <w:rsid w:val="00DD2911"/>
    <w:rsid w:val="00DD2992"/>
    <w:rsid w:val="00DD29D5"/>
    <w:rsid w:val="00DD29DC"/>
    <w:rsid w:val="00DD29FE"/>
    <w:rsid w:val="00DD2A29"/>
    <w:rsid w:val="00DD2AEC"/>
    <w:rsid w:val="00DD2BC3"/>
    <w:rsid w:val="00DD2BC8"/>
    <w:rsid w:val="00DD2BDE"/>
    <w:rsid w:val="00DD2E35"/>
    <w:rsid w:val="00DD2E7D"/>
    <w:rsid w:val="00DD3048"/>
    <w:rsid w:val="00DD3061"/>
    <w:rsid w:val="00DD3064"/>
    <w:rsid w:val="00DD31C0"/>
    <w:rsid w:val="00DD323A"/>
    <w:rsid w:val="00DD324A"/>
    <w:rsid w:val="00DD3256"/>
    <w:rsid w:val="00DD325F"/>
    <w:rsid w:val="00DD3281"/>
    <w:rsid w:val="00DD32DA"/>
    <w:rsid w:val="00DD32FF"/>
    <w:rsid w:val="00DD3379"/>
    <w:rsid w:val="00DD33B4"/>
    <w:rsid w:val="00DD34E2"/>
    <w:rsid w:val="00DD34E4"/>
    <w:rsid w:val="00DD3565"/>
    <w:rsid w:val="00DD356D"/>
    <w:rsid w:val="00DD35A7"/>
    <w:rsid w:val="00DD367F"/>
    <w:rsid w:val="00DD3734"/>
    <w:rsid w:val="00DD37A8"/>
    <w:rsid w:val="00DD3826"/>
    <w:rsid w:val="00DD38EC"/>
    <w:rsid w:val="00DD3957"/>
    <w:rsid w:val="00DD3961"/>
    <w:rsid w:val="00DD3967"/>
    <w:rsid w:val="00DD3974"/>
    <w:rsid w:val="00DD39B2"/>
    <w:rsid w:val="00DD3B4B"/>
    <w:rsid w:val="00DD3C47"/>
    <w:rsid w:val="00DD3D46"/>
    <w:rsid w:val="00DD3DC0"/>
    <w:rsid w:val="00DD3E50"/>
    <w:rsid w:val="00DD3E67"/>
    <w:rsid w:val="00DD3E81"/>
    <w:rsid w:val="00DD3EAD"/>
    <w:rsid w:val="00DD3F1F"/>
    <w:rsid w:val="00DD3F77"/>
    <w:rsid w:val="00DD40CE"/>
    <w:rsid w:val="00DD40CF"/>
    <w:rsid w:val="00DD40E5"/>
    <w:rsid w:val="00DD40E6"/>
    <w:rsid w:val="00DD41B9"/>
    <w:rsid w:val="00DD41C6"/>
    <w:rsid w:val="00DD41F7"/>
    <w:rsid w:val="00DD4232"/>
    <w:rsid w:val="00DD4247"/>
    <w:rsid w:val="00DD4260"/>
    <w:rsid w:val="00DD42C0"/>
    <w:rsid w:val="00DD438E"/>
    <w:rsid w:val="00DD4401"/>
    <w:rsid w:val="00DD441B"/>
    <w:rsid w:val="00DD4425"/>
    <w:rsid w:val="00DD4442"/>
    <w:rsid w:val="00DD4460"/>
    <w:rsid w:val="00DD4504"/>
    <w:rsid w:val="00DD4575"/>
    <w:rsid w:val="00DD47CD"/>
    <w:rsid w:val="00DD483B"/>
    <w:rsid w:val="00DD4946"/>
    <w:rsid w:val="00DD4A1D"/>
    <w:rsid w:val="00DD4A49"/>
    <w:rsid w:val="00DD4B15"/>
    <w:rsid w:val="00DD4B9E"/>
    <w:rsid w:val="00DD4BA9"/>
    <w:rsid w:val="00DD4C42"/>
    <w:rsid w:val="00DD4C7E"/>
    <w:rsid w:val="00DD4D45"/>
    <w:rsid w:val="00DD4DB4"/>
    <w:rsid w:val="00DD4F9A"/>
    <w:rsid w:val="00DD4F9C"/>
    <w:rsid w:val="00DD502F"/>
    <w:rsid w:val="00DD503A"/>
    <w:rsid w:val="00DD5166"/>
    <w:rsid w:val="00DD519E"/>
    <w:rsid w:val="00DD527F"/>
    <w:rsid w:val="00DD52ED"/>
    <w:rsid w:val="00DD532F"/>
    <w:rsid w:val="00DD5330"/>
    <w:rsid w:val="00DD5418"/>
    <w:rsid w:val="00DD5432"/>
    <w:rsid w:val="00DD545F"/>
    <w:rsid w:val="00DD54D8"/>
    <w:rsid w:val="00DD54DB"/>
    <w:rsid w:val="00DD5566"/>
    <w:rsid w:val="00DD5575"/>
    <w:rsid w:val="00DD55BB"/>
    <w:rsid w:val="00DD55C5"/>
    <w:rsid w:val="00DD55EF"/>
    <w:rsid w:val="00DD5678"/>
    <w:rsid w:val="00DD5718"/>
    <w:rsid w:val="00DD5772"/>
    <w:rsid w:val="00DD5823"/>
    <w:rsid w:val="00DD5829"/>
    <w:rsid w:val="00DD5909"/>
    <w:rsid w:val="00DD5A02"/>
    <w:rsid w:val="00DD5A2F"/>
    <w:rsid w:val="00DD5A7E"/>
    <w:rsid w:val="00DD5B1F"/>
    <w:rsid w:val="00DD5BAF"/>
    <w:rsid w:val="00DD5D2A"/>
    <w:rsid w:val="00DD5D85"/>
    <w:rsid w:val="00DD6151"/>
    <w:rsid w:val="00DD6153"/>
    <w:rsid w:val="00DD6184"/>
    <w:rsid w:val="00DD61EB"/>
    <w:rsid w:val="00DD6221"/>
    <w:rsid w:val="00DD62B9"/>
    <w:rsid w:val="00DD62DF"/>
    <w:rsid w:val="00DD630A"/>
    <w:rsid w:val="00DD63C4"/>
    <w:rsid w:val="00DD63F4"/>
    <w:rsid w:val="00DD6447"/>
    <w:rsid w:val="00DD649F"/>
    <w:rsid w:val="00DD64C0"/>
    <w:rsid w:val="00DD6575"/>
    <w:rsid w:val="00DD66A1"/>
    <w:rsid w:val="00DD66D7"/>
    <w:rsid w:val="00DD66D8"/>
    <w:rsid w:val="00DD670C"/>
    <w:rsid w:val="00DD6736"/>
    <w:rsid w:val="00DD67A5"/>
    <w:rsid w:val="00DD68F3"/>
    <w:rsid w:val="00DD6952"/>
    <w:rsid w:val="00DD6965"/>
    <w:rsid w:val="00DD6A83"/>
    <w:rsid w:val="00DD6A9F"/>
    <w:rsid w:val="00DD6BBF"/>
    <w:rsid w:val="00DD6C15"/>
    <w:rsid w:val="00DD6C8E"/>
    <w:rsid w:val="00DD6CDA"/>
    <w:rsid w:val="00DD6D9D"/>
    <w:rsid w:val="00DD6DC2"/>
    <w:rsid w:val="00DD6E73"/>
    <w:rsid w:val="00DD6EA1"/>
    <w:rsid w:val="00DD6EB2"/>
    <w:rsid w:val="00DD6F46"/>
    <w:rsid w:val="00DD6F56"/>
    <w:rsid w:val="00DD6FBF"/>
    <w:rsid w:val="00DD6FD7"/>
    <w:rsid w:val="00DD7072"/>
    <w:rsid w:val="00DD7078"/>
    <w:rsid w:val="00DD70C2"/>
    <w:rsid w:val="00DD70F9"/>
    <w:rsid w:val="00DD7155"/>
    <w:rsid w:val="00DD717A"/>
    <w:rsid w:val="00DD71A3"/>
    <w:rsid w:val="00DD71D6"/>
    <w:rsid w:val="00DD7205"/>
    <w:rsid w:val="00DD72B8"/>
    <w:rsid w:val="00DD73CD"/>
    <w:rsid w:val="00DD7410"/>
    <w:rsid w:val="00DD7490"/>
    <w:rsid w:val="00DD7577"/>
    <w:rsid w:val="00DD7604"/>
    <w:rsid w:val="00DD7652"/>
    <w:rsid w:val="00DD7657"/>
    <w:rsid w:val="00DD7664"/>
    <w:rsid w:val="00DD76B5"/>
    <w:rsid w:val="00DD76C3"/>
    <w:rsid w:val="00DD76E6"/>
    <w:rsid w:val="00DD7787"/>
    <w:rsid w:val="00DD792A"/>
    <w:rsid w:val="00DD794E"/>
    <w:rsid w:val="00DD7951"/>
    <w:rsid w:val="00DD795B"/>
    <w:rsid w:val="00DD7A85"/>
    <w:rsid w:val="00DD7B2A"/>
    <w:rsid w:val="00DD7B48"/>
    <w:rsid w:val="00DD7B6E"/>
    <w:rsid w:val="00DD7BF2"/>
    <w:rsid w:val="00DD7CFB"/>
    <w:rsid w:val="00DD7DCD"/>
    <w:rsid w:val="00DD7E30"/>
    <w:rsid w:val="00DD7E3A"/>
    <w:rsid w:val="00DD7EA7"/>
    <w:rsid w:val="00DD7EED"/>
    <w:rsid w:val="00DD7F01"/>
    <w:rsid w:val="00DD7F43"/>
    <w:rsid w:val="00DD7F5D"/>
    <w:rsid w:val="00DE0013"/>
    <w:rsid w:val="00DE00E2"/>
    <w:rsid w:val="00DE0142"/>
    <w:rsid w:val="00DE016E"/>
    <w:rsid w:val="00DE0207"/>
    <w:rsid w:val="00DE0264"/>
    <w:rsid w:val="00DE0274"/>
    <w:rsid w:val="00DE02D8"/>
    <w:rsid w:val="00DE02FA"/>
    <w:rsid w:val="00DE037D"/>
    <w:rsid w:val="00DE04C8"/>
    <w:rsid w:val="00DE04F7"/>
    <w:rsid w:val="00DE0618"/>
    <w:rsid w:val="00DE061D"/>
    <w:rsid w:val="00DE0624"/>
    <w:rsid w:val="00DE072B"/>
    <w:rsid w:val="00DE07B4"/>
    <w:rsid w:val="00DE0813"/>
    <w:rsid w:val="00DE0913"/>
    <w:rsid w:val="00DE0A30"/>
    <w:rsid w:val="00DE0A50"/>
    <w:rsid w:val="00DE0A6D"/>
    <w:rsid w:val="00DE0B74"/>
    <w:rsid w:val="00DE0B9A"/>
    <w:rsid w:val="00DE0C0E"/>
    <w:rsid w:val="00DE0C5B"/>
    <w:rsid w:val="00DE0CB6"/>
    <w:rsid w:val="00DE0CC2"/>
    <w:rsid w:val="00DE0D3F"/>
    <w:rsid w:val="00DE0D68"/>
    <w:rsid w:val="00DE0DA5"/>
    <w:rsid w:val="00DE1022"/>
    <w:rsid w:val="00DE106B"/>
    <w:rsid w:val="00DE108F"/>
    <w:rsid w:val="00DE1421"/>
    <w:rsid w:val="00DE1528"/>
    <w:rsid w:val="00DE1537"/>
    <w:rsid w:val="00DE1567"/>
    <w:rsid w:val="00DE16B3"/>
    <w:rsid w:val="00DE175E"/>
    <w:rsid w:val="00DE17C5"/>
    <w:rsid w:val="00DE1802"/>
    <w:rsid w:val="00DE189C"/>
    <w:rsid w:val="00DE190C"/>
    <w:rsid w:val="00DE192A"/>
    <w:rsid w:val="00DE1998"/>
    <w:rsid w:val="00DE19EB"/>
    <w:rsid w:val="00DE1A52"/>
    <w:rsid w:val="00DE1AB1"/>
    <w:rsid w:val="00DE1B67"/>
    <w:rsid w:val="00DE1BBA"/>
    <w:rsid w:val="00DE1C30"/>
    <w:rsid w:val="00DE1C42"/>
    <w:rsid w:val="00DE1CD3"/>
    <w:rsid w:val="00DE1E07"/>
    <w:rsid w:val="00DE1E13"/>
    <w:rsid w:val="00DE1E37"/>
    <w:rsid w:val="00DE1F76"/>
    <w:rsid w:val="00DE201C"/>
    <w:rsid w:val="00DE21AA"/>
    <w:rsid w:val="00DE21D8"/>
    <w:rsid w:val="00DE235B"/>
    <w:rsid w:val="00DE23FC"/>
    <w:rsid w:val="00DE248F"/>
    <w:rsid w:val="00DE24D7"/>
    <w:rsid w:val="00DE25F8"/>
    <w:rsid w:val="00DE2672"/>
    <w:rsid w:val="00DE279E"/>
    <w:rsid w:val="00DE28C8"/>
    <w:rsid w:val="00DE2922"/>
    <w:rsid w:val="00DE295A"/>
    <w:rsid w:val="00DE2A3A"/>
    <w:rsid w:val="00DE2A41"/>
    <w:rsid w:val="00DE2A94"/>
    <w:rsid w:val="00DE2AC8"/>
    <w:rsid w:val="00DE2ACF"/>
    <w:rsid w:val="00DE2B01"/>
    <w:rsid w:val="00DE2B31"/>
    <w:rsid w:val="00DE2BE4"/>
    <w:rsid w:val="00DE2BED"/>
    <w:rsid w:val="00DE2C04"/>
    <w:rsid w:val="00DE2C32"/>
    <w:rsid w:val="00DE2C6B"/>
    <w:rsid w:val="00DE2CD5"/>
    <w:rsid w:val="00DE2D13"/>
    <w:rsid w:val="00DE2D1F"/>
    <w:rsid w:val="00DE2D2B"/>
    <w:rsid w:val="00DE2D44"/>
    <w:rsid w:val="00DE2D7C"/>
    <w:rsid w:val="00DE2D95"/>
    <w:rsid w:val="00DE2E99"/>
    <w:rsid w:val="00DE2F41"/>
    <w:rsid w:val="00DE2F4A"/>
    <w:rsid w:val="00DE2F63"/>
    <w:rsid w:val="00DE2FA9"/>
    <w:rsid w:val="00DE2FBF"/>
    <w:rsid w:val="00DE31DD"/>
    <w:rsid w:val="00DE3286"/>
    <w:rsid w:val="00DE343B"/>
    <w:rsid w:val="00DE34AB"/>
    <w:rsid w:val="00DE34D4"/>
    <w:rsid w:val="00DE3515"/>
    <w:rsid w:val="00DE352B"/>
    <w:rsid w:val="00DE35BF"/>
    <w:rsid w:val="00DE362C"/>
    <w:rsid w:val="00DE366A"/>
    <w:rsid w:val="00DE3732"/>
    <w:rsid w:val="00DE3743"/>
    <w:rsid w:val="00DE376F"/>
    <w:rsid w:val="00DE37AA"/>
    <w:rsid w:val="00DE37C6"/>
    <w:rsid w:val="00DE386D"/>
    <w:rsid w:val="00DE3993"/>
    <w:rsid w:val="00DE39D4"/>
    <w:rsid w:val="00DE3A03"/>
    <w:rsid w:val="00DE3A9A"/>
    <w:rsid w:val="00DE3AB9"/>
    <w:rsid w:val="00DE3B12"/>
    <w:rsid w:val="00DE3B6A"/>
    <w:rsid w:val="00DE3B84"/>
    <w:rsid w:val="00DE3C06"/>
    <w:rsid w:val="00DE3DDA"/>
    <w:rsid w:val="00DE3E61"/>
    <w:rsid w:val="00DE3FED"/>
    <w:rsid w:val="00DE4043"/>
    <w:rsid w:val="00DE4097"/>
    <w:rsid w:val="00DE40AE"/>
    <w:rsid w:val="00DE4125"/>
    <w:rsid w:val="00DE4153"/>
    <w:rsid w:val="00DE4170"/>
    <w:rsid w:val="00DE417C"/>
    <w:rsid w:val="00DE41A4"/>
    <w:rsid w:val="00DE41BC"/>
    <w:rsid w:val="00DE4253"/>
    <w:rsid w:val="00DE4315"/>
    <w:rsid w:val="00DE43BF"/>
    <w:rsid w:val="00DE43FA"/>
    <w:rsid w:val="00DE4412"/>
    <w:rsid w:val="00DE4443"/>
    <w:rsid w:val="00DE44A6"/>
    <w:rsid w:val="00DE452D"/>
    <w:rsid w:val="00DE45A3"/>
    <w:rsid w:val="00DE462C"/>
    <w:rsid w:val="00DE4649"/>
    <w:rsid w:val="00DE481B"/>
    <w:rsid w:val="00DE4856"/>
    <w:rsid w:val="00DE487A"/>
    <w:rsid w:val="00DE4953"/>
    <w:rsid w:val="00DE4967"/>
    <w:rsid w:val="00DE4B83"/>
    <w:rsid w:val="00DE4BA3"/>
    <w:rsid w:val="00DE4BC1"/>
    <w:rsid w:val="00DE4C66"/>
    <w:rsid w:val="00DE4C94"/>
    <w:rsid w:val="00DE4D38"/>
    <w:rsid w:val="00DE4D49"/>
    <w:rsid w:val="00DE4D87"/>
    <w:rsid w:val="00DE4D9B"/>
    <w:rsid w:val="00DE4DCE"/>
    <w:rsid w:val="00DE4ECB"/>
    <w:rsid w:val="00DE4EF1"/>
    <w:rsid w:val="00DE4F36"/>
    <w:rsid w:val="00DE4F85"/>
    <w:rsid w:val="00DE5026"/>
    <w:rsid w:val="00DE50B3"/>
    <w:rsid w:val="00DE5183"/>
    <w:rsid w:val="00DE51F8"/>
    <w:rsid w:val="00DE532C"/>
    <w:rsid w:val="00DE53CE"/>
    <w:rsid w:val="00DE54C6"/>
    <w:rsid w:val="00DE54E5"/>
    <w:rsid w:val="00DE5592"/>
    <w:rsid w:val="00DE55D8"/>
    <w:rsid w:val="00DE5620"/>
    <w:rsid w:val="00DE5722"/>
    <w:rsid w:val="00DE57BC"/>
    <w:rsid w:val="00DE57E7"/>
    <w:rsid w:val="00DE582C"/>
    <w:rsid w:val="00DE58E8"/>
    <w:rsid w:val="00DE59B5"/>
    <w:rsid w:val="00DE5A41"/>
    <w:rsid w:val="00DE5A47"/>
    <w:rsid w:val="00DE5AB4"/>
    <w:rsid w:val="00DE5B18"/>
    <w:rsid w:val="00DE5B23"/>
    <w:rsid w:val="00DE5B41"/>
    <w:rsid w:val="00DE5BC1"/>
    <w:rsid w:val="00DE5C79"/>
    <w:rsid w:val="00DE5C92"/>
    <w:rsid w:val="00DE5CA4"/>
    <w:rsid w:val="00DE5CF4"/>
    <w:rsid w:val="00DE5D21"/>
    <w:rsid w:val="00DE5D39"/>
    <w:rsid w:val="00DE5D67"/>
    <w:rsid w:val="00DE5E69"/>
    <w:rsid w:val="00DE5E7F"/>
    <w:rsid w:val="00DE5F33"/>
    <w:rsid w:val="00DE5F36"/>
    <w:rsid w:val="00DE6002"/>
    <w:rsid w:val="00DE6015"/>
    <w:rsid w:val="00DE607E"/>
    <w:rsid w:val="00DE60D0"/>
    <w:rsid w:val="00DE6128"/>
    <w:rsid w:val="00DE61BB"/>
    <w:rsid w:val="00DE61FC"/>
    <w:rsid w:val="00DE620C"/>
    <w:rsid w:val="00DE6260"/>
    <w:rsid w:val="00DE6289"/>
    <w:rsid w:val="00DE6294"/>
    <w:rsid w:val="00DE62A9"/>
    <w:rsid w:val="00DE62F9"/>
    <w:rsid w:val="00DE6332"/>
    <w:rsid w:val="00DE6372"/>
    <w:rsid w:val="00DE6562"/>
    <w:rsid w:val="00DE65C2"/>
    <w:rsid w:val="00DE660A"/>
    <w:rsid w:val="00DE663D"/>
    <w:rsid w:val="00DE667B"/>
    <w:rsid w:val="00DE6692"/>
    <w:rsid w:val="00DE66C0"/>
    <w:rsid w:val="00DE6711"/>
    <w:rsid w:val="00DE6714"/>
    <w:rsid w:val="00DE6727"/>
    <w:rsid w:val="00DE681B"/>
    <w:rsid w:val="00DE693D"/>
    <w:rsid w:val="00DE6A24"/>
    <w:rsid w:val="00DE6A57"/>
    <w:rsid w:val="00DE6AA7"/>
    <w:rsid w:val="00DE6B66"/>
    <w:rsid w:val="00DE6CE1"/>
    <w:rsid w:val="00DE6DAA"/>
    <w:rsid w:val="00DE6E2A"/>
    <w:rsid w:val="00DE6E97"/>
    <w:rsid w:val="00DE6F00"/>
    <w:rsid w:val="00DE6F54"/>
    <w:rsid w:val="00DE7062"/>
    <w:rsid w:val="00DE716A"/>
    <w:rsid w:val="00DE7213"/>
    <w:rsid w:val="00DE722A"/>
    <w:rsid w:val="00DE739F"/>
    <w:rsid w:val="00DE73A1"/>
    <w:rsid w:val="00DE76EF"/>
    <w:rsid w:val="00DE76FF"/>
    <w:rsid w:val="00DE77CD"/>
    <w:rsid w:val="00DE77CF"/>
    <w:rsid w:val="00DE77F7"/>
    <w:rsid w:val="00DE789D"/>
    <w:rsid w:val="00DE79DB"/>
    <w:rsid w:val="00DE7A1E"/>
    <w:rsid w:val="00DE7A71"/>
    <w:rsid w:val="00DE7B07"/>
    <w:rsid w:val="00DE7B12"/>
    <w:rsid w:val="00DE7B58"/>
    <w:rsid w:val="00DE7B8A"/>
    <w:rsid w:val="00DE7BC9"/>
    <w:rsid w:val="00DE7C52"/>
    <w:rsid w:val="00DE7CBE"/>
    <w:rsid w:val="00DE7D2B"/>
    <w:rsid w:val="00DE7D41"/>
    <w:rsid w:val="00DE7E72"/>
    <w:rsid w:val="00DE7E73"/>
    <w:rsid w:val="00DE7F04"/>
    <w:rsid w:val="00DE7F5A"/>
    <w:rsid w:val="00DE7FB2"/>
    <w:rsid w:val="00DF003D"/>
    <w:rsid w:val="00DF0133"/>
    <w:rsid w:val="00DF0164"/>
    <w:rsid w:val="00DF02DE"/>
    <w:rsid w:val="00DF031E"/>
    <w:rsid w:val="00DF0428"/>
    <w:rsid w:val="00DF042B"/>
    <w:rsid w:val="00DF0496"/>
    <w:rsid w:val="00DF04BC"/>
    <w:rsid w:val="00DF0509"/>
    <w:rsid w:val="00DF050D"/>
    <w:rsid w:val="00DF0543"/>
    <w:rsid w:val="00DF054C"/>
    <w:rsid w:val="00DF05B1"/>
    <w:rsid w:val="00DF0636"/>
    <w:rsid w:val="00DF0654"/>
    <w:rsid w:val="00DF069E"/>
    <w:rsid w:val="00DF06AD"/>
    <w:rsid w:val="00DF075B"/>
    <w:rsid w:val="00DF0781"/>
    <w:rsid w:val="00DF0919"/>
    <w:rsid w:val="00DF091A"/>
    <w:rsid w:val="00DF0966"/>
    <w:rsid w:val="00DF097B"/>
    <w:rsid w:val="00DF0982"/>
    <w:rsid w:val="00DF099D"/>
    <w:rsid w:val="00DF09F7"/>
    <w:rsid w:val="00DF0A0B"/>
    <w:rsid w:val="00DF0A6A"/>
    <w:rsid w:val="00DF0ABA"/>
    <w:rsid w:val="00DF0C00"/>
    <w:rsid w:val="00DF0D10"/>
    <w:rsid w:val="00DF0EC1"/>
    <w:rsid w:val="00DF0F28"/>
    <w:rsid w:val="00DF0F38"/>
    <w:rsid w:val="00DF0F5C"/>
    <w:rsid w:val="00DF0FCF"/>
    <w:rsid w:val="00DF1007"/>
    <w:rsid w:val="00DF1042"/>
    <w:rsid w:val="00DF1054"/>
    <w:rsid w:val="00DF10B3"/>
    <w:rsid w:val="00DF1131"/>
    <w:rsid w:val="00DF12D3"/>
    <w:rsid w:val="00DF12E4"/>
    <w:rsid w:val="00DF12ED"/>
    <w:rsid w:val="00DF16A9"/>
    <w:rsid w:val="00DF16D4"/>
    <w:rsid w:val="00DF1777"/>
    <w:rsid w:val="00DF1854"/>
    <w:rsid w:val="00DF1862"/>
    <w:rsid w:val="00DF1901"/>
    <w:rsid w:val="00DF1912"/>
    <w:rsid w:val="00DF1996"/>
    <w:rsid w:val="00DF19B5"/>
    <w:rsid w:val="00DF1AB1"/>
    <w:rsid w:val="00DF1B30"/>
    <w:rsid w:val="00DF1B53"/>
    <w:rsid w:val="00DF1B68"/>
    <w:rsid w:val="00DF1BBF"/>
    <w:rsid w:val="00DF1D83"/>
    <w:rsid w:val="00DF1DB7"/>
    <w:rsid w:val="00DF1E0C"/>
    <w:rsid w:val="00DF1E46"/>
    <w:rsid w:val="00DF1E52"/>
    <w:rsid w:val="00DF1E8A"/>
    <w:rsid w:val="00DF1E9C"/>
    <w:rsid w:val="00DF1EA9"/>
    <w:rsid w:val="00DF1F27"/>
    <w:rsid w:val="00DF1FFC"/>
    <w:rsid w:val="00DF203E"/>
    <w:rsid w:val="00DF2069"/>
    <w:rsid w:val="00DF2079"/>
    <w:rsid w:val="00DF207C"/>
    <w:rsid w:val="00DF208A"/>
    <w:rsid w:val="00DF20E5"/>
    <w:rsid w:val="00DF214B"/>
    <w:rsid w:val="00DF22C8"/>
    <w:rsid w:val="00DF2370"/>
    <w:rsid w:val="00DF238B"/>
    <w:rsid w:val="00DF23AD"/>
    <w:rsid w:val="00DF23B2"/>
    <w:rsid w:val="00DF2445"/>
    <w:rsid w:val="00DF2634"/>
    <w:rsid w:val="00DF26A6"/>
    <w:rsid w:val="00DF26BB"/>
    <w:rsid w:val="00DF27AE"/>
    <w:rsid w:val="00DF27FC"/>
    <w:rsid w:val="00DF2B36"/>
    <w:rsid w:val="00DF2C0A"/>
    <w:rsid w:val="00DF2C0D"/>
    <w:rsid w:val="00DF2C60"/>
    <w:rsid w:val="00DF2C62"/>
    <w:rsid w:val="00DF2D3A"/>
    <w:rsid w:val="00DF2D80"/>
    <w:rsid w:val="00DF2DFF"/>
    <w:rsid w:val="00DF2E1B"/>
    <w:rsid w:val="00DF2E5D"/>
    <w:rsid w:val="00DF2E82"/>
    <w:rsid w:val="00DF2F32"/>
    <w:rsid w:val="00DF2FCD"/>
    <w:rsid w:val="00DF300C"/>
    <w:rsid w:val="00DF302B"/>
    <w:rsid w:val="00DF308B"/>
    <w:rsid w:val="00DF30CB"/>
    <w:rsid w:val="00DF30FA"/>
    <w:rsid w:val="00DF3294"/>
    <w:rsid w:val="00DF3339"/>
    <w:rsid w:val="00DF3361"/>
    <w:rsid w:val="00DF3397"/>
    <w:rsid w:val="00DF34D3"/>
    <w:rsid w:val="00DF36AF"/>
    <w:rsid w:val="00DF36CF"/>
    <w:rsid w:val="00DF36D9"/>
    <w:rsid w:val="00DF370E"/>
    <w:rsid w:val="00DF373E"/>
    <w:rsid w:val="00DF386B"/>
    <w:rsid w:val="00DF38A1"/>
    <w:rsid w:val="00DF3901"/>
    <w:rsid w:val="00DF3A5E"/>
    <w:rsid w:val="00DF3A85"/>
    <w:rsid w:val="00DF3AB0"/>
    <w:rsid w:val="00DF3C86"/>
    <w:rsid w:val="00DF3D46"/>
    <w:rsid w:val="00DF3D4F"/>
    <w:rsid w:val="00DF3D5F"/>
    <w:rsid w:val="00DF3D65"/>
    <w:rsid w:val="00DF3DBD"/>
    <w:rsid w:val="00DF3F5F"/>
    <w:rsid w:val="00DF3F87"/>
    <w:rsid w:val="00DF3FE0"/>
    <w:rsid w:val="00DF401A"/>
    <w:rsid w:val="00DF4049"/>
    <w:rsid w:val="00DF40F8"/>
    <w:rsid w:val="00DF4126"/>
    <w:rsid w:val="00DF4129"/>
    <w:rsid w:val="00DF41AB"/>
    <w:rsid w:val="00DF41C4"/>
    <w:rsid w:val="00DF41D8"/>
    <w:rsid w:val="00DF41DA"/>
    <w:rsid w:val="00DF42BF"/>
    <w:rsid w:val="00DF4344"/>
    <w:rsid w:val="00DF4478"/>
    <w:rsid w:val="00DF44B5"/>
    <w:rsid w:val="00DF4614"/>
    <w:rsid w:val="00DF4679"/>
    <w:rsid w:val="00DF469A"/>
    <w:rsid w:val="00DF46AC"/>
    <w:rsid w:val="00DF46E5"/>
    <w:rsid w:val="00DF475C"/>
    <w:rsid w:val="00DF4870"/>
    <w:rsid w:val="00DF4926"/>
    <w:rsid w:val="00DF497B"/>
    <w:rsid w:val="00DF4987"/>
    <w:rsid w:val="00DF4A64"/>
    <w:rsid w:val="00DF4A8A"/>
    <w:rsid w:val="00DF4B22"/>
    <w:rsid w:val="00DF4BB6"/>
    <w:rsid w:val="00DF4C67"/>
    <w:rsid w:val="00DF4C7E"/>
    <w:rsid w:val="00DF4DF6"/>
    <w:rsid w:val="00DF4EF1"/>
    <w:rsid w:val="00DF4F19"/>
    <w:rsid w:val="00DF4F5D"/>
    <w:rsid w:val="00DF4F88"/>
    <w:rsid w:val="00DF4FDD"/>
    <w:rsid w:val="00DF52EE"/>
    <w:rsid w:val="00DF534E"/>
    <w:rsid w:val="00DF53C7"/>
    <w:rsid w:val="00DF544C"/>
    <w:rsid w:val="00DF5452"/>
    <w:rsid w:val="00DF558E"/>
    <w:rsid w:val="00DF55B1"/>
    <w:rsid w:val="00DF5632"/>
    <w:rsid w:val="00DF587C"/>
    <w:rsid w:val="00DF5895"/>
    <w:rsid w:val="00DF58A2"/>
    <w:rsid w:val="00DF58FE"/>
    <w:rsid w:val="00DF598A"/>
    <w:rsid w:val="00DF59E0"/>
    <w:rsid w:val="00DF59F3"/>
    <w:rsid w:val="00DF5A9A"/>
    <w:rsid w:val="00DF5AA8"/>
    <w:rsid w:val="00DF5B00"/>
    <w:rsid w:val="00DF5B90"/>
    <w:rsid w:val="00DF5DD0"/>
    <w:rsid w:val="00DF5DF8"/>
    <w:rsid w:val="00DF6025"/>
    <w:rsid w:val="00DF602D"/>
    <w:rsid w:val="00DF60D6"/>
    <w:rsid w:val="00DF6147"/>
    <w:rsid w:val="00DF614D"/>
    <w:rsid w:val="00DF6171"/>
    <w:rsid w:val="00DF61DD"/>
    <w:rsid w:val="00DF62D6"/>
    <w:rsid w:val="00DF63AB"/>
    <w:rsid w:val="00DF6447"/>
    <w:rsid w:val="00DF658C"/>
    <w:rsid w:val="00DF659D"/>
    <w:rsid w:val="00DF65DF"/>
    <w:rsid w:val="00DF6699"/>
    <w:rsid w:val="00DF669E"/>
    <w:rsid w:val="00DF66CD"/>
    <w:rsid w:val="00DF66D5"/>
    <w:rsid w:val="00DF6739"/>
    <w:rsid w:val="00DF6761"/>
    <w:rsid w:val="00DF6859"/>
    <w:rsid w:val="00DF6895"/>
    <w:rsid w:val="00DF68B0"/>
    <w:rsid w:val="00DF68EF"/>
    <w:rsid w:val="00DF6916"/>
    <w:rsid w:val="00DF697F"/>
    <w:rsid w:val="00DF6AAA"/>
    <w:rsid w:val="00DF6B1B"/>
    <w:rsid w:val="00DF6B1F"/>
    <w:rsid w:val="00DF6BEC"/>
    <w:rsid w:val="00DF6BEF"/>
    <w:rsid w:val="00DF6CDA"/>
    <w:rsid w:val="00DF6CDF"/>
    <w:rsid w:val="00DF6D17"/>
    <w:rsid w:val="00DF6D3D"/>
    <w:rsid w:val="00DF6DA2"/>
    <w:rsid w:val="00DF6E1B"/>
    <w:rsid w:val="00DF6E3A"/>
    <w:rsid w:val="00DF6E43"/>
    <w:rsid w:val="00DF6E7C"/>
    <w:rsid w:val="00DF6E84"/>
    <w:rsid w:val="00DF6EDF"/>
    <w:rsid w:val="00DF6FC3"/>
    <w:rsid w:val="00DF7053"/>
    <w:rsid w:val="00DF714C"/>
    <w:rsid w:val="00DF7169"/>
    <w:rsid w:val="00DF75C6"/>
    <w:rsid w:val="00DF75D9"/>
    <w:rsid w:val="00DF75E9"/>
    <w:rsid w:val="00DF7610"/>
    <w:rsid w:val="00DF7720"/>
    <w:rsid w:val="00DF77E5"/>
    <w:rsid w:val="00DF78E8"/>
    <w:rsid w:val="00DF78FF"/>
    <w:rsid w:val="00DF795F"/>
    <w:rsid w:val="00DF7AC4"/>
    <w:rsid w:val="00DF7B1C"/>
    <w:rsid w:val="00DF7B86"/>
    <w:rsid w:val="00DF7C99"/>
    <w:rsid w:val="00DF7CB8"/>
    <w:rsid w:val="00DF7E52"/>
    <w:rsid w:val="00DF7F0D"/>
    <w:rsid w:val="00DF7FAC"/>
    <w:rsid w:val="00DF7FF1"/>
    <w:rsid w:val="00E00118"/>
    <w:rsid w:val="00E00127"/>
    <w:rsid w:val="00E0013C"/>
    <w:rsid w:val="00E00310"/>
    <w:rsid w:val="00E003B6"/>
    <w:rsid w:val="00E003CC"/>
    <w:rsid w:val="00E003D0"/>
    <w:rsid w:val="00E003D2"/>
    <w:rsid w:val="00E00408"/>
    <w:rsid w:val="00E004B1"/>
    <w:rsid w:val="00E004C2"/>
    <w:rsid w:val="00E00558"/>
    <w:rsid w:val="00E0064E"/>
    <w:rsid w:val="00E0065A"/>
    <w:rsid w:val="00E0087D"/>
    <w:rsid w:val="00E008CE"/>
    <w:rsid w:val="00E00974"/>
    <w:rsid w:val="00E00A1B"/>
    <w:rsid w:val="00E00AD7"/>
    <w:rsid w:val="00E00B04"/>
    <w:rsid w:val="00E00B95"/>
    <w:rsid w:val="00E00BD7"/>
    <w:rsid w:val="00E00C6A"/>
    <w:rsid w:val="00E00C74"/>
    <w:rsid w:val="00E00C90"/>
    <w:rsid w:val="00E00E10"/>
    <w:rsid w:val="00E00E7B"/>
    <w:rsid w:val="00E00E9E"/>
    <w:rsid w:val="00E00F13"/>
    <w:rsid w:val="00E01009"/>
    <w:rsid w:val="00E01052"/>
    <w:rsid w:val="00E010B5"/>
    <w:rsid w:val="00E010F7"/>
    <w:rsid w:val="00E0116D"/>
    <w:rsid w:val="00E011B5"/>
    <w:rsid w:val="00E011BE"/>
    <w:rsid w:val="00E011DD"/>
    <w:rsid w:val="00E011F0"/>
    <w:rsid w:val="00E0123A"/>
    <w:rsid w:val="00E01397"/>
    <w:rsid w:val="00E01473"/>
    <w:rsid w:val="00E016F8"/>
    <w:rsid w:val="00E01702"/>
    <w:rsid w:val="00E018D0"/>
    <w:rsid w:val="00E0196F"/>
    <w:rsid w:val="00E01A7D"/>
    <w:rsid w:val="00E01B0E"/>
    <w:rsid w:val="00E01B76"/>
    <w:rsid w:val="00E01D25"/>
    <w:rsid w:val="00E01D71"/>
    <w:rsid w:val="00E01DD1"/>
    <w:rsid w:val="00E01DE6"/>
    <w:rsid w:val="00E01DEB"/>
    <w:rsid w:val="00E01E73"/>
    <w:rsid w:val="00E01EF2"/>
    <w:rsid w:val="00E01F20"/>
    <w:rsid w:val="00E01FC7"/>
    <w:rsid w:val="00E01FE2"/>
    <w:rsid w:val="00E02062"/>
    <w:rsid w:val="00E021B1"/>
    <w:rsid w:val="00E02323"/>
    <w:rsid w:val="00E02340"/>
    <w:rsid w:val="00E02355"/>
    <w:rsid w:val="00E0236C"/>
    <w:rsid w:val="00E02377"/>
    <w:rsid w:val="00E024C4"/>
    <w:rsid w:val="00E02519"/>
    <w:rsid w:val="00E02522"/>
    <w:rsid w:val="00E025EB"/>
    <w:rsid w:val="00E027C5"/>
    <w:rsid w:val="00E027D6"/>
    <w:rsid w:val="00E027F7"/>
    <w:rsid w:val="00E02810"/>
    <w:rsid w:val="00E028DD"/>
    <w:rsid w:val="00E028E0"/>
    <w:rsid w:val="00E02A86"/>
    <w:rsid w:val="00E02B47"/>
    <w:rsid w:val="00E02BD8"/>
    <w:rsid w:val="00E02DBB"/>
    <w:rsid w:val="00E02DF3"/>
    <w:rsid w:val="00E02E2B"/>
    <w:rsid w:val="00E02F71"/>
    <w:rsid w:val="00E0303A"/>
    <w:rsid w:val="00E03050"/>
    <w:rsid w:val="00E03109"/>
    <w:rsid w:val="00E0314B"/>
    <w:rsid w:val="00E0324E"/>
    <w:rsid w:val="00E032E7"/>
    <w:rsid w:val="00E033CB"/>
    <w:rsid w:val="00E033CF"/>
    <w:rsid w:val="00E03484"/>
    <w:rsid w:val="00E034BD"/>
    <w:rsid w:val="00E0354A"/>
    <w:rsid w:val="00E03551"/>
    <w:rsid w:val="00E036AE"/>
    <w:rsid w:val="00E03712"/>
    <w:rsid w:val="00E0374A"/>
    <w:rsid w:val="00E03799"/>
    <w:rsid w:val="00E0387E"/>
    <w:rsid w:val="00E038B3"/>
    <w:rsid w:val="00E038FD"/>
    <w:rsid w:val="00E03934"/>
    <w:rsid w:val="00E039CD"/>
    <w:rsid w:val="00E039F4"/>
    <w:rsid w:val="00E03B0B"/>
    <w:rsid w:val="00E03B9B"/>
    <w:rsid w:val="00E03BE3"/>
    <w:rsid w:val="00E03C12"/>
    <w:rsid w:val="00E03C78"/>
    <w:rsid w:val="00E03D7C"/>
    <w:rsid w:val="00E03DE6"/>
    <w:rsid w:val="00E03E2C"/>
    <w:rsid w:val="00E03ED1"/>
    <w:rsid w:val="00E03F62"/>
    <w:rsid w:val="00E03F8C"/>
    <w:rsid w:val="00E03FC8"/>
    <w:rsid w:val="00E03FEF"/>
    <w:rsid w:val="00E0405D"/>
    <w:rsid w:val="00E0406B"/>
    <w:rsid w:val="00E04135"/>
    <w:rsid w:val="00E04147"/>
    <w:rsid w:val="00E042C9"/>
    <w:rsid w:val="00E04435"/>
    <w:rsid w:val="00E0445D"/>
    <w:rsid w:val="00E044E2"/>
    <w:rsid w:val="00E04503"/>
    <w:rsid w:val="00E04574"/>
    <w:rsid w:val="00E04623"/>
    <w:rsid w:val="00E04684"/>
    <w:rsid w:val="00E047B3"/>
    <w:rsid w:val="00E0486A"/>
    <w:rsid w:val="00E04881"/>
    <w:rsid w:val="00E049B3"/>
    <w:rsid w:val="00E049EA"/>
    <w:rsid w:val="00E049EC"/>
    <w:rsid w:val="00E04A03"/>
    <w:rsid w:val="00E04A92"/>
    <w:rsid w:val="00E04A93"/>
    <w:rsid w:val="00E04AB0"/>
    <w:rsid w:val="00E04B8C"/>
    <w:rsid w:val="00E04C56"/>
    <w:rsid w:val="00E04CF4"/>
    <w:rsid w:val="00E04D64"/>
    <w:rsid w:val="00E04DA9"/>
    <w:rsid w:val="00E04DB3"/>
    <w:rsid w:val="00E04E29"/>
    <w:rsid w:val="00E04E51"/>
    <w:rsid w:val="00E04E7F"/>
    <w:rsid w:val="00E04F67"/>
    <w:rsid w:val="00E04FCB"/>
    <w:rsid w:val="00E0507B"/>
    <w:rsid w:val="00E05188"/>
    <w:rsid w:val="00E051AE"/>
    <w:rsid w:val="00E05250"/>
    <w:rsid w:val="00E0526C"/>
    <w:rsid w:val="00E052C4"/>
    <w:rsid w:val="00E05304"/>
    <w:rsid w:val="00E05368"/>
    <w:rsid w:val="00E054CD"/>
    <w:rsid w:val="00E05503"/>
    <w:rsid w:val="00E05613"/>
    <w:rsid w:val="00E056A9"/>
    <w:rsid w:val="00E05737"/>
    <w:rsid w:val="00E0575C"/>
    <w:rsid w:val="00E0576B"/>
    <w:rsid w:val="00E0577C"/>
    <w:rsid w:val="00E057CC"/>
    <w:rsid w:val="00E05820"/>
    <w:rsid w:val="00E05898"/>
    <w:rsid w:val="00E0592E"/>
    <w:rsid w:val="00E05979"/>
    <w:rsid w:val="00E0599B"/>
    <w:rsid w:val="00E05A54"/>
    <w:rsid w:val="00E05A8F"/>
    <w:rsid w:val="00E05ACC"/>
    <w:rsid w:val="00E05B1D"/>
    <w:rsid w:val="00E05BB8"/>
    <w:rsid w:val="00E05C0C"/>
    <w:rsid w:val="00E05C63"/>
    <w:rsid w:val="00E05C7E"/>
    <w:rsid w:val="00E05CD0"/>
    <w:rsid w:val="00E05CD4"/>
    <w:rsid w:val="00E05CDA"/>
    <w:rsid w:val="00E05DB0"/>
    <w:rsid w:val="00E05DC4"/>
    <w:rsid w:val="00E05E10"/>
    <w:rsid w:val="00E05E42"/>
    <w:rsid w:val="00E05E51"/>
    <w:rsid w:val="00E05EDC"/>
    <w:rsid w:val="00E05F1A"/>
    <w:rsid w:val="00E05F5D"/>
    <w:rsid w:val="00E06017"/>
    <w:rsid w:val="00E061C2"/>
    <w:rsid w:val="00E06213"/>
    <w:rsid w:val="00E06322"/>
    <w:rsid w:val="00E063E4"/>
    <w:rsid w:val="00E0649F"/>
    <w:rsid w:val="00E06551"/>
    <w:rsid w:val="00E065AA"/>
    <w:rsid w:val="00E06615"/>
    <w:rsid w:val="00E0683B"/>
    <w:rsid w:val="00E0685D"/>
    <w:rsid w:val="00E0688D"/>
    <w:rsid w:val="00E06924"/>
    <w:rsid w:val="00E06941"/>
    <w:rsid w:val="00E0699A"/>
    <w:rsid w:val="00E069F2"/>
    <w:rsid w:val="00E06A91"/>
    <w:rsid w:val="00E06C06"/>
    <w:rsid w:val="00E06CE6"/>
    <w:rsid w:val="00E06D1E"/>
    <w:rsid w:val="00E06F1E"/>
    <w:rsid w:val="00E06F97"/>
    <w:rsid w:val="00E06FC5"/>
    <w:rsid w:val="00E07013"/>
    <w:rsid w:val="00E070D5"/>
    <w:rsid w:val="00E07161"/>
    <w:rsid w:val="00E071A2"/>
    <w:rsid w:val="00E071DC"/>
    <w:rsid w:val="00E071F8"/>
    <w:rsid w:val="00E072DD"/>
    <w:rsid w:val="00E073AF"/>
    <w:rsid w:val="00E0746E"/>
    <w:rsid w:val="00E074A9"/>
    <w:rsid w:val="00E0751C"/>
    <w:rsid w:val="00E0754A"/>
    <w:rsid w:val="00E07561"/>
    <w:rsid w:val="00E0757E"/>
    <w:rsid w:val="00E0766F"/>
    <w:rsid w:val="00E07686"/>
    <w:rsid w:val="00E076D8"/>
    <w:rsid w:val="00E0772F"/>
    <w:rsid w:val="00E07754"/>
    <w:rsid w:val="00E0779E"/>
    <w:rsid w:val="00E07818"/>
    <w:rsid w:val="00E0784C"/>
    <w:rsid w:val="00E0789D"/>
    <w:rsid w:val="00E078FA"/>
    <w:rsid w:val="00E07909"/>
    <w:rsid w:val="00E07A67"/>
    <w:rsid w:val="00E07A90"/>
    <w:rsid w:val="00E07AC8"/>
    <w:rsid w:val="00E07B28"/>
    <w:rsid w:val="00E07B85"/>
    <w:rsid w:val="00E07C71"/>
    <w:rsid w:val="00E07C8E"/>
    <w:rsid w:val="00E07C9D"/>
    <w:rsid w:val="00E07C9F"/>
    <w:rsid w:val="00E07D0D"/>
    <w:rsid w:val="00E07D55"/>
    <w:rsid w:val="00E07E76"/>
    <w:rsid w:val="00E07F02"/>
    <w:rsid w:val="00E07F0E"/>
    <w:rsid w:val="00E07FA4"/>
    <w:rsid w:val="00E10013"/>
    <w:rsid w:val="00E10015"/>
    <w:rsid w:val="00E1007B"/>
    <w:rsid w:val="00E1007E"/>
    <w:rsid w:val="00E101BA"/>
    <w:rsid w:val="00E10200"/>
    <w:rsid w:val="00E102F8"/>
    <w:rsid w:val="00E10313"/>
    <w:rsid w:val="00E1037B"/>
    <w:rsid w:val="00E103AD"/>
    <w:rsid w:val="00E1041D"/>
    <w:rsid w:val="00E1046B"/>
    <w:rsid w:val="00E10478"/>
    <w:rsid w:val="00E10486"/>
    <w:rsid w:val="00E10488"/>
    <w:rsid w:val="00E104D6"/>
    <w:rsid w:val="00E1054B"/>
    <w:rsid w:val="00E10550"/>
    <w:rsid w:val="00E1069D"/>
    <w:rsid w:val="00E106EA"/>
    <w:rsid w:val="00E1080F"/>
    <w:rsid w:val="00E10814"/>
    <w:rsid w:val="00E109CD"/>
    <w:rsid w:val="00E109CE"/>
    <w:rsid w:val="00E109F0"/>
    <w:rsid w:val="00E10A1C"/>
    <w:rsid w:val="00E10BBE"/>
    <w:rsid w:val="00E10C33"/>
    <w:rsid w:val="00E10C70"/>
    <w:rsid w:val="00E10E20"/>
    <w:rsid w:val="00E10E7C"/>
    <w:rsid w:val="00E10E96"/>
    <w:rsid w:val="00E10F21"/>
    <w:rsid w:val="00E10F41"/>
    <w:rsid w:val="00E10FE3"/>
    <w:rsid w:val="00E1107F"/>
    <w:rsid w:val="00E1109E"/>
    <w:rsid w:val="00E1119F"/>
    <w:rsid w:val="00E11261"/>
    <w:rsid w:val="00E112A3"/>
    <w:rsid w:val="00E11303"/>
    <w:rsid w:val="00E11364"/>
    <w:rsid w:val="00E11632"/>
    <w:rsid w:val="00E1164F"/>
    <w:rsid w:val="00E11706"/>
    <w:rsid w:val="00E11708"/>
    <w:rsid w:val="00E11748"/>
    <w:rsid w:val="00E11759"/>
    <w:rsid w:val="00E11765"/>
    <w:rsid w:val="00E11780"/>
    <w:rsid w:val="00E119EB"/>
    <w:rsid w:val="00E11A5F"/>
    <w:rsid w:val="00E11A82"/>
    <w:rsid w:val="00E11AEE"/>
    <w:rsid w:val="00E11CAE"/>
    <w:rsid w:val="00E11DE2"/>
    <w:rsid w:val="00E11DE6"/>
    <w:rsid w:val="00E11E37"/>
    <w:rsid w:val="00E11EF2"/>
    <w:rsid w:val="00E11F02"/>
    <w:rsid w:val="00E11F1E"/>
    <w:rsid w:val="00E11FA6"/>
    <w:rsid w:val="00E12035"/>
    <w:rsid w:val="00E120A1"/>
    <w:rsid w:val="00E1210D"/>
    <w:rsid w:val="00E12202"/>
    <w:rsid w:val="00E122A4"/>
    <w:rsid w:val="00E122CF"/>
    <w:rsid w:val="00E1238B"/>
    <w:rsid w:val="00E123FD"/>
    <w:rsid w:val="00E12424"/>
    <w:rsid w:val="00E1244C"/>
    <w:rsid w:val="00E1245E"/>
    <w:rsid w:val="00E12483"/>
    <w:rsid w:val="00E124BC"/>
    <w:rsid w:val="00E124DE"/>
    <w:rsid w:val="00E1251C"/>
    <w:rsid w:val="00E1257F"/>
    <w:rsid w:val="00E125ED"/>
    <w:rsid w:val="00E125FA"/>
    <w:rsid w:val="00E126BD"/>
    <w:rsid w:val="00E12823"/>
    <w:rsid w:val="00E128DD"/>
    <w:rsid w:val="00E128E7"/>
    <w:rsid w:val="00E129C5"/>
    <w:rsid w:val="00E129C6"/>
    <w:rsid w:val="00E12A13"/>
    <w:rsid w:val="00E12A4C"/>
    <w:rsid w:val="00E12A8B"/>
    <w:rsid w:val="00E12AA8"/>
    <w:rsid w:val="00E12AD1"/>
    <w:rsid w:val="00E12B2F"/>
    <w:rsid w:val="00E12B4C"/>
    <w:rsid w:val="00E12BCE"/>
    <w:rsid w:val="00E12BF7"/>
    <w:rsid w:val="00E12C03"/>
    <w:rsid w:val="00E12C60"/>
    <w:rsid w:val="00E12C75"/>
    <w:rsid w:val="00E12D6F"/>
    <w:rsid w:val="00E12DF8"/>
    <w:rsid w:val="00E12E11"/>
    <w:rsid w:val="00E12E51"/>
    <w:rsid w:val="00E12E93"/>
    <w:rsid w:val="00E12F73"/>
    <w:rsid w:val="00E13075"/>
    <w:rsid w:val="00E13105"/>
    <w:rsid w:val="00E131F6"/>
    <w:rsid w:val="00E13221"/>
    <w:rsid w:val="00E133AD"/>
    <w:rsid w:val="00E13439"/>
    <w:rsid w:val="00E13477"/>
    <w:rsid w:val="00E134B5"/>
    <w:rsid w:val="00E1352F"/>
    <w:rsid w:val="00E13596"/>
    <w:rsid w:val="00E135C3"/>
    <w:rsid w:val="00E13624"/>
    <w:rsid w:val="00E1366A"/>
    <w:rsid w:val="00E136BA"/>
    <w:rsid w:val="00E136C0"/>
    <w:rsid w:val="00E13866"/>
    <w:rsid w:val="00E138EA"/>
    <w:rsid w:val="00E138EE"/>
    <w:rsid w:val="00E1395A"/>
    <w:rsid w:val="00E1397F"/>
    <w:rsid w:val="00E139D0"/>
    <w:rsid w:val="00E139FB"/>
    <w:rsid w:val="00E13A72"/>
    <w:rsid w:val="00E13AA3"/>
    <w:rsid w:val="00E13B01"/>
    <w:rsid w:val="00E13B2E"/>
    <w:rsid w:val="00E13B7E"/>
    <w:rsid w:val="00E13BBA"/>
    <w:rsid w:val="00E13C44"/>
    <w:rsid w:val="00E13C74"/>
    <w:rsid w:val="00E13C96"/>
    <w:rsid w:val="00E13CFF"/>
    <w:rsid w:val="00E13D79"/>
    <w:rsid w:val="00E13DD8"/>
    <w:rsid w:val="00E13DE7"/>
    <w:rsid w:val="00E13E25"/>
    <w:rsid w:val="00E13EF1"/>
    <w:rsid w:val="00E13F90"/>
    <w:rsid w:val="00E14011"/>
    <w:rsid w:val="00E14089"/>
    <w:rsid w:val="00E140B0"/>
    <w:rsid w:val="00E1417C"/>
    <w:rsid w:val="00E141CB"/>
    <w:rsid w:val="00E14200"/>
    <w:rsid w:val="00E1427D"/>
    <w:rsid w:val="00E1429E"/>
    <w:rsid w:val="00E142B2"/>
    <w:rsid w:val="00E14427"/>
    <w:rsid w:val="00E14481"/>
    <w:rsid w:val="00E14496"/>
    <w:rsid w:val="00E14497"/>
    <w:rsid w:val="00E144B3"/>
    <w:rsid w:val="00E144B5"/>
    <w:rsid w:val="00E145A2"/>
    <w:rsid w:val="00E145E7"/>
    <w:rsid w:val="00E14666"/>
    <w:rsid w:val="00E14726"/>
    <w:rsid w:val="00E14796"/>
    <w:rsid w:val="00E147AD"/>
    <w:rsid w:val="00E147B2"/>
    <w:rsid w:val="00E14886"/>
    <w:rsid w:val="00E1491A"/>
    <w:rsid w:val="00E14A0D"/>
    <w:rsid w:val="00E14A36"/>
    <w:rsid w:val="00E14A9C"/>
    <w:rsid w:val="00E14AD6"/>
    <w:rsid w:val="00E14ADD"/>
    <w:rsid w:val="00E14BA9"/>
    <w:rsid w:val="00E14BC5"/>
    <w:rsid w:val="00E14BD1"/>
    <w:rsid w:val="00E14CF5"/>
    <w:rsid w:val="00E14D73"/>
    <w:rsid w:val="00E14DDC"/>
    <w:rsid w:val="00E14E2C"/>
    <w:rsid w:val="00E14EAB"/>
    <w:rsid w:val="00E150A7"/>
    <w:rsid w:val="00E151CD"/>
    <w:rsid w:val="00E1522B"/>
    <w:rsid w:val="00E152B4"/>
    <w:rsid w:val="00E152DE"/>
    <w:rsid w:val="00E1532E"/>
    <w:rsid w:val="00E15370"/>
    <w:rsid w:val="00E1541A"/>
    <w:rsid w:val="00E1542C"/>
    <w:rsid w:val="00E15480"/>
    <w:rsid w:val="00E154E9"/>
    <w:rsid w:val="00E15575"/>
    <w:rsid w:val="00E1559F"/>
    <w:rsid w:val="00E155A6"/>
    <w:rsid w:val="00E1563C"/>
    <w:rsid w:val="00E15645"/>
    <w:rsid w:val="00E156AB"/>
    <w:rsid w:val="00E15759"/>
    <w:rsid w:val="00E15836"/>
    <w:rsid w:val="00E15860"/>
    <w:rsid w:val="00E15866"/>
    <w:rsid w:val="00E158CF"/>
    <w:rsid w:val="00E1598C"/>
    <w:rsid w:val="00E15A46"/>
    <w:rsid w:val="00E15ACA"/>
    <w:rsid w:val="00E15B8D"/>
    <w:rsid w:val="00E15C77"/>
    <w:rsid w:val="00E15C83"/>
    <w:rsid w:val="00E15C91"/>
    <w:rsid w:val="00E15D67"/>
    <w:rsid w:val="00E15D93"/>
    <w:rsid w:val="00E15DB9"/>
    <w:rsid w:val="00E15DD6"/>
    <w:rsid w:val="00E15E5E"/>
    <w:rsid w:val="00E15E74"/>
    <w:rsid w:val="00E15E81"/>
    <w:rsid w:val="00E15EF5"/>
    <w:rsid w:val="00E15FEE"/>
    <w:rsid w:val="00E16003"/>
    <w:rsid w:val="00E16012"/>
    <w:rsid w:val="00E16050"/>
    <w:rsid w:val="00E16065"/>
    <w:rsid w:val="00E16088"/>
    <w:rsid w:val="00E160A0"/>
    <w:rsid w:val="00E161BF"/>
    <w:rsid w:val="00E1630C"/>
    <w:rsid w:val="00E16320"/>
    <w:rsid w:val="00E1637B"/>
    <w:rsid w:val="00E1647F"/>
    <w:rsid w:val="00E164DD"/>
    <w:rsid w:val="00E164F4"/>
    <w:rsid w:val="00E1657C"/>
    <w:rsid w:val="00E1662A"/>
    <w:rsid w:val="00E16654"/>
    <w:rsid w:val="00E16669"/>
    <w:rsid w:val="00E166F9"/>
    <w:rsid w:val="00E16753"/>
    <w:rsid w:val="00E167CB"/>
    <w:rsid w:val="00E1688C"/>
    <w:rsid w:val="00E16915"/>
    <w:rsid w:val="00E16984"/>
    <w:rsid w:val="00E16AC4"/>
    <w:rsid w:val="00E16B1E"/>
    <w:rsid w:val="00E16B59"/>
    <w:rsid w:val="00E16C79"/>
    <w:rsid w:val="00E16DD9"/>
    <w:rsid w:val="00E16DE6"/>
    <w:rsid w:val="00E16E04"/>
    <w:rsid w:val="00E16E7E"/>
    <w:rsid w:val="00E16EC9"/>
    <w:rsid w:val="00E16F2B"/>
    <w:rsid w:val="00E16F70"/>
    <w:rsid w:val="00E16F9C"/>
    <w:rsid w:val="00E16FFD"/>
    <w:rsid w:val="00E17068"/>
    <w:rsid w:val="00E170D4"/>
    <w:rsid w:val="00E171A3"/>
    <w:rsid w:val="00E171FB"/>
    <w:rsid w:val="00E17275"/>
    <w:rsid w:val="00E17447"/>
    <w:rsid w:val="00E17448"/>
    <w:rsid w:val="00E174D1"/>
    <w:rsid w:val="00E174FF"/>
    <w:rsid w:val="00E175BF"/>
    <w:rsid w:val="00E175CC"/>
    <w:rsid w:val="00E17630"/>
    <w:rsid w:val="00E17651"/>
    <w:rsid w:val="00E176D2"/>
    <w:rsid w:val="00E17709"/>
    <w:rsid w:val="00E177DF"/>
    <w:rsid w:val="00E177EB"/>
    <w:rsid w:val="00E177FA"/>
    <w:rsid w:val="00E1786F"/>
    <w:rsid w:val="00E17880"/>
    <w:rsid w:val="00E178A7"/>
    <w:rsid w:val="00E178C4"/>
    <w:rsid w:val="00E17A54"/>
    <w:rsid w:val="00E17A8F"/>
    <w:rsid w:val="00E17AC2"/>
    <w:rsid w:val="00E17BBD"/>
    <w:rsid w:val="00E17BEA"/>
    <w:rsid w:val="00E17C3A"/>
    <w:rsid w:val="00E17C44"/>
    <w:rsid w:val="00E17D7E"/>
    <w:rsid w:val="00E17EFC"/>
    <w:rsid w:val="00E17F07"/>
    <w:rsid w:val="00E2008D"/>
    <w:rsid w:val="00E200B1"/>
    <w:rsid w:val="00E20111"/>
    <w:rsid w:val="00E20114"/>
    <w:rsid w:val="00E201A5"/>
    <w:rsid w:val="00E201E1"/>
    <w:rsid w:val="00E201E2"/>
    <w:rsid w:val="00E202B0"/>
    <w:rsid w:val="00E20348"/>
    <w:rsid w:val="00E204FA"/>
    <w:rsid w:val="00E2054A"/>
    <w:rsid w:val="00E20556"/>
    <w:rsid w:val="00E2055E"/>
    <w:rsid w:val="00E206E5"/>
    <w:rsid w:val="00E20768"/>
    <w:rsid w:val="00E20838"/>
    <w:rsid w:val="00E20902"/>
    <w:rsid w:val="00E20918"/>
    <w:rsid w:val="00E20979"/>
    <w:rsid w:val="00E20A29"/>
    <w:rsid w:val="00E20A85"/>
    <w:rsid w:val="00E20B5B"/>
    <w:rsid w:val="00E20B6B"/>
    <w:rsid w:val="00E20B97"/>
    <w:rsid w:val="00E20BD7"/>
    <w:rsid w:val="00E20BF8"/>
    <w:rsid w:val="00E20C65"/>
    <w:rsid w:val="00E20C88"/>
    <w:rsid w:val="00E20CC0"/>
    <w:rsid w:val="00E20CD7"/>
    <w:rsid w:val="00E20DFF"/>
    <w:rsid w:val="00E20E51"/>
    <w:rsid w:val="00E20E52"/>
    <w:rsid w:val="00E20EE5"/>
    <w:rsid w:val="00E20F13"/>
    <w:rsid w:val="00E20F65"/>
    <w:rsid w:val="00E20FBF"/>
    <w:rsid w:val="00E20FEB"/>
    <w:rsid w:val="00E20FF8"/>
    <w:rsid w:val="00E210D9"/>
    <w:rsid w:val="00E21101"/>
    <w:rsid w:val="00E21112"/>
    <w:rsid w:val="00E21265"/>
    <w:rsid w:val="00E21461"/>
    <w:rsid w:val="00E214D1"/>
    <w:rsid w:val="00E2151F"/>
    <w:rsid w:val="00E2154D"/>
    <w:rsid w:val="00E2154E"/>
    <w:rsid w:val="00E2159B"/>
    <w:rsid w:val="00E2159E"/>
    <w:rsid w:val="00E215B3"/>
    <w:rsid w:val="00E21626"/>
    <w:rsid w:val="00E2170A"/>
    <w:rsid w:val="00E217BE"/>
    <w:rsid w:val="00E21823"/>
    <w:rsid w:val="00E2184F"/>
    <w:rsid w:val="00E218B9"/>
    <w:rsid w:val="00E218D2"/>
    <w:rsid w:val="00E218E8"/>
    <w:rsid w:val="00E2190D"/>
    <w:rsid w:val="00E21A32"/>
    <w:rsid w:val="00E21AE0"/>
    <w:rsid w:val="00E21BFE"/>
    <w:rsid w:val="00E21C31"/>
    <w:rsid w:val="00E21C91"/>
    <w:rsid w:val="00E21CF4"/>
    <w:rsid w:val="00E21D80"/>
    <w:rsid w:val="00E21E7D"/>
    <w:rsid w:val="00E21E8F"/>
    <w:rsid w:val="00E21F3E"/>
    <w:rsid w:val="00E21FDC"/>
    <w:rsid w:val="00E222C8"/>
    <w:rsid w:val="00E22309"/>
    <w:rsid w:val="00E223CD"/>
    <w:rsid w:val="00E223F3"/>
    <w:rsid w:val="00E22432"/>
    <w:rsid w:val="00E22493"/>
    <w:rsid w:val="00E2255E"/>
    <w:rsid w:val="00E2256F"/>
    <w:rsid w:val="00E22583"/>
    <w:rsid w:val="00E225CF"/>
    <w:rsid w:val="00E22643"/>
    <w:rsid w:val="00E226E4"/>
    <w:rsid w:val="00E227E8"/>
    <w:rsid w:val="00E2283A"/>
    <w:rsid w:val="00E22843"/>
    <w:rsid w:val="00E228C9"/>
    <w:rsid w:val="00E22916"/>
    <w:rsid w:val="00E22929"/>
    <w:rsid w:val="00E2296B"/>
    <w:rsid w:val="00E22A08"/>
    <w:rsid w:val="00E22A60"/>
    <w:rsid w:val="00E22AB0"/>
    <w:rsid w:val="00E22AD3"/>
    <w:rsid w:val="00E22B4D"/>
    <w:rsid w:val="00E22C32"/>
    <w:rsid w:val="00E22C98"/>
    <w:rsid w:val="00E22CC6"/>
    <w:rsid w:val="00E22D83"/>
    <w:rsid w:val="00E22D92"/>
    <w:rsid w:val="00E22DAC"/>
    <w:rsid w:val="00E22DB6"/>
    <w:rsid w:val="00E22E7A"/>
    <w:rsid w:val="00E22EDA"/>
    <w:rsid w:val="00E22EF2"/>
    <w:rsid w:val="00E22F4D"/>
    <w:rsid w:val="00E22FC8"/>
    <w:rsid w:val="00E22FDB"/>
    <w:rsid w:val="00E22FEB"/>
    <w:rsid w:val="00E230D0"/>
    <w:rsid w:val="00E23185"/>
    <w:rsid w:val="00E231EA"/>
    <w:rsid w:val="00E23291"/>
    <w:rsid w:val="00E2330A"/>
    <w:rsid w:val="00E2335C"/>
    <w:rsid w:val="00E23395"/>
    <w:rsid w:val="00E233E7"/>
    <w:rsid w:val="00E233F4"/>
    <w:rsid w:val="00E234ED"/>
    <w:rsid w:val="00E235B5"/>
    <w:rsid w:val="00E235CE"/>
    <w:rsid w:val="00E23613"/>
    <w:rsid w:val="00E2368E"/>
    <w:rsid w:val="00E236A6"/>
    <w:rsid w:val="00E236ED"/>
    <w:rsid w:val="00E236F4"/>
    <w:rsid w:val="00E2371E"/>
    <w:rsid w:val="00E2377E"/>
    <w:rsid w:val="00E23781"/>
    <w:rsid w:val="00E237AA"/>
    <w:rsid w:val="00E237C2"/>
    <w:rsid w:val="00E23827"/>
    <w:rsid w:val="00E2388E"/>
    <w:rsid w:val="00E238AE"/>
    <w:rsid w:val="00E23A27"/>
    <w:rsid w:val="00E23A8C"/>
    <w:rsid w:val="00E23B03"/>
    <w:rsid w:val="00E23B79"/>
    <w:rsid w:val="00E23BED"/>
    <w:rsid w:val="00E23C66"/>
    <w:rsid w:val="00E23D29"/>
    <w:rsid w:val="00E23D8F"/>
    <w:rsid w:val="00E23DFF"/>
    <w:rsid w:val="00E23E0B"/>
    <w:rsid w:val="00E23E86"/>
    <w:rsid w:val="00E23E9D"/>
    <w:rsid w:val="00E23EB6"/>
    <w:rsid w:val="00E23F07"/>
    <w:rsid w:val="00E24002"/>
    <w:rsid w:val="00E24085"/>
    <w:rsid w:val="00E24094"/>
    <w:rsid w:val="00E240A3"/>
    <w:rsid w:val="00E240C2"/>
    <w:rsid w:val="00E240D5"/>
    <w:rsid w:val="00E240E9"/>
    <w:rsid w:val="00E2416A"/>
    <w:rsid w:val="00E2418D"/>
    <w:rsid w:val="00E2421F"/>
    <w:rsid w:val="00E2427D"/>
    <w:rsid w:val="00E242DA"/>
    <w:rsid w:val="00E2434C"/>
    <w:rsid w:val="00E2437F"/>
    <w:rsid w:val="00E24403"/>
    <w:rsid w:val="00E24424"/>
    <w:rsid w:val="00E24455"/>
    <w:rsid w:val="00E24458"/>
    <w:rsid w:val="00E2448F"/>
    <w:rsid w:val="00E244A0"/>
    <w:rsid w:val="00E244CA"/>
    <w:rsid w:val="00E244F9"/>
    <w:rsid w:val="00E244FA"/>
    <w:rsid w:val="00E24502"/>
    <w:rsid w:val="00E24505"/>
    <w:rsid w:val="00E245BB"/>
    <w:rsid w:val="00E2471A"/>
    <w:rsid w:val="00E247A0"/>
    <w:rsid w:val="00E247B3"/>
    <w:rsid w:val="00E247EA"/>
    <w:rsid w:val="00E2483F"/>
    <w:rsid w:val="00E24871"/>
    <w:rsid w:val="00E248BF"/>
    <w:rsid w:val="00E24937"/>
    <w:rsid w:val="00E24A60"/>
    <w:rsid w:val="00E24AA5"/>
    <w:rsid w:val="00E24AF1"/>
    <w:rsid w:val="00E24B8D"/>
    <w:rsid w:val="00E24BC3"/>
    <w:rsid w:val="00E24BFE"/>
    <w:rsid w:val="00E24CA1"/>
    <w:rsid w:val="00E24CE5"/>
    <w:rsid w:val="00E24D43"/>
    <w:rsid w:val="00E24DF3"/>
    <w:rsid w:val="00E24E1E"/>
    <w:rsid w:val="00E24EEA"/>
    <w:rsid w:val="00E24F07"/>
    <w:rsid w:val="00E25083"/>
    <w:rsid w:val="00E25089"/>
    <w:rsid w:val="00E25140"/>
    <w:rsid w:val="00E2515E"/>
    <w:rsid w:val="00E251AB"/>
    <w:rsid w:val="00E25201"/>
    <w:rsid w:val="00E2523C"/>
    <w:rsid w:val="00E25273"/>
    <w:rsid w:val="00E252F3"/>
    <w:rsid w:val="00E25470"/>
    <w:rsid w:val="00E254A2"/>
    <w:rsid w:val="00E254F4"/>
    <w:rsid w:val="00E25564"/>
    <w:rsid w:val="00E255EB"/>
    <w:rsid w:val="00E2562C"/>
    <w:rsid w:val="00E2569F"/>
    <w:rsid w:val="00E257A0"/>
    <w:rsid w:val="00E257D3"/>
    <w:rsid w:val="00E258BF"/>
    <w:rsid w:val="00E258CD"/>
    <w:rsid w:val="00E25934"/>
    <w:rsid w:val="00E25982"/>
    <w:rsid w:val="00E259F1"/>
    <w:rsid w:val="00E25A50"/>
    <w:rsid w:val="00E25AA2"/>
    <w:rsid w:val="00E25AB3"/>
    <w:rsid w:val="00E25B9D"/>
    <w:rsid w:val="00E25BA5"/>
    <w:rsid w:val="00E25D02"/>
    <w:rsid w:val="00E25E56"/>
    <w:rsid w:val="00E25F68"/>
    <w:rsid w:val="00E25FE2"/>
    <w:rsid w:val="00E2600E"/>
    <w:rsid w:val="00E26019"/>
    <w:rsid w:val="00E26022"/>
    <w:rsid w:val="00E26087"/>
    <w:rsid w:val="00E260A8"/>
    <w:rsid w:val="00E26184"/>
    <w:rsid w:val="00E261F0"/>
    <w:rsid w:val="00E2620D"/>
    <w:rsid w:val="00E262B3"/>
    <w:rsid w:val="00E26354"/>
    <w:rsid w:val="00E2635E"/>
    <w:rsid w:val="00E2639C"/>
    <w:rsid w:val="00E2643E"/>
    <w:rsid w:val="00E26449"/>
    <w:rsid w:val="00E26450"/>
    <w:rsid w:val="00E264A7"/>
    <w:rsid w:val="00E264D3"/>
    <w:rsid w:val="00E264D4"/>
    <w:rsid w:val="00E264F3"/>
    <w:rsid w:val="00E2652E"/>
    <w:rsid w:val="00E265CF"/>
    <w:rsid w:val="00E26601"/>
    <w:rsid w:val="00E26631"/>
    <w:rsid w:val="00E26683"/>
    <w:rsid w:val="00E26744"/>
    <w:rsid w:val="00E26936"/>
    <w:rsid w:val="00E269E5"/>
    <w:rsid w:val="00E26BBB"/>
    <w:rsid w:val="00E26C16"/>
    <w:rsid w:val="00E26D15"/>
    <w:rsid w:val="00E26DB8"/>
    <w:rsid w:val="00E26DC2"/>
    <w:rsid w:val="00E26DF9"/>
    <w:rsid w:val="00E26E29"/>
    <w:rsid w:val="00E26EEC"/>
    <w:rsid w:val="00E26F30"/>
    <w:rsid w:val="00E26F36"/>
    <w:rsid w:val="00E26F7E"/>
    <w:rsid w:val="00E27167"/>
    <w:rsid w:val="00E27221"/>
    <w:rsid w:val="00E27239"/>
    <w:rsid w:val="00E27269"/>
    <w:rsid w:val="00E27289"/>
    <w:rsid w:val="00E272C0"/>
    <w:rsid w:val="00E272DA"/>
    <w:rsid w:val="00E27333"/>
    <w:rsid w:val="00E2739A"/>
    <w:rsid w:val="00E273CA"/>
    <w:rsid w:val="00E273EA"/>
    <w:rsid w:val="00E2746A"/>
    <w:rsid w:val="00E27517"/>
    <w:rsid w:val="00E2754D"/>
    <w:rsid w:val="00E2757A"/>
    <w:rsid w:val="00E275BD"/>
    <w:rsid w:val="00E2761C"/>
    <w:rsid w:val="00E276BC"/>
    <w:rsid w:val="00E27754"/>
    <w:rsid w:val="00E277D6"/>
    <w:rsid w:val="00E277F0"/>
    <w:rsid w:val="00E27804"/>
    <w:rsid w:val="00E27873"/>
    <w:rsid w:val="00E278D9"/>
    <w:rsid w:val="00E2790B"/>
    <w:rsid w:val="00E2796D"/>
    <w:rsid w:val="00E27A97"/>
    <w:rsid w:val="00E27AA4"/>
    <w:rsid w:val="00E27B0D"/>
    <w:rsid w:val="00E27B1B"/>
    <w:rsid w:val="00E27BB7"/>
    <w:rsid w:val="00E27C19"/>
    <w:rsid w:val="00E27C51"/>
    <w:rsid w:val="00E27C8A"/>
    <w:rsid w:val="00E27C93"/>
    <w:rsid w:val="00E27D16"/>
    <w:rsid w:val="00E27E9C"/>
    <w:rsid w:val="00E27EA7"/>
    <w:rsid w:val="00E27EEE"/>
    <w:rsid w:val="00E27EF3"/>
    <w:rsid w:val="00E27F17"/>
    <w:rsid w:val="00E27F22"/>
    <w:rsid w:val="00E27FBD"/>
    <w:rsid w:val="00E30014"/>
    <w:rsid w:val="00E300D8"/>
    <w:rsid w:val="00E30187"/>
    <w:rsid w:val="00E30200"/>
    <w:rsid w:val="00E30268"/>
    <w:rsid w:val="00E302A4"/>
    <w:rsid w:val="00E302A7"/>
    <w:rsid w:val="00E30328"/>
    <w:rsid w:val="00E3067B"/>
    <w:rsid w:val="00E306A9"/>
    <w:rsid w:val="00E306EA"/>
    <w:rsid w:val="00E307E1"/>
    <w:rsid w:val="00E3081C"/>
    <w:rsid w:val="00E30853"/>
    <w:rsid w:val="00E30858"/>
    <w:rsid w:val="00E308EA"/>
    <w:rsid w:val="00E30B08"/>
    <w:rsid w:val="00E30B8E"/>
    <w:rsid w:val="00E30CAD"/>
    <w:rsid w:val="00E30CBE"/>
    <w:rsid w:val="00E30D34"/>
    <w:rsid w:val="00E30D72"/>
    <w:rsid w:val="00E30E03"/>
    <w:rsid w:val="00E30E11"/>
    <w:rsid w:val="00E30EFD"/>
    <w:rsid w:val="00E30F72"/>
    <w:rsid w:val="00E30F93"/>
    <w:rsid w:val="00E3101D"/>
    <w:rsid w:val="00E310D3"/>
    <w:rsid w:val="00E3112A"/>
    <w:rsid w:val="00E311B9"/>
    <w:rsid w:val="00E3122D"/>
    <w:rsid w:val="00E31236"/>
    <w:rsid w:val="00E31257"/>
    <w:rsid w:val="00E3128A"/>
    <w:rsid w:val="00E3130B"/>
    <w:rsid w:val="00E31454"/>
    <w:rsid w:val="00E3167C"/>
    <w:rsid w:val="00E316A0"/>
    <w:rsid w:val="00E316C2"/>
    <w:rsid w:val="00E316C4"/>
    <w:rsid w:val="00E31755"/>
    <w:rsid w:val="00E317DF"/>
    <w:rsid w:val="00E317EB"/>
    <w:rsid w:val="00E319EF"/>
    <w:rsid w:val="00E31A36"/>
    <w:rsid w:val="00E31A4C"/>
    <w:rsid w:val="00E31A89"/>
    <w:rsid w:val="00E31ADE"/>
    <w:rsid w:val="00E31BD5"/>
    <w:rsid w:val="00E31C47"/>
    <w:rsid w:val="00E31C7E"/>
    <w:rsid w:val="00E31CD8"/>
    <w:rsid w:val="00E31D03"/>
    <w:rsid w:val="00E31DBE"/>
    <w:rsid w:val="00E31DC2"/>
    <w:rsid w:val="00E31DFE"/>
    <w:rsid w:val="00E31E0E"/>
    <w:rsid w:val="00E31E95"/>
    <w:rsid w:val="00E31F41"/>
    <w:rsid w:val="00E31FAC"/>
    <w:rsid w:val="00E32047"/>
    <w:rsid w:val="00E3209E"/>
    <w:rsid w:val="00E320E4"/>
    <w:rsid w:val="00E3214B"/>
    <w:rsid w:val="00E321F3"/>
    <w:rsid w:val="00E32284"/>
    <w:rsid w:val="00E3229F"/>
    <w:rsid w:val="00E322DF"/>
    <w:rsid w:val="00E323C7"/>
    <w:rsid w:val="00E323D0"/>
    <w:rsid w:val="00E32421"/>
    <w:rsid w:val="00E32457"/>
    <w:rsid w:val="00E324AB"/>
    <w:rsid w:val="00E324F4"/>
    <w:rsid w:val="00E3251A"/>
    <w:rsid w:val="00E3255E"/>
    <w:rsid w:val="00E32560"/>
    <w:rsid w:val="00E325DD"/>
    <w:rsid w:val="00E32642"/>
    <w:rsid w:val="00E326B7"/>
    <w:rsid w:val="00E32718"/>
    <w:rsid w:val="00E327AA"/>
    <w:rsid w:val="00E32878"/>
    <w:rsid w:val="00E328B6"/>
    <w:rsid w:val="00E3294F"/>
    <w:rsid w:val="00E329F4"/>
    <w:rsid w:val="00E32B98"/>
    <w:rsid w:val="00E32BAA"/>
    <w:rsid w:val="00E32BF8"/>
    <w:rsid w:val="00E32C94"/>
    <w:rsid w:val="00E32CF1"/>
    <w:rsid w:val="00E32D41"/>
    <w:rsid w:val="00E32E5B"/>
    <w:rsid w:val="00E32E5F"/>
    <w:rsid w:val="00E32E62"/>
    <w:rsid w:val="00E32E63"/>
    <w:rsid w:val="00E32ECF"/>
    <w:rsid w:val="00E32FF3"/>
    <w:rsid w:val="00E33047"/>
    <w:rsid w:val="00E332B1"/>
    <w:rsid w:val="00E332B2"/>
    <w:rsid w:val="00E333DC"/>
    <w:rsid w:val="00E33410"/>
    <w:rsid w:val="00E33483"/>
    <w:rsid w:val="00E335BD"/>
    <w:rsid w:val="00E33654"/>
    <w:rsid w:val="00E336F9"/>
    <w:rsid w:val="00E33774"/>
    <w:rsid w:val="00E337DA"/>
    <w:rsid w:val="00E338A2"/>
    <w:rsid w:val="00E338C1"/>
    <w:rsid w:val="00E33958"/>
    <w:rsid w:val="00E33A05"/>
    <w:rsid w:val="00E33A11"/>
    <w:rsid w:val="00E33AAA"/>
    <w:rsid w:val="00E33AD0"/>
    <w:rsid w:val="00E33BC9"/>
    <w:rsid w:val="00E33C07"/>
    <w:rsid w:val="00E33C70"/>
    <w:rsid w:val="00E33C7E"/>
    <w:rsid w:val="00E33C98"/>
    <w:rsid w:val="00E33CBF"/>
    <w:rsid w:val="00E33CC7"/>
    <w:rsid w:val="00E33D13"/>
    <w:rsid w:val="00E33D31"/>
    <w:rsid w:val="00E33D50"/>
    <w:rsid w:val="00E33D70"/>
    <w:rsid w:val="00E33DED"/>
    <w:rsid w:val="00E33E1D"/>
    <w:rsid w:val="00E33E35"/>
    <w:rsid w:val="00E33E85"/>
    <w:rsid w:val="00E33ED4"/>
    <w:rsid w:val="00E3400A"/>
    <w:rsid w:val="00E34044"/>
    <w:rsid w:val="00E3407C"/>
    <w:rsid w:val="00E340D2"/>
    <w:rsid w:val="00E34147"/>
    <w:rsid w:val="00E3436A"/>
    <w:rsid w:val="00E343AB"/>
    <w:rsid w:val="00E3440F"/>
    <w:rsid w:val="00E344A5"/>
    <w:rsid w:val="00E344C4"/>
    <w:rsid w:val="00E34513"/>
    <w:rsid w:val="00E3457B"/>
    <w:rsid w:val="00E34606"/>
    <w:rsid w:val="00E346B1"/>
    <w:rsid w:val="00E346B8"/>
    <w:rsid w:val="00E34A21"/>
    <w:rsid w:val="00E34A41"/>
    <w:rsid w:val="00E34A85"/>
    <w:rsid w:val="00E34B55"/>
    <w:rsid w:val="00E34BD3"/>
    <w:rsid w:val="00E34CF3"/>
    <w:rsid w:val="00E34CF5"/>
    <w:rsid w:val="00E34D80"/>
    <w:rsid w:val="00E34E28"/>
    <w:rsid w:val="00E34E72"/>
    <w:rsid w:val="00E35136"/>
    <w:rsid w:val="00E3520C"/>
    <w:rsid w:val="00E35211"/>
    <w:rsid w:val="00E35246"/>
    <w:rsid w:val="00E3526B"/>
    <w:rsid w:val="00E352C5"/>
    <w:rsid w:val="00E353E3"/>
    <w:rsid w:val="00E35547"/>
    <w:rsid w:val="00E3554D"/>
    <w:rsid w:val="00E35558"/>
    <w:rsid w:val="00E356C6"/>
    <w:rsid w:val="00E356E3"/>
    <w:rsid w:val="00E3574E"/>
    <w:rsid w:val="00E3576D"/>
    <w:rsid w:val="00E3578E"/>
    <w:rsid w:val="00E35844"/>
    <w:rsid w:val="00E358BE"/>
    <w:rsid w:val="00E359B7"/>
    <w:rsid w:val="00E35A08"/>
    <w:rsid w:val="00E35ABB"/>
    <w:rsid w:val="00E35AE8"/>
    <w:rsid w:val="00E35B38"/>
    <w:rsid w:val="00E35BC0"/>
    <w:rsid w:val="00E35BFF"/>
    <w:rsid w:val="00E35C1E"/>
    <w:rsid w:val="00E35C28"/>
    <w:rsid w:val="00E35CBF"/>
    <w:rsid w:val="00E35D2A"/>
    <w:rsid w:val="00E35D6B"/>
    <w:rsid w:val="00E35DB1"/>
    <w:rsid w:val="00E35E31"/>
    <w:rsid w:val="00E35F1D"/>
    <w:rsid w:val="00E35F69"/>
    <w:rsid w:val="00E35FB0"/>
    <w:rsid w:val="00E36020"/>
    <w:rsid w:val="00E360A1"/>
    <w:rsid w:val="00E360E4"/>
    <w:rsid w:val="00E3614D"/>
    <w:rsid w:val="00E3615D"/>
    <w:rsid w:val="00E36192"/>
    <w:rsid w:val="00E36306"/>
    <w:rsid w:val="00E36369"/>
    <w:rsid w:val="00E3644F"/>
    <w:rsid w:val="00E36461"/>
    <w:rsid w:val="00E36464"/>
    <w:rsid w:val="00E3652E"/>
    <w:rsid w:val="00E36530"/>
    <w:rsid w:val="00E3657A"/>
    <w:rsid w:val="00E36699"/>
    <w:rsid w:val="00E366E2"/>
    <w:rsid w:val="00E36747"/>
    <w:rsid w:val="00E367A1"/>
    <w:rsid w:val="00E36897"/>
    <w:rsid w:val="00E3691A"/>
    <w:rsid w:val="00E369B3"/>
    <w:rsid w:val="00E36AA4"/>
    <w:rsid w:val="00E36AD5"/>
    <w:rsid w:val="00E36B65"/>
    <w:rsid w:val="00E36C79"/>
    <w:rsid w:val="00E36C9D"/>
    <w:rsid w:val="00E36CDE"/>
    <w:rsid w:val="00E36D5C"/>
    <w:rsid w:val="00E36D75"/>
    <w:rsid w:val="00E36D76"/>
    <w:rsid w:val="00E36DAB"/>
    <w:rsid w:val="00E36DC2"/>
    <w:rsid w:val="00E36E1A"/>
    <w:rsid w:val="00E36E5D"/>
    <w:rsid w:val="00E36EB1"/>
    <w:rsid w:val="00E36EEA"/>
    <w:rsid w:val="00E36EF5"/>
    <w:rsid w:val="00E36F2E"/>
    <w:rsid w:val="00E36FB3"/>
    <w:rsid w:val="00E36FBF"/>
    <w:rsid w:val="00E37021"/>
    <w:rsid w:val="00E37045"/>
    <w:rsid w:val="00E37052"/>
    <w:rsid w:val="00E37062"/>
    <w:rsid w:val="00E3710E"/>
    <w:rsid w:val="00E3716D"/>
    <w:rsid w:val="00E371C1"/>
    <w:rsid w:val="00E3723C"/>
    <w:rsid w:val="00E3724D"/>
    <w:rsid w:val="00E372AB"/>
    <w:rsid w:val="00E37320"/>
    <w:rsid w:val="00E37354"/>
    <w:rsid w:val="00E37373"/>
    <w:rsid w:val="00E373C0"/>
    <w:rsid w:val="00E373E1"/>
    <w:rsid w:val="00E373EA"/>
    <w:rsid w:val="00E3743A"/>
    <w:rsid w:val="00E3752F"/>
    <w:rsid w:val="00E37666"/>
    <w:rsid w:val="00E379A0"/>
    <w:rsid w:val="00E379AE"/>
    <w:rsid w:val="00E379AF"/>
    <w:rsid w:val="00E379B7"/>
    <w:rsid w:val="00E37A6F"/>
    <w:rsid w:val="00E37A98"/>
    <w:rsid w:val="00E37AA2"/>
    <w:rsid w:val="00E37B18"/>
    <w:rsid w:val="00E37B53"/>
    <w:rsid w:val="00E37C1F"/>
    <w:rsid w:val="00E37C44"/>
    <w:rsid w:val="00E37CF7"/>
    <w:rsid w:val="00E37D17"/>
    <w:rsid w:val="00E37D81"/>
    <w:rsid w:val="00E37E2E"/>
    <w:rsid w:val="00E37E9B"/>
    <w:rsid w:val="00E37EA3"/>
    <w:rsid w:val="00E37EE3"/>
    <w:rsid w:val="00E37FCD"/>
    <w:rsid w:val="00E37FE4"/>
    <w:rsid w:val="00E40047"/>
    <w:rsid w:val="00E4016E"/>
    <w:rsid w:val="00E401A0"/>
    <w:rsid w:val="00E401AE"/>
    <w:rsid w:val="00E40218"/>
    <w:rsid w:val="00E40233"/>
    <w:rsid w:val="00E40243"/>
    <w:rsid w:val="00E4025E"/>
    <w:rsid w:val="00E40296"/>
    <w:rsid w:val="00E40388"/>
    <w:rsid w:val="00E403D0"/>
    <w:rsid w:val="00E404E8"/>
    <w:rsid w:val="00E40522"/>
    <w:rsid w:val="00E4055E"/>
    <w:rsid w:val="00E405D5"/>
    <w:rsid w:val="00E40650"/>
    <w:rsid w:val="00E4077F"/>
    <w:rsid w:val="00E4079D"/>
    <w:rsid w:val="00E4080E"/>
    <w:rsid w:val="00E40840"/>
    <w:rsid w:val="00E40880"/>
    <w:rsid w:val="00E408FE"/>
    <w:rsid w:val="00E40921"/>
    <w:rsid w:val="00E409AA"/>
    <w:rsid w:val="00E40ACE"/>
    <w:rsid w:val="00E40BCF"/>
    <w:rsid w:val="00E40BEB"/>
    <w:rsid w:val="00E40C3F"/>
    <w:rsid w:val="00E40C74"/>
    <w:rsid w:val="00E40CD3"/>
    <w:rsid w:val="00E40CEB"/>
    <w:rsid w:val="00E40D04"/>
    <w:rsid w:val="00E40DE8"/>
    <w:rsid w:val="00E40E45"/>
    <w:rsid w:val="00E40FEC"/>
    <w:rsid w:val="00E41019"/>
    <w:rsid w:val="00E4101D"/>
    <w:rsid w:val="00E41022"/>
    <w:rsid w:val="00E41054"/>
    <w:rsid w:val="00E410F5"/>
    <w:rsid w:val="00E411B6"/>
    <w:rsid w:val="00E411E0"/>
    <w:rsid w:val="00E4128A"/>
    <w:rsid w:val="00E412DD"/>
    <w:rsid w:val="00E41303"/>
    <w:rsid w:val="00E41309"/>
    <w:rsid w:val="00E4130C"/>
    <w:rsid w:val="00E4133F"/>
    <w:rsid w:val="00E413F7"/>
    <w:rsid w:val="00E41467"/>
    <w:rsid w:val="00E414E1"/>
    <w:rsid w:val="00E41500"/>
    <w:rsid w:val="00E41541"/>
    <w:rsid w:val="00E41605"/>
    <w:rsid w:val="00E41718"/>
    <w:rsid w:val="00E4173B"/>
    <w:rsid w:val="00E41747"/>
    <w:rsid w:val="00E4174D"/>
    <w:rsid w:val="00E4176B"/>
    <w:rsid w:val="00E41770"/>
    <w:rsid w:val="00E41795"/>
    <w:rsid w:val="00E417F3"/>
    <w:rsid w:val="00E4182F"/>
    <w:rsid w:val="00E4188B"/>
    <w:rsid w:val="00E418CA"/>
    <w:rsid w:val="00E4196B"/>
    <w:rsid w:val="00E41A39"/>
    <w:rsid w:val="00E41A8A"/>
    <w:rsid w:val="00E41B1F"/>
    <w:rsid w:val="00E41B6D"/>
    <w:rsid w:val="00E41CD3"/>
    <w:rsid w:val="00E41DEF"/>
    <w:rsid w:val="00E41ED3"/>
    <w:rsid w:val="00E41EFE"/>
    <w:rsid w:val="00E41F4E"/>
    <w:rsid w:val="00E41F70"/>
    <w:rsid w:val="00E41FBC"/>
    <w:rsid w:val="00E4209A"/>
    <w:rsid w:val="00E420C4"/>
    <w:rsid w:val="00E422FC"/>
    <w:rsid w:val="00E42329"/>
    <w:rsid w:val="00E4233B"/>
    <w:rsid w:val="00E423DC"/>
    <w:rsid w:val="00E42437"/>
    <w:rsid w:val="00E424BF"/>
    <w:rsid w:val="00E424FB"/>
    <w:rsid w:val="00E4256E"/>
    <w:rsid w:val="00E4259A"/>
    <w:rsid w:val="00E427E4"/>
    <w:rsid w:val="00E42831"/>
    <w:rsid w:val="00E4298F"/>
    <w:rsid w:val="00E429CA"/>
    <w:rsid w:val="00E429F6"/>
    <w:rsid w:val="00E42A0F"/>
    <w:rsid w:val="00E42A4C"/>
    <w:rsid w:val="00E42A5F"/>
    <w:rsid w:val="00E42B21"/>
    <w:rsid w:val="00E42BDC"/>
    <w:rsid w:val="00E42C61"/>
    <w:rsid w:val="00E42E91"/>
    <w:rsid w:val="00E42EA9"/>
    <w:rsid w:val="00E42EEB"/>
    <w:rsid w:val="00E4314D"/>
    <w:rsid w:val="00E4321C"/>
    <w:rsid w:val="00E43240"/>
    <w:rsid w:val="00E43262"/>
    <w:rsid w:val="00E432F9"/>
    <w:rsid w:val="00E4335B"/>
    <w:rsid w:val="00E43394"/>
    <w:rsid w:val="00E4342C"/>
    <w:rsid w:val="00E43476"/>
    <w:rsid w:val="00E436E0"/>
    <w:rsid w:val="00E43720"/>
    <w:rsid w:val="00E43727"/>
    <w:rsid w:val="00E4376A"/>
    <w:rsid w:val="00E43824"/>
    <w:rsid w:val="00E4387B"/>
    <w:rsid w:val="00E439F8"/>
    <w:rsid w:val="00E43A35"/>
    <w:rsid w:val="00E43AAA"/>
    <w:rsid w:val="00E43B79"/>
    <w:rsid w:val="00E43B9C"/>
    <w:rsid w:val="00E43C00"/>
    <w:rsid w:val="00E43C99"/>
    <w:rsid w:val="00E43CCE"/>
    <w:rsid w:val="00E43D37"/>
    <w:rsid w:val="00E43D7A"/>
    <w:rsid w:val="00E43D7D"/>
    <w:rsid w:val="00E43E65"/>
    <w:rsid w:val="00E43F14"/>
    <w:rsid w:val="00E43F3F"/>
    <w:rsid w:val="00E43F47"/>
    <w:rsid w:val="00E43F84"/>
    <w:rsid w:val="00E44014"/>
    <w:rsid w:val="00E440D7"/>
    <w:rsid w:val="00E4411C"/>
    <w:rsid w:val="00E44203"/>
    <w:rsid w:val="00E443A1"/>
    <w:rsid w:val="00E44467"/>
    <w:rsid w:val="00E44477"/>
    <w:rsid w:val="00E445DA"/>
    <w:rsid w:val="00E44606"/>
    <w:rsid w:val="00E44672"/>
    <w:rsid w:val="00E4470D"/>
    <w:rsid w:val="00E44727"/>
    <w:rsid w:val="00E44751"/>
    <w:rsid w:val="00E447DA"/>
    <w:rsid w:val="00E447FE"/>
    <w:rsid w:val="00E44828"/>
    <w:rsid w:val="00E4485B"/>
    <w:rsid w:val="00E449F4"/>
    <w:rsid w:val="00E44A1E"/>
    <w:rsid w:val="00E44A51"/>
    <w:rsid w:val="00E44A69"/>
    <w:rsid w:val="00E44ABA"/>
    <w:rsid w:val="00E44B4E"/>
    <w:rsid w:val="00E44B98"/>
    <w:rsid w:val="00E44BB3"/>
    <w:rsid w:val="00E44CF7"/>
    <w:rsid w:val="00E44DC2"/>
    <w:rsid w:val="00E44DDE"/>
    <w:rsid w:val="00E44EC1"/>
    <w:rsid w:val="00E44F7B"/>
    <w:rsid w:val="00E44F7C"/>
    <w:rsid w:val="00E44FA2"/>
    <w:rsid w:val="00E44FB7"/>
    <w:rsid w:val="00E44FD3"/>
    <w:rsid w:val="00E4511A"/>
    <w:rsid w:val="00E451AB"/>
    <w:rsid w:val="00E45292"/>
    <w:rsid w:val="00E452CC"/>
    <w:rsid w:val="00E452D7"/>
    <w:rsid w:val="00E4547C"/>
    <w:rsid w:val="00E454D2"/>
    <w:rsid w:val="00E45505"/>
    <w:rsid w:val="00E455AD"/>
    <w:rsid w:val="00E45602"/>
    <w:rsid w:val="00E45605"/>
    <w:rsid w:val="00E45764"/>
    <w:rsid w:val="00E45787"/>
    <w:rsid w:val="00E45794"/>
    <w:rsid w:val="00E45816"/>
    <w:rsid w:val="00E4587C"/>
    <w:rsid w:val="00E458E1"/>
    <w:rsid w:val="00E45927"/>
    <w:rsid w:val="00E45965"/>
    <w:rsid w:val="00E45A2B"/>
    <w:rsid w:val="00E45B3E"/>
    <w:rsid w:val="00E45BB8"/>
    <w:rsid w:val="00E45BC0"/>
    <w:rsid w:val="00E45BC2"/>
    <w:rsid w:val="00E45C4F"/>
    <w:rsid w:val="00E45CE3"/>
    <w:rsid w:val="00E45D0D"/>
    <w:rsid w:val="00E45D24"/>
    <w:rsid w:val="00E45D89"/>
    <w:rsid w:val="00E45DFB"/>
    <w:rsid w:val="00E45E17"/>
    <w:rsid w:val="00E45F63"/>
    <w:rsid w:val="00E45F72"/>
    <w:rsid w:val="00E45FDB"/>
    <w:rsid w:val="00E45FE4"/>
    <w:rsid w:val="00E45FF1"/>
    <w:rsid w:val="00E46072"/>
    <w:rsid w:val="00E460E4"/>
    <w:rsid w:val="00E4631F"/>
    <w:rsid w:val="00E4640A"/>
    <w:rsid w:val="00E4650A"/>
    <w:rsid w:val="00E465A0"/>
    <w:rsid w:val="00E46770"/>
    <w:rsid w:val="00E467E2"/>
    <w:rsid w:val="00E467F2"/>
    <w:rsid w:val="00E46848"/>
    <w:rsid w:val="00E46862"/>
    <w:rsid w:val="00E46865"/>
    <w:rsid w:val="00E46906"/>
    <w:rsid w:val="00E46946"/>
    <w:rsid w:val="00E46BD4"/>
    <w:rsid w:val="00E46D80"/>
    <w:rsid w:val="00E46E13"/>
    <w:rsid w:val="00E46E58"/>
    <w:rsid w:val="00E46F00"/>
    <w:rsid w:val="00E46F54"/>
    <w:rsid w:val="00E46FAC"/>
    <w:rsid w:val="00E46FBD"/>
    <w:rsid w:val="00E47045"/>
    <w:rsid w:val="00E47049"/>
    <w:rsid w:val="00E47094"/>
    <w:rsid w:val="00E470AF"/>
    <w:rsid w:val="00E47139"/>
    <w:rsid w:val="00E4720A"/>
    <w:rsid w:val="00E47231"/>
    <w:rsid w:val="00E47291"/>
    <w:rsid w:val="00E472E3"/>
    <w:rsid w:val="00E47309"/>
    <w:rsid w:val="00E47389"/>
    <w:rsid w:val="00E4738F"/>
    <w:rsid w:val="00E473C2"/>
    <w:rsid w:val="00E47474"/>
    <w:rsid w:val="00E47500"/>
    <w:rsid w:val="00E47577"/>
    <w:rsid w:val="00E476F7"/>
    <w:rsid w:val="00E47748"/>
    <w:rsid w:val="00E477CA"/>
    <w:rsid w:val="00E47834"/>
    <w:rsid w:val="00E478BF"/>
    <w:rsid w:val="00E478C9"/>
    <w:rsid w:val="00E47979"/>
    <w:rsid w:val="00E47A47"/>
    <w:rsid w:val="00E47A7F"/>
    <w:rsid w:val="00E47A8B"/>
    <w:rsid w:val="00E47B87"/>
    <w:rsid w:val="00E47C32"/>
    <w:rsid w:val="00E47C73"/>
    <w:rsid w:val="00E47D6E"/>
    <w:rsid w:val="00E47DB4"/>
    <w:rsid w:val="00E47DFA"/>
    <w:rsid w:val="00E47FCC"/>
    <w:rsid w:val="00E47FEA"/>
    <w:rsid w:val="00E50081"/>
    <w:rsid w:val="00E500B7"/>
    <w:rsid w:val="00E500E5"/>
    <w:rsid w:val="00E500E7"/>
    <w:rsid w:val="00E50107"/>
    <w:rsid w:val="00E50113"/>
    <w:rsid w:val="00E5023D"/>
    <w:rsid w:val="00E50249"/>
    <w:rsid w:val="00E50350"/>
    <w:rsid w:val="00E503B7"/>
    <w:rsid w:val="00E503F8"/>
    <w:rsid w:val="00E50452"/>
    <w:rsid w:val="00E504E1"/>
    <w:rsid w:val="00E50598"/>
    <w:rsid w:val="00E505D6"/>
    <w:rsid w:val="00E5062D"/>
    <w:rsid w:val="00E5067E"/>
    <w:rsid w:val="00E50699"/>
    <w:rsid w:val="00E5069F"/>
    <w:rsid w:val="00E50724"/>
    <w:rsid w:val="00E507CF"/>
    <w:rsid w:val="00E50820"/>
    <w:rsid w:val="00E50866"/>
    <w:rsid w:val="00E508B2"/>
    <w:rsid w:val="00E50966"/>
    <w:rsid w:val="00E509A7"/>
    <w:rsid w:val="00E509B4"/>
    <w:rsid w:val="00E50BC5"/>
    <w:rsid w:val="00E50CB1"/>
    <w:rsid w:val="00E50CF5"/>
    <w:rsid w:val="00E50CFE"/>
    <w:rsid w:val="00E50D9D"/>
    <w:rsid w:val="00E50DAF"/>
    <w:rsid w:val="00E50E5F"/>
    <w:rsid w:val="00E50F25"/>
    <w:rsid w:val="00E50F34"/>
    <w:rsid w:val="00E50FC4"/>
    <w:rsid w:val="00E50FDF"/>
    <w:rsid w:val="00E50FF3"/>
    <w:rsid w:val="00E51035"/>
    <w:rsid w:val="00E51063"/>
    <w:rsid w:val="00E51128"/>
    <w:rsid w:val="00E5115A"/>
    <w:rsid w:val="00E5115D"/>
    <w:rsid w:val="00E5117B"/>
    <w:rsid w:val="00E511F1"/>
    <w:rsid w:val="00E5126B"/>
    <w:rsid w:val="00E512D9"/>
    <w:rsid w:val="00E5133C"/>
    <w:rsid w:val="00E51427"/>
    <w:rsid w:val="00E51470"/>
    <w:rsid w:val="00E51496"/>
    <w:rsid w:val="00E51541"/>
    <w:rsid w:val="00E51599"/>
    <w:rsid w:val="00E5160B"/>
    <w:rsid w:val="00E51735"/>
    <w:rsid w:val="00E5174B"/>
    <w:rsid w:val="00E517EC"/>
    <w:rsid w:val="00E51838"/>
    <w:rsid w:val="00E5187A"/>
    <w:rsid w:val="00E518ED"/>
    <w:rsid w:val="00E519F3"/>
    <w:rsid w:val="00E51AD1"/>
    <w:rsid w:val="00E51B1B"/>
    <w:rsid w:val="00E51B1F"/>
    <w:rsid w:val="00E51C10"/>
    <w:rsid w:val="00E51C46"/>
    <w:rsid w:val="00E51CD4"/>
    <w:rsid w:val="00E51D6D"/>
    <w:rsid w:val="00E51DC3"/>
    <w:rsid w:val="00E51E06"/>
    <w:rsid w:val="00E51E0B"/>
    <w:rsid w:val="00E51E1F"/>
    <w:rsid w:val="00E51E40"/>
    <w:rsid w:val="00E51F01"/>
    <w:rsid w:val="00E51F38"/>
    <w:rsid w:val="00E52192"/>
    <w:rsid w:val="00E5228F"/>
    <w:rsid w:val="00E522E7"/>
    <w:rsid w:val="00E52370"/>
    <w:rsid w:val="00E52395"/>
    <w:rsid w:val="00E52425"/>
    <w:rsid w:val="00E52458"/>
    <w:rsid w:val="00E5256A"/>
    <w:rsid w:val="00E5258E"/>
    <w:rsid w:val="00E52731"/>
    <w:rsid w:val="00E52768"/>
    <w:rsid w:val="00E52778"/>
    <w:rsid w:val="00E5294C"/>
    <w:rsid w:val="00E52965"/>
    <w:rsid w:val="00E5296F"/>
    <w:rsid w:val="00E52A93"/>
    <w:rsid w:val="00E52AA2"/>
    <w:rsid w:val="00E52B13"/>
    <w:rsid w:val="00E52BB6"/>
    <w:rsid w:val="00E52CD6"/>
    <w:rsid w:val="00E52DAA"/>
    <w:rsid w:val="00E52F6A"/>
    <w:rsid w:val="00E52F6D"/>
    <w:rsid w:val="00E5300C"/>
    <w:rsid w:val="00E530F2"/>
    <w:rsid w:val="00E5321A"/>
    <w:rsid w:val="00E5326E"/>
    <w:rsid w:val="00E532A9"/>
    <w:rsid w:val="00E532CF"/>
    <w:rsid w:val="00E532FB"/>
    <w:rsid w:val="00E5335A"/>
    <w:rsid w:val="00E53391"/>
    <w:rsid w:val="00E533C3"/>
    <w:rsid w:val="00E534E2"/>
    <w:rsid w:val="00E534E6"/>
    <w:rsid w:val="00E5350C"/>
    <w:rsid w:val="00E535AB"/>
    <w:rsid w:val="00E535ED"/>
    <w:rsid w:val="00E5369C"/>
    <w:rsid w:val="00E5376F"/>
    <w:rsid w:val="00E537F5"/>
    <w:rsid w:val="00E53850"/>
    <w:rsid w:val="00E53867"/>
    <w:rsid w:val="00E53ADB"/>
    <w:rsid w:val="00E53AE1"/>
    <w:rsid w:val="00E53B41"/>
    <w:rsid w:val="00E53B86"/>
    <w:rsid w:val="00E53B9B"/>
    <w:rsid w:val="00E53C9A"/>
    <w:rsid w:val="00E53DFA"/>
    <w:rsid w:val="00E53DFD"/>
    <w:rsid w:val="00E53E05"/>
    <w:rsid w:val="00E53E99"/>
    <w:rsid w:val="00E53F26"/>
    <w:rsid w:val="00E53F9A"/>
    <w:rsid w:val="00E53FC3"/>
    <w:rsid w:val="00E5407D"/>
    <w:rsid w:val="00E540CF"/>
    <w:rsid w:val="00E540D0"/>
    <w:rsid w:val="00E5412F"/>
    <w:rsid w:val="00E54173"/>
    <w:rsid w:val="00E54181"/>
    <w:rsid w:val="00E5424E"/>
    <w:rsid w:val="00E542E2"/>
    <w:rsid w:val="00E54375"/>
    <w:rsid w:val="00E5441D"/>
    <w:rsid w:val="00E5446F"/>
    <w:rsid w:val="00E544C5"/>
    <w:rsid w:val="00E544F6"/>
    <w:rsid w:val="00E545C3"/>
    <w:rsid w:val="00E54646"/>
    <w:rsid w:val="00E54666"/>
    <w:rsid w:val="00E54772"/>
    <w:rsid w:val="00E5484B"/>
    <w:rsid w:val="00E548B2"/>
    <w:rsid w:val="00E548C1"/>
    <w:rsid w:val="00E54990"/>
    <w:rsid w:val="00E549F8"/>
    <w:rsid w:val="00E54AEF"/>
    <w:rsid w:val="00E54B49"/>
    <w:rsid w:val="00E54B5D"/>
    <w:rsid w:val="00E54BE5"/>
    <w:rsid w:val="00E54C14"/>
    <w:rsid w:val="00E54D89"/>
    <w:rsid w:val="00E54DCF"/>
    <w:rsid w:val="00E54E83"/>
    <w:rsid w:val="00E54ED2"/>
    <w:rsid w:val="00E54F0F"/>
    <w:rsid w:val="00E54F1A"/>
    <w:rsid w:val="00E54F2B"/>
    <w:rsid w:val="00E55000"/>
    <w:rsid w:val="00E55016"/>
    <w:rsid w:val="00E5509A"/>
    <w:rsid w:val="00E550AB"/>
    <w:rsid w:val="00E551C6"/>
    <w:rsid w:val="00E5523A"/>
    <w:rsid w:val="00E55352"/>
    <w:rsid w:val="00E55440"/>
    <w:rsid w:val="00E5544F"/>
    <w:rsid w:val="00E5545A"/>
    <w:rsid w:val="00E5549A"/>
    <w:rsid w:val="00E554C3"/>
    <w:rsid w:val="00E55583"/>
    <w:rsid w:val="00E555FB"/>
    <w:rsid w:val="00E55647"/>
    <w:rsid w:val="00E556AD"/>
    <w:rsid w:val="00E55831"/>
    <w:rsid w:val="00E55851"/>
    <w:rsid w:val="00E55860"/>
    <w:rsid w:val="00E558B5"/>
    <w:rsid w:val="00E558E9"/>
    <w:rsid w:val="00E55961"/>
    <w:rsid w:val="00E5599E"/>
    <w:rsid w:val="00E559AA"/>
    <w:rsid w:val="00E559D5"/>
    <w:rsid w:val="00E55B3A"/>
    <w:rsid w:val="00E55B64"/>
    <w:rsid w:val="00E55BA5"/>
    <w:rsid w:val="00E55BAB"/>
    <w:rsid w:val="00E55BFB"/>
    <w:rsid w:val="00E55CCE"/>
    <w:rsid w:val="00E55D20"/>
    <w:rsid w:val="00E55DD0"/>
    <w:rsid w:val="00E55DD9"/>
    <w:rsid w:val="00E55E51"/>
    <w:rsid w:val="00E55FA4"/>
    <w:rsid w:val="00E55FB9"/>
    <w:rsid w:val="00E56025"/>
    <w:rsid w:val="00E5604A"/>
    <w:rsid w:val="00E56081"/>
    <w:rsid w:val="00E560D5"/>
    <w:rsid w:val="00E56128"/>
    <w:rsid w:val="00E56133"/>
    <w:rsid w:val="00E56223"/>
    <w:rsid w:val="00E5624E"/>
    <w:rsid w:val="00E56290"/>
    <w:rsid w:val="00E56296"/>
    <w:rsid w:val="00E562F9"/>
    <w:rsid w:val="00E564D7"/>
    <w:rsid w:val="00E56520"/>
    <w:rsid w:val="00E5652F"/>
    <w:rsid w:val="00E56541"/>
    <w:rsid w:val="00E565B2"/>
    <w:rsid w:val="00E5666D"/>
    <w:rsid w:val="00E566F9"/>
    <w:rsid w:val="00E56798"/>
    <w:rsid w:val="00E567B2"/>
    <w:rsid w:val="00E56819"/>
    <w:rsid w:val="00E5686E"/>
    <w:rsid w:val="00E56887"/>
    <w:rsid w:val="00E56A75"/>
    <w:rsid w:val="00E56B01"/>
    <w:rsid w:val="00E56B39"/>
    <w:rsid w:val="00E56BB8"/>
    <w:rsid w:val="00E56C38"/>
    <w:rsid w:val="00E56EBD"/>
    <w:rsid w:val="00E56EE2"/>
    <w:rsid w:val="00E56FAE"/>
    <w:rsid w:val="00E56FC7"/>
    <w:rsid w:val="00E57016"/>
    <w:rsid w:val="00E571E5"/>
    <w:rsid w:val="00E5722D"/>
    <w:rsid w:val="00E57240"/>
    <w:rsid w:val="00E573A4"/>
    <w:rsid w:val="00E573F6"/>
    <w:rsid w:val="00E57516"/>
    <w:rsid w:val="00E57595"/>
    <w:rsid w:val="00E5772F"/>
    <w:rsid w:val="00E577A9"/>
    <w:rsid w:val="00E577B3"/>
    <w:rsid w:val="00E57870"/>
    <w:rsid w:val="00E57951"/>
    <w:rsid w:val="00E57952"/>
    <w:rsid w:val="00E57969"/>
    <w:rsid w:val="00E579EB"/>
    <w:rsid w:val="00E57A14"/>
    <w:rsid w:val="00E57A2E"/>
    <w:rsid w:val="00E57A54"/>
    <w:rsid w:val="00E57B24"/>
    <w:rsid w:val="00E57B76"/>
    <w:rsid w:val="00E57C03"/>
    <w:rsid w:val="00E57D42"/>
    <w:rsid w:val="00E57DAD"/>
    <w:rsid w:val="00E57E84"/>
    <w:rsid w:val="00E57F45"/>
    <w:rsid w:val="00E57F55"/>
    <w:rsid w:val="00E600A0"/>
    <w:rsid w:val="00E601D7"/>
    <w:rsid w:val="00E601E3"/>
    <w:rsid w:val="00E601EF"/>
    <w:rsid w:val="00E60272"/>
    <w:rsid w:val="00E60307"/>
    <w:rsid w:val="00E60383"/>
    <w:rsid w:val="00E603F8"/>
    <w:rsid w:val="00E60608"/>
    <w:rsid w:val="00E60677"/>
    <w:rsid w:val="00E6069E"/>
    <w:rsid w:val="00E60797"/>
    <w:rsid w:val="00E6082C"/>
    <w:rsid w:val="00E60889"/>
    <w:rsid w:val="00E609AA"/>
    <w:rsid w:val="00E60A0F"/>
    <w:rsid w:val="00E60A5D"/>
    <w:rsid w:val="00E60B5F"/>
    <w:rsid w:val="00E60BDE"/>
    <w:rsid w:val="00E60C15"/>
    <w:rsid w:val="00E60C45"/>
    <w:rsid w:val="00E60C56"/>
    <w:rsid w:val="00E60CA4"/>
    <w:rsid w:val="00E60CD6"/>
    <w:rsid w:val="00E60D1B"/>
    <w:rsid w:val="00E60D85"/>
    <w:rsid w:val="00E60DC5"/>
    <w:rsid w:val="00E60E1B"/>
    <w:rsid w:val="00E60EA9"/>
    <w:rsid w:val="00E60FE6"/>
    <w:rsid w:val="00E6103A"/>
    <w:rsid w:val="00E61052"/>
    <w:rsid w:val="00E610AE"/>
    <w:rsid w:val="00E61229"/>
    <w:rsid w:val="00E61282"/>
    <w:rsid w:val="00E61290"/>
    <w:rsid w:val="00E6136B"/>
    <w:rsid w:val="00E61392"/>
    <w:rsid w:val="00E613BF"/>
    <w:rsid w:val="00E61453"/>
    <w:rsid w:val="00E61478"/>
    <w:rsid w:val="00E6147A"/>
    <w:rsid w:val="00E614AB"/>
    <w:rsid w:val="00E61561"/>
    <w:rsid w:val="00E6160E"/>
    <w:rsid w:val="00E61688"/>
    <w:rsid w:val="00E61722"/>
    <w:rsid w:val="00E61767"/>
    <w:rsid w:val="00E617B2"/>
    <w:rsid w:val="00E617D0"/>
    <w:rsid w:val="00E617E7"/>
    <w:rsid w:val="00E618A0"/>
    <w:rsid w:val="00E618AC"/>
    <w:rsid w:val="00E618B4"/>
    <w:rsid w:val="00E61963"/>
    <w:rsid w:val="00E619FA"/>
    <w:rsid w:val="00E61A90"/>
    <w:rsid w:val="00E61BCF"/>
    <w:rsid w:val="00E61BD3"/>
    <w:rsid w:val="00E61C3A"/>
    <w:rsid w:val="00E61C90"/>
    <w:rsid w:val="00E61CF6"/>
    <w:rsid w:val="00E61D05"/>
    <w:rsid w:val="00E61D30"/>
    <w:rsid w:val="00E61D54"/>
    <w:rsid w:val="00E61E89"/>
    <w:rsid w:val="00E61EBC"/>
    <w:rsid w:val="00E61EDC"/>
    <w:rsid w:val="00E61FAB"/>
    <w:rsid w:val="00E62026"/>
    <w:rsid w:val="00E621CC"/>
    <w:rsid w:val="00E62296"/>
    <w:rsid w:val="00E622C1"/>
    <w:rsid w:val="00E622E9"/>
    <w:rsid w:val="00E62300"/>
    <w:rsid w:val="00E623BC"/>
    <w:rsid w:val="00E623E2"/>
    <w:rsid w:val="00E62517"/>
    <w:rsid w:val="00E62702"/>
    <w:rsid w:val="00E62739"/>
    <w:rsid w:val="00E62757"/>
    <w:rsid w:val="00E627C0"/>
    <w:rsid w:val="00E628E9"/>
    <w:rsid w:val="00E62A8D"/>
    <w:rsid w:val="00E62B47"/>
    <w:rsid w:val="00E62B71"/>
    <w:rsid w:val="00E62B81"/>
    <w:rsid w:val="00E62BFE"/>
    <w:rsid w:val="00E62C34"/>
    <w:rsid w:val="00E62C79"/>
    <w:rsid w:val="00E62C93"/>
    <w:rsid w:val="00E62D9D"/>
    <w:rsid w:val="00E62DEB"/>
    <w:rsid w:val="00E62E51"/>
    <w:rsid w:val="00E62E6E"/>
    <w:rsid w:val="00E62E7C"/>
    <w:rsid w:val="00E62EE6"/>
    <w:rsid w:val="00E62FC3"/>
    <w:rsid w:val="00E62FCF"/>
    <w:rsid w:val="00E62FE1"/>
    <w:rsid w:val="00E62FF6"/>
    <w:rsid w:val="00E63001"/>
    <w:rsid w:val="00E63017"/>
    <w:rsid w:val="00E63082"/>
    <w:rsid w:val="00E631DB"/>
    <w:rsid w:val="00E63325"/>
    <w:rsid w:val="00E63351"/>
    <w:rsid w:val="00E6338E"/>
    <w:rsid w:val="00E633EE"/>
    <w:rsid w:val="00E63449"/>
    <w:rsid w:val="00E6347C"/>
    <w:rsid w:val="00E634E7"/>
    <w:rsid w:val="00E634EF"/>
    <w:rsid w:val="00E63806"/>
    <w:rsid w:val="00E638E9"/>
    <w:rsid w:val="00E639E6"/>
    <w:rsid w:val="00E63ABA"/>
    <w:rsid w:val="00E63B60"/>
    <w:rsid w:val="00E63BB3"/>
    <w:rsid w:val="00E63BF8"/>
    <w:rsid w:val="00E63C74"/>
    <w:rsid w:val="00E63CB8"/>
    <w:rsid w:val="00E63E7C"/>
    <w:rsid w:val="00E63ED0"/>
    <w:rsid w:val="00E63F31"/>
    <w:rsid w:val="00E63FC1"/>
    <w:rsid w:val="00E63FF2"/>
    <w:rsid w:val="00E6400B"/>
    <w:rsid w:val="00E64025"/>
    <w:rsid w:val="00E64167"/>
    <w:rsid w:val="00E641F0"/>
    <w:rsid w:val="00E642CA"/>
    <w:rsid w:val="00E64342"/>
    <w:rsid w:val="00E64364"/>
    <w:rsid w:val="00E64384"/>
    <w:rsid w:val="00E64431"/>
    <w:rsid w:val="00E6444D"/>
    <w:rsid w:val="00E64502"/>
    <w:rsid w:val="00E64631"/>
    <w:rsid w:val="00E64642"/>
    <w:rsid w:val="00E64740"/>
    <w:rsid w:val="00E6482E"/>
    <w:rsid w:val="00E6486B"/>
    <w:rsid w:val="00E64986"/>
    <w:rsid w:val="00E64A2D"/>
    <w:rsid w:val="00E64A49"/>
    <w:rsid w:val="00E64A7C"/>
    <w:rsid w:val="00E64ADB"/>
    <w:rsid w:val="00E64B33"/>
    <w:rsid w:val="00E64D52"/>
    <w:rsid w:val="00E64DA1"/>
    <w:rsid w:val="00E64DC6"/>
    <w:rsid w:val="00E64F2D"/>
    <w:rsid w:val="00E64FFC"/>
    <w:rsid w:val="00E650FC"/>
    <w:rsid w:val="00E65212"/>
    <w:rsid w:val="00E65216"/>
    <w:rsid w:val="00E6528B"/>
    <w:rsid w:val="00E652A2"/>
    <w:rsid w:val="00E652EE"/>
    <w:rsid w:val="00E65328"/>
    <w:rsid w:val="00E653E4"/>
    <w:rsid w:val="00E653F1"/>
    <w:rsid w:val="00E653F5"/>
    <w:rsid w:val="00E65415"/>
    <w:rsid w:val="00E65528"/>
    <w:rsid w:val="00E656DC"/>
    <w:rsid w:val="00E658A5"/>
    <w:rsid w:val="00E658EE"/>
    <w:rsid w:val="00E658F0"/>
    <w:rsid w:val="00E658F2"/>
    <w:rsid w:val="00E6597C"/>
    <w:rsid w:val="00E659C4"/>
    <w:rsid w:val="00E659DB"/>
    <w:rsid w:val="00E65A0F"/>
    <w:rsid w:val="00E65A21"/>
    <w:rsid w:val="00E65A39"/>
    <w:rsid w:val="00E65B23"/>
    <w:rsid w:val="00E65C2E"/>
    <w:rsid w:val="00E65C35"/>
    <w:rsid w:val="00E65C41"/>
    <w:rsid w:val="00E65C96"/>
    <w:rsid w:val="00E65D1C"/>
    <w:rsid w:val="00E65DF2"/>
    <w:rsid w:val="00E65E9A"/>
    <w:rsid w:val="00E65F72"/>
    <w:rsid w:val="00E6603E"/>
    <w:rsid w:val="00E6612D"/>
    <w:rsid w:val="00E66171"/>
    <w:rsid w:val="00E66217"/>
    <w:rsid w:val="00E66267"/>
    <w:rsid w:val="00E6637C"/>
    <w:rsid w:val="00E663D9"/>
    <w:rsid w:val="00E663FB"/>
    <w:rsid w:val="00E66436"/>
    <w:rsid w:val="00E66522"/>
    <w:rsid w:val="00E6660E"/>
    <w:rsid w:val="00E6668E"/>
    <w:rsid w:val="00E666E9"/>
    <w:rsid w:val="00E6675D"/>
    <w:rsid w:val="00E66766"/>
    <w:rsid w:val="00E66821"/>
    <w:rsid w:val="00E66823"/>
    <w:rsid w:val="00E668DD"/>
    <w:rsid w:val="00E669CB"/>
    <w:rsid w:val="00E66AB8"/>
    <w:rsid w:val="00E66B12"/>
    <w:rsid w:val="00E66B66"/>
    <w:rsid w:val="00E66BC0"/>
    <w:rsid w:val="00E66BE7"/>
    <w:rsid w:val="00E66C1C"/>
    <w:rsid w:val="00E66E02"/>
    <w:rsid w:val="00E66F01"/>
    <w:rsid w:val="00E66F18"/>
    <w:rsid w:val="00E66F34"/>
    <w:rsid w:val="00E67166"/>
    <w:rsid w:val="00E6719C"/>
    <w:rsid w:val="00E6721B"/>
    <w:rsid w:val="00E6727B"/>
    <w:rsid w:val="00E67283"/>
    <w:rsid w:val="00E67298"/>
    <w:rsid w:val="00E672F9"/>
    <w:rsid w:val="00E67326"/>
    <w:rsid w:val="00E6741D"/>
    <w:rsid w:val="00E6744A"/>
    <w:rsid w:val="00E67467"/>
    <w:rsid w:val="00E674B2"/>
    <w:rsid w:val="00E674F0"/>
    <w:rsid w:val="00E67539"/>
    <w:rsid w:val="00E6762B"/>
    <w:rsid w:val="00E676E6"/>
    <w:rsid w:val="00E677A8"/>
    <w:rsid w:val="00E67833"/>
    <w:rsid w:val="00E678E7"/>
    <w:rsid w:val="00E678EB"/>
    <w:rsid w:val="00E6791F"/>
    <w:rsid w:val="00E679B6"/>
    <w:rsid w:val="00E679CA"/>
    <w:rsid w:val="00E67A6E"/>
    <w:rsid w:val="00E67A91"/>
    <w:rsid w:val="00E67AC2"/>
    <w:rsid w:val="00E67B08"/>
    <w:rsid w:val="00E67B97"/>
    <w:rsid w:val="00E67D14"/>
    <w:rsid w:val="00E67D78"/>
    <w:rsid w:val="00E67E02"/>
    <w:rsid w:val="00E67E19"/>
    <w:rsid w:val="00E67E53"/>
    <w:rsid w:val="00E67F3B"/>
    <w:rsid w:val="00E67F91"/>
    <w:rsid w:val="00E70005"/>
    <w:rsid w:val="00E7001A"/>
    <w:rsid w:val="00E70047"/>
    <w:rsid w:val="00E7005E"/>
    <w:rsid w:val="00E70101"/>
    <w:rsid w:val="00E7014B"/>
    <w:rsid w:val="00E70247"/>
    <w:rsid w:val="00E7032C"/>
    <w:rsid w:val="00E70382"/>
    <w:rsid w:val="00E703DC"/>
    <w:rsid w:val="00E7040E"/>
    <w:rsid w:val="00E704E2"/>
    <w:rsid w:val="00E7055B"/>
    <w:rsid w:val="00E705BA"/>
    <w:rsid w:val="00E705E9"/>
    <w:rsid w:val="00E70723"/>
    <w:rsid w:val="00E7079C"/>
    <w:rsid w:val="00E707C7"/>
    <w:rsid w:val="00E7080A"/>
    <w:rsid w:val="00E70828"/>
    <w:rsid w:val="00E70A1A"/>
    <w:rsid w:val="00E70B1E"/>
    <w:rsid w:val="00E70B98"/>
    <w:rsid w:val="00E70C45"/>
    <w:rsid w:val="00E70D3B"/>
    <w:rsid w:val="00E70DF5"/>
    <w:rsid w:val="00E70E4A"/>
    <w:rsid w:val="00E70F03"/>
    <w:rsid w:val="00E70F0F"/>
    <w:rsid w:val="00E70F61"/>
    <w:rsid w:val="00E70F8F"/>
    <w:rsid w:val="00E70F9B"/>
    <w:rsid w:val="00E70FB7"/>
    <w:rsid w:val="00E7101D"/>
    <w:rsid w:val="00E71126"/>
    <w:rsid w:val="00E71197"/>
    <w:rsid w:val="00E711FC"/>
    <w:rsid w:val="00E712D7"/>
    <w:rsid w:val="00E7131A"/>
    <w:rsid w:val="00E7142C"/>
    <w:rsid w:val="00E7149A"/>
    <w:rsid w:val="00E71525"/>
    <w:rsid w:val="00E7152C"/>
    <w:rsid w:val="00E71530"/>
    <w:rsid w:val="00E7155D"/>
    <w:rsid w:val="00E71560"/>
    <w:rsid w:val="00E71626"/>
    <w:rsid w:val="00E71777"/>
    <w:rsid w:val="00E7179C"/>
    <w:rsid w:val="00E717D3"/>
    <w:rsid w:val="00E71805"/>
    <w:rsid w:val="00E71845"/>
    <w:rsid w:val="00E71986"/>
    <w:rsid w:val="00E719E9"/>
    <w:rsid w:val="00E71A2E"/>
    <w:rsid w:val="00E71B3B"/>
    <w:rsid w:val="00E71BF3"/>
    <w:rsid w:val="00E71C58"/>
    <w:rsid w:val="00E71D6A"/>
    <w:rsid w:val="00E71DFB"/>
    <w:rsid w:val="00E71E06"/>
    <w:rsid w:val="00E71E0A"/>
    <w:rsid w:val="00E71E9E"/>
    <w:rsid w:val="00E71EF5"/>
    <w:rsid w:val="00E71F09"/>
    <w:rsid w:val="00E71F47"/>
    <w:rsid w:val="00E71F4C"/>
    <w:rsid w:val="00E7202D"/>
    <w:rsid w:val="00E72146"/>
    <w:rsid w:val="00E72173"/>
    <w:rsid w:val="00E7221B"/>
    <w:rsid w:val="00E722A7"/>
    <w:rsid w:val="00E722C8"/>
    <w:rsid w:val="00E722DA"/>
    <w:rsid w:val="00E722DE"/>
    <w:rsid w:val="00E722F7"/>
    <w:rsid w:val="00E72330"/>
    <w:rsid w:val="00E72343"/>
    <w:rsid w:val="00E7236C"/>
    <w:rsid w:val="00E72409"/>
    <w:rsid w:val="00E72519"/>
    <w:rsid w:val="00E725F6"/>
    <w:rsid w:val="00E72627"/>
    <w:rsid w:val="00E728A7"/>
    <w:rsid w:val="00E729F4"/>
    <w:rsid w:val="00E72A21"/>
    <w:rsid w:val="00E72A88"/>
    <w:rsid w:val="00E72AA2"/>
    <w:rsid w:val="00E72AF0"/>
    <w:rsid w:val="00E72AF2"/>
    <w:rsid w:val="00E72B54"/>
    <w:rsid w:val="00E72BA9"/>
    <w:rsid w:val="00E72C30"/>
    <w:rsid w:val="00E72C6A"/>
    <w:rsid w:val="00E72C98"/>
    <w:rsid w:val="00E72D35"/>
    <w:rsid w:val="00E72DAF"/>
    <w:rsid w:val="00E72E20"/>
    <w:rsid w:val="00E72E37"/>
    <w:rsid w:val="00E72EA5"/>
    <w:rsid w:val="00E72EC8"/>
    <w:rsid w:val="00E72EF3"/>
    <w:rsid w:val="00E72F28"/>
    <w:rsid w:val="00E72F85"/>
    <w:rsid w:val="00E72FEB"/>
    <w:rsid w:val="00E7301B"/>
    <w:rsid w:val="00E7307E"/>
    <w:rsid w:val="00E73119"/>
    <w:rsid w:val="00E731EC"/>
    <w:rsid w:val="00E7325C"/>
    <w:rsid w:val="00E73278"/>
    <w:rsid w:val="00E732FD"/>
    <w:rsid w:val="00E73345"/>
    <w:rsid w:val="00E7334A"/>
    <w:rsid w:val="00E7337F"/>
    <w:rsid w:val="00E7338F"/>
    <w:rsid w:val="00E733A1"/>
    <w:rsid w:val="00E733A3"/>
    <w:rsid w:val="00E734C6"/>
    <w:rsid w:val="00E734F5"/>
    <w:rsid w:val="00E735BA"/>
    <w:rsid w:val="00E73624"/>
    <w:rsid w:val="00E7372A"/>
    <w:rsid w:val="00E7379B"/>
    <w:rsid w:val="00E73898"/>
    <w:rsid w:val="00E738ED"/>
    <w:rsid w:val="00E73924"/>
    <w:rsid w:val="00E73968"/>
    <w:rsid w:val="00E73986"/>
    <w:rsid w:val="00E739B3"/>
    <w:rsid w:val="00E739D4"/>
    <w:rsid w:val="00E739F0"/>
    <w:rsid w:val="00E73AE7"/>
    <w:rsid w:val="00E73B4A"/>
    <w:rsid w:val="00E73BBB"/>
    <w:rsid w:val="00E73BE1"/>
    <w:rsid w:val="00E73C2E"/>
    <w:rsid w:val="00E73C91"/>
    <w:rsid w:val="00E73C96"/>
    <w:rsid w:val="00E73D88"/>
    <w:rsid w:val="00E73E69"/>
    <w:rsid w:val="00E73F06"/>
    <w:rsid w:val="00E73FC1"/>
    <w:rsid w:val="00E73FFF"/>
    <w:rsid w:val="00E74026"/>
    <w:rsid w:val="00E740A6"/>
    <w:rsid w:val="00E740A7"/>
    <w:rsid w:val="00E740B1"/>
    <w:rsid w:val="00E740B2"/>
    <w:rsid w:val="00E7410A"/>
    <w:rsid w:val="00E741C9"/>
    <w:rsid w:val="00E74215"/>
    <w:rsid w:val="00E74248"/>
    <w:rsid w:val="00E742F0"/>
    <w:rsid w:val="00E7431C"/>
    <w:rsid w:val="00E74325"/>
    <w:rsid w:val="00E743B4"/>
    <w:rsid w:val="00E743C8"/>
    <w:rsid w:val="00E745AC"/>
    <w:rsid w:val="00E745F3"/>
    <w:rsid w:val="00E7464B"/>
    <w:rsid w:val="00E74685"/>
    <w:rsid w:val="00E74811"/>
    <w:rsid w:val="00E74822"/>
    <w:rsid w:val="00E74849"/>
    <w:rsid w:val="00E748EA"/>
    <w:rsid w:val="00E7496F"/>
    <w:rsid w:val="00E7499B"/>
    <w:rsid w:val="00E749AA"/>
    <w:rsid w:val="00E749AD"/>
    <w:rsid w:val="00E749B8"/>
    <w:rsid w:val="00E74ACE"/>
    <w:rsid w:val="00E74BCF"/>
    <w:rsid w:val="00E74BE8"/>
    <w:rsid w:val="00E74C02"/>
    <w:rsid w:val="00E74CCE"/>
    <w:rsid w:val="00E74D36"/>
    <w:rsid w:val="00E74D8B"/>
    <w:rsid w:val="00E74DFC"/>
    <w:rsid w:val="00E74E60"/>
    <w:rsid w:val="00E74FB0"/>
    <w:rsid w:val="00E74FB6"/>
    <w:rsid w:val="00E7505A"/>
    <w:rsid w:val="00E75071"/>
    <w:rsid w:val="00E75076"/>
    <w:rsid w:val="00E75106"/>
    <w:rsid w:val="00E7511F"/>
    <w:rsid w:val="00E75123"/>
    <w:rsid w:val="00E75144"/>
    <w:rsid w:val="00E751DB"/>
    <w:rsid w:val="00E751F4"/>
    <w:rsid w:val="00E75267"/>
    <w:rsid w:val="00E7530D"/>
    <w:rsid w:val="00E7533F"/>
    <w:rsid w:val="00E7539F"/>
    <w:rsid w:val="00E75470"/>
    <w:rsid w:val="00E75489"/>
    <w:rsid w:val="00E754F7"/>
    <w:rsid w:val="00E75557"/>
    <w:rsid w:val="00E75601"/>
    <w:rsid w:val="00E756ED"/>
    <w:rsid w:val="00E7574F"/>
    <w:rsid w:val="00E757B4"/>
    <w:rsid w:val="00E757ED"/>
    <w:rsid w:val="00E75868"/>
    <w:rsid w:val="00E7589D"/>
    <w:rsid w:val="00E758A4"/>
    <w:rsid w:val="00E758AB"/>
    <w:rsid w:val="00E7594F"/>
    <w:rsid w:val="00E759F1"/>
    <w:rsid w:val="00E75A2E"/>
    <w:rsid w:val="00E75A75"/>
    <w:rsid w:val="00E75B0F"/>
    <w:rsid w:val="00E75B17"/>
    <w:rsid w:val="00E75B2E"/>
    <w:rsid w:val="00E75B5F"/>
    <w:rsid w:val="00E75C38"/>
    <w:rsid w:val="00E75CB9"/>
    <w:rsid w:val="00E75D2D"/>
    <w:rsid w:val="00E75D71"/>
    <w:rsid w:val="00E75E1B"/>
    <w:rsid w:val="00E75E42"/>
    <w:rsid w:val="00E75E51"/>
    <w:rsid w:val="00E75E5E"/>
    <w:rsid w:val="00E75EA5"/>
    <w:rsid w:val="00E75EE7"/>
    <w:rsid w:val="00E75FBB"/>
    <w:rsid w:val="00E75FF6"/>
    <w:rsid w:val="00E7609D"/>
    <w:rsid w:val="00E760FB"/>
    <w:rsid w:val="00E76101"/>
    <w:rsid w:val="00E7610E"/>
    <w:rsid w:val="00E7627D"/>
    <w:rsid w:val="00E7638F"/>
    <w:rsid w:val="00E76485"/>
    <w:rsid w:val="00E7649A"/>
    <w:rsid w:val="00E764B3"/>
    <w:rsid w:val="00E76621"/>
    <w:rsid w:val="00E766E2"/>
    <w:rsid w:val="00E7671C"/>
    <w:rsid w:val="00E76821"/>
    <w:rsid w:val="00E768DC"/>
    <w:rsid w:val="00E76904"/>
    <w:rsid w:val="00E769F6"/>
    <w:rsid w:val="00E76A12"/>
    <w:rsid w:val="00E76B0F"/>
    <w:rsid w:val="00E76C05"/>
    <w:rsid w:val="00E76C47"/>
    <w:rsid w:val="00E76C48"/>
    <w:rsid w:val="00E76CC1"/>
    <w:rsid w:val="00E76DFF"/>
    <w:rsid w:val="00E76E62"/>
    <w:rsid w:val="00E76E67"/>
    <w:rsid w:val="00E76EA4"/>
    <w:rsid w:val="00E76EFC"/>
    <w:rsid w:val="00E76F3C"/>
    <w:rsid w:val="00E76F69"/>
    <w:rsid w:val="00E77007"/>
    <w:rsid w:val="00E77009"/>
    <w:rsid w:val="00E7708D"/>
    <w:rsid w:val="00E7713C"/>
    <w:rsid w:val="00E7721C"/>
    <w:rsid w:val="00E77239"/>
    <w:rsid w:val="00E772BE"/>
    <w:rsid w:val="00E77425"/>
    <w:rsid w:val="00E77448"/>
    <w:rsid w:val="00E77507"/>
    <w:rsid w:val="00E775A0"/>
    <w:rsid w:val="00E7763D"/>
    <w:rsid w:val="00E776EA"/>
    <w:rsid w:val="00E77703"/>
    <w:rsid w:val="00E7772A"/>
    <w:rsid w:val="00E77737"/>
    <w:rsid w:val="00E77766"/>
    <w:rsid w:val="00E777A1"/>
    <w:rsid w:val="00E77860"/>
    <w:rsid w:val="00E77908"/>
    <w:rsid w:val="00E7795A"/>
    <w:rsid w:val="00E779A4"/>
    <w:rsid w:val="00E77A41"/>
    <w:rsid w:val="00E77A60"/>
    <w:rsid w:val="00E77B14"/>
    <w:rsid w:val="00E77B8E"/>
    <w:rsid w:val="00E77BB8"/>
    <w:rsid w:val="00E77BBC"/>
    <w:rsid w:val="00E77C1F"/>
    <w:rsid w:val="00E77CAD"/>
    <w:rsid w:val="00E77CFC"/>
    <w:rsid w:val="00E77D21"/>
    <w:rsid w:val="00E77D26"/>
    <w:rsid w:val="00E77D44"/>
    <w:rsid w:val="00E77DB8"/>
    <w:rsid w:val="00E77E5E"/>
    <w:rsid w:val="00E77EBC"/>
    <w:rsid w:val="00E8004B"/>
    <w:rsid w:val="00E8009D"/>
    <w:rsid w:val="00E800A2"/>
    <w:rsid w:val="00E800A5"/>
    <w:rsid w:val="00E800C0"/>
    <w:rsid w:val="00E800D8"/>
    <w:rsid w:val="00E80199"/>
    <w:rsid w:val="00E801AD"/>
    <w:rsid w:val="00E80200"/>
    <w:rsid w:val="00E8026B"/>
    <w:rsid w:val="00E8032E"/>
    <w:rsid w:val="00E804D8"/>
    <w:rsid w:val="00E804F9"/>
    <w:rsid w:val="00E80525"/>
    <w:rsid w:val="00E80550"/>
    <w:rsid w:val="00E80563"/>
    <w:rsid w:val="00E80620"/>
    <w:rsid w:val="00E80663"/>
    <w:rsid w:val="00E80676"/>
    <w:rsid w:val="00E8069E"/>
    <w:rsid w:val="00E806D3"/>
    <w:rsid w:val="00E806DA"/>
    <w:rsid w:val="00E80739"/>
    <w:rsid w:val="00E80741"/>
    <w:rsid w:val="00E80765"/>
    <w:rsid w:val="00E807F1"/>
    <w:rsid w:val="00E807F5"/>
    <w:rsid w:val="00E807FE"/>
    <w:rsid w:val="00E8080A"/>
    <w:rsid w:val="00E808CC"/>
    <w:rsid w:val="00E80984"/>
    <w:rsid w:val="00E809D4"/>
    <w:rsid w:val="00E80A24"/>
    <w:rsid w:val="00E80A34"/>
    <w:rsid w:val="00E80AC3"/>
    <w:rsid w:val="00E80B40"/>
    <w:rsid w:val="00E80BE4"/>
    <w:rsid w:val="00E80BE7"/>
    <w:rsid w:val="00E80C1B"/>
    <w:rsid w:val="00E80C57"/>
    <w:rsid w:val="00E80CA4"/>
    <w:rsid w:val="00E80D83"/>
    <w:rsid w:val="00E80E6F"/>
    <w:rsid w:val="00E80ED4"/>
    <w:rsid w:val="00E80EEC"/>
    <w:rsid w:val="00E80FBE"/>
    <w:rsid w:val="00E81017"/>
    <w:rsid w:val="00E81047"/>
    <w:rsid w:val="00E8108F"/>
    <w:rsid w:val="00E811D4"/>
    <w:rsid w:val="00E8120A"/>
    <w:rsid w:val="00E81255"/>
    <w:rsid w:val="00E81279"/>
    <w:rsid w:val="00E8131C"/>
    <w:rsid w:val="00E81325"/>
    <w:rsid w:val="00E81373"/>
    <w:rsid w:val="00E816D3"/>
    <w:rsid w:val="00E81777"/>
    <w:rsid w:val="00E8179C"/>
    <w:rsid w:val="00E817C1"/>
    <w:rsid w:val="00E8181B"/>
    <w:rsid w:val="00E81899"/>
    <w:rsid w:val="00E81906"/>
    <w:rsid w:val="00E81912"/>
    <w:rsid w:val="00E81A3F"/>
    <w:rsid w:val="00E81CA1"/>
    <w:rsid w:val="00E81D04"/>
    <w:rsid w:val="00E81D45"/>
    <w:rsid w:val="00E81D71"/>
    <w:rsid w:val="00E81DF2"/>
    <w:rsid w:val="00E81F8C"/>
    <w:rsid w:val="00E81FA5"/>
    <w:rsid w:val="00E81FC3"/>
    <w:rsid w:val="00E81FEE"/>
    <w:rsid w:val="00E8200C"/>
    <w:rsid w:val="00E8208C"/>
    <w:rsid w:val="00E8213A"/>
    <w:rsid w:val="00E82154"/>
    <w:rsid w:val="00E821D9"/>
    <w:rsid w:val="00E82312"/>
    <w:rsid w:val="00E82322"/>
    <w:rsid w:val="00E823E9"/>
    <w:rsid w:val="00E82571"/>
    <w:rsid w:val="00E8262A"/>
    <w:rsid w:val="00E82713"/>
    <w:rsid w:val="00E82742"/>
    <w:rsid w:val="00E8288C"/>
    <w:rsid w:val="00E829C5"/>
    <w:rsid w:val="00E82A5A"/>
    <w:rsid w:val="00E82B9D"/>
    <w:rsid w:val="00E82C16"/>
    <w:rsid w:val="00E82C9B"/>
    <w:rsid w:val="00E82CA2"/>
    <w:rsid w:val="00E82CCB"/>
    <w:rsid w:val="00E82D14"/>
    <w:rsid w:val="00E82D50"/>
    <w:rsid w:val="00E82DF9"/>
    <w:rsid w:val="00E82E10"/>
    <w:rsid w:val="00E82E64"/>
    <w:rsid w:val="00E82EC4"/>
    <w:rsid w:val="00E82EC5"/>
    <w:rsid w:val="00E82EC7"/>
    <w:rsid w:val="00E82F10"/>
    <w:rsid w:val="00E82F46"/>
    <w:rsid w:val="00E82FC8"/>
    <w:rsid w:val="00E83015"/>
    <w:rsid w:val="00E83051"/>
    <w:rsid w:val="00E8310B"/>
    <w:rsid w:val="00E83133"/>
    <w:rsid w:val="00E83144"/>
    <w:rsid w:val="00E83158"/>
    <w:rsid w:val="00E8327F"/>
    <w:rsid w:val="00E8329C"/>
    <w:rsid w:val="00E832CE"/>
    <w:rsid w:val="00E83376"/>
    <w:rsid w:val="00E834D8"/>
    <w:rsid w:val="00E83511"/>
    <w:rsid w:val="00E83608"/>
    <w:rsid w:val="00E83704"/>
    <w:rsid w:val="00E83709"/>
    <w:rsid w:val="00E83712"/>
    <w:rsid w:val="00E837AD"/>
    <w:rsid w:val="00E8385A"/>
    <w:rsid w:val="00E838E3"/>
    <w:rsid w:val="00E83922"/>
    <w:rsid w:val="00E83965"/>
    <w:rsid w:val="00E83AD2"/>
    <w:rsid w:val="00E83AED"/>
    <w:rsid w:val="00E83AF4"/>
    <w:rsid w:val="00E83B0E"/>
    <w:rsid w:val="00E83BC4"/>
    <w:rsid w:val="00E83C2E"/>
    <w:rsid w:val="00E83D77"/>
    <w:rsid w:val="00E83E01"/>
    <w:rsid w:val="00E84034"/>
    <w:rsid w:val="00E8405D"/>
    <w:rsid w:val="00E840B6"/>
    <w:rsid w:val="00E841AE"/>
    <w:rsid w:val="00E84201"/>
    <w:rsid w:val="00E842C8"/>
    <w:rsid w:val="00E843DC"/>
    <w:rsid w:val="00E84472"/>
    <w:rsid w:val="00E844C7"/>
    <w:rsid w:val="00E84513"/>
    <w:rsid w:val="00E8465C"/>
    <w:rsid w:val="00E84850"/>
    <w:rsid w:val="00E848B5"/>
    <w:rsid w:val="00E848B6"/>
    <w:rsid w:val="00E84957"/>
    <w:rsid w:val="00E84A6E"/>
    <w:rsid w:val="00E84ADE"/>
    <w:rsid w:val="00E84BBA"/>
    <w:rsid w:val="00E84C70"/>
    <w:rsid w:val="00E84C92"/>
    <w:rsid w:val="00E84EA8"/>
    <w:rsid w:val="00E84F25"/>
    <w:rsid w:val="00E84F80"/>
    <w:rsid w:val="00E84FAB"/>
    <w:rsid w:val="00E84FDA"/>
    <w:rsid w:val="00E84FE3"/>
    <w:rsid w:val="00E85118"/>
    <w:rsid w:val="00E8513B"/>
    <w:rsid w:val="00E851C6"/>
    <w:rsid w:val="00E851D6"/>
    <w:rsid w:val="00E85256"/>
    <w:rsid w:val="00E85346"/>
    <w:rsid w:val="00E853BB"/>
    <w:rsid w:val="00E854C0"/>
    <w:rsid w:val="00E854D7"/>
    <w:rsid w:val="00E8554F"/>
    <w:rsid w:val="00E855A9"/>
    <w:rsid w:val="00E855CE"/>
    <w:rsid w:val="00E856F0"/>
    <w:rsid w:val="00E856F6"/>
    <w:rsid w:val="00E8572D"/>
    <w:rsid w:val="00E85736"/>
    <w:rsid w:val="00E85848"/>
    <w:rsid w:val="00E85879"/>
    <w:rsid w:val="00E85936"/>
    <w:rsid w:val="00E859BB"/>
    <w:rsid w:val="00E859D5"/>
    <w:rsid w:val="00E85A3D"/>
    <w:rsid w:val="00E85AC1"/>
    <w:rsid w:val="00E85AD1"/>
    <w:rsid w:val="00E85B79"/>
    <w:rsid w:val="00E85B97"/>
    <w:rsid w:val="00E85BAC"/>
    <w:rsid w:val="00E85BB6"/>
    <w:rsid w:val="00E85C68"/>
    <w:rsid w:val="00E85CE2"/>
    <w:rsid w:val="00E85DF3"/>
    <w:rsid w:val="00E85E70"/>
    <w:rsid w:val="00E85F0E"/>
    <w:rsid w:val="00E85FAA"/>
    <w:rsid w:val="00E85FDD"/>
    <w:rsid w:val="00E85FEB"/>
    <w:rsid w:val="00E86130"/>
    <w:rsid w:val="00E86141"/>
    <w:rsid w:val="00E86181"/>
    <w:rsid w:val="00E86185"/>
    <w:rsid w:val="00E861BA"/>
    <w:rsid w:val="00E862B2"/>
    <w:rsid w:val="00E862D4"/>
    <w:rsid w:val="00E86369"/>
    <w:rsid w:val="00E863DC"/>
    <w:rsid w:val="00E86421"/>
    <w:rsid w:val="00E8647A"/>
    <w:rsid w:val="00E8648A"/>
    <w:rsid w:val="00E864B4"/>
    <w:rsid w:val="00E86522"/>
    <w:rsid w:val="00E86531"/>
    <w:rsid w:val="00E86547"/>
    <w:rsid w:val="00E865AF"/>
    <w:rsid w:val="00E865CB"/>
    <w:rsid w:val="00E865CC"/>
    <w:rsid w:val="00E86642"/>
    <w:rsid w:val="00E8667E"/>
    <w:rsid w:val="00E86687"/>
    <w:rsid w:val="00E8673A"/>
    <w:rsid w:val="00E8680F"/>
    <w:rsid w:val="00E86823"/>
    <w:rsid w:val="00E86904"/>
    <w:rsid w:val="00E869B6"/>
    <w:rsid w:val="00E86A08"/>
    <w:rsid w:val="00E86B02"/>
    <w:rsid w:val="00E86BAA"/>
    <w:rsid w:val="00E86BFA"/>
    <w:rsid w:val="00E86C08"/>
    <w:rsid w:val="00E86C3C"/>
    <w:rsid w:val="00E86D8F"/>
    <w:rsid w:val="00E86D9E"/>
    <w:rsid w:val="00E86ED5"/>
    <w:rsid w:val="00E86F6E"/>
    <w:rsid w:val="00E86F72"/>
    <w:rsid w:val="00E86F8E"/>
    <w:rsid w:val="00E86FD0"/>
    <w:rsid w:val="00E8707F"/>
    <w:rsid w:val="00E870EF"/>
    <w:rsid w:val="00E8715B"/>
    <w:rsid w:val="00E87180"/>
    <w:rsid w:val="00E8722A"/>
    <w:rsid w:val="00E872DB"/>
    <w:rsid w:val="00E874B5"/>
    <w:rsid w:val="00E87610"/>
    <w:rsid w:val="00E87651"/>
    <w:rsid w:val="00E876C7"/>
    <w:rsid w:val="00E8789E"/>
    <w:rsid w:val="00E8797A"/>
    <w:rsid w:val="00E87A90"/>
    <w:rsid w:val="00E87A93"/>
    <w:rsid w:val="00E87B75"/>
    <w:rsid w:val="00E87B7E"/>
    <w:rsid w:val="00E87BA3"/>
    <w:rsid w:val="00E87CBC"/>
    <w:rsid w:val="00E87CE6"/>
    <w:rsid w:val="00E87D4B"/>
    <w:rsid w:val="00E87D7B"/>
    <w:rsid w:val="00E87DF1"/>
    <w:rsid w:val="00E87EB5"/>
    <w:rsid w:val="00E87FB5"/>
    <w:rsid w:val="00E90060"/>
    <w:rsid w:val="00E900FA"/>
    <w:rsid w:val="00E900FE"/>
    <w:rsid w:val="00E90157"/>
    <w:rsid w:val="00E90165"/>
    <w:rsid w:val="00E9027E"/>
    <w:rsid w:val="00E903B3"/>
    <w:rsid w:val="00E904E1"/>
    <w:rsid w:val="00E9064A"/>
    <w:rsid w:val="00E90672"/>
    <w:rsid w:val="00E906DA"/>
    <w:rsid w:val="00E906EE"/>
    <w:rsid w:val="00E90710"/>
    <w:rsid w:val="00E90743"/>
    <w:rsid w:val="00E90764"/>
    <w:rsid w:val="00E90782"/>
    <w:rsid w:val="00E908A1"/>
    <w:rsid w:val="00E909FD"/>
    <w:rsid w:val="00E90A04"/>
    <w:rsid w:val="00E90A3D"/>
    <w:rsid w:val="00E90B34"/>
    <w:rsid w:val="00E90BFC"/>
    <w:rsid w:val="00E90C02"/>
    <w:rsid w:val="00E90C21"/>
    <w:rsid w:val="00E90C67"/>
    <w:rsid w:val="00E90CA0"/>
    <w:rsid w:val="00E90CA8"/>
    <w:rsid w:val="00E90D2A"/>
    <w:rsid w:val="00E90D7D"/>
    <w:rsid w:val="00E90DC5"/>
    <w:rsid w:val="00E90EB5"/>
    <w:rsid w:val="00E90EC4"/>
    <w:rsid w:val="00E90ECA"/>
    <w:rsid w:val="00E90F2A"/>
    <w:rsid w:val="00E90FBE"/>
    <w:rsid w:val="00E91060"/>
    <w:rsid w:val="00E910EC"/>
    <w:rsid w:val="00E9123B"/>
    <w:rsid w:val="00E9133F"/>
    <w:rsid w:val="00E91423"/>
    <w:rsid w:val="00E9144C"/>
    <w:rsid w:val="00E91468"/>
    <w:rsid w:val="00E91469"/>
    <w:rsid w:val="00E9148C"/>
    <w:rsid w:val="00E91508"/>
    <w:rsid w:val="00E9166E"/>
    <w:rsid w:val="00E91678"/>
    <w:rsid w:val="00E916FA"/>
    <w:rsid w:val="00E91728"/>
    <w:rsid w:val="00E9177F"/>
    <w:rsid w:val="00E91786"/>
    <w:rsid w:val="00E91820"/>
    <w:rsid w:val="00E91863"/>
    <w:rsid w:val="00E9188D"/>
    <w:rsid w:val="00E91935"/>
    <w:rsid w:val="00E9194D"/>
    <w:rsid w:val="00E91A30"/>
    <w:rsid w:val="00E91AD8"/>
    <w:rsid w:val="00E91B8D"/>
    <w:rsid w:val="00E91BBF"/>
    <w:rsid w:val="00E91CDC"/>
    <w:rsid w:val="00E91CFE"/>
    <w:rsid w:val="00E91D09"/>
    <w:rsid w:val="00E91E46"/>
    <w:rsid w:val="00E91EA2"/>
    <w:rsid w:val="00E91ED5"/>
    <w:rsid w:val="00E9206B"/>
    <w:rsid w:val="00E920E5"/>
    <w:rsid w:val="00E92127"/>
    <w:rsid w:val="00E9213A"/>
    <w:rsid w:val="00E92189"/>
    <w:rsid w:val="00E9219E"/>
    <w:rsid w:val="00E9220B"/>
    <w:rsid w:val="00E9221D"/>
    <w:rsid w:val="00E92223"/>
    <w:rsid w:val="00E9223D"/>
    <w:rsid w:val="00E922B2"/>
    <w:rsid w:val="00E92357"/>
    <w:rsid w:val="00E923A8"/>
    <w:rsid w:val="00E923D1"/>
    <w:rsid w:val="00E923FC"/>
    <w:rsid w:val="00E9240B"/>
    <w:rsid w:val="00E92499"/>
    <w:rsid w:val="00E92523"/>
    <w:rsid w:val="00E9253A"/>
    <w:rsid w:val="00E9268C"/>
    <w:rsid w:val="00E927C3"/>
    <w:rsid w:val="00E927CD"/>
    <w:rsid w:val="00E92885"/>
    <w:rsid w:val="00E928CC"/>
    <w:rsid w:val="00E92AE2"/>
    <w:rsid w:val="00E92BC3"/>
    <w:rsid w:val="00E92CDB"/>
    <w:rsid w:val="00E92CDD"/>
    <w:rsid w:val="00E92DCB"/>
    <w:rsid w:val="00E92DDC"/>
    <w:rsid w:val="00E92E0D"/>
    <w:rsid w:val="00E92EE4"/>
    <w:rsid w:val="00E92F8F"/>
    <w:rsid w:val="00E93032"/>
    <w:rsid w:val="00E93043"/>
    <w:rsid w:val="00E9316C"/>
    <w:rsid w:val="00E931C7"/>
    <w:rsid w:val="00E93384"/>
    <w:rsid w:val="00E933B2"/>
    <w:rsid w:val="00E933FC"/>
    <w:rsid w:val="00E93422"/>
    <w:rsid w:val="00E93464"/>
    <w:rsid w:val="00E93582"/>
    <w:rsid w:val="00E9368D"/>
    <w:rsid w:val="00E93761"/>
    <w:rsid w:val="00E937E9"/>
    <w:rsid w:val="00E9381A"/>
    <w:rsid w:val="00E938D9"/>
    <w:rsid w:val="00E93A7C"/>
    <w:rsid w:val="00E93B0D"/>
    <w:rsid w:val="00E93B17"/>
    <w:rsid w:val="00E93B3F"/>
    <w:rsid w:val="00E93B72"/>
    <w:rsid w:val="00E93BAC"/>
    <w:rsid w:val="00E93C14"/>
    <w:rsid w:val="00E93C48"/>
    <w:rsid w:val="00E93C5C"/>
    <w:rsid w:val="00E93DED"/>
    <w:rsid w:val="00E93F0D"/>
    <w:rsid w:val="00E93F83"/>
    <w:rsid w:val="00E9405C"/>
    <w:rsid w:val="00E94085"/>
    <w:rsid w:val="00E940D3"/>
    <w:rsid w:val="00E94153"/>
    <w:rsid w:val="00E94167"/>
    <w:rsid w:val="00E941C4"/>
    <w:rsid w:val="00E94300"/>
    <w:rsid w:val="00E94313"/>
    <w:rsid w:val="00E94325"/>
    <w:rsid w:val="00E94390"/>
    <w:rsid w:val="00E94406"/>
    <w:rsid w:val="00E94425"/>
    <w:rsid w:val="00E944C3"/>
    <w:rsid w:val="00E945AD"/>
    <w:rsid w:val="00E94645"/>
    <w:rsid w:val="00E94695"/>
    <w:rsid w:val="00E947C4"/>
    <w:rsid w:val="00E9482C"/>
    <w:rsid w:val="00E94926"/>
    <w:rsid w:val="00E9493F"/>
    <w:rsid w:val="00E94993"/>
    <w:rsid w:val="00E949DB"/>
    <w:rsid w:val="00E94AEE"/>
    <w:rsid w:val="00E94B42"/>
    <w:rsid w:val="00E94B5F"/>
    <w:rsid w:val="00E94B95"/>
    <w:rsid w:val="00E94C51"/>
    <w:rsid w:val="00E94C60"/>
    <w:rsid w:val="00E94C87"/>
    <w:rsid w:val="00E94CBB"/>
    <w:rsid w:val="00E94FD3"/>
    <w:rsid w:val="00E95025"/>
    <w:rsid w:val="00E9506B"/>
    <w:rsid w:val="00E95099"/>
    <w:rsid w:val="00E95202"/>
    <w:rsid w:val="00E952A4"/>
    <w:rsid w:val="00E952B5"/>
    <w:rsid w:val="00E9530F"/>
    <w:rsid w:val="00E9532D"/>
    <w:rsid w:val="00E953EA"/>
    <w:rsid w:val="00E95450"/>
    <w:rsid w:val="00E954BC"/>
    <w:rsid w:val="00E954CA"/>
    <w:rsid w:val="00E95511"/>
    <w:rsid w:val="00E9553B"/>
    <w:rsid w:val="00E95572"/>
    <w:rsid w:val="00E95637"/>
    <w:rsid w:val="00E95680"/>
    <w:rsid w:val="00E95684"/>
    <w:rsid w:val="00E956A5"/>
    <w:rsid w:val="00E956DA"/>
    <w:rsid w:val="00E95717"/>
    <w:rsid w:val="00E95720"/>
    <w:rsid w:val="00E95788"/>
    <w:rsid w:val="00E9588C"/>
    <w:rsid w:val="00E959DA"/>
    <w:rsid w:val="00E959E3"/>
    <w:rsid w:val="00E959FA"/>
    <w:rsid w:val="00E95AB9"/>
    <w:rsid w:val="00E95BD0"/>
    <w:rsid w:val="00E95C15"/>
    <w:rsid w:val="00E95C3C"/>
    <w:rsid w:val="00E95CE4"/>
    <w:rsid w:val="00E95D5B"/>
    <w:rsid w:val="00E95D60"/>
    <w:rsid w:val="00E95DB2"/>
    <w:rsid w:val="00E95DBE"/>
    <w:rsid w:val="00E95DE3"/>
    <w:rsid w:val="00E95EB7"/>
    <w:rsid w:val="00E95F00"/>
    <w:rsid w:val="00E95F1A"/>
    <w:rsid w:val="00E95F1B"/>
    <w:rsid w:val="00E95F89"/>
    <w:rsid w:val="00E9604F"/>
    <w:rsid w:val="00E960C0"/>
    <w:rsid w:val="00E96137"/>
    <w:rsid w:val="00E961D6"/>
    <w:rsid w:val="00E96256"/>
    <w:rsid w:val="00E962B3"/>
    <w:rsid w:val="00E962E2"/>
    <w:rsid w:val="00E963A7"/>
    <w:rsid w:val="00E963B8"/>
    <w:rsid w:val="00E9644B"/>
    <w:rsid w:val="00E964BF"/>
    <w:rsid w:val="00E964EA"/>
    <w:rsid w:val="00E96532"/>
    <w:rsid w:val="00E96573"/>
    <w:rsid w:val="00E96677"/>
    <w:rsid w:val="00E9667D"/>
    <w:rsid w:val="00E966BC"/>
    <w:rsid w:val="00E966CA"/>
    <w:rsid w:val="00E96737"/>
    <w:rsid w:val="00E967A6"/>
    <w:rsid w:val="00E9688E"/>
    <w:rsid w:val="00E9689E"/>
    <w:rsid w:val="00E96926"/>
    <w:rsid w:val="00E9694A"/>
    <w:rsid w:val="00E96A34"/>
    <w:rsid w:val="00E96A79"/>
    <w:rsid w:val="00E96B09"/>
    <w:rsid w:val="00E96B60"/>
    <w:rsid w:val="00E96B83"/>
    <w:rsid w:val="00E96C47"/>
    <w:rsid w:val="00E96CCC"/>
    <w:rsid w:val="00E96CEF"/>
    <w:rsid w:val="00E96D75"/>
    <w:rsid w:val="00E96E6A"/>
    <w:rsid w:val="00E96E87"/>
    <w:rsid w:val="00E96E8B"/>
    <w:rsid w:val="00E96F4A"/>
    <w:rsid w:val="00E96FE7"/>
    <w:rsid w:val="00E97116"/>
    <w:rsid w:val="00E97193"/>
    <w:rsid w:val="00E971E4"/>
    <w:rsid w:val="00E97279"/>
    <w:rsid w:val="00E972A7"/>
    <w:rsid w:val="00E97354"/>
    <w:rsid w:val="00E9741E"/>
    <w:rsid w:val="00E9746F"/>
    <w:rsid w:val="00E9748C"/>
    <w:rsid w:val="00E975D6"/>
    <w:rsid w:val="00E9762A"/>
    <w:rsid w:val="00E9764B"/>
    <w:rsid w:val="00E97667"/>
    <w:rsid w:val="00E97678"/>
    <w:rsid w:val="00E97752"/>
    <w:rsid w:val="00E977DE"/>
    <w:rsid w:val="00E977E9"/>
    <w:rsid w:val="00E9793E"/>
    <w:rsid w:val="00E97943"/>
    <w:rsid w:val="00E97AAF"/>
    <w:rsid w:val="00E97ABC"/>
    <w:rsid w:val="00E97B44"/>
    <w:rsid w:val="00E97BE3"/>
    <w:rsid w:val="00E97C7B"/>
    <w:rsid w:val="00E97D34"/>
    <w:rsid w:val="00E97D6B"/>
    <w:rsid w:val="00E97DBC"/>
    <w:rsid w:val="00E97DDE"/>
    <w:rsid w:val="00E97DE8"/>
    <w:rsid w:val="00E97E00"/>
    <w:rsid w:val="00E97E5B"/>
    <w:rsid w:val="00E97EEF"/>
    <w:rsid w:val="00E97F0D"/>
    <w:rsid w:val="00E97FBE"/>
    <w:rsid w:val="00E97FD7"/>
    <w:rsid w:val="00EA0107"/>
    <w:rsid w:val="00EA011F"/>
    <w:rsid w:val="00EA01AF"/>
    <w:rsid w:val="00EA0209"/>
    <w:rsid w:val="00EA0246"/>
    <w:rsid w:val="00EA02E9"/>
    <w:rsid w:val="00EA035E"/>
    <w:rsid w:val="00EA0404"/>
    <w:rsid w:val="00EA0527"/>
    <w:rsid w:val="00EA05AD"/>
    <w:rsid w:val="00EA05C4"/>
    <w:rsid w:val="00EA05EE"/>
    <w:rsid w:val="00EA065C"/>
    <w:rsid w:val="00EA0690"/>
    <w:rsid w:val="00EA07EE"/>
    <w:rsid w:val="00EA08B0"/>
    <w:rsid w:val="00EA095A"/>
    <w:rsid w:val="00EA0A0F"/>
    <w:rsid w:val="00EA0A60"/>
    <w:rsid w:val="00EA0A80"/>
    <w:rsid w:val="00EA0A9F"/>
    <w:rsid w:val="00EA0B24"/>
    <w:rsid w:val="00EA0C07"/>
    <w:rsid w:val="00EA0C36"/>
    <w:rsid w:val="00EA0C54"/>
    <w:rsid w:val="00EA0CA6"/>
    <w:rsid w:val="00EA0DFC"/>
    <w:rsid w:val="00EA0E7E"/>
    <w:rsid w:val="00EA0EB2"/>
    <w:rsid w:val="00EA0EE4"/>
    <w:rsid w:val="00EA0F8F"/>
    <w:rsid w:val="00EA1023"/>
    <w:rsid w:val="00EA11CD"/>
    <w:rsid w:val="00EA127F"/>
    <w:rsid w:val="00EA128B"/>
    <w:rsid w:val="00EA1299"/>
    <w:rsid w:val="00EA1303"/>
    <w:rsid w:val="00EA1356"/>
    <w:rsid w:val="00EA1363"/>
    <w:rsid w:val="00EA136F"/>
    <w:rsid w:val="00EA13CD"/>
    <w:rsid w:val="00EA14A1"/>
    <w:rsid w:val="00EA154C"/>
    <w:rsid w:val="00EA1558"/>
    <w:rsid w:val="00EA158B"/>
    <w:rsid w:val="00EA1613"/>
    <w:rsid w:val="00EA16C7"/>
    <w:rsid w:val="00EA1768"/>
    <w:rsid w:val="00EA17DE"/>
    <w:rsid w:val="00EA1878"/>
    <w:rsid w:val="00EA19D3"/>
    <w:rsid w:val="00EA1ABA"/>
    <w:rsid w:val="00EA1AD8"/>
    <w:rsid w:val="00EA1AE7"/>
    <w:rsid w:val="00EA1B45"/>
    <w:rsid w:val="00EA1B67"/>
    <w:rsid w:val="00EA1BB7"/>
    <w:rsid w:val="00EA1C08"/>
    <w:rsid w:val="00EA1D10"/>
    <w:rsid w:val="00EA1D42"/>
    <w:rsid w:val="00EA1D52"/>
    <w:rsid w:val="00EA1D80"/>
    <w:rsid w:val="00EA1D88"/>
    <w:rsid w:val="00EA1E20"/>
    <w:rsid w:val="00EA1ED1"/>
    <w:rsid w:val="00EA1F1C"/>
    <w:rsid w:val="00EA2004"/>
    <w:rsid w:val="00EA200A"/>
    <w:rsid w:val="00EA21B8"/>
    <w:rsid w:val="00EA24CC"/>
    <w:rsid w:val="00EA255F"/>
    <w:rsid w:val="00EA25D2"/>
    <w:rsid w:val="00EA25F0"/>
    <w:rsid w:val="00EA2609"/>
    <w:rsid w:val="00EA26B7"/>
    <w:rsid w:val="00EA26CC"/>
    <w:rsid w:val="00EA26F3"/>
    <w:rsid w:val="00EA270B"/>
    <w:rsid w:val="00EA272A"/>
    <w:rsid w:val="00EA2787"/>
    <w:rsid w:val="00EA27AC"/>
    <w:rsid w:val="00EA27CE"/>
    <w:rsid w:val="00EA2863"/>
    <w:rsid w:val="00EA29CB"/>
    <w:rsid w:val="00EA2A4B"/>
    <w:rsid w:val="00EA2ABB"/>
    <w:rsid w:val="00EA2B3D"/>
    <w:rsid w:val="00EA2BAF"/>
    <w:rsid w:val="00EA2C05"/>
    <w:rsid w:val="00EA2C84"/>
    <w:rsid w:val="00EA2CE4"/>
    <w:rsid w:val="00EA2D27"/>
    <w:rsid w:val="00EA2E30"/>
    <w:rsid w:val="00EA2E64"/>
    <w:rsid w:val="00EA2E8C"/>
    <w:rsid w:val="00EA2F29"/>
    <w:rsid w:val="00EA2F87"/>
    <w:rsid w:val="00EA2FE6"/>
    <w:rsid w:val="00EA327B"/>
    <w:rsid w:val="00EA3346"/>
    <w:rsid w:val="00EA347A"/>
    <w:rsid w:val="00EA34DE"/>
    <w:rsid w:val="00EA34EA"/>
    <w:rsid w:val="00EA3563"/>
    <w:rsid w:val="00EA369C"/>
    <w:rsid w:val="00EA3724"/>
    <w:rsid w:val="00EA37E1"/>
    <w:rsid w:val="00EA3807"/>
    <w:rsid w:val="00EA38F5"/>
    <w:rsid w:val="00EA3908"/>
    <w:rsid w:val="00EA3979"/>
    <w:rsid w:val="00EA3A0F"/>
    <w:rsid w:val="00EA3A1F"/>
    <w:rsid w:val="00EA3B2E"/>
    <w:rsid w:val="00EA3B36"/>
    <w:rsid w:val="00EA3B3D"/>
    <w:rsid w:val="00EA3B7E"/>
    <w:rsid w:val="00EA3B84"/>
    <w:rsid w:val="00EA3C3A"/>
    <w:rsid w:val="00EA3C4F"/>
    <w:rsid w:val="00EA3C87"/>
    <w:rsid w:val="00EA3DCE"/>
    <w:rsid w:val="00EA3E15"/>
    <w:rsid w:val="00EA3ED1"/>
    <w:rsid w:val="00EA3FA9"/>
    <w:rsid w:val="00EA4000"/>
    <w:rsid w:val="00EA402C"/>
    <w:rsid w:val="00EA4072"/>
    <w:rsid w:val="00EA41AD"/>
    <w:rsid w:val="00EA41B6"/>
    <w:rsid w:val="00EA4205"/>
    <w:rsid w:val="00EA42D6"/>
    <w:rsid w:val="00EA432C"/>
    <w:rsid w:val="00EA4338"/>
    <w:rsid w:val="00EA4398"/>
    <w:rsid w:val="00EA43DD"/>
    <w:rsid w:val="00EA442E"/>
    <w:rsid w:val="00EA4439"/>
    <w:rsid w:val="00EA44AE"/>
    <w:rsid w:val="00EA44D2"/>
    <w:rsid w:val="00EA4525"/>
    <w:rsid w:val="00EA4542"/>
    <w:rsid w:val="00EA463A"/>
    <w:rsid w:val="00EA465B"/>
    <w:rsid w:val="00EA466A"/>
    <w:rsid w:val="00EA47CE"/>
    <w:rsid w:val="00EA47DC"/>
    <w:rsid w:val="00EA47FB"/>
    <w:rsid w:val="00EA488E"/>
    <w:rsid w:val="00EA494B"/>
    <w:rsid w:val="00EA4A0C"/>
    <w:rsid w:val="00EA4A4D"/>
    <w:rsid w:val="00EA4B0A"/>
    <w:rsid w:val="00EA4B38"/>
    <w:rsid w:val="00EA4C24"/>
    <w:rsid w:val="00EA4E03"/>
    <w:rsid w:val="00EA4EBC"/>
    <w:rsid w:val="00EA4FA1"/>
    <w:rsid w:val="00EA4FBC"/>
    <w:rsid w:val="00EA5244"/>
    <w:rsid w:val="00EA52D8"/>
    <w:rsid w:val="00EA5435"/>
    <w:rsid w:val="00EA5495"/>
    <w:rsid w:val="00EA54B0"/>
    <w:rsid w:val="00EA5540"/>
    <w:rsid w:val="00EA55AC"/>
    <w:rsid w:val="00EA55FB"/>
    <w:rsid w:val="00EA576B"/>
    <w:rsid w:val="00EA594A"/>
    <w:rsid w:val="00EA5B5F"/>
    <w:rsid w:val="00EA5BD4"/>
    <w:rsid w:val="00EA5C03"/>
    <w:rsid w:val="00EA5C27"/>
    <w:rsid w:val="00EA5C4D"/>
    <w:rsid w:val="00EA5D81"/>
    <w:rsid w:val="00EA5E71"/>
    <w:rsid w:val="00EA5F0F"/>
    <w:rsid w:val="00EA5F63"/>
    <w:rsid w:val="00EA5FDC"/>
    <w:rsid w:val="00EA60E3"/>
    <w:rsid w:val="00EA618C"/>
    <w:rsid w:val="00EA6288"/>
    <w:rsid w:val="00EA628A"/>
    <w:rsid w:val="00EA6295"/>
    <w:rsid w:val="00EA632F"/>
    <w:rsid w:val="00EA6446"/>
    <w:rsid w:val="00EA647C"/>
    <w:rsid w:val="00EA64CC"/>
    <w:rsid w:val="00EA6578"/>
    <w:rsid w:val="00EA6671"/>
    <w:rsid w:val="00EA66A2"/>
    <w:rsid w:val="00EA66B4"/>
    <w:rsid w:val="00EA66CA"/>
    <w:rsid w:val="00EA676E"/>
    <w:rsid w:val="00EA681C"/>
    <w:rsid w:val="00EA687E"/>
    <w:rsid w:val="00EA6984"/>
    <w:rsid w:val="00EA69C3"/>
    <w:rsid w:val="00EA69DA"/>
    <w:rsid w:val="00EA6A58"/>
    <w:rsid w:val="00EA6AD8"/>
    <w:rsid w:val="00EA6BFB"/>
    <w:rsid w:val="00EA6D10"/>
    <w:rsid w:val="00EA6E8B"/>
    <w:rsid w:val="00EA6EDC"/>
    <w:rsid w:val="00EA6F82"/>
    <w:rsid w:val="00EA70E7"/>
    <w:rsid w:val="00EA70EA"/>
    <w:rsid w:val="00EA7121"/>
    <w:rsid w:val="00EA7161"/>
    <w:rsid w:val="00EA7184"/>
    <w:rsid w:val="00EA7312"/>
    <w:rsid w:val="00EA732A"/>
    <w:rsid w:val="00EA7399"/>
    <w:rsid w:val="00EA73C7"/>
    <w:rsid w:val="00EA73F3"/>
    <w:rsid w:val="00EA743F"/>
    <w:rsid w:val="00EA74A9"/>
    <w:rsid w:val="00EA752C"/>
    <w:rsid w:val="00EA7541"/>
    <w:rsid w:val="00EA7577"/>
    <w:rsid w:val="00EA757F"/>
    <w:rsid w:val="00EA75AF"/>
    <w:rsid w:val="00EA75BD"/>
    <w:rsid w:val="00EA75BF"/>
    <w:rsid w:val="00EA762F"/>
    <w:rsid w:val="00EA767E"/>
    <w:rsid w:val="00EA76F4"/>
    <w:rsid w:val="00EA7711"/>
    <w:rsid w:val="00EA7730"/>
    <w:rsid w:val="00EA7767"/>
    <w:rsid w:val="00EA77A9"/>
    <w:rsid w:val="00EA7800"/>
    <w:rsid w:val="00EA7813"/>
    <w:rsid w:val="00EA78C9"/>
    <w:rsid w:val="00EA79D5"/>
    <w:rsid w:val="00EA79ED"/>
    <w:rsid w:val="00EA7A5B"/>
    <w:rsid w:val="00EA7AAF"/>
    <w:rsid w:val="00EA7AE0"/>
    <w:rsid w:val="00EA7CC2"/>
    <w:rsid w:val="00EA7CCA"/>
    <w:rsid w:val="00EA7CDE"/>
    <w:rsid w:val="00EA7DAE"/>
    <w:rsid w:val="00EA7E23"/>
    <w:rsid w:val="00EA7E74"/>
    <w:rsid w:val="00EB00E3"/>
    <w:rsid w:val="00EB0127"/>
    <w:rsid w:val="00EB0179"/>
    <w:rsid w:val="00EB0183"/>
    <w:rsid w:val="00EB0311"/>
    <w:rsid w:val="00EB0369"/>
    <w:rsid w:val="00EB037E"/>
    <w:rsid w:val="00EB03C7"/>
    <w:rsid w:val="00EB0433"/>
    <w:rsid w:val="00EB0459"/>
    <w:rsid w:val="00EB0485"/>
    <w:rsid w:val="00EB04BB"/>
    <w:rsid w:val="00EB050E"/>
    <w:rsid w:val="00EB05ED"/>
    <w:rsid w:val="00EB06A3"/>
    <w:rsid w:val="00EB06ED"/>
    <w:rsid w:val="00EB07A4"/>
    <w:rsid w:val="00EB0818"/>
    <w:rsid w:val="00EB085B"/>
    <w:rsid w:val="00EB0967"/>
    <w:rsid w:val="00EB096C"/>
    <w:rsid w:val="00EB09B5"/>
    <w:rsid w:val="00EB09C9"/>
    <w:rsid w:val="00EB0A79"/>
    <w:rsid w:val="00EB0A94"/>
    <w:rsid w:val="00EB0BF5"/>
    <w:rsid w:val="00EB0BFC"/>
    <w:rsid w:val="00EB0C40"/>
    <w:rsid w:val="00EB0C87"/>
    <w:rsid w:val="00EB0D20"/>
    <w:rsid w:val="00EB0D54"/>
    <w:rsid w:val="00EB0DB0"/>
    <w:rsid w:val="00EB102C"/>
    <w:rsid w:val="00EB1150"/>
    <w:rsid w:val="00EB1151"/>
    <w:rsid w:val="00EB11D8"/>
    <w:rsid w:val="00EB1256"/>
    <w:rsid w:val="00EB128F"/>
    <w:rsid w:val="00EB12D9"/>
    <w:rsid w:val="00EB140B"/>
    <w:rsid w:val="00EB140F"/>
    <w:rsid w:val="00EB1456"/>
    <w:rsid w:val="00EB148C"/>
    <w:rsid w:val="00EB14BC"/>
    <w:rsid w:val="00EB14BD"/>
    <w:rsid w:val="00EB1662"/>
    <w:rsid w:val="00EB1739"/>
    <w:rsid w:val="00EB1758"/>
    <w:rsid w:val="00EB176B"/>
    <w:rsid w:val="00EB1896"/>
    <w:rsid w:val="00EB18C5"/>
    <w:rsid w:val="00EB1932"/>
    <w:rsid w:val="00EB19A4"/>
    <w:rsid w:val="00EB19F8"/>
    <w:rsid w:val="00EB1AD3"/>
    <w:rsid w:val="00EB1B39"/>
    <w:rsid w:val="00EB1C38"/>
    <w:rsid w:val="00EB1C3C"/>
    <w:rsid w:val="00EB1C78"/>
    <w:rsid w:val="00EB1D0C"/>
    <w:rsid w:val="00EB1D69"/>
    <w:rsid w:val="00EB1EB4"/>
    <w:rsid w:val="00EB1FF2"/>
    <w:rsid w:val="00EB202C"/>
    <w:rsid w:val="00EB2109"/>
    <w:rsid w:val="00EB216D"/>
    <w:rsid w:val="00EB222B"/>
    <w:rsid w:val="00EB24D1"/>
    <w:rsid w:val="00EB250F"/>
    <w:rsid w:val="00EB260D"/>
    <w:rsid w:val="00EB2613"/>
    <w:rsid w:val="00EB266D"/>
    <w:rsid w:val="00EB26D9"/>
    <w:rsid w:val="00EB270A"/>
    <w:rsid w:val="00EB2798"/>
    <w:rsid w:val="00EB279D"/>
    <w:rsid w:val="00EB27E6"/>
    <w:rsid w:val="00EB27F2"/>
    <w:rsid w:val="00EB2823"/>
    <w:rsid w:val="00EB2826"/>
    <w:rsid w:val="00EB28BB"/>
    <w:rsid w:val="00EB28F5"/>
    <w:rsid w:val="00EB29D5"/>
    <w:rsid w:val="00EB2A29"/>
    <w:rsid w:val="00EB2B8D"/>
    <w:rsid w:val="00EB2BD8"/>
    <w:rsid w:val="00EB2CC2"/>
    <w:rsid w:val="00EB2D0F"/>
    <w:rsid w:val="00EB2D89"/>
    <w:rsid w:val="00EB2D8B"/>
    <w:rsid w:val="00EB2DA0"/>
    <w:rsid w:val="00EB2E42"/>
    <w:rsid w:val="00EB2EAF"/>
    <w:rsid w:val="00EB2F30"/>
    <w:rsid w:val="00EB2FBC"/>
    <w:rsid w:val="00EB3050"/>
    <w:rsid w:val="00EB30C7"/>
    <w:rsid w:val="00EB3120"/>
    <w:rsid w:val="00EB318C"/>
    <w:rsid w:val="00EB32C5"/>
    <w:rsid w:val="00EB33C2"/>
    <w:rsid w:val="00EB3402"/>
    <w:rsid w:val="00EB34E5"/>
    <w:rsid w:val="00EB34F6"/>
    <w:rsid w:val="00EB3559"/>
    <w:rsid w:val="00EB35B7"/>
    <w:rsid w:val="00EB36D8"/>
    <w:rsid w:val="00EB374D"/>
    <w:rsid w:val="00EB37BD"/>
    <w:rsid w:val="00EB37D0"/>
    <w:rsid w:val="00EB37FD"/>
    <w:rsid w:val="00EB3804"/>
    <w:rsid w:val="00EB3836"/>
    <w:rsid w:val="00EB3900"/>
    <w:rsid w:val="00EB3938"/>
    <w:rsid w:val="00EB3973"/>
    <w:rsid w:val="00EB399D"/>
    <w:rsid w:val="00EB3A17"/>
    <w:rsid w:val="00EB3A55"/>
    <w:rsid w:val="00EB3B5D"/>
    <w:rsid w:val="00EB3BC6"/>
    <w:rsid w:val="00EB3D5A"/>
    <w:rsid w:val="00EB3E0F"/>
    <w:rsid w:val="00EB3E2C"/>
    <w:rsid w:val="00EB3E5B"/>
    <w:rsid w:val="00EB3ECF"/>
    <w:rsid w:val="00EB3F34"/>
    <w:rsid w:val="00EB3F3F"/>
    <w:rsid w:val="00EB40B6"/>
    <w:rsid w:val="00EB40FC"/>
    <w:rsid w:val="00EB4183"/>
    <w:rsid w:val="00EB41F6"/>
    <w:rsid w:val="00EB421F"/>
    <w:rsid w:val="00EB4296"/>
    <w:rsid w:val="00EB42A7"/>
    <w:rsid w:val="00EB435E"/>
    <w:rsid w:val="00EB438F"/>
    <w:rsid w:val="00EB43C8"/>
    <w:rsid w:val="00EB4460"/>
    <w:rsid w:val="00EB451F"/>
    <w:rsid w:val="00EB4568"/>
    <w:rsid w:val="00EB4569"/>
    <w:rsid w:val="00EB45FC"/>
    <w:rsid w:val="00EB478B"/>
    <w:rsid w:val="00EB47ED"/>
    <w:rsid w:val="00EB47EE"/>
    <w:rsid w:val="00EB4999"/>
    <w:rsid w:val="00EB49BC"/>
    <w:rsid w:val="00EB4ABF"/>
    <w:rsid w:val="00EB4AFA"/>
    <w:rsid w:val="00EB4B58"/>
    <w:rsid w:val="00EB4BCC"/>
    <w:rsid w:val="00EB4BF2"/>
    <w:rsid w:val="00EB4C30"/>
    <w:rsid w:val="00EB4C6B"/>
    <w:rsid w:val="00EB4EFF"/>
    <w:rsid w:val="00EB4FDA"/>
    <w:rsid w:val="00EB509D"/>
    <w:rsid w:val="00EB51F8"/>
    <w:rsid w:val="00EB5239"/>
    <w:rsid w:val="00EB5248"/>
    <w:rsid w:val="00EB5249"/>
    <w:rsid w:val="00EB5314"/>
    <w:rsid w:val="00EB5332"/>
    <w:rsid w:val="00EB541D"/>
    <w:rsid w:val="00EB5441"/>
    <w:rsid w:val="00EB54A3"/>
    <w:rsid w:val="00EB54B3"/>
    <w:rsid w:val="00EB54CA"/>
    <w:rsid w:val="00EB550F"/>
    <w:rsid w:val="00EB55F3"/>
    <w:rsid w:val="00EB563E"/>
    <w:rsid w:val="00EB5642"/>
    <w:rsid w:val="00EB571F"/>
    <w:rsid w:val="00EB573E"/>
    <w:rsid w:val="00EB573F"/>
    <w:rsid w:val="00EB5758"/>
    <w:rsid w:val="00EB579C"/>
    <w:rsid w:val="00EB580E"/>
    <w:rsid w:val="00EB5906"/>
    <w:rsid w:val="00EB599C"/>
    <w:rsid w:val="00EB5A41"/>
    <w:rsid w:val="00EB5B67"/>
    <w:rsid w:val="00EB5BC0"/>
    <w:rsid w:val="00EB5CCF"/>
    <w:rsid w:val="00EB5CD9"/>
    <w:rsid w:val="00EB5D71"/>
    <w:rsid w:val="00EB5D7C"/>
    <w:rsid w:val="00EB5DDD"/>
    <w:rsid w:val="00EB5E1F"/>
    <w:rsid w:val="00EB5E33"/>
    <w:rsid w:val="00EB5E69"/>
    <w:rsid w:val="00EB5EA6"/>
    <w:rsid w:val="00EB5F1B"/>
    <w:rsid w:val="00EB5F29"/>
    <w:rsid w:val="00EB5F35"/>
    <w:rsid w:val="00EB5FBE"/>
    <w:rsid w:val="00EB5FCC"/>
    <w:rsid w:val="00EB600B"/>
    <w:rsid w:val="00EB6036"/>
    <w:rsid w:val="00EB6052"/>
    <w:rsid w:val="00EB60F2"/>
    <w:rsid w:val="00EB6106"/>
    <w:rsid w:val="00EB6148"/>
    <w:rsid w:val="00EB634F"/>
    <w:rsid w:val="00EB644D"/>
    <w:rsid w:val="00EB64D3"/>
    <w:rsid w:val="00EB64EF"/>
    <w:rsid w:val="00EB6567"/>
    <w:rsid w:val="00EB6653"/>
    <w:rsid w:val="00EB6825"/>
    <w:rsid w:val="00EB6827"/>
    <w:rsid w:val="00EB6865"/>
    <w:rsid w:val="00EB68AF"/>
    <w:rsid w:val="00EB68EB"/>
    <w:rsid w:val="00EB6990"/>
    <w:rsid w:val="00EB69B7"/>
    <w:rsid w:val="00EB69BC"/>
    <w:rsid w:val="00EB69D8"/>
    <w:rsid w:val="00EB6A01"/>
    <w:rsid w:val="00EB6A27"/>
    <w:rsid w:val="00EB6B27"/>
    <w:rsid w:val="00EB6B2E"/>
    <w:rsid w:val="00EB6B83"/>
    <w:rsid w:val="00EB6B88"/>
    <w:rsid w:val="00EB6C81"/>
    <w:rsid w:val="00EB6CBB"/>
    <w:rsid w:val="00EB6CD9"/>
    <w:rsid w:val="00EB6D02"/>
    <w:rsid w:val="00EB6D09"/>
    <w:rsid w:val="00EB6D5D"/>
    <w:rsid w:val="00EB6DC5"/>
    <w:rsid w:val="00EB6DCD"/>
    <w:rsid w:val="00EB6E16"/>
    <w:rsid w:val="00EB6E1D"/>
    <w:rsid w:val="00EB6EDE"/>
    <w:rsid w:val="00EB6EFE"/>
    <w:rsid w:val="00EB6F04"/>
    <w:rsid w:val="00EB6FDB"/>
    <w:rsid w:val="00EB706D"/>
    <w:rsid w:val="00EB7088"/>
    <w:rsid w:val="00EB710A"/>
    <w:rsid w:val="00EB714C"/>
    <w:rsid w:val="00EB7155"/>
    <w:rsid w:val="00EB7194"/>
    <w:rsid w:val="00EB72D0"/>
    <w:rsid w:val="00EB72D3"/>
    <w:rsid w:val="00EB735E"/>
    <w:rsid w:val="00EB73AA"/>
    <w:rsid w:val="00EB7429"/>
    <w:rsid w:val="00EB744E"/>
    <w:rsid w:val="00EB7497"/>
    <w:rsid w:val="00EB75AE"/>
    <w:rsid w:val="00EB75C7"/>
    <w:rsid w:val="00EB7601"/>
    <w:rsid w:val="00EB7604"/>
    <w:rsid w:val="00EB76B9"/>
    <w:rsid w:val="00EB7715"/>
    <w:rsid w:val="00EB7722"/>
    <w:rsid w:val="00EB778A"/>
    <w:rsid w:val="00EB77F2"/>
    <w:rsid w:val="00EB781E"/>
    <w:rsid w:val="00EB7856"/>
    <w:rsid w:val="00EB7877"/>
    <w:rsid w:val="00EB7A32"/>
    <w:rsid w:val="00EB7B13"/>
    <w:rsid w:val="00EB7B17"/>
    <w:rsid w:val="00EB7B38"/>
    <w:rsid w:val="00EB7B6A"/>
    <w:rsid w:val="00EB7B8E"/>
    <w:rsid w:val="00EB7BA8"/>
    <w:rsid w:val="00EB7BCF"/>
    <w:rsid w:val="00EB7BE0"/>
    <w:rsid w:val="00EB7CA2"/>
    <w:rsid w:val="00EB7E9F"/>
    <w:rsid w:val="00EB7EBD"/>
    <w:rsid w:val="00EB7F8C"/>
    <w:rsid w:val="00EB7FFC"/>
    <w:rsid w:val="00EC001D"/>
    <w:rsid w:val="00EC00E2"/>
    <w:rsid w:val="00EC0124"/>
    <w:rsid w:val="00EC0231"/>
    <w:rsid w:val="00EC032B"/>
    <w:rsid w:val="00EC03B0"/>
    <w:rsid w:val="00EC03D5"/>
    <w:rsid w:val="00EC0427"/>
    <w:rsid w:val="00EC0447"/>
    <w:rsid w:val="00EC0548"/>
    <w:rsid w:val="00EC05D2"/>
    <w:rsid w:val="00EC0672"/>
    <w:rsid w:val="00EC0799"/>
    <w:rsid w:val="00EC07A8"/>
    <w:rsid w:val="00EC0835"/>
    <w:rsid w:val="00EC08E2"/>
    <w:rsid w:val="00EC0952"/>
    <w:rsid w:val="00EC0A95"/>
    <w:rsid w:val="00EC0AF9"/>
    <w:rsid w:val="00EC0B3C"/>
    <w:rsid w:val="00EC0B6D"/>
    <w:rsid w:val="00EC0B6E"/>
    <w:rsid w:val="00EC0BDA"/>
    <w:rsid w:val="00EC0CD9"/>
    <w:rsid w:val="00EC0E0E"/>
    <w:rsid w:val="00EC0EB1"/>
    <w:rsid w:val="00EC0ED3"/>
    <w:rsid w:val="00EC0F50"/>
    <w:rsid w:val="00EC0FC4"/>
    <w:rsid w:val="00EC1171"/>
    <w:rsid w:val="00EC1225"/>
    <w:rsid w:val="00EC1258"/>
    <w:rsid w:val="00EC1343"/>
    <w:rsid w:val="00EC1372"/>
    <w:rsid w:val="00EC13A2"/>
    <w:rsid w:val="00EC13B1"/>
    <w:rsid w:val="00EC13FB"/>
    <w:rsid w:val="00EC143C"/>
    <w:rsid w:val="00EC1546"/>
    <w:rsid w:val="00EC15FC"/>
    <w:rsid w:val="00EC162F"/>
    <w:rsid w:val="00EC1637"/>
    <w:rsid w:val="00EC166B"/>
    <w:rsid w:val="00EC16A5"/>
    <w:rsid w:val="00EC17D1"/>
    <w:rsid w:val="00EC17F6"/>
    <w:rsid w:val="00EC187A"/>
    <w:rsid w:val="00EC1882"/>
    <w:rsid w:val="00EC18A8"/>
    <w:rsid w:val="00EC18BB"/>
    <w:rsid w:val="00EC1920"/>
    <w:rsid w:val="00EC197D"/>
    <w:rsid w:val="00EC1A11"/>
    <w:rsid w:val="00EC1A3D"/>
    <w:rsid w:val="00EC1AA0"/>
    <w:rsid w:val="00EC1B09"/>
    <w:rsid w:val="00EC1B1C"/>
    <w:rsid w:val="00EC1B4A"/>
    <w:rsid w:val="00EC1B95"/>
    <w:rsid w:val="00EC1C15"/>
    <w:rsid w:val="00EC1C30"/>
    <w:rsid w:val="00EC1C51"/>
    <w:rsid w:val="00EC1C78"/>
    <w:rsid w:val="00EC1CD1"/>
    <w:rsid w:val="00EC1E23"/>
    <w:rsid w:val="00EC1E43"/>
    <w:rsid w:val="00EC1E97"/>
    <w:rsid w:val="00EC1F02"/>
    <w:rsid w:val="00EC1F65"/>
    <w:rsid w:val="00EC1FE5"/>
    <w:rsid w:val="00EC2034"/>
    <w:rsid w:val="00EC2063"/>
    <w:rsid w:val="00EC20B8"/>
    <w:rsid w:val="00EC21F7"/>
    <w:rsid w:val="00EC2241"/>
    <w:rsid w:val="00EC2381"/>
    <w:rsid w:val="00EC2398"/>
    <w:rsid w:val="00EC23A4"/>
    <w:rsid w:val="00EC23ED"/>
    <w:rsid w:val="00EC249B"/>
    <w:rsid w:val="00EC24E5"/>
    <w:rsid w:val="00EC25B4"/>
    <w:rsid w:val="00EC272C"/>
    <w:rsid w:val="00EC2743"/>
    <w:rsid w:val="00EC275C"/>
    <w:rsid w:val="00EC2823"/>
    <w:rsid w:val="00EC2837"/>
    <w:rsid w:val="00EC29CC"/>
    <w:rsid w:val="00EC2A46"/>
    <w:rsid w:val="00EC2B07"/>
    <w:rsid w:val="00EC2B73"/>
    <w:rsid w:val="00EC2B7F"/>
    <w:rsid w:val="00EC2C2F"/>
    <w:rsid w:val="00EC2CDA"/>
    <w:rsid w:val="00EC2D93"/>
    <w:rsid w:val="00EC2DA9"/>
    <w:rsid w:val="00EC2E01"/>
    <w:rsid w:val="00EC2E4D"/>
    <w:rsid w:val="00EC2F08"/>
    <w:rsid w:val="00EC3003"/>
    <w:rsid w:val="00EC300B"/>
    <w:rsid w:val="00EC3019"/>
    <w:rsid w:val="00EC307F"/>
    <w:rsid w:val="00EC30C5"/>
    <w:rsid w:val="00EC30E1"/>
    <w:rsid w:val="00EC3142"/>
    <w:rsid w:val="00EC328B"/>
    <w:rsid w:val="00EC32E5"/>
    <w:rsid w:val="00EC339B"/>
    <w:rsid w:val="00EC33D8"/>
    <w:rsid w:val="00EC3536"/>
    <w:rsid w:val="00EC35D0"/>
    <w:rsid w:val="00EC3645"/>
    <w:rsid w:val="00EC371D"/>
    <w:rsid w:val="00EC3731"/>
    <w:rsid w:val="00EC37A7"/>
    <w:rsid w:val="00EC37DF"/>
    <w:rsid w:val="00EC37EC"/>
    <w:rsid w:val="00EC38E4"/>
    <w:rsid w:val="00EC391C"/>
    <w:rsid w:val="00EC39E2"/>
    <w:rsid w:val="00EC3AB8"/>
    <w:rsid w:val="00EC3EC7"/>
    <w:rsid w:val="00EC3F08"/>
    <w:rsid w:val="00EC3F16"/>
    <w:rsid w:val="00EC3F86"/>
    <w:rsid w:val="00EC407D"/>
    <w:rsid w:val="00EC40DB"/>
    <w:rsid w:val="00EC41AC"/>
    <w:rsid w:val="00EC4201"/>
    <w:rsid w:val="00EC421F"/>
    <w:rsid w:val="00EC4242"/>
    <w:rsid w:val="00EC4251"/>
    <w:rsid w:val="00EC43B7"/>
    <w:rsid w:val="00EC43B8"/>
    <w:rsid w:val="00EC445B"/>
    <w:rsid w:val="00EC4486"/>
    <w:rsid w:val="00EC45A1"/>
    <w:rsid w:val="00EC4639"/>
    <w:rsid w:val="00EC46CC"/>
    <w:rsid w:val="00EC471D"/>
    <w:rsid w:val="00EC475B"/>
    <w:rsid w:val="00EC479D"/>
    <w:rsid w:val="00EC47BE"/>
    <w:rsid w:val="00EC4867"/>
    <w:rsid w:val="00EC489C"/>
    <w:rsid w:val="00EC4932"/>
    <w:rsid w:val="00EC4956"/>
    <w:rsid w:val="00EC498C"/>
    <w:rsid w:val="00EC4995"/>
    <w:rsid w:val="00EC49BA"/>
    <w:rsid w:val="00EC49F2"/>
    <w:rsid w:val="00EC4A66"/>
    <w:rsid w:val="00EC4B42"/>
    <w:rsid w:val="00EC4B4A"/>
    <w:rsid w:val="00EC4C49"/>
    <w:rsid w:val="00EC4CCF"/>
    <w:rsid w:val="00EC4CEE"/>
    <w:rsid w:val="00EC4D1A"/>
    <w:rsid w:val="00EC4DC1"/>
    <w:rsid w:val="00EC4DDB"/>
    <w:rsid w:val="00EC4E70"/>
    <w:rsid w:val="00EC4F2C"/>
    <w:rsid w:val="00EC4FB0"/>
    <w:rsid w:val="00EC5063"/>
    <w:rsid w:val="00EC5071"/>
    <w:rsid w:val="00EC5092"/>
    <w:rsid w:val="00EC50CE"/>
    <w:rsid w:val="00EC50E1"/>
    <w:rsid w:val="00EC5173"/>
    <w:rsid w:val="00EC52AC"/>
    <w:rsid w:val="00EC52E3"/>
    <w:rsid w:val="00EC52F4"/>
    <w:rsid w:val="00EC5310"/>
    <w:rsid w:val="00EC5334"/>
    <w:rsid w:val="00EC536E"/>
    <w:rsid w:val="00EC5386"/>
    <w:rsid w:val="00EC53B7"/>
    <w:rsid w:val="00EC53D3"/>
    <w:rsid w:val="00EC546C"/>
    <w:rsid w:val="00EC5623"/>
    <w:rsid w:val="00EC562F"/>
    <w:rsid w:val="00EC5641"/>
    <w:rsid w:val="00EC5645"/>
    <w:rsid w:val="00EC567C"/>
    <w:rsid w:val="00EC5704"/>
    <w:rsid w:val="00EC57EB"/>
    <w:rsid w:val="00EC5850"/>
    <w:rsid w:val="00EC5889"/>
    <w:rsid w:val="00EC58AC"/>
    <w:rsid w:val="00EC595B"/>
    <w:rsid w:val="00EC5979"/>
    <w:rsid w:val="00EC59FE"/>
    <w:rsid w:val="00EC5A68"/>
    <w:rsid w:val="00EC5A91"/>
    <w:rsid w:val="00EC5A9F"/>
    <w:rsid w:val="00EC5B6B"/>
    <w:rsid w:val="00EC5B7B"/>
    <w:rsid w:val="00EC5B9B"/>
    <w:rsid w:val="00EC5C30"/>
    <w:rsid w:val="00EC5C34"/>
    <w:rsid w:val="00EC5C7F"/>
    <w:rsid w:val="00EC5C81"/>
    <w:rsid w:val="00EC5C88"/>
    <w:rsid w:val="00EC5C92"/>
    <w:rsid w:val="00EC5CF9"/>
    <w:rsid w:val="00EC5E67"/>
    <w:rsid w:val="00EC5E73"/>
    <w:rsid w:val="00EC5EB9"/>
    <w:rsid w:val="00EC5ECC"/>
    <w:rsid w:val="00EC608D"/>
    <w:rsid w:val="00EC60E2"/>
    <w:rsid w:val="00EC61F3"/>
    <w:rsid w:val="00EC632F"/>
    <w:rsid w:val="00EC6350"/>
    <w:rsid w:val="00EC6585"/>
    <w:rsid w:val="00EC65F5"/>
    <w:rsid w:val="00EC662A"/>
    <w:rsid w:val="00EC66BA"/>
    <w:rsid w:val="00EC6760"/>
    <w:rsid w:val="00EC67DE"/>
    <w:rsid w:val="00EC67E1"/>
    <w:rsid w:val="00EC6802"/>
    <w:rsid w:val="00EC68A2"/>
    <w:rsid w:val="00EC69EE"/>
    <w:rsid w:val="00EC6A43"/>
    <w:rsid w:val="00EC6AD4"/>
    <w:rsid w:val="00EC6B1F"/>
    <w:rsid w:val="00EC6B5C"/>
    <w:rsid w:val="00EC6B6F"/>
    <w:rsid w:val="00EC6B94"/>
    <w:rsid w:val="00EC6CC0"/>
    <w:rsid w:val="00EC6CC4"/>
    <w:rsid w:val="00EC6D60"/>
    <w:rsid w:val="00EC6E3E"/>
    <w:rsid w:val="00EC6E50"/>
    <w:rsid w:val="00EC6E5B"/>
    <w:rsid w:val="00EC6EBD"/>
    <w:rsid w:val="00EC6F2E"/>
    <w:rsid w:val="00EC6F3C"/>
    <w:rsid w:val="00EC704B"/>
    <w:rsid w:val="00EC7072"/>
    <w:rsid w:val="00EC70C3"/>
    <w:rsid w:val="00EC713D"/>
    <w:rsid w:val="00EC7186"/>
    <w:rsid w:val="00EC71DF"/>
    <w:rsid w:val="00EC724A"/>
    <w:rsid w:val="00EC7263"/>
    <w:rsid w:val="00EC730F"/>
    <w:rsid w:val="00EC735F"/>
    <w:rsid w:val="00EC739C"/>
    <w:rsid w:val="00EC7445"/>
    <w:rsid w:val="00EC7565"/>
    <w:rsid w:val="00EC7654"/>
    <w:rsid w:val="00EC767E"/>
    <w:rsid w:val="00EC778C"/>
    <w:rsid w:val="00EC77AB"/>
    <w:rsid w:val="00EC7A0E"/>
    <w:rsid w:val="00EC7AA6"/>
    <w:rsid w:val="00EC7B00"/>
    <w:rsid w:val="00EC7B82"/>
    <w:rsid w:val="00EC7BC6"/>
    <w:rsid w:val="00EC7BE6"/>
    <w:rsid w:val="00EC7C2E"/>
    <w:rsid w:val="00EC7EC9"/>
    <w:rsid w:val="00EC7EDB"/>
    <w:rsid w:val="00EC7EEF"/>
    <w:rsid w:val="00EC7F85"/>
    <w:rsid w:val="00EC7FF2"/>
    <w:rsid w:val="00ED00DB"/>
    <w:rsid w:val="00ED00E1"/>
    <w:rsid w:val="00ED0199"/>
    <w:rsid w:val="00ED02BF"/>
    <w:rsid w:val="00ED0405"/>
    <w:rsid w:val="00ED049E"/>
    <w:rsid w:val="00ED06C5"/>
    <w:rsid w:val="00ED06FE"/>
    <w:rsid w:val="00ED07BA"/>
    <w:rsid w:val="00ED084B"/>
    <w:rsid w:val="00ED087A"/>
    <w:rsid w:val="00ED08A5"/>
    <w:rsid w:val="00ED08EC"/>
    <w:rsid w:val="00ED0973"/>
    <w:rsid w:val="00ED0A6F"/>
    <w:rsid w:val="00ED0A9F"/>
    <w:rsid w:val="00ED0AB5"/>
    <w:rsid w:val="00ED0ACC"/>
    <w:rsid w:val="00ED0B80"/>
    <w:rsid w:val="00ED0BC1"/>
    <w:rsid w:val="00ED0BCC"/>
    <w:rsid w:val="00ED0BE7"/>
    <w:rsid w:val="00ED0C14"/>
    <w:rsid w:val="00ED0C45"/>
    <w:rsid w:val="00ED0C6E"/>
    <w:rsid w:val="00ED0C84"/>
    <w:rsid w:val="00ED0D11"/>
    <w:rsid w:val="00ED0E1B"/>
    <w:rsid w:val="00ED0E31"/>
    <w:rsid w:val="00ED0EB2"/>
    <w:rsid w:val="00ED0EBE"/>
    <w:rsid w:val="00ED0F6A"/>
    <w:rsid w:val="00ED0FE5"/>
    <w:rsid w:val="00ED1179"/>
    <w:rsid w:val="00ED1185"/>
    <w:rsid w:val="00ED130F"/>
    <w:rsid w:val="00ED1370"/>
    <w:rsid w:val="00ED139C"/>
    <w:rsid w:val="00ED13B2"/>
    <w:rsid w:val="00ED14A2"/>
    <w:rsid w:val="00ED1551"/>
    <w:rsid w:val="00ED1597"/>
    <w:rsid w:val="00ED1598"/>
    <w:rsid w:val="00ED15F0"/>
    <w:rsid w:val="00ED1648"/>
    <w:rsid w:val="00ED166E"/>
    <w:rsid w:val="00ED16A9"/>
    <w:rsid w:val="00ED170A"/>
    <w:rsid w:val="00ED171D"/>
    <w:rsid w:val="00ED1746"/>
    <w:rsid w:val="00ED17FD"/>
    <w:rsid w:val="00ED1800"/>
    <w:rsid w:val="00ED1819"/>
    <w:rsid w:val="00ED183E"/>
    <w:rsid w:val="00ED1859"/>
    <w:rsid w:val="00ED185A"/>
    <w:rsid w:val="00ED195E"/>
    <w:rsid w:val="00ED19BD"/>
    <w:rsid w:val="00ED19BE"/>
    <w:rsid w:val="00ED19EC"/>
    <w:rsid w:val="00ED19FA"/>
    <w:rsid w:val="00ED1A92"/>
    <w:rsid w:val="00ED1B20"/>
    <w:rsid w:val="00ED1B93"/>
    <w:rsid w:val="00ED1BE7"/>
    <w:rsid w:val="00ED1BEF"/>
    <w:rsid w:val="00ED1BF4"/>
    <w:rsid w:val="00ED1C42"/>
    <w:rsid w:val="00ED1DCA"/>
    <w:rsid w:val="00ED1E47"/>
    <w:rsid w:val="00ED1EDF"/>
    <w:rsid w:val="00ED1F17"/>
    <w:rsid w:val="00ED1F82"/>
    <w:rsid w:val="00ED1FF3"/>
    <w:rsid w:val="00ED208C"/>
    <w:rsid w:val="00ED2092"/>
    <w:rsid w:val="00ED20A9"/>
    <w:rsid w:val="00ED2144"/>
    <w:rsid w:val="00ED2155"/>
    <w:rsid w:val="00ED215E"/>
    <w:rsid w:val="00ED21B4"/>
    <w:rsid w:val="00ED2230"/>
    <w:rsid w:val="00ED2276"/>
    <w:rsid w:val="00ED22E4"/>
    <w:rsid w:val="00ED232C"/>
    <w:rsid w:val="00ED23AF"/>
    <w:rsid w:val="00ED23E7"/>
    <w:rsid w:val="00ED25B7"/>
    <w:rsid w:val="00ED25D4"/>
    <w:rsid w:val="00ED25D8"/>
    <w:rsid w:val="00ED2614"/>
    <w:rsid w:val="00ED2644"/>
    <w:rsid w:val="00ED26BA"/>
    <w:rsid w:val="00ED26D8"/>
    <w:rsid w:val="00ED2735"/>
    <w:rsid w:val="00ED275D"/>
    <w:rsid w:val="00ED2760"/>
    <w:rsid w:val="00ED2832"/>
    <w:rsid w:val="00ED29CD"/>
    <w:rsid w:val="00ED29DF"/>
    <w:rsid w:val="00ED2B6B"/>
    <w:rsid w:val="00ED2BA8"/>
    <w:rsid w:val="00ED2BDF"/>
    <w:rsid w:val="00ED2C14"/>
    <w:rsid w:val="00ED2CC4"/>
    <w:rsid w:val="00ED2D75"/>
    <w:rsid w:val="00ED2DB0"/>
    <w:rsid w:val="00ED2E06"/>
    <w:rsid w:val="00ED2E94"/>
    <w:rsid w:val="00ED2FE1"/>
    <w:rsid w:val="00ED3008"/>
    <w:rsid w:val="00ED315A"/>
    <w:rsid w:val="00ED3204"/>
    <w:rsid w:val="00ED3240"/>
    <w:rsid w:val="00ED32D5"/>
    <w:rsid w:val="00ED32FA"/>
    <w:rsid w:val="00ED3308"/>
    <w:rsid w:val="00ED331F"/>
    <w:rsid w:val="00ED3349"/>
    <w:rsid w:val="00ED3370"/>
    <w:rsid w:val="00ED3392"/>
    <w:rsid w:val="00ED33A9"/>
    <w:rsid w:val="00ED33E0"/>
    <w:rsid w:val="00ED3402"/>
    <w:rsid w:val="00ED3486"/>
    <w:rsid w:val="00ED34F1"/>
    <w:rsid w:val="00ED353E"/>
    <w:rsid w:val="00ED35F1"/>
    <w:rsid w:val="00ED3616"/>
    <w:rsid w:val="00ED372F"/>
    <w:rsid w:val="00ED3761"/>
    <w:rsid w:val="00ED3769"/>
    <w:rsid w:val="00ED3782"/>
    <w:rsid w:val="00ED38D9"/>
    <w:rsid w:val="00ED3974"/>
    <w:rsid w:val="00ED39C8"/>
    <w:rsid w:val="00ED39F2"/>
    <w:rsid w:val="00ED3A0D"/>
    <w:rsid w:val="00ED3A3A"/>
    <w:rsid w:val="00ED3A93"/>
    <w:rsid w:val="00ED3A96"/>
    <w:rsid w:val="00ED3AB4"/>
    <w:rsid w:val="00ED3B22"/>
    <w:rsid w:val="00ED3B65"/>
    <w:rsid w:val="00ED3C01"/>
    <w:rsid w:val="00ED3E27"/>
    <w:rsid w:val="00ED3E63"/>
    <w:rsid w:val="00ED3ED2"/>
    <w:rsid w:val="00ED3EEC"/>
    <w:rsid w:val="00ED3FE7"/>
    <w:rsid w:val="00ED402C"/>
    <w:rsid w:val="00ED4090"/>
    <w:rsid w:val="00ED40BD"/>
    <w:rsid w:val="00ED410E"/>
    <w:rsid w:val="00ED41E3"/>
    <w:rsid w:val="00ED423B"/>
    <w:rsid w:val="00ED42B8"/>
    <w:rsid w:val="00ED42BD"/>
    <w:rsid w:val="00ED44AA"/>
    <w:rsid w:val="00ED44B3"/>
    <w:rsid w:val="00ED450C"/>
    <w:rsid w:val="00ED4530"/>
    <w:rsid w:val="00ED45BF"/>
    <w:rsid w:val="00ED45E1"/>
    <w:rsid w:val="00ED45EB"/>
    <w:rsid w:val="00ED4604"/>
    <w:rsid w:val="00ED4616"/>
    <w:rsid w:val="00ED461F"/>
    <w:rsid w:val="00ED4668"/>
    <w:rsid w:val="00ED474C"/>
    <w:rsid w:val="00ED4809"/>
    <w:rsid w:val="00ED48EF"/>
    <w:rsid w:val="00ED4A97"/>
    <w:rsid w:val="00ED4B8F"/>
    <w:rsid w:val="00ED4D02"/>
    <w:rsid w:val="00ED4D1C"/>
    <w:rsid w:val="00ED4E25"/>
    <w:rsid w:val="00ED4E3F"/>
    <w:rsid w:val="00ED4E71"/>
    <w:rsid w:val="00ED4EFB"/>
    <w:rsid w:val="00ED4FF7"/>
    <w:rsid w:val="00ED5010"/>
    <w:rsid w:val="00ED508C"/>
    <w:rsid w:val="00ED5090"/>
    <w:rsid w:val="00ED5097"/>
    <w:rsid w:val="00ED50A4"/>
    <w:rsid w:val="00ED5179"/>
    <w:rsid w:val="00ED51A4"/>
    <w:rsid w:val="00ED51D9"/>
    <w:rsid w:val="00ED5221"/>
    <w:rsid w:val="00ED523C"/>
    <w:rsid w:val="00ED52D3"/>
    <w:rsid w:val="00ED52F8"/>
    <w:rsid w:val="00ED53AE"/>
    <w:rsid w:val="00ED53C4"/>
    <w:rsid w:val="00ED53DC"/>
    <w:rsid w:val="00ED545C"/>
    <w:rsid w:val="00ED55E4"/>
    <w:rsid w:val="00ED5651"/>
    <w:rsid w:val="00ED5653"/>
    <w:rsid w:val="00ED568C"/>
    <w:rsid w:val="00ED57FF"/>
    <w:rsid w:val="00ED585E"/>
    <w:rsid w:val="00ED58CC"/>
    <w:rsid w:val="00ED5990"/>
    <w:rsid w:val="00ED59BB"/>
    <w:rsid w:val="00ED59EA"/>
    <w:rsid w:val="00ED5B39"/>
    <w:rsid w:val="00ED5C0F"/>
    <w:rsid w:val="00ED5C55"/>
    <w:rsid w:val="00ED5C75"/>
    <w:rsid w:val="00ED5CDF"/>
    <w:rsid w:val="00ED5D02"/>
    <w:rsid w:val="00ED5D65"/>
    <w:rsid w:val="00ED5D6D"/>
    <w:rsid w:val="00ED5D7E"/>
    <w:rsid w:val="00ED5D98"/>
    <w:rsid w:val="00ED5E21"/>
    <w:rsid w:val="00ED5EFB"/>
    <w:rsid w:val="00ED5FC4"/>
    <w:rsid w:val="00ED604F"/>
    <w:rsid w:val="00ED60B4"/>
    <w:rsid w:val="00ED60DC"/>
    <w:rsid w:val="00ED62CD"/>
    <w:rsid w:val="00ED6314"/>
    <w:rsid w:val="00ED636C"/>
    <w:rsid w:val="00ED6404"/>
    <w:rsid w:val="00ED6519"/>
    <w:rsid w:val="00ED6562"/>
    <w:rsid w:val="00ED65C4"/>
    <w:rsid w:val="00ED6652"/>
    <w:rsid w:val="00ED674A"/>
    <w:rsid w:val="00ED683C"/>
    <w:rsid w:val="00ED6895"/>
    <w:rsid w:val="00ED68A2"/>
    <w:rsid w:val="00ED6A0D"/>
    <w:rsid w:val="00ED6A86"/>
    <w:rsid w:val="00ED6CA8"/>
    <w:rsid w:val="00ED6CFE"/>
    <w:rsid w:val="00ED6DEE"/>
    <w:rsid w:val="00ED6E14"/>
    <w:rsid w:val="00ED6E29"/>
    <w:rsid w:val="00ED6E6B"/>
    <w:rsid w:val="00ED6F37"/>
    <w:rsid w:val="00ED7231"/>
    <w:rsid w:val="00ED736F"/>
    <w:rsid w:val="00ED740D"/>
    <w:rsid w:val="00ED744A"/>
    <w:rsid w:val="00ED7472"/>
    <w:rsid w:val="00ED749B"/>
    <w:rsid w:val="00ED752F"/>
    <w:rsid w:val="00ED7562"/>
    <w:rsid w:val="00ED76FA"/>
    <w:rsid w:val="00ED7739"/>
    <w:rsid w:val="00ED775F"/>
    <w:rsid w:val="00ED779A"/>
    <w:rsid w:val="00ED77B2"/>
    <w:rsid w:val="00ED77BD"/>
    <w:rsid w:val="00ED7844"/>
    <w:rsid w:val="00ED78B4"/>
    <w:rsid w:val="00ED78E7"/>
    <w:rsid w:val="00ED7903"/>
    <w:rsid w:val="00ED7936"/>
    <w:rsid w:val="00ED7979"/>
    <w:rsid w:val="00ED79DC"/>
    <w:rsid w:val="00ED7A74"/>
    <w:rsid w:val="00ED7CA1"/>
    <w:rsid w:val="00ED7CAE"/>
    <w:rsid w:val="00ED7CE4"/>
    <w:rsid w:val="00ED7D04"/>
    <w:rsid w:val="00ED7D54"/>
    <w:rsid w:val="00ED7D89"/>
    <w:rsid w:val="00ED7E01"/>
    <w:rsid w:val="00ED7E0E"/>
    <w:rsid w:val="00ED7E6C"/>
    <w:rsid w:val="00ED7F1E"/>
    <w:rsid w:val="00ED7F65"/>
    <w:rsid w:val="00ED7F67"/>
    <w:rsid w:val="00EE0045"/>
    <w:rsid w:val="00EE0127"/>
    <w:rsid w:val="00EE01C2"/>
    <w:rsid w:val="00EE02AA"/>
    <w:rsid w:val="00EE03B1"/>
    <w:rsid w:val="00EE041D"/>
    <w:rsid w:val="00EE042D"/>
    <w:rsid w:val="00EE04DC"/>
    <w:rsid w:val="00EE05A4"/>
    <w:rsid w:val="00EE05A9"/>
    <w:rsid w:val="00EE05F9"/>
    <w:rsid w:val="00EE082F"/>
    <w:rsid w:val="00EE083E"/>
    <w:rsid w:val="00EE0885"/>
    <w:rsid w:val="00EE091C"/>
    <w:rsid w:val="00EE0A2A"/>
    <w:rsid w:val="00EE0ADA"/>
    <w:rsid w:val="00EE0B3B"/>
    <w:rsid w:val="00EE0B68"/>
    <w:rsid w:val="00EE0CBD"/>
    <w:rsid w:val="00EE0CF5"/>
    <w:rsid w:val="00EE0D22"/>
    <w:rsid w:val="00EE0DD8"/>
    <w:rsid w:val="00EE0DF5"/>
    <w:rsid w:val="00EE0E6D"/>
    <w:rsid w:val="00EE0ED3"/>
    <w:rsid w:val="00EE0F61"/>
    <w:rsid w:val="00EE0F91"/>
    <w:rsid w:val="00EE101A"/>
    <w:rsid w:val="00EE1071"/>
    <w:rsid w:val="00EE10E4"/>
    <w:rsid w:val="00EE116D"/>
    <w:rsid w:val="00EE122E"/>
    <w:rsid w:val="00EE13FF"/>
    <w:rsid w:val="00EE1465"/>
    <w:rsid w:val="00EE1473"/>
    <w:rsid w:val="00EE1496"/>
    <w:rsid w:val="00EE14BB"/>
    <w:rsid w:val="00EE161D"/>
    <w:rsid w:val="00EE161E"/>
    <w:rsid w:val="00EE1633"/>
    <w:rsid w:val="00EE1639"/>
    <w:rsid w:val="00EE1699"/>
    <w:rsid w:val="00EE17A5"/>
    <w:rsid w:val="00EE1856"/>
    <w:rsid w:val="00EE19F4"/>
    <w:rsid w:val="00EE19FD"/>
    <w:rsid w:val="00EE1A1B"/>
    <w:rsid w:val="00EE1A59"/>
    <w:rsid w:val="00EE1A6A"/>
    <w:rsid w:val="00EE1A9C"/>
    <w:rsid w:val="00EE1AD6"/>
    <w:rsid w:val="00EE1AFD"/>
    <w:rsid w:val="00EE1B4C"/>
    <w:rsid w:val="00EE1B7C"/>
    <w:rsid w:val="00EE1B83"/>
    <w:rsid w:val="00EE1B9C"/>
    <w:rsid w:val="00EE1BAC"/>
    <w:rsid w:val="00EE1CEF"/>
    <w:rsid w:val="00EE1D29"/>
    <w:rsid w:val="00EE1D9A"/>
    <w:rsid w:val="00EE1E57"/>
    <w:rsid w:val="00EE1EB9"/>
    <w:rsid w:val="00EE214C"/>
    <w:rsid w:val="00EE21C7"/>
    <w:rsid w:val="00EE2253"/>
    <w:rsid w:val="00EE24E0"/>
    <w:rsid w:val="00EE257B"/>
    <w:rsid w:val="00EE25DA"/>
    <w:rsid w:val="00EE2744"/>
    <w:rsid w:val="00EE27E7"/>
    <w:rsid w:val="00EE281B"/>
    <w:rsid w:val="00EE282C"/>
    <w:rsid w:val="00EE2877"/>
    <w:rsid w:val="00EE290C"/>
    <w:rsid w:val="00EE2A71"/>
    <w:rsid w:val="00EE2AC7"/>
    <w:rsid w:val="00EE2AF9"/>
    <w:rsid w:val="00EE2B0B"/>
    <w:rsid w:val="00EE2B41"/>
    <w:rsid w:val="00EE2B98"/>
    <w:rsid w:val="00EE2CFC"/>
    <w:rsid w:val="00EE2D88"/>
    <w:rsid w:val="00EE2DEB"/>
    <w:rsid w:val="00EE2E34"/>
    <w:rsid w:val="00EE2ED6"/>
    <w:rsid w:val="00EE2FE4"/>
    <w:rsid w:val="00EE300F"/>
    <w:rsid w:val="00EE30CA"/>
    <w:rsid w:val="00EE3145"/>
    <w:rsid w:val="00EE317A"/>
    <w:rsid w:val="00EE318D"/>
    <w:rsid w:val="00EE330E"/>
    <w:rsid w:val="00EE3321"/>
    <w:rsid w:val="00EE349E"/>
    <w:rsid w:val="00EE34BF"/>
    <w:rsid w:val="00EE366E"/>
    <w:rsid w:val="00EE3697"/>
    <w:rsid w:val="00EE3699"/>
    <w:rsid w:val="00EE36B0"/>
    <w:rsid w:val="00EE36F4"/>
    <w:rsid w:val="00EE377F"/>
    <w:rsid w:val="00EE37A5"/>
    <w:rsid w:val="00EE380E"/>
    <w:rsid w:val="00EE385D"/>
    <w:rsid w:val="00EE388E"/>
    <w:rsid w:val="00EE3959"/>
    <w:rsid w:val="00EE3A14"/>
    <w:rsid w:val="00EE3B54"/>
    <w:rsid w:val="00EE3BDB"/>
    <w:rsid w:val="00EE3C22"/>
    <w:rsid w:val="00EE3D07"/>
    <w:rsid w:val="00EE3D40"/>
    <w:rsid w:val="00EE3E0B"/>
    <w:rsid w:val="00EE3EA6"/>
    <w:rsid w:val="00EE3F28"/>
    <w:rsid w:val="00EE3F77"/>
    <w:rsid w:val="00EE3FBD"/>
    <w:rsid w:val="00EE4052"/>
    <w:rsid w:val="00EE4109"/>
    <w:rsid w:val="00EE4216"/>
    <w:rsid w:val="00EE4240"/>
    <w:rsid w:val="00EE4331"/>
    <w:rsid w:val="00EE4345"/>
    <w:rsid w:val="00EE4346"/>
    <w:rsid w:val="00EE4365"/>
    <w:rsid w:val="00EE43D4"/>
    <w:rsid w:val="00EE43E9"/>
    <w:rsid w:val="00EE44F4"/>
    <w:rsid w:val="00EE45F0"/>
    <w:rsid w:val="00EE4623"/>
    <w:rsid w:val="00EE46EC"/>
    <w:rsid w:val="00EE4751"/>
    <w:rsid w:val="00EE477C"/>
    <w:rsid w:val="00EE48B4"/>
    <w:rsid w:val="00EE48F3"/>
    <w:rsid w:val="00EE4970"/>
    <w:rsid w:val="00EE49FD"/>
    <w:rsid w:val="00EE4A0A"/>
    <w:rsid w:val="00EE4A8E"/>
    <w:rsid w:val="00EE4AC4"/>
    <w:rsid w:val="00EE4B1D"/>
    <w:rsid w:val="00EE4B3C"/>
    <w:rsid w:val="00EE4B9B"/>
    <w:rsid w:val="00EE4BDD"/>
    <w:rsid w:val="00EE4CAF"/>
    <w:rsid w:val="00EE4D81"/>
    <w:rsid w:val="00EE4DBA"/>
    <w:rsid w:val="00EE4DBC"/>
    <w:rsid w:val="00EE4DF3"/>
    <w:rsid w:val="00EE4E35"/>
    <w:rsid w:val="00EE4E38"/>
    <w:rsid w:val="00EE4E96"/>
    <w:rsid w:val="00EE4EDE"/>
    <w:rsid w:val="00EE4FB5"/>
    <w:rsid w:val="00EE505B"/>
    <w:rsid w:val="00EE5065"/>
    <w:rsid w:val="00EE50F5"/>
    <w:rsid w:val="00EE5107"/>
    <w:rsid w:val="00EE5158"/>
    <w:rsid w:val="00EE51AD"/>
    <w:rsid w:val="00EE51F3"/>
    <w:rsid w:val="00EE5272"/>
    <w:rsid w:val="00EE5295"/>
    <w:rsid w:val="00EE534C"/>
    <w:rsid w:val="00EE537B"/>
    <w:rsid w:val="00EE53EC"/>
    <w:rsid w:val="00EE53F9"/>
    <w:rsid w:val="00EE540A"/>
    <w:rsid w:val="00EE54C7"/>
    <w:rsid w:val="00EE54ED"/>
    <w:rsid w:val="00EE55F7"/>
    <w:rsid w:val="00EE5753"/>
    <w:rsid w:val="00EE5790"/>
    <w:rsid w:val="00EE5925"/>
    <w:rsid w:val="00EE5947"/>
    <w:rsid w:val="00EE5C41"/>
    <w:rsid w:val="00EE5D0C"/>
    <w:rsid w:val="00EE5DDF"/>
    <w:rsid w:val="00EE5E7B"/>
    <w:rsid w:val="00EE5FBE"/>
    <w:rsid w:val="00EE5FEC"/>
    <w:rsid w:val="00EE609F"/>
    <w:rsid w:val="00EE6106"/>
    <w:rsid w:val="00EE6145"/>
    <w:rsid w:val="00EE6169"/>
    <w:rsid w:val="00EE619A"/>
    <w:rsid w:val="00EE61A9"/>
    <w:rsid w:val="00EE6244"/>
    <w:rsid w:val="00EE632F"/>
    <w:rsid w:val="00EE635B"/>
    <w:rsid w:val="00EE63D2"/>
    <w:rsid w:val="00EE63D3"/>
    <w:rsid w:val="00EE64D9"/>
    <w:rsid w:val="00EE653C"/>
    <w:rsid w:val="00EE66F0"/>
    <w:rsid w:val="00EE672E"/>
    <w:rsid w:val="00EE675E"/>
    <w:rsid w:val="00EE677C"/>
    <w:rsid w:val="00EE6791"/>
    <w:rsid w:val="00EE6793"/>
    <w:rsid w:val="00EE6798"/>
    <w:rsid w:val="00EE685B"/>
    <w:rsid w:val="00EE6890"/>
    <w:rsid w:val="00EE6995"/>
    <w:rsid w:val="00EE69A9"/>
    <w:rsid w:val="00EE6A91"/>
    <w:rsid w:val="00EE6A9C"/>
    <w:rsid w:val="00EE6ADB"/>
    <w:rsid w:val="00EE6B08"/>
    <w:rsid w:val="00EE6B22"/>
    <w:rsid w:val="00EE6B33"/>
    <w:rsid w:val="00EE6CD9"/>
    <w:rsid w:val="00EE6D0B"/>
    <w:rsid w:val="00EE6D29"/>
    <w:rsid w:val="00EE6D31"/>
    <w:rsid w:val="00EE6D34"/>
    <w:rsid w:val="00EE6D4B"/>
    <w:rsid w:val="00EE6DF3"/>
    <w:rsid w:val="00EE6E2F"/>
    <w:rsid w:val="00EE6E3F"/>
    <w:rsid w:val="00EE700C"/>
    <w:rsid w:val="00EE70FA"/>
    <w:rsid w:val="00EE7183"/>
    <w:rsid w:val="00EE72E1"/>
    <w:rsid w:val="00EE73E2"/>
    <w:rsid w:val="00EE7626"/>
    <w:rsid w:val="00EE7666"/>
    <w:rsid w:val="00EE7710"/>
    <w:rsid w:val="00EE7733"/>
    <w:rsid w:val="00EE77EC"/>
    <w:rsid w:val="00EE7834"/>
    <w:rsid w:val="00EE78BD"/>
    <w:rsid w:val="00EE790E"/>
    <w:rsid w:val="00EE7944"/>
    <w:rsid w:val="00EE795D"/>
    <w:rsid w:val="00EE79B8"/>
    <w:rsid w:val="00EE79C8"/>
    <w:rsid w:val="00EE79D1"/>
    <w:rsid w:val="00EE7A3B"/>
    <w:rsid w:val="00EE7ACF"/>
    <w:rsid w:val="00EE7B29"/>
    <w:rsid w:val="00EE7B3D"/>
    <w:rsid w:val="00EE7B5D"/>
    <w:rsid w:val="00EE7B68"/>
    <w:rsid w:val="00EE7C82"/>
    <w:rsid w:val="00EE7CB2"/>
    <w:rsid w:val="00EE7E15"/>
    <w:rsid w:val="00EE7EBE"/>
    <w:rsid w:val="00EE7F5E"/>
    <w:rsid w:val="00EF018C"/>
    <w:rsid w:val="00EF01EE"/>
    <w:rsid w:val="00EF02D1"/>
    <w:rsid w:val="00EF03E7"/>
    <w:rsid w:val="00EF03F8"/>
    <w:rsid w:val="00EF0420"/>
    <w:rsid w:val="00EF045A"/>
    <w:rsid w:val="00EF0470"/>
    <w:rsid w:val="00EF04A7"/>
    <w:rsid w:val="00EF05CA"/>
    <w:rsid w:val="00EF06BE"/>
    <w:rsid w:val="00EF06E2"/>
    <w:rsid w:val="00EF06FE"/>
    <w:rsid w:val="00EF07FB"/>
    <w:rsid w:val="00EF0831"/>
    <w:rsid w:val="00EF08EF"/>
    <w:rsid w:val="00EF0A28"/>
    <w:rsid w:val="00EF0AC1"/>
    <w:rsid w:val="00EF0AC6"/>
    <w:rsid w:val="00EF0B3D"/>
    <w:rsid w:val="00EF0BAC"/>
    <w:rsid w:val="00EF0C46"/>
    <w:rsid w:val="00EF0CF8"/>
    <w:rsid w:val="00EF0D76"/>
    <w:rsid w:val="00EF0DD3"/>
    <w:rsid w:val="00EF0DDA"/>
    <w:rsid w:val="00EF0E1C"/>
    <w:rsid w:val="00EF0EA6"/>
    <w:rsid w:val="00EF0EFE"/>
    <w:rsid w:val="00EF0FEF"/>
    <w:rsid w:val="00EF0FF2"/>
    <w:rsid w:val="00EF1009"/>
    <w:rsid w:val="00EF1021"/>
    <w:rsid w:val="00EF1085"/>
    <w:rsid w:val="00EF10C5"/>
    <w:rsid w:val="00EF10C9"/>
    <w:rsid w:val="00EF10EC"/>
    <w:rsid w:val="00EF10F3"/>
    <w:rsid w:val="00EF1107"/>
    <w:rsid w:val="00EF112A"/>
    <w:rsid w:val="00EF114C"/>
    <w:rsid w:val="00EF115F"/>
    <w:rsid w:val="00EF118D"/>
    <w:rsid w:val="00EF13AC"/>
    <w:rsid w:val="00EF13FF"/>
    <w:rsid w:val="00EF1429"/>
    <w:rsid w:val="00EF149F"/>
    <w:rsid w:val="00EF14F6"/>
    <w:rsid w:val="00EF15B4"/>
    <w:rsid w:val="00EF1629"/>
    <w:rsid w:val="00EF1680"/>
    <w:rsid w:val="00EF1799"/>
    <w:rsid w:val="00EF1959"/>
    <w:rsid w:val="00EF1A00"/>
    <w:rsid w:val="00EF1A23"/>
    <w:rsid w:val="00EF1AAA"/>
    <w:rsid w:val="00EF1C46"/>
    <w:rsid w:val="00EF1C6C"/>
    <w:rsid w:val="00EF1D3A"/>
    <w:rsid w:val="00EF1D88"/>
    <w:rsid w:val="00EF1E08"/>
    <w:rsid w:val="00EF1EF6"/>
    <w:rsid w:val="00EF1F50"/>
    <w:rsid w:val="00EF1F52"/>
    <w:rsid w:val="00EF213F"/>
    <w:rsid w:val="00EF21DF"/>
    <w:rsid w:val="00EF23EA"/>
    <w:rsid w:val="00EF2410"/>
    <w:rsid w:val="00EF24F7"/>
    <w:rsid w:val="00EF24FF"/>
    <w:rsid w:val="00EF2537"/>
    <w:rsid w:val="00EF260E"/>
    <w:rsid w:val="00EF262C"/>
    <w:rsid w:val="00EF2689"/>
    <w:rsid w:val="00EF26EA"/>
    <w:rsid w:val="00EF26F7"/>
    <w:rsid w:val="00EF2794"/>
    <w:rsid w:val="00EF27C3"/>
    <w:rsid w:val="00EF285E"/>
    <w:rsid w:val="00EF285F"/>
    <w:rsid w:val="00EF28B6"/>
    <w:rsid w:val="00EF291E"/>
    <w:rsid w:val="00EF2968"/>
    <w:rsid w:val="00EF2A0B"/>
    <w:rsid w:val="00EF2AA9"/>
    <w:rsid w:val="00EF2AD3"/>
    <w:rsid w:val="00EF2B95"/>
    <w:rsid w:val="00EF2D99"/>
    <w:rsid w:val="00EF2DC1"/>
    <w:rsid w:val="00EF2DDD"/>
    <w:rsid w:val="00EF2EE4"/>
    <w:rsid w:val="00EF2EF9"/>
    <w:rsid w:val="00EF2EFC"/>
    <w:rsid w:val="00EF2F2C"/>
    <w:rsid w:val="00EF2F3E"/>
    <w:rsid w:val="00EF2F89"/>
    <w:rsid w:val="00EF2F97"/>
    <w:rsid w:val="00EF2FEE"/>
    <w:rsid w:val="00EF302C"/>
    <w:rsid w:val="00EF3193"/>
    <w:rsid w:val="00EF3338"/>
    <w:rsid w:val="00EF337B"/>
    <w:rsid w:val="00EF33CC"/>
    <w:rsid w:val="00EF3489"/>
    <w:rsid w:val="00EF350D"/>
    <w:rsid w:val="00EF3707"/>
    <w:rsid w:val="00EF37E8"/>
    <w:rsid w:val="00EF3829"/>
    <w:rsid w:val="00EF3852"/>
    <w:rsid w:val="00EF3A59"/>
    <w:rsid w:val="00EF3B02"/>
    <w:rsid w:val="00EF3B5F"/>
    <w:rsid w:val="00EF3BAC"/>
    <w:rsid w:val="00EF3C36"/>
    <w:rsid w:val="00EF3C4D"/>
    <w:rsid w:val="00EF3D5D"/>
    <w:rsid w:val="00EF3DDB"/>
    <w:rsid w:val="00EF3DF5"/>
    <w:rsid w:val="00EF3E16"/>
    <w:rsid w:val="00EF3E75"/>
    <w:rsid w:val="00EF3EC9"/>
    <w:rsid w:val="00EF3EDF"/>
    <w:rsid w:val="00EF3F4F"/>
    <w:rsid w:val="00EF3F72"/>
    <w:rsid w:val="00EF3FCB"/>
    <w:rsid w:val="00EF3FF1"/>
    <w:rsid w:val="00EF40B7"/>
    <w:rsid w:val="00EF40C9"/>
    <w:rsid w:val="00EF40D1"/>
    <w:rsid w:val="00EF40F4"/>
    <w:rsid w:val="00EF412D"/>
    <w:rsid w:val="00EF41B0"/>
    <w:rsid w:val="00EF41DD"/>
    <w:rsid w:val="00EF4218"/>
    <w:rsid w:val="00EF4280"/>
    <w:rsid w:val="00EF4284"/>
    <w:rsid w:val="00EF42C3"/>
    <w:rsid w:val="00EF4301"/>
    <w:rsid w:val="00EF43EC"/>
    <w:rsid w:val="00EF458C"/>
    <w:rsid w:val="00EF45DA"/>
    <w:rsid w:val="00EF4643"/>
    <w:rsid w:val="00EF464D"/>
    <w:rsid w:val="00EF469E"/>
    <w:rsid w:val="00EF46ED"/>
    <w:rsid w:val="00EF4782"/>
    <w:rsid w:val="00EF47C0"/>
    <w:rsid w:val="00EF47D3"/>
    <w:rsid w:val="00EF48D5"/>
    <w:rsid w:val="00EF48E8"/>
    <w:rsid w:val="00EF4911"/>
    <w:rsid w:val="00EF4919"/>
    <w:rsid w:val="00EF49A4"/>
    <w:rsid w:val="00EF4A01"/>
    <w:rsid w:val="00EF4A33"/>
    <w:rsid w:val="00EF4AB0"/>
    <w:rsid w:val="00EF4AEA"/>
    <w:rsid w:val="00EF4B5D"/>
    <w:rsid w:val="00EF4BA7"/>
    <w:rsid w:val="00EF4BFC"/>
    <w:rsid w:val="00EF4CFA"/>
    <w:rsid w:val="00EF4D30"/>
    <w:rsid w:val="00EF4DDD"/>
    <w:rsid w:val="00EF4E57"/>
    <w:rsid w:val="00EF4F1C"/>
    <w:rsid w:val="00EF4F51"/>
    <w:rsid w:val="00EF4F76"/>
    <w:rsid w:val="00EF4FCC"/>
    <w:rsid w:val="00EF5095"/>
    <w:rsid w:val="00EF50C1"/>
    <w:rsid w:val="00EF5110"/>
    <w:rsid w:val="00EF5171"/>
    <w:rsid w:val="00EF51E4"/>
    <w:rsid w:val="00EF5473"/>
    <w:rsid w:val="00EF54AC"/>
    <w:rsid w:val="00EF54E9"/>
    <w:rsid w:val="00EF54ED"/>
    <w:rsid w:val="00EF559E"/>
    <w:rsid w:val="00EF55B0"/>
    <w:rsid w:val="00EF55C7"/>
    <w:rsid w:val="00EF5632"/>
    <w:rsid w:val="00EF5654"/>
    <w:rsid w:val="00EF5682"/>
    <w:rsid w:val="00EF570B"/>
    <w:rsid w:val="00EF5712"/>
    <w:rsid w:val="00EF57B9"/>
    <w:rsid w:val="00EF57D5"/>
    <w:rsid w:val="00EF57EA"/>
    <w:rsid w:val="00EF58D9"/>
    <w:rsid w:val="00EF59A3"/>
    <w:rsid w:val="00EF5B02"/>
    <w:rsid w:val="00EF5B42"/>
    <w:rsid w:val="00EF5C12"/>
    <w:rsid w:val="00EF5CB1"/>
    <w:rsid w:val="00EF5CC8"/>
    <w:rsid w:val="00EF5DC2"/>
    <w:rsid w:val="00EF5E27"/>
    <w:rsid w:val="00EF5EEA"/>
    <w:rsid w:val="00EF5F44"/>
    <w:rsid w:val="00EF5FAF"/>
    <w:rsid w:val="00EF60F7"/>
    <w:rsid w:val="00EF6102"/>
    <w:rsid w:val="00EF6200"/>
    <w:rsid w:val="00EF6282"/>
    <w:rsid w:val="00EF6287"/>
    <w:rsid w:val="00EF62EC"/>
    <w:rsid w:val="00EF630C"/>
    <w:rsid w:val="00EF631B"/>
    <w:rsid w:val="00EF638D"/>
    <w:rsid w:val="00EF643E"/>
    <w:rsid w:val="00EF651E"/>
    <w:rsid w:val="00EF6558"/>
    <w:rsid w:val="00EF655F"/>
    <w:rsid w:val="00EF659F"/>
    <w:rsid w:val="00EF65D9"/>
    <w:rsid w:val="00EF662B"/>
    <w:rsid w:val="00EF665C"/>
    <w:rsid w:val="00EF668A"/>
    <w:rsid w:val="00EF6694"/>
    <w:rsid w:val="00EF66C9"/>
    <w:rsid w:val="00EF6784"/>
    <w:rsid w:val="00EF678D"/>
    <w:rsid w:val="00EF67AF"/>
    <w:rsid w:val="00EF6848"/>
    <w:rsid w:val="00EF6903"/>
    <w:rsid w:val="00EF6905"/>
    <w:rsid w:val="00EF693B"/>
    <w:rsid w:val="00EF698E"/>
    <w:rsid w:val="00EF69A2"/>
    <w:rsid w:val="00EF6A25"/>
    <w:rsid w:val="00EF6B9B"/>
    <w:rsid w:val="00EF6C47"/>
    <w:rsid w:val="00EF6DF6"/>
    <w:rsid w:val="00EF6E13"/>
    <w:rsid w:val="00EF6E54"/>
    <w:rsid w:val="00EF6E7E"/>
    <w:rsid w:val="00EF6EDF"/>
    <w:rsid w:val="00EF6F10"/>
    <w:rsid w:val="00EF703B"/>
    <w:rsid w:val="00EF7087"/>
    <w:rsid w:val="00EF70B4"/>
    <w:rsid w:val="00EF70D5"/>
    <w:rsid w:val="00EF73D9"/>
    <w:rsid w:val="00EF7418"/>
    <w:rsid w:val="00EF7463"/>
    <w:rsid w:val="00EF74EA"/>
    <w:rsid w:val="00EF768D"/>
    <w:rsid w:val="00EF7690"/>
    <w:rsid w:val="00EF76C8"/>
    <w:rsid w:val="00EF76F5"/>
    <w:rsid w:val="00EF7705"/>
    <w:rsid w:val="00EF7789"/>
    <w:rsid w:val="00EF77BC"/>
    <w:rsid w:val="00EF787D"/>
    <w:rsid w:val="00EF78F8"/>
    <w:rsid w:val="00EF7940"/>
    <w:rsid w:val="00EF79DA"/>
    <w:rsid w:val="00EF7A0E"/>
    <w:rsid w:val="00EF7C42"/>
    <w:rsid w:val="00EF7E67"/>
    <w:rsid w:val="00EF7E88"/>
    <w:rsid w:val="00EF7EF3"/>
    <w:rsid w:val="00EF7F87"/>
    <w:rsid w:val="00EF7F98"/>
    <w:rsid w:val="00F00047"/>
    <w:rsid w:val="00F00101"/>
    <w:rsid w:val="00F00179"/>
    <w:rsid w:val="00F003EF"/>
    <w:rsid w:val="00F00488"/>
    <w:rsid w:val="00F0059B"/>
    <w:rsid w:val="00F00611"/>
    <w:rsid w:val="00F0066D"/>
    <w:rsid w:val="00F0074B"/>
    <w:rsid w:val="00F00769"/>
    <w:rsid w:val="00F0082C"/>
    <w:rsid w:val="00F0093E"/>
    <w:rsid w:val="00F0094B"/>
    <w:rsid w:val="00F00994"/>
    <w:rsid w:val="00F009B7"/>
    <w:rsid w:val="00F00A1B"/>
    <w:rsid w:val="00F00AD7"/>
    <w:rsid w:val="00F00B54"/>
    <w:rsid w:val="00F00C11"/>
    <w:rsid w:val="00F00C15"/>
    <w:rsid w:val="00F00CEB"/>
    <w:rsid w:val="00F00D5D"/>
    <w:rsid w:val="00F00D8D"/>
    <w:rsid w:val="00F00DA7"/>
    <w:rsid w:val="00F00E8E"/>
    <w:rsid w:val="00F00F36"/>
    <w:rsid w:val="00F00FA3"/>
    <w:rsid w:val="00F00FBC"/>
    <w:rsid w:val="00F0101D"/>
    <w:rsid w:val="00F01057"/>
    <w:rsid w:val="00F0107F"/>
    <w:rsid w:val="00F010D5"/>
    <w:rsid w:val="00F011A1"/>
    <w:rsid w:val="00F013C0"/>
    <w:rsid w:val="00F013FE"/>
    <w:rsid w:val="00F01535"/>
    <w:rsid w:val="00F01584"/>
    <w:rsid w:val="00F015F8"/>
    <w:rsid w:val="00F01618"/>
    <w:rsid w:val="00F016D6"/>
    <w:rsid w:val="00F017B7"/>
    <w:rsid w:val="00F01823"/>
    <w:rsid w:val="00F01907"/>
    <w:rsid w:val="00F01995"/>
    <w:rsid w:val="00F01999"/>
    <w:rsid w:val="00F01AD7"/>
    <w:rsid w:val="00F01B17"/>
    <w:rsid w:val="00F01BB9"/>
    <w:rsid w:val="00F01BBB"/>
    <w:rsid w:val="00F01C6A"/>
    <w:rsid w:val="00F01CBC"/>
    <w:rsid w:val="00F01D06"/>
    <w:rsid w:val="00F01D9A"/>
    <w:rsid w:val="00F01DA6"/>
    <w:rsid w:val="00F01DBD"/>
    <w:rsid w:val="00F01DF2"/>
    <w:rsid w:val="00F01E11"/>
    <w:rsid w:val="00F01E93"/>
    <w:rsid w:val="00F01EF9"/>
    <w:rsid w:val="00F01F9F"/>
    <w:rsid w:val="00F02167"/>
    <w:rsid w:val="00F0216D"/>
    <w:rsid w:val="00F022F8"/>
    <w:rsid w:val="00F0233C"/>
    <w:rsid w:val="00F023C5"/>
    <w:rsid w:val="00F0255F"/>
    <w:rsid w:val="00F02587"/>
    <w:rsid w:val="00F025FE"/>
    <w:rsid w:val="00F026AC"/>
    <w:rsid w:val="00F026C0"/>
    <w:rsid w:val="00F02868"/>
    <w:rsid w:val="00F02879"/>
    <w:rsid w:val="00F02883"/>
    <w:rsid w:val="00F0290B"/>
    <w:rsid w:val="00F029E6"/>
    <w:rsid w:val="00F029F6"/>
    <w:rsid w:val="00F02A66"/>
    <w:rsid w:val="00F02A72"/>
    <w:rsid w:val="00F02B66"/>
    <w:rsid w:val="00F02B77"/>
    <w:rsid w:val="00F02BDF"/>
    <w:rsid w:val="00F02C21"/>
    <w:rsid w:val="00F02C9B"/>
    <w:rsid w:val="00F02D7D"/>
    <w:rsid w:val="00F02DB2"/>
    <w:rsid w:val="00F02EEF"/>
    <w:rsid w:val="00F02F3C"/>
    <w:rsid w:val="00F02F68"/>
    <w:rsid w:val="00F03033"/>
    <w:rsid w:val="00F0310A"/>
    <w:rsid w:val="00F03256"/>
    <w:rsid w:val="00F032D1"/>
    <w:rsid w:val="00F032FF"/>
    <w:rsid w:val="00F0333A"/>
    <w:rsid w:val="00F03492"/>
    <w:rsid w:val="00F034B2"/>
    <w:rsid w:val="00F035A2"/>
    <w:rsid w:val="00F035EB"/>
    <w:rsid w:val="00F03637"/>
    <w:rsid w:val="00F03769"/>
    <w:rsid w:val="00F03823"/>
    <w:rsid w:val="00F03843"/>
    <w:rsid w:val="00F03977"/>
    <w:rsid w:val="00F039DC"/>
    <w:rsid w:val="00F03A5A"/>
    <w:rsid w:val="00F03AA3"/>
    <w:rsid w:val="00F03ADE"/>
    <w:rsid w:val="00F03B36"/>
    <w:rsid w:val="00F03B61"/>
    <w:rsid w:val="00F03CD1"/>
    <w:rsid w:val="00F03CFA"/>
    <w:rsid w:val="00F03D73"/>
    <w:rsid w:val="00F03DF3"/>
    <w:rsid w:val="00F03DF5"/>
    <w:rsid w:val="00F03F47"/>
    <w:rsid w:val="00F03F55"/>
    <w:rsid w:val="00F03FB6"/>
    <w:rsid w:val="00F0404B"/>
    <w:rsid w:val="00F04095"/>
    <w:rsid w:val="00F040D6"/>
    <w:rsid w:val="00F0422B"/>
    <w:rsid w:val="00F042D7"/>
    <w:rsid w:val="00F0444E"/>
    <w:rsid w:val="00F04516"/>
    <w:rsid w:val="00F04576"/>
    <w:rsid w:val="00F045B0"/>
    <w:rsid w:val="00F045D3"/>
    <w:rsid w:val="00F045D4"/>
    <w:rsid w:val="00F04683"/>
    <w:rsid w:val="00F046F8"/>
    <w:rsid w:val="00F04747"/>
    <w:rsid w:val="00F047B7"/>
    <w:rsid w:val="00F0481F"/>
    <w:rsid w:val="00F0495B"/>
    <w:rsid w:val="00F04975"/>
    <w:rsid w:val="00F04999"/>
    <w:rsid w:val="00F04A38"/>
    <w:rsid w:val="00F04A7F"/>
    <w:rsid w:val="00F04AA0"/>
    <w:rsid w:val="00F04AEC"/>
    <w:rsid w:val="00F04BEC"/>
    <w:rsid w:val="00F04C40"/>
    <w:rsid w:val="00F04CB6"/>
    <w:rsid w:val="00F04E74"/>
    <w:rsid w:val="00F04F1E"/>
    <w:rsid w:val="00F0500B"/>
    <w:rsid w:val="00F0502A"/>
    <w:rsid w:val="00F0505D"/>
    <w:rsid w:val="00F05144"/>
    <w:rsid w:val="00F05300"/>
    <w:rsid w:val="00F05362"/>
    <w:rsid w:val="00F0542D"/>
    <w:rsid w:val="00F05478"/>
    <w:rsid w:val="00F05489"/>
    <w:rsid w:val="00F054AB"/>
    <w:rsid w:val="00F05524"/>
    <w:rsid w:val="00F05526"/>
    <w:rsid w:val="00F05530"/>
    <w:rsid w:val="00F055A1"/>
    <w:rsid w:val="00F055BD"/>
    <w:rsid w:val="00F05653"/>
    <w:rsid w:val="00F056C8"/>
    <w:rsid w:val="00F056CC"/>
    <w:rsid w:val="00F0573F"/>
    <w:rsid w:val="00F05910"/>
    <w:rsid w:val="00F05926"/>
    <w:rsid w:val="00F05992"/>
    <w:rsid w:val="00F059EB"/>
    <w:rsid w:val="00F05A62"/>
    <w:rsid w:val="00F05A68"/>
    <w:rsid w:val="00F05AC0"/>
    <w:rsid w:val="00F05B16"/>
    <w:rsid w:val="00F05B47"/>
    <w:rsid w:val="00F05C26"/>
    <w:rsid w:val="00F05C4E"/>
    <w:rsid w:val="00F05C5F"/>
    <w:rsid w:val="00F05EB3"/>
    <w:rsid w:val="00F05EF4"/>
    <w:rsid w:val="00F05F7C"/>
    <w:rsid w:val="00F0601B"/>
    <w:rsid w:val="00F06095"/>
    <w:rsid w:val="00F06187"/>
    <w:rsid w:val="00F061D8"/>
    <w:rsid w:val="00F06222"/>
    <w:rsid w:val="00F06241"/>
    <w:rsid w:val="00F06279"/>
    <w:rsid w:val="00F0627B"/>
    <w:rsid w:val="00F0629C"/>
    <w:rsid w:val="00F06387"/>
    <w:rsid w:val="00F064E2"/>
    <w:rsid w:val="00F0650E"/>
    <w:rsid w:val="00F0657E"/>
    <w:rsid w:val="00F06585"/>
    <w:rsid w:val="00F065C0"/>
    <w:rsid w:val="00F0669F"/>
    <w:rsid w:val="00F066E2"/>
    <w:rsid w:val="00F06763"/>
    <w:rsid w:val="00F068EB"/>
    <w:rsid w:val="00F069D0"/>
    <w:rsid w:val="00F06B01"/>
    <w:rsid w:val="00F06B61"/>
    <w:rsid w:val="00F06C78"/>
    <w:rsid w:val="00F06CE0"/>
    <w:rsid w:val="00F06D25"/>
    <w:rsid w:val="00F06D49"/>
    <w:rsid w:val="00F06EFF"/>
    <w:rsid w:val="00F070B2"/>
    <w:rsid w:val="00F0714C"/>
    <w:rsid w:val="00F0716D"/>
    <w:rsid w:val="00F07247"/>
    <w:rsid w:val="00F072CC"/>
    <w:rsid w:val="00F07371"/>
    <w:rsid w:val="00F07376"/>
    <w:rsid w:val="00F073A1"/>
    <w:rsid w:val="00F073B5"/>
    <w:rsid w:val="00F07457"/>
    <w:rsid w:val="00F074EA"/>
    <w:rsid w:val="00F07541"/>
    <w:rsid w:val="00F07687"/>
    <w:rsid w:val="00F076E6"/>
    <w:rsid w:val="00F076EC"/>
    <w:rsid w:val="00F0781F"/>
    <w:rsid w:val="00F0791B"/>
    <w:rsid w:val="00F0798D"/>
    <w:rsid w:val="00F079A3"/>
    <w:rsid w:val="00F07AC2"/>
    <w:rsid w:val="00F07BE3"/>
    <w:rsid w:val="00F07C34"/>
    <w:rsid w:val="00F07D1D"/>
    <w:rsid w:val="00F07D20"/>
    <w:rsid w:val="00F07D73"/>
    <w:rsid w:val="00F07F2B"/>
    <w:rsid w:val="00F1001C"/>
    <w:rsid w:val="00F100DA"/>
    <w:rsid w:val="00F10124"/>
    <w:rsid w:val="00F1015C"/>
    <w:rsid w:val="00F10172"/>
    <w:rsid w:val="00F10194"/>
    <w:rsid w:val="00F103C9"/>
    <w:rsid w:val="00F103F4"/>
    <w:rsid w:val="00F10401"/>
    <w:rsid w:val="00F10403"/>
    <w:rsid w:val="00F104CD"/>
    <w:rsid w:val="00F10572"/>
    <w:rsid w:val="00F10585"/>
    <w:rsid w:val="00F1062C"/>
    <w:rsid w:val="00F107DA"/>
    <w:rsid w:val="00F108A0"/>
    <w:rsid w:val="00F10963"/>
    <w:rsid w:val="00F10A0F"/>
    <w:rsid w:val="00F10A8F"/>
    <w:rsid w:val="00F10ABB"/>
    <w:rsid w:val="00F10CE7"/>
    <w:rsid w:val="00F10CF8"/>
    <w:rsid w:val="00F10DB2"/>
    <w:rsid w:val="00F10DB9"/>
    <w:rsid w:val="00F10E61"/>
    <w:rsid w:val="00F10E7E"/>
    <w:rsid w:val="00F10EBB"/>
    <w:rsid w:val="00F10F3B"/>
    <w:rsid w:val="00F10F56"/>
    <w:rsid w:val="00F10F8A"/>
    <w:rsid w:val="00F10FED"/>
    <w:rsid w:val="00F11098"/>
    <w:rsid w:val="00F110BB"/>
    <w:rsid w:val="00F110E0"/>
    <w:rsid w:val="00F11191"/>
    <w:rsid w:val="00F111D1"/>
    <w:rsid w:val="00F1122C"/>
    <w:rsid w:val="00F112E3"/>
    <w:rsid w:val="00F1135F"/>
    <w:rsid w:val="00F113BE"/>
    <w:rsid w:val="00F11408"/>
    <w:rsid w:val="00F11473"/>
    <w:rsid w:val="00F114EA"/>
    <w:rsid w:val="00F1152A"/>
    <w:rsid w:val="00F115F2"/>
    <w:rsid w:val="00F11600"/>
    <w:rsid w:val="00F11640"/>
    <w:rsid w:val="00F11736"/>
    <w:rsid w:val="00F11888"/>
    <w:rsid w:val="00F11900"/>
    <w:rsid w:val="00F11952"/>
    <w:rsid w:val="00F11A27"/>
    <w:rsid w:val="00F11C5E"/>
    <w:rsid w:val="00F11C8E"/>
    <w:rsid w:val="00F11C95"/>
    <w:rsid w:val="00F11CEA"/>
    <w:rsid w:val="00F11DBA"/>
    <w:rsid w:val="00F11E04"/>
    <w:rsid w:val="00F11F2E"/>
    <w:rsid w:val="00F12074"/>
    <w:rsid w:val="00F120A9"/>
    <w:rsid w:val="00F1210D"/>
    <w:rsid w:val="00F12136"/>
    <w:rsid w:val="00F12155"/>
    <w:rsid w:val="00F121C8"/>
    <w:rsid w:val="00F121ED"/>
    <w:rsid w:val="00F12226"/>
    <w:rsid w:val="00F122A7"/>
    <w:rsid w:val="00F1232E"/>
    <w:rsid w:val="00F12335"/>
    <w:rsid w:val="00F123BC"/>
    <w:rsid w:val="00F123C7"/>
    <w:rsid w:val="00F123CD"/>
    <w:rsid w:val="00F1244F"/>
    <w:rsid w:val="00F124E7"/>
    <w:rsid w:val="00F125F0"/>
    <w:rsid w:val="00F12686"/>
    <w:rsid w:val="00F12704"/>
    <w:rsid w:val="00F127D8"/>
    <w:rsid w:val="00F12887"/>
    <w:rsid w:val="00F128C3"/>
    <w:rsid w:val="00F128D6"/>
    <w:rsid w:val="00F128F2"/>
    <w:rsid w:val="00F1290E"/>
    <w:rsid w:val="00F129D6"/>
    <w:rsid w:val="00F12A34"/>
    <w:rsid w:val="00F12A53"/>
    <w:rsid w:val="00F12ABD"/>
    <w:rsid w:val="00F12AFC"/>
    <w:rsid w:val="00F12B5E"/>
    <w:rsid w:val="00F12B97"/>
    <w:rsid w:val="00F12C7F"/>
    <w:rsid w:val="00F12CB3"/>
    <w:rsid w:val="00F12CFB"/>
    <w:rsid w:val="00F12FE7"/>
    <w:rsid w:val="00F1303B"/>
    <w:rsid w:val="00F13093"/>
    <w:rsid w:val="00F13128"/>
    <w:rsid w:val="00F1316F"/>
    <w:rsid w:val="00F13174"/>
    <w:rsid w:val="00F131B0"/>
    <w:rsid w:val="00F131D7"/>
    <w:rsid w:val="00F1325D"/>
    <w:rsid w:val="00F1331E"/>
    <w:rsid w:val="00F1337A"/>
    <w:rsid w:val="00F133C8"/>
    <w:rsid w:val="00F133D9"/>
    <w:rsid w:val="00F13466"/>
    <w:rsid w:val="00F134DD"/>
    <w:rsid w:val="00F13509"/>
    <w:rsid w:val="00F1355F"/>
    <w:rsid w:val="00F135AA"/>
    <w:rsid w:val="00F136CD"/>
    <w:rsid w:val="00F137CF"/>
    <w:rsid w:val="00F1383C"/>
    <w:rsid w:val="00F138D5"/>
    <w:rsid w:val="00F138FB"/>
    <w:rsid w:val="00F138FD"/>
    <w:rsid w:val="00F1398F"/>
    <w:rsid w:val="00F139B2"/>
    <w:rsid w:val="00F13A3C"/>
    <w:rsid w:val="00F13A7F"/>
    <w:rsid w:val="00F13AA6"/>
    <w:rsid w:val="00F13B02"/>
    <w:rsid w:val="00F13B7A"/>
    <w:rsid w:val="00F13B9D"/>
    <w:rsid w:val="00F13BEA"/>
    <w:rsid w:val="00F13C63"/>
    <w:rsid w:val="00F13C66"/>
    <w:rsid w:val="00F13CC6"/>
    <w:rsid w:val="00F13D8D"/>
    <w:rsid w:val="00F13DDC"/>
    <w:rsid w:val="00F13E07"/>
    <w:rsid w:val="00F13FBD"/>
    <w:rsid w:val="00F14026"/>
    <w:rsid w:val="00F14029"/>
    <w:rsid w:val="00F140C2"/>
    <w:rsid w:val="00F1417F"/>
    <w:rsid w:val="00F1422B"/>
    <w:rsid w:val="00F142C7"/>
    <w:rsid w:val="00F143B8"/>
    <w:rsid w:val="00F14405"/>
    <w:rsid w:val="00F1447D"/>
    <w:rsid w:val="00F1450C"/>
    <w:rsid w:val="00F14522"/>
    <w:rsid w:val="00F1456C"/>
    <w:rsid w:val="00F145A7"/>
    <w:rsid w:val="00F145E7"/>
    <w:rsid w:val="00F1466A"/>
    <w:rsid w:val="00F1466F"/>
    <w:rsid w:val="00F1468E"/>
    <w:rsid w:val="00F146CF"/>
    <w:rsid w:val="00F1473B"/>
    <w:rsid w:val="00F1479B"/>
    <w:rsid w:val="00F148BB"/>
    <w:rsid w:val="00F14A81"/>
    <w:rsid w:val="00F14A88"/>
    <w:rsid w:val="00F14A91"/>
    <w:rsid w:val="00F14BB7"/>
    <w:rsid w:val="00F14BB9"/>
    <w:rsid w:val="00F14C1C"/>
    <w:rsid w:val="00F14E0A"/>
    <w:rsid w:val="00F14E8D"/>
    <w:rsid w:val="00F14EC1"/>
    <w:rsid w:val="00F14EF1"/>
    <w:rsid w:val="00F14EFA"/>
    <w:rsid w:val="00F14F9F"/>
    <w:rsid w:val="00F15062"/>
    <w:rsid w:val="00F150BE"/>
    <w:rsid w:val="00F150C4"/>
    <w:rsid w:val="00F152A5"/>
    <w:rsid w:val="00F15377"/>
    <w:rsid w:val="00F15403"/>
    <w:rsid w:val="00F1547A"/>
    <w:rsid w:val="00F154F4"/>
    <w:rsid w:val="00F1551E"/>
    <w:rsid w:val="00F1557D"/>
    <w:rsid w:val="00F155ED"/>
    <w:rsid w:val="00F156D7"/>
    <w:rsid w:val="00F156E4"/>
    <w:rsid w:val="00F156EF"/>
    <w:rsid w:val="00F15793"/>
    <w:rsid w:val="00F15853"/>
    <w:rsid w:val="00F158FC"/>
    <w:rsid w:val="00F159BF"/>
    <w:rsid w:val="00F15BE9"/>
    <w:rsid w:val="00F15C80"/>
    <w:rsid w:val="00F15D0D"/>
    <w:rsid w:val="00F15D94"/>
    <w:rsid w:val="00F15E4E"/>
    <w:rsid w:val="00F15E53"/>
    <w:rsid w:val="00F15EE1"/>
    <w:rsid w:val="00F15F28"/>
    <w:rsid w:val="00F15F3C"/>
    <w:rsid w:val="00F15F4B"/>
    <w:rsid w:val="00F15F8C"/>
    <w:rsid w:val="00F1600B"/>
    <w:rsid w:val="00F16030"/>
    <w:rsid w:val="00F16093"/>
    <w:rsid w:val="00F160C3"/>
    <w:rsid w:val="00F160CC"/>
    <w:rsid w:val="00F1615C"/>
    <w:rsid w:val="00F161D1"/>
    <w:rsid w:val="00F16275"/>
    <w:rsid w:val="00F162C7"/>
    <w:rsid w:val="00F162ED"/>
    <w:rsid w:val="00F16306"/>
    <w:rsid w:val="00F1631E"/>
    <w:rsid w:val="00F16364"/>
    <w:rsid w:val="00F1636B"/>
    <w:rsid w:val="00F163F1"/>
    <w:rsid w:val="00F16443"/>
    <w:rsid w:val="00F1647E"/>
    <w:rsid w:val="00F16496"/>
    <w:rsid w:val="00F164FA"/>
    <w:rsid w:val="00F16559"/>
    <w:rsid w:val="00F165E7"/>
    <w:rsid w:val="00F167A1"/>
    <w:rsid w:val="00F167C4"/>
    <w:rsid w:val="00F167E9"/>
    <w:rsid w:val="00F167F9"/>
    <w:rsid w:val="00F16863"/>
    <w:rsid w:val="00F16969"/>
    <w:rsid w:val="00F169A1"/>
    <w:rsid w:val="00F169AC"/>
    <w:rsid w:val="00F169FD"/>
    <w:rsid w:val="00F16A33"/>
    <w:rsid w:val="00F16A9F"/>
    <w:rsid w:val="00F16AFC"/>
    <w:rsid w:val="00F16BF2"/>
    <w:rsid w:val="00F16BF9"/>
    <w:rsid w:val="00F16C15"/>
    <w:rsid w:val="00F16D33"/>
    <w:rsid w:val="00F16DA7"/>
    <w:rsid w:val="00F16DE6"/>
    <w:rsid w:val="00F16DE8"/>
    <w:rsid w:val="00F16E9D"/>
    <w:rsid w:val="00F16ECE"/>
    <w:rsid w:val="00F16ED0"/>
    <w:rsid w:val="00F16F6B"/>
    <w:rsid w:val="00F16FA3"/>
    <w:rsid w:val="00F16FB1"/>
    <w:rsid w:val="00F16FE3"/>
    <w:rsid w:val="00F171E3"/>
    <w:rsid w:val="00F171F6"/>
    <w:rsid w:val="00F1726E"/>
    <w:rsid w:val="00F1729E"/>
    <w:rsid w:val="00F17361"/>
    <w:rsid w:val="00F17370"/>
    <w:rsid w:val="00F173B9"/>
    <w:rsid w:val="00F17409"/>
    <w:rsid w:val="00F17444"/>
    <w:rsid w:val="00F174F7"/>
    <w:rsid w:val="00F174FA"/>
    <w:rsid w:val="00F1755C"/>
    <w:rsid w:val="00F1757C"/>
    <w:rsid w:val="00F1758C"/>
    <w:rsid w:val="00F1767A"/>
    <w:rsid w:val="00F17712"/>
    <w:rsid w:val="00F17733"/>
    <w:rsid w:val="00F17804"/>
    <w:rsid w:val="00F17832"/>
    <w:rsid w:val="00F1790B"/>
    <w:rsid w:val="00F179B2"/>
    <w:rsid w:val="00F179B3"/>
    <w:rsid w:val="00F179CC"/>
    <w:rsid w:val="00F179D7"/>
    <w:rsid w:val="00F179EA"/>
    <w:rsid w:val="00F17A0D"/>
    <w:rsid w:val="00F17A67"/>
    <w:rsid w:val="00F17B1A"/>
    <w:rsid w:val="00F17BC6"/>
    <w:rsid w:val="00F17C22"/>
    <w:rsid w:val="00F17CE8"/>
    <w:rsid w:val="00F17D02"/>
    <w:rsid w:val="00F17DDC"/>
    <w:rsid w:val="00F17E47"/>
    <w:rsid w:val="00F17E79"/>
    <w:rsid w:val="00F17F00"/>
    <w:rsid w:val="00F17FBC"/>
    <w:rsid w:val="00F17FC8"/>
    <w:rsid w:val="00F20017"/>
    <w:rsid w:val="00F200AC"/>
    <w:rsid w:val="00F200E7"/>
    <w:rsid w:val="00F20158"/>
    <w:rsid w:val="00F201A2"/>
    <w:rsid w:val="00F20235"/>
    <w:rsid w:val="00F20297"/>
    <w:rsid w:val="00F202FF"/>
    <w:rsid w:val="00F2033F"/>
    <w:rsid w:val="00F2034E"/>
    <w:rsid w:val="00F205B0"/>
    <w:rsid w:val="00F205B8"/>
    <w:rsid w:val="00F2061D"/>
    <w:rsid w:val="00F2063B"/>
    <w:rsid w:val="00F20655"/>
    <w:rsid w:val="00F206EC"/>
    <w:rsid w:val="00F20740"/>
    <w:rsid w:val="00F20872"/>
    <w:rsid w:val="00F20884"/>
    <w:rsid w:val="00F2095A"/>
    <w:rsid w:val="00F209CB"/>
    <w:rsid w:val="00F20A53"/>
    <w:rsid w:val="00F20AB5"/>
    <w:rsid w:val="00F20B3B"/>
    <w:rsid w:val="00F20BC2"/>
    <w:rsid w:val="00F20C2F"/>
    <w:rsid w:val="00F20D63"/>
    <w:rsid w:val="00F20DA5"/>
    <w:rsid w:val="00F20DC8"/>
    <w:rsid w:val="00F20EB3"/>
    <w:rsid w:val="00F20F0E"/>
    <w:rsid w:val="00F20F22"/>
    <w:rsid w:val="00F20F57"/>
    <w:rsid w:val="00F20F91"/>
    <w:rsid w:val="00F2100A"/>
    <w:rsid w:val="00F210EA"/>
    <w:rsid w:val="00F21101"/>
    <w:rsid w:val="00F21164"/>
    <w:rsid w:val="00F2121C"/>
    <w:rsid w:val="00F2126A"/>
    <w:rsid w:val="00F2127F"/>
    <w:rsid w:val="00F212A1"/>
    <w:rsid w:val="00F2131D"/>
    <w:rsid w:val="00F21320"/>
    <w:rsid w:val="00F21325"/>
    <w:rsid w:val="00F21339"/>
    <w:rsid w:val="00F2137D"/>
    <w:rsid w:val="00F2142E"/>
    <w:rsid w:val="00F214B4"/>
    <w:rsid w:val="00F214DA"/>
    <w:rsid w:val="00F21526"/>
    <w:rsid w:val="00F21696"/>
    <w:rsid w:val="00F216ED"/>
    <w:rsid w:val="00F217A8"/>
    <w:rsid w:val="00F217E8"/>
    <w:rsid w:val="00F21951"/>
    <w:rsid w:val="00F219E0"/>
    <w:rsid w:val="00F21A39"/>
    <w:rsid w:val="00F21B0F"/>
    <w:rsid w:val="00F21B39"/>
    <w:rsid w:val="00F21B83"/>
    <w:rsid w:val="00F21C40"/>
    <w:rsid w:val="00F21CD4"/>
    <w:rsid w:val="00F21D57"/>
    <w:rsid w:val="00F21D8D"/>
    <w:rsid w:val="00F21EA4"/>
    <w:rsid w:val="00F21FFA"/>
    <w:rsid w:val="00F2205C"/>
    <w:rsid w:val="00F220D8"/>
    <w:rsid w:val="00F2211E"/>
    <w:rsid w:val="00F22236"/>
    <w:rsid w:val="00F222AC"/>
    <w:rsid w:val="00F222AE"/>
    <w:rsid w:val="00F2230C"/>
    <w:rsid w:val="00F22329"/>
    <w:rsid w:val="00F22352"/>
    <w:rsid w:val="00F2237D"/>
    <w:rsid w:val="00F223EC"/>
    <w:rsid w:val="00F223F1"/>
    <w:rsid w:val="00F223F6"/>
    <w:rsid w:val="00F2252E"/>
    <w:rsid w:val="00F22601"/>
    <w:rsid w:val="00F22613"/>
    <w:rsid w:val="00F226A0"/>
    <w:rsid w:val="00F226CF"/>
    <w:rsid w:val="00F2279A"/>
    <w:rsid w:val="00F22868"/>
    <w:rsid w:val="00F2286E"/>
    <w:rsid w:val="00F228C4"/>
    <w:rsid w:val="00F22986"/>
    <w:rsid w:val="00F229CE"/>
    <w:rsid w:val="00F229F5"/>
    <w:rsid w:val="00F22A65"/>
    <w:rsid w:val="00F22AF1"/>
    <w:rsid w:val="00F22B46"/>
    <w:rsid w:val="00F22D3A"/>
    <w:rsid w:val="00F22D88"/>
    <w:rsid w:val="00F22F56"/>
    <w:rsid w:val="00F22FB1"/>
    <w:rsid w:val="00F22FFF"/>
    <w:rsid w:val="00F2304C"/>
    <w:rsid w:val="00F23099"/>
    <w:rsid w:val="00F230C4"/>
    <w:rsid w:val="00F2313E"/>
    <w:rsid w:val="00F23280"/>
    <w:rsid w:val="00F23293"/>
    <w:rsid w:val="00F232C2"/>
    <w:rsid w:val="00F232C8"/>
    <w:rsid w:val="00F232D8"/>
    <w:rsid w:val="00F2342D"/>
    <w:rsid w:val="00F23475"/>
    <w:rsid w:val="00F2357E"/>
    <w:rsid w:val="00F235A0"/>
    <w:rsid w:val="00F23639"/>
    <w:rsid w:val="00F2366D"/>
    <w:rsid w:val="00F236BB"/>
    <w:rsid w:val="00F2372D"/>
    <w:rsid w:val="00F237DC"/>
    <w:rsid w:val="00F2387D"/>
    <w:rsid w:val="00F238AD"/>
    <w:rsid w:val="00F23923"/>
    <w:rsid w:val="00F2393C"/>
    <w:rsid w:val="00F23A5A"/>
    <w:rsid w:val="00F23A94"/>
    <w:rsid w:val="00F23AF1"/>
    <w:rsid w:val="00F23BE4"/>
    <w:rsid w:val="00F23BE7"/>
    <w:rsid w:val="00F23CD3"/>
    <w:rsid w:val="00F23D80"/>
    <w:rsid w:val="00F23E5F"/>
    <w:rsid w:val="00F23E68"/>
    <w:rsid w:val="00F23F43"/>
    <w:rsid w:val="00F23FF1"/>
    <w:rsid w:val="00F240D5"/>
    <w:rsid w:val="00F24256"/>
    <w:rsid w:val="00F24352"/>
    <w:rsid w:val="00F2435D"/>
    <w:rsid w:val="00F24362"/>
    <w:rsid w:val="00F243CE"/>
    <w:rsid w:val="00F24537"/>
    <w:rsid w:val="00F24569"/>
    <w:rsid w:val="00F24634"/>
    <w:rsid w:val="00F24651"/>
    <w:rsid w:val="00F247FC"/>
    <w:rsid w:val="00F2487A"/>
    <w:rsid w:val="00F248CD"/>
    <w:rsid w:val="00F248FB"/>
    <w:rsid w:val="00F24907"/>
    <w:rsid w:val="00F249EA"/>
    <w:rsid w:val="00F24A5B"/>
    <w:rsid w:val="00F24ABC"/>
    <w:rsid w:val="00F24B4C"/>
    <w:rsid w:val="00F24B80"/>
    <w:rsid w:val="00F24B8E"/>
    <w:rsid w:val="00F24BD7"/>
    <w:rsid w:val="00F24C08"/>
    <w:rsid w:val="00F24DDF"/>
    <w:rsid w:val="00F24E95"/>
    <w:rsid w:val="00F24EA2"/>
    <w:rsid w:val="00F24EE5"/>
    <w:rsid w:val="00F24EF1"/>
    <w:rsid w:val="00F25010"/>
    <w:rsid w:val="00F250A8"/>
    <w:rsid w:val="00F250D4"/>
    <w:rsid w:val="00F250E2"/>
    <w:rsid w:val="00F251F4"/>
    <w:rsid w:val="00F25201"/>
    <w:rsid w:val="00F2526E"/>
    <w:rsid w:val="00F25299"/>
    <w:rsid w:val="00F252BB"/>
    <w:rsid w:val="00F25310"/>
    <w:rsid w:val="00F25410"/>
    <w:rsid w:val="00F25583"/>
    <w:rsid w:val="00F255AF"/>
    <w:rsid w:val="00F25628"/>
    <w:rsid w:val="00F25629"/>
    <w:rsid w:val="00F25635"/>
    <w:rsid w:val="00F256AC"/>
    <w:rsid w:val="00F2579C"/>
    <w:rsid w:val="00F25814"/>
    <w:rsid w:val="00F259B3"/>
    <w:rsid w:val="00F259CF"/>
    <w:rsid w:val="00F25A05"/>
    <w:rsid w:val="00F25A51"/>
    <w:rsid w:val="00F25C12"/>
    <w:rsid w:val="00F25C1A"/>
    <w:rsid w:val="00F25C1C"/>
    <w:rsid w:val="00F25E2E"/>
    <w:rsid w:val="00F25E41"/>
    <w:rsid w:val="00F25E54"/>
    <w:rsid w:val="00F25EFB"/>
    <w:rsid w:val="00F25F16"/>
    <w:rsid w:val="00F25FE2"/>
    <w:rsid w:val="00F25FEA"/>
    <w:rsid w:val="00F26108"/>
    <w:rsid w:val="00F26163"/>
    <w:rsid w:val="00F26231"/>
    <w:rsid w:val="00F2625A"/>
    <w:rsid w:val="00F262CB"/>
    <w:rsid w:val="00F262F5"/>
    <w:rsid w:val="00F262FF"/>
    <w:rsid w:val="00F26314"/>
    <w:rsid w:val="00F2635A"/>
    <w:rsid w:val="00F2642B"/>
    <w:rsid w:val="00F2643C"/>
    <w:rsid w:val="00F26520"/>
    <w:rsid w:val="00F2656F"/>
    <w:rsid w:val="00F26582"/>
    <w:rsid w:val="00F265E4"/>
    <w:rsid w:val="00F266A9"/>
    <w:rsid w:val="00F266BC"/>
    <w:rsid w:val="00F267AB"/>
    <w:rsid w:val="00F267F4"/>
    <w:rsid w:val="00F268AA"/>
    <w:rsid w:val="00F268F2"/>
    <w:rsid w:val="00F2696B"/>
    <w:rsid w:val="00F26B47"/>
    <w:rsid w:val="00F26BB2"/>
    <w:rsid w:val="00F26BD2"/>
    <w:rsid w:val="00F26C30"/>
    <w:rsid w:val="00F26C70"/>
    <w:rsid w:val="00F26D5C"/>
    <w:rsid w:val="00F26D8E"/>
    <w:rsid w:val="00F26EE3"/>
    <w:rsid w:val="00F26F07"/>
    <w:rsid w:val="00F26F3C"/>
    <w:rsid w:val="00F27005"/>
    <w:rsid w:val="00F2701A"/>
    <w:rsid w:val="00F27027"/>
    <w:rsid w:val="00F27123"/>
    <w:rsid w:val="00F27132"/>
    <w:rsid w:val="00F2716E"/>
    <w:rsid w:val="00F2722B"/>
    <w:rsid w:val="00F2723C"/>
    <w:rsid w:val="00F27284"/>
    <w:rsid w:val="00F27385"/>
    <w:rsid w:val="00F27399"/>
    <w:rsid w:val="00F274E8"/>
    <w:rsid w:val="00F27501"/>
    <w:rsid w:val="00F27506"/>
    <w:rsid w:val="00F2751D"/>
    <w:rsid w:val="00F27554"/>
    <w:rsid w:val="00F27597"/>
    <w:rsid w:val="00F275E7"/>
    <w:rsid w:val="00F27631"/>
    <w:rsid w:val="00F27893"/>
    <w:rsid w:val="00F2789A"/>
    <w:rsid w:val="00F278A9"/>
    <w:rsid w:val="00F278B0"/>
    <w:rsid w:val="00F278D7"/>
    <w:rsid w:val="00F2796B"/>
    <w:rsid w:val="00F27A70"/>
    <w:rsid w:val="00F27B59"/>
    <w:rsid w:val="00F27B73"/>
    <w:rsid w:val="00F27C11"/>
    <w:rsid w:val="00F27C1C"/>
    <w:rsid w:val="00F27C8D"/>
    <w:rsid w:val="00F27C9A"/>
    <w:rsid w:val="00F27D18"/>
    <w:rsid w:val="00F27D68"/>
    <w:rsid w:val="00F27DCE"/>
    <w:rsid w:val="00F27E1B"/>
    <w:rsid w:val="00F27E27"/>
    <w:rsid w:val="00F27E5E"/>
    <w:rsid w:val="00F27E82"/>
    <w:rsid w:val="00F27F2E"/>
    <w:rsid w:val="00F27F8C"/>
    <w:rsid w:val="00F30025"/>
    <w:rsid w:val="00F30040"/>
    <w:rsid w:val="00F30066"/>
    <w:rsid w:val="00F300F7"/>
    <w:rsid w:val="00F300FC"/>
    <w:rsid w:val="00F30113"/>
    <w:rsid w:val="00F30154"/>
    <w:rsid w:val="00F30193"/>
    <w:rsid w:val="00F301B1"/>
    <w:rsid w:val="00F30236"/>
    <w:rsid w:val="00F30241"/>
    <w:rsid w:val="00F302D7"/>
    <w:rsid w:val="00F303F1"/>
    <w:rsid w:val="00F3045A"/>
    <w:rsid w:val="00F304C6"/>
    <w:rsid w:val="00F304ED"/>
    <w:rsid w:val="00F304F9"/>
    <w:rsid w:val="00F3055A"/>
    <w:rsid w:val="00F305B2"/>
    <w:rsid w:val="00F305D2"/>
    <w:rsid w:val="00F30628"/>
    <w:rsid w:val="00F30658"/>
    <w:rsid w:val="00F3066E"/>
    <w:rsid w:val="00F30719"/>
    <w:rsid w:val="00F307DC"/>
    <w:rsid w:val="00F3080B"/>
    <w:rsid w:val="00F3080F"/>
    <w:rsid w:val="00F30856"/>
    <w:rsid w:val="00F308DE"/>
    <w:rsid w:val="00F3090F"/>
    <w:rsid w:val="00F30932"/>
    <w:rsid w:val="00F309B2"/>
    <w:rsid w:val="00F30B2A"/>
    <w:rsid w:val="00F30B88"/>
    <w:rsid w:val="00F30C0E"/>
    <w:rsid w:val="00F30C58"/>
    <w:rsid w:val="00F30CBF"/>
    <w:rsid w:val="00F30D36"/>
    <w:rsid w:val="00F30D52"/>
    <w:rsid w:val="00F30D9F"/>
    <w:rsid w:val="00F30FBB"/>
    <w:rsid w:val="00F3101B"/>
    <w:rsid w:val="00F312AD"/>
    <w:rsid w:val="00F3135D"/>
    <w:rsid w:val="00F31432"/>
    <w:rsid w:val="00F3143F"/>
    <w:rsid w:val="00F31541"/>
    <w:rsid w:val="00F3156E"/>
    <w:rsid w:val="00F315FA"/>
    <w:rsid w:val="00F3163A"/>
    <w:rsid w:val="00F3176F"/>
    <w:rsid w:val="00F3189B"/>
    <w:rsid w:val="00F3194B"/>
    <w:rsid w:val="00F31963"/>
    <w:rsid w:val="00F31964"/>
    <w:rsid w:val="00F31985"/>
    <w:rsid w:val="00F319EF"/>
    <w:rsid w:val="00F31A08"/>
    <w:rsid w:val="00F31A49"/>
    <w:rsid w:val="00F31AC8"/>
    <w:rsid w:val="00F31D72"/>
    <w:rsid w:val="00F31DB3"/>
    <w:rsid w:val="00F31DEE"/>
    <w:rsid w:val="00F31E06"/>
    <w:rsid w:val="00F31E5A"/>
    <w:rsid w:val="00F31E67"/>
    <w:rsid w:val="00F31EA4"/>
    <w:rsid w:val="00F31EAE"/>
    <w:rsid w:val="00F31EDD"/>
    <w:rsid w:val="00F31EE8"/>
    <w:rsid w:val="00F31EEA"/>
    <w:rsid w:val="00F31F60"/>
    <w:rsid w:val="00F31FAA"/>
    <w:rsid w:val="00F32020"/>
    <w:rsid w:val="00F321AD"/>
    <w:rsid w:val="00F32213"/>
    <w:rsid w:val="00F3233A"/>
    <w:rsid w:val="00F3234F"/>
    <w:rsid w:val="00F323C9"/>
    <w:rsid w:val="00F3240B"/>
    <w:rsid w:val="00F324E4"/>
    <w:rsid w:val="00F324F5"/>
    <w:rsid w:val="00F324FB"/>
    <w:rsid w:val="00F324FD"/>
    <w:rsid w:val="00F3251B"/>
    <w:rsid w:val="00F32593"/>
    <w:rsid w:val="00F32669"/>
    <w:rsid w:val="00F326F4"/>
    <w:rsid w:val="00F32700"/>
    <w:rsid w:val="00F3272B"/>
    <w:rsid w:val="00F327AC"/>
    <w:rsid w:val="00F328E4"/>
    <w:rsid w:val="00F32905"/>
    <w:rsid w:val="00F329B8"/>
    <w:rsid w:val="00F329CD"/>
    <w:rsid w:val="00F329E3"/>
    <w:rsid w:val="00F32A6A"/>
    <w:rsid w:val="00F32A82"/>
    <w:rsid w:val="00F32A9B"/>
    <w:rsid w:val="00F32AFB"/>
    <w:rsid w:val="00F32CAC"/>
    <w:rsid w:val="00F32D02"/>
    <w:rsid w:val="00F32DC9"/>
    <w:rsid w:val="00F32DE0"/>
    <w:rsid w:val="00F32DFD"/>
    <w:rsid w:val="00F32EA8"/>
    <w:rsid w:val="00F32EFA"/>
    <w:rsid w:val="00F33062"/>
    <w:rsid w:val="00F33167"/>
    <w:rsid w:val="00F331A3"/>
    <w:rsid w:val="00F331EB"/>
    <w:rsid w:val="00F33208"/>
    <w:rsid w:val="00F3320C"/>
    <w:rsid w:val="00F33213"/>
    <w:rsid w:val="00F33222"/>
    <w:rsid w:val="00F33285"/>
    <w:rsid w:val="00F3335E"/>
    <w:rsid w:val="00F3339E"/>
    <w:rsid w:val="00F333A5"/>
    <w:rsid w:val="00F333E1"/>
    <w:rsid w:val="00F33426"/>
    <w:rsid w:val="00F334D4"/>
    <w:rsid w:val="00F3356F"/>
    <w:rsid w:val="00F33660"/>
    <w:rsid w:val="00F337FE"/>
    <w:rsid w:val="00F33847"/>
    <w:rsid w:val="00F33851"/>
    <w:rsid w:val="00F33881"/>
    <w:rsid w:val="00F338C9"/>
    <w:rsid w:val="00F3391F"/>
    <w:rsid w:val="00F3394E"/>
    <w:rsid w:val="00F339BD"/>
    <w:rsid w:val="00F33AB6"/>
    <w:rsid w:val="00F33AFA"/>
    <w:rsid w:val="00F33B2D"/>
    <w:rsid w:val="00F33B64"/>
    <w:rsid w:val="00F33BA3"/>
    <w:rsid w:val="00F33BFE"/>
    <w:rsid w:val="00F33C06"/>
    <w:rsid w:val="00F33CCF"/>
    <w:rsid w:val="00F33D60"/>
    <w:rsid w:val="00F33D8F"/>
    <w:rsid w:val="00F33DB2"/>
    <w:rsid w:val="00F33F45"/>
    <w:rsid w:val="00F33F61"/>
    <w:rsid w:val="00F3406E"/>
    <w:rsid w:val="00F3408C"/>
    <w:rsid w:val="00F340AF"/>
    <w:rsid w:val="00F34121"/>
    <w:rsid w:val="00F3418B"/>
    <w:rsid w:val="00F3421E"/>
    <w:rsid w:val="00F34231"/>
    <w:rsid w:val="00F3423E"/>
    <w:rsid w:val="00F34266"/>
    <w:rsid w:val="00F34302"/>
    <w:rsid w:val="00F3436A"/>
    <w:rsid w:val="00F343D9"/>
    <w:rsid w:val="00F343EA"/>
    <w:rsid w:val="00F3444B"/>
    <w:rsid w:val="00F34487"/>
    <w:rsid w:val="00F344EF"/>
    <w:rsid w:val="00F34501"/>
    <w:rsid w:val="00F34523"/>
    <w:rsid w:val="00F3453E"/>
    <w:rsid w:val="00F345DA"/>
    <w:rsid w:val="00F345F3"/>
    <w:rsid w:val="00F346AD"/>
    <w:rsid w:val="00F346CC"/>
    <w:rsid w:val="00F3477F"/>
    <w:rsid w:val="00F3497A"/>
    <w:rsid w:val="00F34992"/>
    <w:rsid w:val="00F349D5"/>
    <w:rsid w:val="00F34A1D"/>
    <w:rsid w:val="00F34A22"/>
    <w:rsid w:val="00F34A2C"/>
    <w:rsid w:val="00F34A7A"/>
    <w:rsid w:val="00F34A93"/>
    <w:rsid w:val="00F34A99"/>
    <w:rsid w:val="00F34AB4"/>
    <w:rsid w:val="00F34C01"/>
    <w:rsid w:val="00F34C33"/>
    <w:rsid w:val="00F34C44"/>
    <w:rsid w:val="00F34C90"/>
    <w:rsid w:val="00F34D51"/>
    <w:rsid w:val="00F34DBF"/>
    <w:rsid w:val="00F34EAF"/>
    <w:rsid w:val="00F34F56"/>
    <w:rsid w:val="00F34F69"/>
    <w:rsid w:val="00F34F7A"/>
    <w:rsid w:val="00F3503E"/>
    <w:rsid w:val="00F35068"/>
    <w:rsid w:val="00F3510D"/>
    <w:rsid w:val="00F35172"/>
    <w:rsid w:val="00F351EC"/>
    <w:rsid w:val="00F35253"/>
    <w:rsid w:val="00F353FF"/>
    <w:rsid w:val="00F35428"/>
    <w:rsid w:val="00F3562F"/>
    <w:rsid w:val="00F356B9"/>
    <w:rsid w:val="00F356CC"/>
    <w:rsid w:val="00F356D0"/>
    <w:rsid w:val="00F356EE"/>
    <w:rsid w:val="00F35737"/>
    <w:rsid w:val="00F35747"/>
    <w:rsid w:val="00F3575F"/>
    <w:rsid w:val="00F3579E"/>
    <w:rsid w:val="00F357D5"/>
    <w:rsid w:val="00F3588D"/>
    <w:rsid w:val="00F35896"/>
    <w:rsid w:val="00F3593F"/>
    <w:rsid w:val="00F359C1"/>
    <w:rsid w:val="00F35A79"/>
    <w:rsid w:val="00F35B33"/>
    <w:rsid w:val="00F35C55"/>
    <w:rsid w:val="00F35CAB"/>
    <w:rsid w:val="00F35E82"/>
    <w:rsid w:val="00F35EA2"/>
    <w:rsid w:val="00F35F44"/>
    <w:rsid w:val="00F35FE2"/>
    <w:rsid w:val="00F3604F"/>
    <w:rsid w:val="00F36278"/>
    <w:rsid w:val="00F36288"/>
    <w:rsid w:val="00F362DB"/>
    <w:rsid w:val="00F36350"/>
    <w:rsid w:val="00F3638A"/>
    <w:rsid w:val="00F363E4"/>
    <w:rsid w:val="00F3642D"/>
    <w:rsid w:val="00F364DF"/>
    <w:rsid w:val="00F364FC"/>
    <w:rsid w:val="00F365AC"/>
    <w:rsid w:val="00F3669B"/>
    <w:rsid w:val="00F367B7"/>
    <w:rsid w:val="00F36808"/>
    <w:rsid w:val="00F36976"/>
    <w:rsid w:val="00F36A00"/>
    <w:rsid w:val="00F36A13"/>
    <w:rsid w:val="00F36A2A"/>
    <w:rsid w:val="00F36B4B"/>
    <w:rsid w:val="00F36BF2"/>
    <w:rsid w:val="00F36BF7"/>
    <w:rsid w:val="00F36C45"/>
    <w:rsid w:val="00F36C5F"/>
    <w:rsid w:val="00F36C89"/>
    <w:rsid w:val="00F36D32"/>
    <w:rsid w:val="00F36D63"/>
    <w:rsid w:val="00F36E9B"/>
    <w:rsid w:val="00F36EA5"/>
    <w:rsid w:val="00F36EB2"/>
    <w:rsid w:val="00F36F9F"/>
    <w:rsid w:val="00F36FE9"/>
    <w:rsid w:val="00F36FF2"/>
    <w:rsid w:val="00F36FF9"/>
    <w:rsid w:val="00F3704E"/>
    <w:rsid w:val="00F371A0"/>
    <w:rsid w:val="00F371B2"/>
    <w:rsid w:val="00F37297"/>
    <w:rsid w:val="00F3731F"/>
    <w:rsid w:val="00F373E5"/>
    <w:rsid w:val="00F3744F"/>
    <w:rsid w:val="00F37463"/>
    <w:rsid w:val="00F374A0"/>
    <w:rsid w:val="00F3750E"/>
    <w:rsid w:val="00F37580"/>
    <w:rsid w:val="00F375AE"/>
    <w:rsid w:val="00F375E2"/>
    <w:rsid w:val="00F3763D"/>
    <w:rsid w:val="00F3768A"/>
    <w:rsid w:val="00F37710"/>
    <w:rsid w:val="00F3783B"/>
    <w:rsid w:val="00F37857"/>
    <w:rsid w:val="00F378E0"/>
    <w:rsid w:val="00F379A0"/>
    <w:rsid w:val="00F37A2C"/>
    <w:rsid w:val="00F37A83"/>
    <w:rsid w:val="00F37ADA"/>
    <w:rsid w:val="00F37C1A"/>
    <w:rsid w:val="00F37C2D"/>
    <w:rsid w:val="00F37E48"/>
    <w:rsid w:val="00F37E58"/>
    <w:rsid w:val="00F37EEE"/>
    <w:rsid w:val="00F37F34"/>
    <w:rsid w:val="00F37F6E"/>
    <w:rsid w:val="00F37F9C"/>
    <w:rsid w:val="00F4011D"/>
    <w:rsid w:val="00F40121"/>
    <w:rsid w:val="00F40195"/>
    <w:rsid w:val="00F401D5"/>
    <w:rsid w:val="00F40228"/>
    <w:rsid w:val="00F40292"/>
    <w:rsid w:val="00F402B7"/>
    <w:rsid w:val="00F40408"/>
    <w:rsid w:val="00F40455"/>
    <w:rsid w:val="00F405E3"/>
    <w:rsid w:val="00F405EE"/>
    <w:rsid w:val="00F406E0"/>
    <w:rsid w:val="00F4070E"/>
    <w:rsid w:val="00F4071C"/>
    <w:rsid w:val="00F40756"/>
    <w:rsid w:val="00F4082E"/>
    <w:rsid w:val="00F4087B"/>
    <w:rsid w:val="00F408B2"/>
    <w:rsid w:val="00F40919"/>
    <w:rsid w:val="00F4092A"/>
    <w:rsid w:val="00F409D8"/>
    <w:rsid w:val="00F40A20"/>
    <w:rsid w:val="00F40B29"/>
    <w:rsid w:val="00F40B76"/>
    <w:rsid w:val="00F40B7A"/>
    <w:rsid w:val="00F40C00"/>
    <w:rsid w:val="00F40E70"/>
    <w:rsid w:val="00F40FDA"/>
    <w:rsid w:val="00F41161"/>
    <w:rsid w:val="00F411AE"/>
    <w:rsid w:val="00F4127D"/>
    <w:rsid w:val="00F412C9"/>
    <w:rsid w:val="00F412F1"/>
    <w:rsid w:val="00F413B9"/>
    <w:rsid w:val="00F413F4"/>
    <w:rsid w:val="00F4141F"/>
    <w:rsid w:val="00F415F4"/>
    <w:rsid w:val="00F415F6"/>
    <w:rsid w:val="00F41602"/>
    <w:rsid w:val="00F41661"/>
    <w:rsid w:val="00F41724"/>
    <w:rsid w:val="00F417CA"/>
    <w:rsid w:val="00F41844"/>
    <w:rsid w:val="00F4184E"/>
    <w:rsid w:val="00F419E0"/>
    <w:rsid w:val="00F41A9A"/>
    <w:rsid w:val="00F41AFF"/>
    <w:rsid w:val="00F41B63"/>
    <w:rsid w:val="00F41B6E"/>
    <w:rsid w:val="00F41B8C"/>
    <w:rsid w:val="00F41C54"/>
    <w:rsid w:val="00F41CDD"/>
    <w:rsid w:val="00F41CE6"/>
    <w:rsid w:val="00F41D19"/>
    <w:rsid w:val="00F41D9C"/>
    <w:rsid w:val="00F41EC4"/>
    <w:rsid w:val="00F41F3C"/>
    <w:rsid w:val="00F42026"/>
    <w:rsid w:val="00F42204"/>
    <w:rsid w:val="00F42215"/>
    <w:rsid w:val="00F42247"/>
    <w:rsid w:val="00F422C9"/>
    <w:rsid w:val="00F422D9"/>
    <w:rsid w:val="00F42443"/>
    <w:rsid w:val="00F4245A"/>
    <w:rsid w:val="00F42490"/>
    <w:rsid w:val="00F424EA"/>
    <w:rsid w:val="00F4250D"/>
    <w:rsid w:val="00F425AB"/>
    <w:rsid w:val="00F4266C"/>
    <w:rsid w:val="00F426D5"/>
    <w:rsid w:val="00F4270D"/>
    <w:rsid w:val="00F42737"/>
    <w:rsid w:val="00F4278F"/>
    <w:rsid w:val="00F4279F"/>
    <w:rsid w:val="00F427C4"/>
    <w:rsid w:val="00F42822"/>
    <w:rsid w:val="00F42841"/>
    <w:rsid w:val="00F42888"/>
    <w:rsid w:val="00F4293B"/>
    <w:rsid w:val="00F42952"/>
    <w:rsid w:val="00F42955"/>
    <w:rsid w:val="00F42A02"/>
    <w:rsid w:val="00F42A03"/>
    <w:rsid w:val="00F42A1A"/>
    <w:rsid w:val="00F42AB1"/>
    <w:rsid w:val="00F42AED"/>
    <w:rsid w:val="00F42B4A"/>
    <w:rsid w:val="00F42C17"/>
    <w:rsid w:val="00F42C80"/>
    <w:rsid w:val="00F42C9A"/>
    <w:rsid w:val="00F42D4D"/>
    <w:rsid w:val="00F42D77"/>
    <w:rsid w:val="00F42D90"/>
    <w:rsid w:val="00F42DFD"/>
    <w:rsid w:val="00F42DFF"/>
    <w:rsid w:val="00F42E36"/>
    <w:rsid w:val="00F42EDE"/>
    <w:rsid w:val="00F42F7B"/>
    <w:rsid w:val="00F42F9A"/>
    <w:rsid w:val="00F42FB1"/>
    <w:rsid w:val="00F42FF9"/>
    <w:rsid w:val="00F4302D"/>
    <w:rsid w:val="00F430C5"/>
    <w:rsid w:val="00F43131"/>
    <w:rsid w:val="00F431E2"/>
    <w:rsid w:val="00F431FE"/>
    <w:rsid w:val="00F43205"/>
    <w:rsid w:val="00F4323F"/>
    <w:rsid w:val="00F4325C"/>
    <w:rsid w:val="00F43300"/>
    <w:rsid w:val="00F43313"/>
    <w:rsid w:val="00F43323"/>
    <w:rsid w:val="00F43417"/>
    <w:rsid w:val="00F43487"/>
    <w:rsid w:val="00F434CB"/>
    <w:rsid w:val="00F434DC"/>
    <w:rsid w:val="00F435EB"/>
    <w:rsid w:val="00F43677"/>
    <w:rsid w:val="00F43775"/>
    <w:rsid w:val="00F4377F"/>
    <w:rsid w:val="00F43877"/>
    <w:rsid w:val="00F43893"/>
    <w:rsid w:val="00F438A9"/>
    <w:rsid w:val="00F43938"/>
    <w:rsid w:val="00F43946"/>
    <w:rsid w:val="00F4397F"/>
    <w:rsid w:val="00F439A9"/>
    <w:rsid w:val="00F43AF5"/>
    <w:rsid w:val="00F43AF8"/>
    <w:rsid w:val="00F43BEA"/>
    <w:rsid w:val="00F43BF6"/>
    <w:rsid w:val="00F43C2B"/>
    <w:rsid w:val="00F43C52"/>
    <w:rsid w:val="00F43CD4"/>
    <w:rsid w:val="00F43D60"/>
    <w:rsid w:val="00F43E2B"/>
    <w:rsid w:val="00F43EDD"/>
    <w:rsid w:val="00F43F33"/>
    <w:rsid w:val="00F43F5F"/>
    <w:rsid w:val="00F43F96"/>
    <w:rsid w:val="00F43F99"/>
    <w:rsid w:val="00F44066"/>
    <w:rsid w:val="00F4407D"/>
    <w:rsid w:val="00F440BB"/>
    <w:rsid w:val="00F4419D"/>
    <w:rsid w:val="00F442F9"/>
    <w:rsid w:val="00F4430A"/>
    <w:rsid w:val="00F443C7"/>
    <w:rsid w:val="00F44484"/>
    <w:rsid w:val="00F445B4"/>
    <w:rsid w:val="00F44603"/>
    <w:rsid w:val="00F44615"/>
    <w:rsid w:val="00F4466E"/>
    <w:rsid w:val="00F4472E"/>
    <w:rsid w:val="00F448CE"/>
    <w:rsid w:val="00F448D9"/>
    <w:rsid w:val="00F44A1A"/>
    <w:rsid w:val="00F44C68"/>
    <w:rsid w:val="00F44C97"/>
    <w:rsid w:val="00F44D6F"/>
    <w:rsid w:val="00F44E00"/>
    <w:rsid w:val="00F44EE4"/>
    <w:rsid w:val="00F44F77"/>
    <w:rsid w:val="00F44FC4"/>
    <w:rsid w:val="00F44FC7"/>
    <w:rsid w:val="00F44FEC"/>
    <w:rsid w:val="00F45092"/>
    <w:rsid w:val="00F450C6"/>
    <w:rsid w:val="00F450D4"/>
    <w:rsid w:val="00F4511A"/>
    <w:rsid w:val="00F4511B"/>
    <w:rsid w:val="00F45138"/>
    <w:rsid w:val="00F451AE"/>
    <w:rsid w:val="00F451D8"/>
    <w:rsid w:val="00F451FA"/>
    <w:rsid w:val="00F4527F"/>
    <w:rsid w:val="00F4536D"/>
    <w:rsid w:val="00F4537A"/>
    <w:rsid w:val="00F453B9"/>
    <w:rsid w:val="00F45439"/>
    <w:rsid w:val="00F454C9"/>
    <w:rsid w:val="00F45505"/>
    <w:rsid w:val="00F45513"/>
    <w:rsid w:val="00F4556B"/>
    <w:rsid w:val="00F4570E"/>
    <w:rsid w:val="00F45744"/>
    <w:rsid w:val="00F457BB"/>
    <w:rsid w:val="00F4581A"/>
    <w:rsid w:val="00F4583A"/>
    <w:rsid w:val="00F458A9"/>
    <w:rsid w:val="00F45A0D"/>
    <w:rsid w:val="00F45A1D"/>
    <w:rsid w:val="00F45A6C"/>
    <w:rsid w:val="00F45AC7"/>
    <w:rsid w:val="00F45B4E"/>
    <w:rsid w:val="00F45B89"/>
    <w:rsid w:val="00F45BB2"/>
    <w:rsid w:val="00F45CC9"/>
    <w:rsid w:val="00F45D88"/>
    <w:rsid w:val="00F45E23"/>
    <w:rsid w:val="00F45F20"/>
    <w:rsid w:val="00F460C3"/>
    <w:rsid w:val="00F461E2"/>
    <w:rsid w:val="00F462AE"/>
    <w:rsid w:val="00F462E3"/>
    <w:rsid w:val="00F46435"/>
    <w:rsid w:val="00F46474"/>
    <w:rsid w:val="00F464AE"/>
    <w:rsid w:val="00F465B9"/>
    <w:rsid w:val="00F465BA"/>
    <w:rsid w:val="00F466CB"/>
    <w:rsid w:val="00F46702"/>
    <w:rsid w:val="00F46759"/>
    <w:rsid w:val="00F467B8"/>
    <w:rsid w:val="00F467BC"/>
    <w:rsid w:val="00F46802"/>
    <w:rsid w:val="00F4687B"/>
    <w:rsid w:val="00F468AA"/>
    <w:rsid w:val="00F468C9"/>
    <w:rsid w:val="00F46917"/>
    <w:rsid w:val="00F469D4"/>
    <w:rsid w:val="00F46A46"/>
    <w:rsid w:val="00F46A48"/>
    <w:rsid w:val="00F46A8A"/>
    <w:rsid w:val="00F46AD5"/>
    <w:rsid w:val="00F46BA7"/>
    <w:rsid w:val="00F46BFB"/>
    <w:rsid w:val="00F46C3B"/>
    <w:rsid w:val="00F46C79"/>
    <w:rsid w:val="00F46D24"/>
    <w:rsid w:val="00F46D63"/>
    <w:rsid w:val="00F46E0A"/>
    <w:rsid w:val="00F46E8A"/>
    <w:rsid w:val="00F46EC3"/>
    <w:rsid w:val="00F46EE1"/>
    <w:rsid w:val="00F47031"/>
    <w:rsid w:val="00F4704A"/>
    <w:rsid w:val="00F47063"/>
    <w:rsid w:val="00F47087"/>
    <w:rsid w:val="00F47088"/>
    <w:rsid w:val="00F4709E"/>
    <w:rsid w:val="00F47126"/>
    <w:rsid w:val="00F471CF"/>
    <w:rsid w:val="00F47287"/>
    <w:rsid w:val="00F47315"/>
    <w:rsid w:val="00F47420"/>
    <w:rsid w:val="00F474A4"/>
    <w:rsid w:val="00F474DF"/>
    <w:rsid w:val="00F475FC"/>
    <w:rsid w:val="00F475FE"/>
    <w:rsid w:val="00F47639"/>
    <w:rsid w:val="00F4766E"/>
    <w:rsid w:val="00F476B7"/>
    <w:rsid w:val="00F477AD"/>
    <w:rsid w:val="00F4780F"/>
    <w:rsid w:val="00F4781B"/>
    <w:rsid w:val="00F4788B"/>
    <w:rsid w:val="00F478A2"/>
    <w:rsid w:val="00F478E2"/>
    <w:rsid w:val="00F478F8"/>
    <w:rsid w:val="00F47969"/>
    <w:rsid w:val="00F4799F"/>
    <w:rsid w:val="00F47B15"/>
    <w:rsid w:val="00F47B39"/>
    <w:rsid w:val="00F47B6A"/>
    <w:rsid w:val="00F47CD8"/>
    <w:rsid w:val="00F47CF7"/>
    <w:rsid w:val="00F47D8C"/>
    <w:rsid w:val="00F47DC1"/>
    <w:rsid w:val="00F47DCF"/>
    <w:rsid w:val="00F47DD1"/>
    <w:rsid w:val="00F47F77"/>
    <w:rsid w:val="00F47F83"/>
    <w:rsid w:val="00F47FF3"/>
    <w:rsid w:val="00F5009D"/>
    <w:rsid w:val="00F500CC"/>
    <w:rsid w:val="00F500FB"/>
    <w:rsid w:val="00F501E7"/>
    <w:rsid w:val="00F50224"/>
    <w:rsid w:val="00F50309"/>
    <w:rsid w:val="00F5031C"/>
    <w:rsid w:val="00F5038C"/>
    <w:rsid w:val="00F5044E"/>
    <w:rsid w:val="00F504BD"/>
    <w:rsid w:val="00F504F5"/>
    <w:rsid w:val="00F505EC"/>
    <w:rsid w:val="00F50714"/>
    <w:rsid w:val="00F5073A"/>
    <w:rsid w:val="00F5077B"/>
    <w:rsid w:val="00F507E5"/>
    <w:rsid w:val="00F50808"/>
    <w:rsid w:val="00F5080B"/>
    <w:rsid w:val="00F50855"/>
    <w:rsid w:val="00F509AD"/>
    <w:rsid w:val="00F50A81"/>
    <w:rsid w:val="00F50B00"/>
    <w:rsid w:val="00F50B6F"/>
    <w:rsid w:val="00F50BF2"/>
    <w:rsid w:val="00F50D2C"/>
    <w:rsid w:val="00F50D43"/>
    <w:rsid w:val="00F50D93"/>
    <w:rsid w:val="00F50DF4"/>
    <w:rsid w:val="00F50E4A"/>
    <w:rsid w:val="00F50E90"/>
    <w:rsid w:val="00F50EA5"/>
    <w:rsid w:val="00F50F61"/>
    <w:rsid w:val="00F5100F"/>
    <w:rsid w:val="00F5102F"/>
    <w:rsid w:val="00F51042"/>
    <w:rsid w:val="00F5107B"/>
    <w:rsid w:val="00F51137"/>
    <w:rsid w:val="00F51150"/>
    <w:rsid w:val="00F51197"/>
    <w:rsid w:val="00F511E8"/>
    <w:rsid w:val="00F5126A"/>
    <w:rsid w:val="00F512D7"/>
    <w:rsid w:val="00F512FD"/>
    <w:rsid w:val="00F51326"/>
    <w:rsid w:val="00F51369"/>
    <w:rsid w:val="00F5143B"/>
    <w:rsid w:val="00F51457"/>
    <w:rsid w:val="00F5151D"/>
    <w:rsid w:val="00F51554"/>
    <w:rsid w:val="00F51586"/>
    <w:rsid w:val="00F51593"/>
    <w:rsid w:val="00F515B7"/>
    <w:rsid w:val="00F51726"/>
    <w:rsid w:val="00F51746"/>
    <w:rsid w:val="00F517CA"/>
    <w:rsid w:val="00F517D2"/>
    <w:rsid w:val="00F51898"/>
    <w:rsid w:val="00F5193F"/>
    <w:rsid w:val="00F519B6"/>
    <w:rsid w:val="00F51AC4"/>
    <w:rsid w:val="00F51CCA"/>
    <w:rsid w:val="00F51CEC"/>
    <w:rsid w:val="00F51CF9"/>
    <w:rsid w:val="00F51D26"/>
    <w:rsid w:val="00F51D37"/>
    <w:rsid w:val="00F51D61"/>
    <w:rsid w:val="00F51DC0"/>
    <w:rsid w:val="00F51DCC"/>
    <w:rsid w:val="00F51E44"/>
    <w:rsid w:val="00F51E75"/>
    <w:rsid w:val="00F51EB4"/>
    <w:rsid w:val="00F51F4B"/>
    <w:rsid w:val="00F51F58"/>
    <w:rsid w:val="00F5203F"/>
    <w:rsid w:val="00F52065"/>
    <w:rsid w:val="00F52140"/>
    <w:rsid w:val="00F5217B"/>
    <w:rsid w:val="00F52219"/>
    <w:rsid w:val="00F5221F"/>
    <w:rsid w:val="00F5234A"/>
    <w:rsid w:val="00F52418"/>
    <w:rsid w:val="00F52500"/>
    <w:rsid w:val="00F52637"/>
    <w:rsid w:val="00F52652"/>
    <w:rsid w:val="00F5268D"/>
    <w:rsid w:val="00F52692"/>
    <w:rsid w:val="00F52739"/>
    <w:rsid w:val="00F52765"/>
    <w:rsid w:val="00F528A5"/>
    <w:rsid w:val="00F528CA"/>
    <w:rsid w:val="00F52925"/>
    <w:rsid w:val="00F5292D"/>
    <w:rsid w:val="00F52940"/>
    <w:rsid w:val="00F52A01"/>
    <w:rsid w:val="00F52A1F"/>
    <w:rsid w:val="00F52A85"/>
    <w:rsid w:val="00F52ACB"/>
    <w:rsid w:val="00F52B14"/>
    <w:rsid w:val="00F52BD8"/>
    <w:rsid w:val="00F52C55"/>
    <w:rsid w:val="00F52CC4"/>
    <w:rsid w:val="00F52CC6"/>
    <w:rsid w:val="00F52CF6"/>
    <w:rsid w:val="00F52E10"/>
    <w:rsid w:val="00F52FC9"/>
    <w:rsid w:val="00F52FCF"/>
    <w:rsid w:val="00F5303A"/>
    <w:rsid w:val="00F53078"/>
    <w:rsid w:val="00F5308B"/>
    <w:rsid w:val="00F5310A"/>
    <w:rsid w:val="00F5312F"/>
    <w:rsid w:val="00F532BB"/>
    <w:rsid w:val="00F53348"/>
    <w:rsid w:val="00F5336E"/>
    <w:rsid w:val="00F533B6"/>
    <w:rsid w:val="00F533FB"/>
    <w:rsid w:val="00F534D5"/>
    <w:rsid w:val="00F53583"/>
    <w:rsid w:val="00F5364F"/>
    <w:rsid w:val="00F5367A"/>
    <w:rsid w:val="00F536D4"/>
    <w:rsid w:val="00F536DC"/>
    <w:rsid w:val="00F537D1"/>
    <w:rsid w:val="00F537EC"/>
    <w:rsid w:val="00F5393C"/>
    <w:rsid w:val="00F53957"/>
    <w:rsid w:val="00F5396D"/>
    <w:rsid w:val="00F539FB"/>
    <w:rsid w:val="00F53A40"/>
    <w:rsid w:val="00F53AE3"/>
    <w:rsid w:val="00F53B30"/>
    <w:rsid w:val="00F53B48"/>
    <w:rsid w:val="00F53B85"/>
    <w:rsid w:val="00F53BC9"/>
    <w:rsid w:val="00F53C7A"/>
    <w:rsid w:val="00F53D61"/>
    <w:rsid w:val="00F53E2E"/>
    <w:rsid w:val="00F53ECF"/>
    <w:rsid w:val="00F53EEE"/>
    <w:rsid w:val="00F53F28"/>
    <w:rsid w:val="00F53F64"/>
    <w:rsid w:val="00F53F9E"/>
    <w:rsid w:val="00F54197"/>
    <w:rsid w:val="00F541D1"/>
    <w:rsid w:val="00F5420E"/>
    <w:rsid w:val="00F5428C"/>
    <w:rsid w:val="00F542BA"/>
    <w:rsid w:val="00F542E0"/>
    <w:rsid w:val="00F5437D"/>
    <w:rsid w:val="00F543BC"/>
    <w:rsid w:val="00F5441B"/>
    <w:rsid w:val="00F544FC"/>
    <w:rsid w:val="00F54523"/>
    <w:rsid w:val="00F54561"/>
    <w:rsid w:val="00F546AD"/>
    <w:rsid w:val="00F54703"/>
    <w:rsid w:val="00F5487A"/>
    <w:rsid w:val="00F54A23"/>
    <w:rsid w:val="00F54B05"/>
    <w:rsid w:val="00F54B2E"/>
    <w:rsid w:val="00F54BC4"/>
    <w:rsid w:val="00F54CC1"/>
    <w:rsid w:val="00F54CE8"/>
    <w:rsid w:val="00F54E82"/>
    <w:rsid w:val="00F54E8D"/>
    <w:rsid w:val="00F54ED9"/>
    <w:rsid w:val="00F54F97"/>
    <w:rsid w:val="00F54FD5"/>
    <w:rsid w:val="00F54FF4"/>
    <w:rsid w:val="00F55043"/>
    <w:rsid w:val="00F550EA"/>
    <w:rsid w:val="00F550F5"/>
    <w:rsid w:val="00F55295"/>
    <w:rsid w:val="00F552FC"/>
    <w:rsid w:val="00F5534D"/>
    <w:rsid w:val="00F553AA"/>
    <w:rsid w:val="00F55463"/>
    <w:rsid w:val="00F55480"/>
    <w:rsid w:val="00F554E4"/>
    <w:rsid w:val="00F55654"/>
    <w:rsid w:val="00F55735"/>
    <w:rsid w:val="00F5581D"/>
    <w:rsid w:val="00F5585F"/>
    <w:rsid w:val="00F558E6"/>
    <w:rsid w:val="00F55939"/>
    <w:rsid w:val="00F55957"/>
    <w:rsid w:val="00F559B8"/>
    <w:rsid w:val="00F559E7"/>
    <w:rsid w:val="00F55A2E"/>
    <w:rsid w:val="00F55AD2"/>
    <w:rsid w:val="00F55C0B"/>
    <w:rsid w:val="00F55CDD"/>
    <w:rsid w:val="00F55DC2"/>
    <w:rsid w:val="00F55E24"/>
    <w:rsid w:val="00F55E43"/>
    <w:rsid w:val="00F55E57"/>
    <w:rsid w:val="00F55ED2"/>
    <w:rsid w:val="00F55F46"/>
    <w:rsid w:val="00F5606D"/>
    <w:rsid w:val="00F56085"/>
    <w:rsid w:val="00F560BA"/>
    <w:rsid w:val="00F560FB"/>
    <w:rsid w:val="00F56116"/>
    <w:rsid w:val="00F5612D"/>
    <w:rsid w:val="00F56132"/>
    <w:rsid w:val="00F56180"/>
    <w:rsid w:val="00F561A0"/>
    <w:rsid w:val="00F561BB"/>
    <w:rsid w:val="00F5626D"/>
    <w:rsid w:val="00F56283"/>
    <w:rsid w:val="00F562DD"/>
    <w:rsid w:val="00F562FA"/>
    <w:rsid w:val="00F56305"/>
    <w:rsid w:val="00F56345"/>
    <w:rsid w:val="00F56391"/>
    <w:rsid w:val="00F56474"/>
    <w:rsid w:val="00F56511"/>
    <w:rsid w:val="00F56521"/>
    <w:rsid w:val="00F565CC"/>
    <w:rsid w:val="00F5668F"/>
    <w:rsid w:val="00F566B9"/>
    <w:rsid w:val="00F56700"/>
    <w:rsid w:val="00F56815"/>
    <w:rsid w:val="00F56838"/>
    <w:rsid w:val="00F5685B"/>
    <w:rsid w:val="00F56960"/>
    <w:rsid w:val="00F56A20"/>
    <w:rsid w:val="00F56A8D"/>
    <w:rsid w:val="00F56CCD"/>
    <w:rsid w:val="00F56CD8"/>
    <w:rsid w:val="00F56E52"/>
    <w:rsid w:val="00F56E68"/>
    <w:rsid w:val="00F56EA5"/>
    <w:rsid w:val="00F56EB2"/>
    <w:rsid w:val="00F56EC8"/>
    <w:rsid w:val="00F56F4B"/>
    <w:rsid w:val="00F56F75"/>
    <w:rsid w:val="00F56FE5"/>
    <w:rsid w:val="00F57050"/>
    <w:rsid w:val="00F57059"/>
    <w:rsid w:val="00F57084"/>
    <w:rsid w:val="00F570AF"/>
    <w:rsid w:val="00F57116"/>
    <w:rsid w:val="00F571EA"/>
    <w:rsid w:val="00F571F6"/>
    <w:rsid w:val="00F57288"/>
    <w:rsid w:val="00F57340"/>
    <w:rsid w:val="00F57345"/>
    <w:rsid w:val="00F57392"/>
    <w:rsid w:val="00F573D5"/>
    <w:rsid w:val="00F57491"/>
    <w:rsid w:val="00F574B5"/>
    <w:rsid w:val="00F575B4"/>
    <w:rsid w:val="00F576EE"/>
    <w:rsid w:val="00F5772B"/>
    <w:rsid w:val="00F577BE"/>
    <w:rsid w:val="00F577CE"/>
    <w:rsid w:val="00F57807"/>
    <w:rsid w:val="00F57824"/>
    <w:rsid w:val="00F57851"/>
    <w:rsid w:val="00F57928"/>
    <w:rsid w:val="00F5792B"/>
    <w:rsid w:val="00F57947"/>
    <w:rsid w:val="00F579F3"/>
    <w:rsid w:val="00F57A0C"/>
    <w:rsid w:val="00F57A9F"/>
    <w:rsid w:val="00F57AB0"/>
    <w:rsid w:val="00F57AEE"/>
    <w:rsid w:val="00F57B2D"/>
    <w:rsid w:val="00F57B43"/>
    <w:rsid w:val="00F57B57"/>
    <w:rsid w:val="00F57B5D"/>
    <w:rsid w:val="00F57B94"/>
    <w:rsid w:val="00F57BCF"/>
    <w:rsid w:val="00F57BD0"/>
    <w:rsid w:val="00F57BDA"/>
    <w:rsid w:val="00F57C35"/>
    <w:rsid w:val="00F57C7A"/>
    <w:rsid w:val="00F57C9B"/>
    <w:rsid w:val="00F57D4C"/>
    <w:rsid w:val="00F57DA1"/>
    <w:rsid w:val="00F57DDD"/>
    <w:rsid w:val="00F57EBF"/>
    <w:rsid w:val="00F57F00"/>
    <w:rsid w:val="00F57F41"/>
    <w:rsid w:val="00F57F53"/>
    <w:rsid w:val="00F57F5D"/>
    <w:rsid w:val="00F57FA6"/>
    <w:rsid w:val="00F57FC7"/>
    <w:rsid w:val="00F60050"/>
    <w:rsid w:val="00F60138"/>
    <w:rsid w:val="00F60191"/>
    <w:rsid w:val="00F601BE"/>
    <w:rsid w:val="00F60207"/>
    <w:rsid w:val="00F60271"/>
    <w:rsid w:val="00F60304"/>
    <w:rsid w:val="00F6037E"/>
    <w:rsid w:val="00F603C9"/>
    <w:rsid w:val="00F60404"/>
    <w:rsid w:val="00F60409"/>
    <w:rsid w:val="00F6043D"/>
    <w:rsid w:val="00F60447"/>
    <w:rsid w:val="00F60481"/>
    <w:rsid w:val="00F60496"/>
    <w:rsid w:val="00F605D7"/>
    <w:rsid w:val="00F605FB"/>
    <w:rsid w:val="00F6064A"/>
    <w:rsid w:val="00F6070A"/>
    <w:rsid w:val="00F6078B"/>
    <w:rsid w:val="00F6080F"/>
    <w:rsid w:val="00F6087E"/>
    <w:rsid w:val="00F608D2"/>
    <w:rsid w:val="00F60A19"/>
    <w:rsid w:val="00F60AA3"/>
    <w:rsid w:val="00F60B18"/>
    <w:rsid w:val="00F60B40"/>
    <w:rsid w:val="00F60C24"/>
    <w:rsid w:val="00F60DAE"/>
    <w:rsid w:val="00F60E04"/>
    <w:rsid w:val="00F60EFC"/>
    <w:rsid w:val="00F60F26"/>
    <w:rsid w:val="00F60F69"/>
    <w:rsid w:val="00F61012"/>
    <w:rsid w:val="00F610AC"/>
    <w:rsid w:val="00F61162"/>
    <w:rsid w:val="00F61183"/>
    <w:rsid w:val="00F611AD"/>
    <w:rsid w:val="00F611E5"/>
    <w:rsid w:val="00F61229"/>
    <w:rsid w:val="00F6133C"/>
    <w:rsid w:val="00F6133D"/>
    <w:rsid w:val="00F6135C"/>
    <w:rsid w:val="00F613A0"/>
    <w:rsid w:val="00F613E8"/>
    <w:rsid w:val="00F613FC"/>
    <w:rsid w:val="00F615C3"/>
    <w:rsid w:val="00F615E2"/>
    <w:rsid w:val="00F616E6"/>
    <w:rsid w:val="00F61710"/>
    <w:rsid w:val="00F61713"/>
    <w:rsid w:val="00F617CE"/>
    <w:rsid w:val="00F617EB"/>
    <w:rsid w:val="00F6186B"/>
    <w:rsid w:val="00F61881"/>
    <w:rsid w:val="00F6190C"/>
    <w:rsid w:val="00F61993"/>
    <w:rsid w:val="00F61AF4"/>
    <w:rsid w:val="00F61B36"/>
    <w:rsid w:val="00F61C28"/>
    <w:rsid w:val="00F61CA2"/>
    <w:rsid w:val="00F61D29"/>
    <w:rsid w:val="00F61D5C"/>
    <w:rsid w:val="00F61E02"/>
    <w:rsid w:val="00F61EBD"/>
    <w:rsid w:val="00F61EDA"/>
    <w:rsid w:val="00F61EDC"/>
    <w:rsid w:val="00F61F76"/>
    <w:rsid w:val="00F62025"/>
    <w:rsid w:val="00F620F9"/>
    <w:rsid w:val="00F6217A"/>
    <w:rsid w:val="00F62241"/>
    <w:rsid w:val="00F6228C"/>
    <w:rsid w:val="00F622D8"/>
    <w:rsid w:val="00F623BD"/>
    <w:rsid w:val="00F6240A"/>
    <w:rsid w:val="00F62454"/>
    <w:rsid w:val="00F624A2"/>
    <w:rsid w:val="00F624AA"/>
    <w:rsid w:val="00F624BF"/>
    <w:rsid w:val="00F62551"/>
    <w:rsid w:val="00F62580"/>
    <w:rsid w:val="00F625AD"/>
    <w:rsid w:val="00F625CB"/>
    <w:rsid w:val="00F6260C"/>
    <w:rsid w:val="00F62632"/>
    <w:rsid w:val="00F627A6"/>
    <w:rsid w:val="00F627FF"/>
    <w:rsid w:val="00F6299F"/>
    <w:rsid w:val="00F629B6"/>
    <w:rsid w:val="00F62ABC"/>
    <w:rsid w:val="00F62BC3"/>
    <w:rsid w:val="00F62D1E"/>
    <w:rsid w:val="00F62DF6"/>
    <w:rsid w:val="00F62F85"/>
    <w:rsid w:val="00F632CE"/>
    <w:rsid w:val="00F632D8"/>
    <w:rsid w:val="00F632DB"/>
    <w:rsid w:val="00F63459"/>
    <w:rsid w:val="00F6352C"/>
    <w:rsid w:val="00F6357A"/>
    <w:rsid w:val="00F6357D"/>
    <w:rsid w:val="00F63585"/>
    <w:rsid w:val="00F635D4"/>
    <w:rsid w:val="00F63625"/>
    <w:rsid w:val="00F6365D"/>
    <w:rsid w:val="00F6367B"/>
    <w:rsid w:val="00F63689"/>
    <w:rsid w:val="00F63733"/>
    <w:rsid w:val="00F63832"/>
    <w:rsid w:val="00F6386A"/>
    <w:rsid w:val="00F6386B"/>
    <w:rsid w:val="00F6388F"/>
    <w:rsid w:val="00F6394A"/>
    <w:rsid w:val="00F63976"/>
    <w:rsid w:val="00F639F6"/>
    <w:rsid w:val="00F63A14"/>
    <w:rsid w:val="00F63B65"/>
    <w:rsid w:val="00F63B98"/>
    <w:rsid w:val="00F63B9A"/>
    <w:rsid w:val="00F63BAB"/>
    <w:rsid w:val="00F63BFA"/>
    <w:rsid w:val="00F63C10"/>
    <w:rsid w:val="00F63C93"/>
    <w:rsid w:val="00F63CB9"/>
    <w:rsid w:val="00F63CEC"/>
    <w:rsid w:val="00F63D2F"/>
    <w:rsid w:val="00F63D63"/>
    <w:rsid w:val="00F63D97"/>
    <w:rsid w:val="00F63DBA"/>
    <w:rsid w:val="00F63DF5"/>
    <w:rsid w:val="00F63E88"/>
    <w:rsid w:val="00F63EB6"/>
    <w:rsid w:val="00F63F99"/>
    <w:rsid w:val="00F640E7"/>
    <w:rsid w:val="00F64167"/>
    <w:rsid w:val="00F6422B"/>
    <w:rsid w:val="00F643A4"/>
    <w:rsid w:val="00F643C3"/>
    <w:rsid w:val="00F644A7"/>
    <w:rsid w:val="00F64516"/>
    <w:rsid w:val="00F646A3"/>
    <w:rsid w:val="00F646A6"/>
    <w:rsid w:val="00F646A7"/>
    <w:rsid w:val="00F6470E"/>
    <w:rsid w:val="00F64800"/>
    <w:rsid w:val="00F64807"/>
    <w:rsid w:val="00F64831"/>
    <w:rsid w:val="00F64896"/>
    <w:rsid w:val="00F648D2"/>
    <w:rsid w:val="00F6494C"/>
    <w:rsid w:val="00F649DC"/>
    <w:rsid w:val="00F64B18"/>
    <w:rsid w:val="00F64BA2"/>
    <w:rsid w:val="00F64BFC"/>
    <w:rsid w:val="00F64C67"/>
    <w:rsid w:val="00F64CE3"/>
    <w:rsid w:val="00F64D4A"/>
    <w:rsid w:val="00F64D68"/>
    <w:rsid w:val="00F64D7B"/>
    <w:rsid w:val="00F64D8A"/>
    <w:rsid w:val="00F64D95"/>
    <w:rsid w:val="00F64E0C"/>
    <w:rsid w:val="00F64E21"/>
    <w:rsid w:val="00F64EB2"/>
    <w:rsid w:val="00F650E7"/>
    <w:rsid w:val="00F65207"/>
    <w:rsid w:val="00F6528C"/>
    <w:rsid w:val="00F653CC"/>
    <w:rsid w:val="00F65464"/>
    <w:rsid w:val="00F65471"/>
    <w:rsid w:val="00F6547C"/>
    <w:rsid w:val="00F654A4"/>
    <w:rsid w:val="00F65516"/>
    <w:rsid w:val="00F65589"/>
    <w:rsid w:val="00F65657"/>
    <w:rsid w:val="00F6570B"/>
    <w:rsid w:val="00F6577D"/>
    <w:rsid w:val="00F65843"/>
    <w:rsid w:val="00F65882"/>
    <w:rsid w:val="00F658A5"/>
    <w:rsid w:val="00F658DB"/>
    <w:rsid w:val="00F65969"/>
    <w:rsid w:val="00F659BC"/>
    <w:rsid w:val="00F65A78"/>
    <w:rsid w:val="00F65B87"/>
    <w:rsid w:val="00F65BED"/>
    <w:rsid w:val="00F65C5D"/>
    <w:rsid w:val="00F65CAE"/>
    <w:rsid w:val="00F65CEE"/>
    <w:rsid w:val="00F65DFA"/>
    <w:rsid w:val="00F65E59"/>
    <w:rsid w:val="00F65FE4"/>
    <w:rsid w:val="00F660FE"/>
    <w:rsid w:val="00F6612B"/>
    <w:rsid w:val="00F66140"/>
    <w:rsid w:val="00F661A2"/>
    <w:rsid w:val="00F661F1"/>
    <w:rsid w:val="00F66222"/>
    <w:rsid w:val="00F662D9"/>
    <w:rsid w:val="00F663C2"/>
    <w:rsid w:val="00F6642B"/>
    <w:rsid w:val="00F6644F"/>
    <w:rsid w:val="00F664D2"/>
    <w:rsid w:val="00F6653E"/>
    <w:rsid w:val="00F66592"/>
    <w:rsid w:val="00F665C2"/>
    <w:rsid w:val="00F66613"/>
    <w:rsid w:val="00F66702"/>
    <w:rsid w:val="00F66802"/>
    <w:rsid w:val="00F66831"/>
    <w:rsid w:val="00F6688C"/>
    <w:rsid w:val="00F668BE"/>
    <w:rsid w:val="00F668CB"/>
    <w:rsid w:val="00F66974"/>
    <w:rsid w:val="00F66A84"/>
    <w:rsid w:val="00F66AF6"/>
    <w:rsid w:val="00F66B82"/>
    <w:rsid w:val="00F66D37"/>
    <w:rsid w:val="00F66D6E"/>
    <w:rsid w:val="00F66DDC"/>
    <w:rsid w:val="00F66E88"/>
    <w:rsid w:val="00F66EE9"/>
    <w:rsid w:val="00F66F3B"/>
    <w:rsid w:val="00F66FDF"/>
    <w:rsid w:val="00F670E6"/>
    <w:rsid w:val="00F6711E"/>
    <w:rsid w:val="00F67158"/>
    <w:rsid w:val="00F671AF"/>
    <w:rsid w:val="00F67296"/>
    <w:rsid w:val="00F672C4"/>
    <w:rsid w:val="00F672F2"/>
    <w:rsid w:val="00F673CB"/>
    <w:rsid w:val="00F67403"/>
    <w:rsid w:val="00F6743A"/>
    <w:rsid w:val="00F67660"/>
    <w:rsid w:val="00F6772E"/>
    <w:rsid w:val="00F677AA"/>
    <w:rsid w:val="00F677D2"/>
    <w:rsid w:val="00F67877"/>
    <w:rsid w:val="00F678BA"/>
    <w:rsid w:val="00F678C5"/>
    <w:rsid w:val="00F678E0"/>
    <w:rsid w:val="00F678E8"/>
    <w:rsid w:val="00F679B2"/>
    <w:rsid w:val="00F67B06"/>
    <w:rsid w:val="00F67B27"/>
    <w:rsid w:val="00F67B40"/>
    <w:rsid w:val="00F67D71"/>
    <w:rsid w:val="00F67DB2"/>
    <w:rsid w:val="00F67E89"/>
    <w:rsid w:val="00F67EA2"/>
    <w:rsid w:val="00F67EA9"/>
    <w:rsid w:val="00F67F2A"/>
    <w:rsid w:val="00F67F5B"/>
    <w:rsid w:val="00F67F89"/>
    <w:rsid w:val="00F70099"/>
    <w:rsid w:val="00F7017F"/>
    <w:rsid w:val="00F701C8"/>
    <w:rsid w:val="00F701CF"/>
    <w:rsid w:val="00F70269"/>
    <w:rsid w:val="00F70321"/>
    <w:rsid w:val="00F7035A"/>
    <w:rsid w:val="00F703F3"/>
    <w:rsid w:val="00F70423"/>
    <w:rsid w:val="00F7045C"/>
    <w:rsid w:val="00F70478"/>
    <w:rsid w:val="00F70488"/>
    <w:rsid w:val="00F70571"/>
    <w:rsid w:val="00F705B1"/>
    <w:rsid w:val="00F705B2"/>
    <w:rsid w:val="00F70608"/>
    <w:rsid w:val="00F70667"/>
    <w:rsid w:val="00F7070D"/>
    <w:rsid w:val="00F70739"/>
    <w:rsid w:val="00F70870"/>
    <w:rsid w:val="00F70946"/>
    <w:rsid w:val="00F70976"/>
    <w:rsid w:val="00F70A64"/>
    <w:rsid w:val="00F70A67"/>
    <w:rsid w:val="00F70B3C"/>
    <w:rsid w:val="00F70B7D"/>
    <w:rsid w:val="00F70C67"/>
    <w:rsid w:val="00F70D03"/>
    <w:rsid w:val="00F70DF1"/>
    <w:rsid w:val="00F70E0B"/>
    <w:rsid w:val="00F70E6C"/>
    <w:rsid w:val="00F70E86"/>
    <w:rsid w:val="00F70E92"/>
    <w:rsid w:val="00F70EBD"/>
    <w:rsid w:val="00F70F0D"/>
    <w:rsid w:val="00F70FDC"/>
    <w:rsid w:val="00F71043"/>
    <w:rsid w:val="00F7120B"/>
    <w:rsid w:val="00F71228"/>
    <w:rsid w:val="00F71248"/>
    <w:rsid w:val="00F7127A"/>
    <w:rsid w:val="00F712B5"/>
    <w:rsid w:val="00F71309"/>
    <w:rsid w:val="00F7132D"/>
    <w:rsid w:val="00F713FB"/>
    <w:rsid w:val="00F71409"/>
    <w:rsid w:val="00F7147A"/>
    <w:rsid w:val="00F715B2"/>
    <w:rsid w:val="00F71660"/>
    <w:rsid w:val="00F71825"/>
    <w:rsid w:val="00F718DB"/>
    <w:rsid w:val="00F719E6"/>
    <w:rsid w:val="00F71A11"/>
    <w:rsid w:val="00F71A2F"/>
    <w:rsid w:val="00F71A61"/>
    <w:rsid w:val="00F71B58"/>
    <w:rsid w:val="00F71B85"/>
    <w:rsid w:val="00F71DD0"/>
    <w:rsid w:val="00F71E12"/>
    <w:rsid w:val="00F71E71"/>
    <w:rsid w:val="00F71EAB"/>
    <w:rsid w:val="00F71EB2"/>
    <w:rsid w:val="00F71F24"/>
    <w:rsid w:val="00F71F2B"/>
    <w:rsid w:val="00F71F8D"/>
    <w:rsid w:val="00F7200B"/>
    <w:rsid w:val="00F720FA"/>
    <w:rsid w:val="00F721E4"/>
    <w:rsid w:val="00F72376"/>
    <w:rsid w:val="00F7244D"/>
    <w:rsid w:val="00F72467"/>
    <w:rsid w:val="00F7253B"/>
    <w:rsid w:val="00F72557"/>
    <w:rsid w:val="00F72585"/>
    <w:rsid w:val="00F72637"/>
    <w:rsid w:val="00F726B1"/>
    <w:rsid w:val="00F72879"/>
    <w:rsid w:val="00F728C0"/>
    <w:rsid w:val="00F72911"/>
    <w:rsid w:val="00F72921"/>
    <w:rsid w:val="00F7299E"/>
    <w:rsid w:val="00F729F4"/>
    <w:rsid w:val="00F72A05"/>
    <w:rsid w:val="00F72A25"/>
    <w:rsid w:val="00F72A7F"/>
    <w:rsid w:val="00F72AFF"/>
    <w:rsid w:val="00F72B8E"/>
    <w:rsid w:val="00F72BCC"/>
    <w:rsid w:val="00F72CB7"/>
    <w:rsid w:val="00F72D0B"/>
    <w:rsid w:val="00F72D72"/>
    <w:rsid w:val="00F72EF7"/>
    <w:rsid w:val="00F72F0A"/>
    <w:rsid w:val="00F72F1C"/>
    <w:rsid w:val="00F72F3B"/>
    <w:rsid w:val="00F72F54"/>
    <w:rsid w:val="00F72F75"/>
    <w:rsid w:val="00F72FBB"/>
    <w:rsid w:val="00F72FBD"/>
    <w:rsid w:val="00F72FBF"/>
    <w:rsid w:val="00F72FCF"/>
    <w:rsid w:val="00F73022"/>
    <w:rsid w:val="00F7308E"/>
    <w:rsid w:val="00F73152"/>
    <w:rsid w:val="00F7316D"/>
    <w:rsid w:val="00F7320A"/>
    <w:rsid w:val="00F7320D"/>
    <w:rsid w:val="00F733AE"/>
    <w:rsid w:val="00F7349A"/>
    <w:rsid w:val="00F7349F"/>
    <w:rsid w:val="00F735ED"/>
    <w:rsid w:val="00F73605"/>
    <w:rsid w:val="00F7365A"/>
    <w:rsid w:val="00F73691"/>
    <w:rsid w:val="00F736B5"/>
    <w:rsid w:val="00F73772"/>
    <w:rsid w:val="00F737B6"/>
    <w:rsid w:val="00F737E1"/>
    <w:rsid w:val="00F7388B"/>
    <w:rsid w:val="00F73892"/>
    <w:rsid w:val="00F738D2"/>
    <w:rsid w:val="00F738E3"/>
    <w:rsid w:val="00F738F8"/>
    <w:rsid w:val="00F7394A"/>
    <w:rsid w:val="00F73981"/>
    <w:rsid w:val="00F739D8"/>
    <w:rsid w:val="00F73A0F"/>
    <w:rsid w:val="00F73AD6"/>
    <w:rsid w:val="00F73B1E"/>
    <w:rsid w:val="00F73E91"/>
    <w:rsid w:val="00F73EBF"/>
    <w:rsid w:val="00F73F25"/>
    <w:rsid w:val="00F73F75"/>
    <w:rsid w:val="00F73FA6"/>
    <w:rsid w:val="00F7401C"/>
    <w:rsid w:val="00F740E1"/>
    <w:rsid w:val="00F74107"/>
    <w:rsid w:val="00F74130"/>
    <w:rsid w:val="00F7417A"/>
    <w:rsid w:val="00F742DA"/>
    <w:rsid w:val="00F74326"/>
    <w:rsid w:val="00F74336"/>
    <w:rsid w:val="00F74430"/>
    <w:rsid w:val="00F74435"/>
    <w:rsid w:val="00F7448C"/>
    <w:rsid w:val="00F744D6"/>
    <w:rsid w:val="00F7469F"/>
    <w:rsid w:val="00F746E0"/>
    <w:rsid w:val="00F7478E"/>
    <w:rsid w:val="00F7481B"/>
    <w:rsid w:val="00F7487C"/>
    <w:rsid w:val="00F748AB"/>
    <w:rsid w:val="00F748AE"/>
    <w:rsid w:val="00F748B6"/>
    <w:rsid w:val="00F74924"/>
    <w:rsid w:val="00F7492E"/>
    <w:rsid w:val="00F749E3"/>
    <w:rsid w:val="00F74A11"/>
    <w:rsid w:val="00F74A16"/>
    <w:rsid w:val="00F74A31"/>
    <w:rsid w:val="00F74A4C"/>
    <w:rsid w:val="00F74B0A"/>
    <w:rsid w:val="00F74B1F"/>
    <w:rsid w:val="00F74C57"/>
    <w:rsid w:val="00F74D6A"/>
    <w:rsid w:val="00F74D73"/>
    <w:rsid w:val="00F74DD0"/>
    <w:rsid w:val="00F74E20"/>
    <w:rsid w:val="00F74EA2"/>
    <w:rsid w:val="00F74F3A"/>
    <w:rsid w:val="00F74F46"/>
    <w:rsid w:val="00F75022"/>
    <w:rsid w:val="00F7503B"/>
    <w:rsid w:val="00F75045"/>
    <w:rsid w:val="00F7509F"/>
    <w:rsid w:val="00F750A3"/>
    <w:rsid w:val="00F75197"/>
    <w:rsid w:val="00F75215"/>
    <w:rsid w:val="00F75236"/>
    <w:rsid w:val="00F75288"/>
    <w:rsid w:val="00F752EE"/>
    <w:rsid w:val="00F7543F"/>
    <w:rsid w:val="00F7546D"/>
    <w:rsid w:val="00F7549A"/>
    <w:rsid w:val="00F754AF"/>
    <w:rsid w:val="00F7555F"/>
    <w:rsid w:val="00F75593"/>
    <w:rsid w:val="00F756A0"/>
    <w:rsid w:val="00F75720"/>
    <w:rsid w:val="00F7584F"/>
    <w:rsid w:val="00F75893"/>
    <w:rsid w:val="00F758B8"/>
    <w:rsid w:val="00F758C8"/>
    <w:rsid w:val="00F7590F"/>
    <w:rsid w:val="00F75A2B"/>
    <w:rsid w:val="00F75A4A"/>
    <w:rsid w:val="00F75A5D"/>
    <w:rsid w:val="00F75B28"/>
    <w:rsid w:val="00F75B44"/>
    <w:rsid w:val="00F75B5B"/>
    <w:rsid w:val="00F75BA9"/>
    <w:rsid w:val="00F75BBA"/>
    <w:rsid w:val="00F75CD6"/>
    <w:rsid w:val="00F75D47"/>
    <w:rsid w:val="00F75D8F"/>
    <w:rsid w:val="00F75DE1"/>
    <w:rsid w:val="00F75E0F"/>
    <w:rsid w:val="00F75E37"/>
    <w:rsid w:val="00F75E44"/>
    <w:rsid w:val="00F76076"/>
    <w:rsid w:val="00F76135"/>
    <w:rsid w:val="00F76209"/>
    <w:rsid w:val="00F764C0"/>
    <w:rsid w:val="00F7653C"/>
    <w:rsid w:val="00F765DA"/>
    <w:rsid w:val="00F767AD"/>
    <w:rsid w:val="00F7687A"/>
    <w:rsid w:val="00F768A6"/>
    <w:rsid w:val="00F768FC"/>
    <w:rsid w:val="00F76931"/>
    <w:rsid w:val="00F76A42"/>
    <w:rsid w:val="00F76B22"/>
    <w:rsid w:val="00F76BB9"/>
    <w:rsid w:val="00F76C05"/>
    <w:rsid w:val="00F76C4A"/>
    <w:rsid w:val="00F76C69"/>
    <w:rsid w:val="00F76CB4"/>
    <w:rsid w:val="00F76D87"/>
    <w:rsid w:val="00F76D99"/>
    <w:rsid w:val="00F76DA8"/>
    <w:rsid w:val="00F76DB0"/>
    <w:rsid w:val="00F76DCF"/>
    <w:rsid w:val="00F76E86"/>
    <w:rsid w:val="00F76EAC"/>
    <w:rsid w:val="00F77001"/>
    <w:rsid w:val="00F772D1"/>
    <w:rsid w:val="00F772DE"/>
    <w:rsid w:val="00F772FF"/>
    <w:rsid w:val="00F77303"/>
    <w:rsid w:val="00F773A0"/>
    <w:rsid w:val="00F773AF"/>
    <w:rsid w:val="00F77407"/>
    <w:rsid w:val="00F774EA"/>
    <w:rsid w:val="00F7752E"/>
    <w:rsid w:val="00F77535"/>
    <w:rsid w:val="00F77550"/>
    <w:rsid w:val="00F77579"/>
    <w:rsid w:val="00F7758D"/>
    <w:rsid w:val="00F775A6"/>
    <w:rsid w:val="00F77653"/>
    <w:rsid w:val="00F7765B"/>
    <w:rsid w:val="00F7765C"/>
    <w:rsid w:val="00F77667"/>
    <w:rsid w:val="00F776E8"/>
    <w:rsid w:val="00F776F4"/>
    <w:rsid w:val="00F777BB"/>
    <w:rsid w:val="00F777E1"/>
    <w:rsid w:val="00F777F8"/>
    <w:rsid w:val="00F77818"/>
    <w:rsid w:val="00F77958"/>
    <w:rsid w:val="00F779A6"/>
    <w:rsid w:val="00F77A43"/>
    <w:rsid w:val="00F77AAB"/>
    <w:rsid w:val="00F77AD0"/>
    <w:rsid w:val="00F77BCD"/>
    <w:rsid w:val="00F77BF4"/>
    <w:rsid w:val="00F77BF7"/>
    <w:rsid w:val="00F77C85"/>
    <w:rsid w:val="00F77C92"/>
    <w:rsid w:val="00F77C93"/>
    <w:rsid w:val="00F77D57"/>
    <w:rsid w:val="00F77DA0"/>
    <w:rsid w:val="00F77EA5"/>
    <w:rsid w:val="00F800B8"/>
    <w:rsid w:val="00F800D2"/>
    <w:rsid w:val="00F801BC"/>
    <w:rsid w:val="00F80292"/>
    <w:rsid w:val="00F802B1"/>
    <w:rsid w:val="00F80307"/>
    <w:rsid w:val="00F8031F"/>
    <w:rsid w:val="00F80336"/>
    <w:rsid w:val="00F8049F"/>
    <w:rsid w:val="00F8056A"/>
    <w:rsid w:val="00F8067E"/>
    <w:rsid w:val="00F806EB"/>
    <w:rsid w:val="00F807BB"/>
    <w:rsid w:val="00F807EB"/>
    <w:rsid w:val="00F808E3"/>
    <w:rsid w:val="00F8094D"/>
    <w:rsid w:val="00F80A38"/>
    <w:rsid w:val="00F80A47"/>
    <w:rsid w:val="00F80BF9"/>
    <w:rsid w:val="00F80C4D"/>
    <w:rsid w:val="00F80D47"/>
    <w:rsid w:val="00F80DA2"/>
    <w:rsid w:val="00F80DAB"/>
    <w:rsid w:val="00F80DAC"/>
    <w:rsid w:val="00F80E59"/>
    <w:rsid w:val="00F80E6C"/>
    <w:rsid w:val="00F80E7E"/>
    <w:rsid w:val="00F80EB0"/>
    <w:rsid w:val="00F80EC9"/>
    <w:rsid w:val="00F80ECD"/>
    <w:rsid w:val="00F80F67"/>
    <w:rsid w:val="00F80F6D"/>
    <w:rsid w:val="00F80F79"/>
    <w:rsid w:val="00F80F92"/>
    <w:rsid w:val="00F80FA6"/>
    <w:rsid w:val="00F80FF0"/>
    <w:rsid w:val="00F80FFA"/>
    <w:rsid w:val="00F81019"/>
    <w:rsid w:val="00F81023"/>
    <w:rsid w:val="00F8105C"/>
    <w:rsid w:val="00F811A0"/>
    <w:rsid w:val="00F8127C"/>
    <w:rsid w:val="00F8132D"/>
    <w:rsid w:val="00F81388"/>
    <w:rsid w:val="00F813D7"/>
    <w:rsid w:val="00F8146E"/>
    <w:rsid w:val="00F81476"/>
    <w:rsid w:val="00F81504"/>
    <w:rsid w:val="00F815C5"/>
    <w:rsid w:val="00F81606"/>
    <w:rsid w:val="00F81691"/>
    <w:rsid w:val="00F816A0"/>
    <w:rsid w:val="00F816AA"/>
    <w:rsid w:val="00F816E9"/>
    <w:rsid w:val="00F8177B"/>
    <w:rsid w:val="00F8186C"/>
    <w:rsid w:val="00F81872"/>
    <w:rsid w:val="00F818BB"/>
    <w:rsid w:val="00F819C9"/>
    <w:rsid w:val="00F819E8"/>
    <w:rsid w:val="00F81A05"/>
    <w:rsid w:val="00F81AF9"/>
    <w:rsid w:val="00F81B41"/>
    <w:rsid w:val="00F81BAF"/>
    <w:rsid w:val="00F81BC2"/>
    <w:rsid w:val="00F81D0A"/>
    <w:rsid w:val="00F81D5E"/>
    <w:rsid w:val="00F81E7E"/>
    <w:rsid w:val="00F81EB9"/>
    <w:rsid w:val="00F81EFE"/>
    <w:rsid w:val="00F81F37"/>
    <w:rsid w:val="00F81F4A"/>
    <w:rsid w:val="00F81FA0"/>
    <w:rsid w:val="00F82171"/>
    <w:rsid w:val="00F8219B"/>
    <w:rsid w:val="00F821EE"/>
    <w:rsid w:val="00F82216"/>
    <w:rsid w:val="00F8222A"/>
    <w:rsid w:val="00F8228E"/>
    <w:rsid w:val="00F822D8"/>
    <w:rsid w:val="00F823A6"/>
    <w:rsid w:val="00F823B8"/>
    <w:rsid w:val="00F82487"/>
    <w:rsid w:val="00F825A2"/>
    <w:rsid w:val="00F8260D"/>
    <w:rsid w:val="00F8260F"/>
    <w:rsid w:val="00F826C8"/>
    <w:rsid w:val="00F826D0"/>
    <w:rsid w:val="00F82707"/>
    <w:rsid w:val="00F8279C"/>
    <w:rsid w:val="00F827A6"/>
    <w:rsid w:val="00F827D2"/>
    <w:rsid w:val="00F8284A"/>
    <w:rsid w:val="00F82870"/>
    <w:rsid w:val="00F828BD"/>
    <w:rsid w:val="00F828CB"/>
    <w:rsid w:val="00F828FD"/>
    <w:rsid w:val="00F82964"/>
    <w:rsid w:val="00F82A1B"/>
    <w:rsid w:val="00F82A23"/>
    <w:rsid w:val="00F82A47"/>
    <w:rsid w:val="00F82A7D"/>
    <w:rsid w:val="00F82B29"/>
    <w:rsid w:val="00F82BA3"/>
    <w:rsid w:val="00F82C6F"/>
    <w:rsid w:val="00F82D26"/>
    <w:rsid w:val="00F82DA5"/>
    <w:rsid w:val="00F82E70"/>
    <w:rsid w:val="00F82EB2"/>
    <w:rsid w:val="00F82ECC"/>
    <w:rsid w:val="00F82F02"/>
    <w:rsid w:val="00F82F30"/>
    <w:rsid w:val="00F82F5F"/>
    <w:rsid w:val="00F83025"/>
    <w:rsid w:val="00F8307E"/>
    <w:rsid w:val="00F83131"/>
    <w:rsid w:val="00F83146"/>
    <w:rsid w:val="00F831CE"/>
    <w:rsid w:val="00F83284"/>
    <w:rsid w:val="00F833AA"/>
    <w:rsid w:val="00F8344E"/>
    <w:rsid w:val="00F83462"/>
    <w:rsid w:val="00F835C2"/>
    <w:rsid w:val="00F83639"/>
    <w:rsid w:val="00F837F5"/>
    <w:rsid w:val="00F83824"/>
    <w:rsid w:val="00F83886"/>
    <w:rsid w:val="00F838FE"/>
    <w:rsid w:val="00F8394C"/>
    <w:rsid w:val="00F83965"/>
    <w:rsid w:val="00F8397A"/>
    <w:rsid w:val="00F839C8"/>
    <w:rsid w:val="00F839CB"/>
    <w:rsid w:val="00F839CC"/>
    <w:rsid w:val="00F839E6"/>
    <w:rsid w:val="00F83A6E"/>
    <w:rsid w:val="00F83AA9"/>
    <w:rsid w:val="00F83B35"/>
    <w:rsid w:val="00F83B54"/>
    <w:rsid w:val="00F83B7A"/>
    <w:rsid w:val="00F83D0F"/>
    <w:rsid w:val="00F83D28"/>
    <w:rsid w:val="00F83D51"/>
    <w:rsid w:val="00F83D83"/>
    <w:rsid w:val="00F83E42"/>
    <w:rsid w:val="00F83E8E"/>
    <w:rsid w:val="00F83FAE"/>
    <w:rsid w:val="00F84025"/>
    <w:rsid w:val="00F84085"/>
    <w:rsid w:val="00F842CB"/>
    <w:rsid w:val="00F8430D"/>
    <w:rsid w:val="00F8445C"/>
    <w:rsid w:val="00F844A4"/>
    <w:rsid w:val="00F84574"/>
    <w:rsid w:val="00F8470A"/>
    <w:rsid w:val="00F84711"/>
    <w:rsid w:val="00F84720"/>
    <w:rsid w:val="00F847D0"/>
    <w:rsid w:val="00F847DB"/>
    <w:rsid w:val="00F84925"/>
    <w:rsid w:val="00F84939"/>
    <w:rsid w:val="00F84997"/>
    <w:rsid w:val="00F84A2F"/>
    <w:rsid w:val="00F84A70"/>
    <w:rsid w:val="00F84AD9"/>
    <w:rsid w:val="00F84B8A"/>
    <w:rsid w:val="00F84C0F"/>
    <w:rsid w:val="00F84C32"/>
    <w:rsid w:val="00F84CCC"/>
    <w:rsid w:val="00F84DBF"/>
    <w:rsid w:val="00F84E90"/>
    <w:rsid w:val="00F85046"/>
    <w:rsid w:val="00F850A1"/>
    <w:rsid w:val="00F85164"/>
    <w:rsid w:val="00F851B4"/>
    <w:rsid w:val="00F8522C"/>
    <w:rsid w:val="00F852F4"/>
    <w:rsid w:val="00F852F8"/>
    <w:rsid w:val="00F85383"/>
    <w:rsid w:val="00F85408"/>
    <w:rsid w:val="00F85415"/>
    <w:rsid w:val="00F854B5"/>
    <w:rsid w:val="00F85554"/>
    <w:rsid w:val="00F855F6"/>
    <w:rsid w:val="00F8576D"/>
    <w:rsid w:val="00F85774"/>
    <w:rsid w:val="00F85876"/>
    <w:rsid w:val="00F8591E"/>
    <w:rsid w:val="00F85920"/>
    <w:rsid w:val="00F85941"/>
    <w:rsid w:val="00F85968"/>
    <w:rsid w:val="00F85972"/>
    <w:rsid w:val="00F85B02"/>
    <w:rsid w:val="00F85B0D"/>
    <w:rsid w:val="00F85B0F"/>
    <w:rsid w:val="00F85B25"/>
    <w:rsid w:val="00F85C60"/>
    <w:rsid w:val="00F85D0D"/>
    <w:rsid w:val="00F85D6E"/>
    <w:rsid w:val="00F85D87"/>
    <w:rsid w:val="00F85F01"/>
    <w:rsid w:val="00F85FE2"/>
    <w:rsid w:val="00F85FE4"/>
    <w:rsid w:val="00F86042"/>
    <w:rsid w:val="00F86049"/>
    <w:rsid w:val="00F8604E"/>
    <w:rsid w:val="00F86072"/>
    <w:rsid w:val="00F86167"/>
    <w:rsid w:val="00F86198"/>
    <w:rsid w:val="00F861E6"/>
    <w:rsid w:val="00F86204"/>
    <w:rsid w:val="00F86301"/>
    <w:rsid w:val="00F8634C"/>
    <w:rsid w:val="00F8635B"/>
    <w:rsid w:val="00F8643C"/>
    <w:rsid w:val="00F864C6"/>
    <w:rsid w:val="00F864D2"/>
    <w:rsid w:val="00F865D7"/>
    <w:rsid w:val="00F865E8"/>
    <w:rsid w:val="00F8664A"/>
    <w:rsid w:val="00F8666C"/>
    <w:rsid w:val="00F866D1"/>
    <w:rsid w:val="00F86714"/>
    <w:rsid w:val="00F8675F"/>
    <w:rsid w:val="00F867AD"/>
    <w:rsid w:val="00F867DA"/>
    <w:rsid w:val="00F86806"/>
    <w:rsid w:val="00F868AC"/>
    <w:rsid w:val="00F8690D"/>
    <w:rsid w:val="00F8697F"/>
    <w:rsid w:val="00F869A8"/>
    <w:rsid w:val="00F86A8A"/>
    <w:rsid w:val="00F86ACF"/>
    <w:rsid w:val="00F86B33"/>
    <w:rsid w:val="00F86B5A"/>
    <w:rsid w:val="00F86B86"/>
    <w:rsid w:val="00F86C12"/>
    <w:rsid w:val="00F86C36"/>
    <w:rsid w:val="00F86CCD"/>
    <w:rsid w:val="00F86CD9"/>
    <w:rsid w:val="00F86D0C"/>
    <w:rsid w:val="00F86D5C"/>
    <w:rsid w:val="00F86D8A"/>
    <w:rsid w:val="00F86D9D"/>
    <w:rsid w:val="00F86DC8"/>
    <w:rsid w:val="00F86E1F"/>
    <w:rsid w:val="00F86E67"/>
    <w:rsid w:val="00F86F5E"/>
    <w:rsid w:val="00F86F9A"/>
    <w:rsid w:val="00F86FAA"/>
    <w:rsid w:val="00F87095"/>
    <w:rsid w:val="00F870EF"/>
    <w:rsid w:val="00F870FB"/>
    <w:rsid w:val="00F8714E"/>
    <w:rsid w:val="00F8718B"/>
    <w:rsid w:val="00F87208"/>
    <w:rsid w:val="00F8724D"/>
    <w:rsid w:val="00F87282"/>
    <w:rsid w:val="00F87285"/>
    <w:rsid w:val="00F8731A"/>
    <w:rsid w:val="00F87362"/>
    <w:rsid w:val="00F87373"/>
    <w:rsid w:val="00F8738C"/>
    <w:rsid w:val="00F87393"/>
    <w:rsid w:val="00F874C8"/>
    <w:rsid w:val="00F8759C"/>
    <w:rsid w:val="00F875C7"/>
    <w:rsid w:val="00F875D9"/>
    <w:rsid w:val="00F8764A"/>
    <w:rsid w:val="00F87660"/>
    <w:rsid w:val="00F87680"/>
    <w:rsid w:val="00F87773"/>
    <w:rsid w:val="00F87900"/>
    <w:rsid w:val="00F87902"/>
    <w:rsid w:val="00F87918"/>
    <w:rsid w:val="00F87959"/>
    <w:rsid w:val="00F8795B"/>
    <w:rsid w:val="00F879A6"/>
    <w:rsid w:val="00F879E7"/>
    <w:rsid w:val="00F87A56"/>
    <w:rsid w:val="00F87A5C"/>
    <w:rsid w:val="00F87AD7"/>
    <w:rsid w:val="00F87ADD"/>
    <w:rsid w:val="00F87AE8"/>
    <w:rsid w:val="00F87AFC"/>
    <w:rsid w:val="00F87B56"/>
    <w:rsid w:val="00F87C23"/>
    <w:rsid w:val="00F87CBA"/>
    <w:rsid w:val="00F87D82"/>
    <w:rsid w:val="00F87DB5"/>
    <w:rsid w:val="00F87DEA"/>
    <w:rsid w:val="00F87E55"/>
    <w:rsid w:val="00F87EA1"/>
    <w:rsid w:val="00F87EC2"/>
    <w:rsid w:val="00F87F99"/>
    <w:rsid w:val="00F9001B"/>
    <w:rsid w:val="00F9020F"/>
    <w:rsid w:val="00F9022A"/>
    <w:rsid w:val="00F9033C"/>
    <w:rsid w:val="00F90418"/>
    <w:rsid w:val="00F9044D"/>
    <w:rsid w:val="00F90504"/>
    <w:rsid w:val="00F90511"/>
    <w:rsid w:val="00F90512"/>
    <w:rsid w:val="00F90573"/>
    <w:rsid w:val="00F9060A"/>
    <w:rsid w:val="00F90639"/>
    <w:rsid w:val="00F90843"/>
    <w:rsid w:val="00F90879"/>
    <w:rsid w:val="00F908E9"/>
    <w:rsid w:val="00F90965"/>
    <w:rsid w:val="00F90975"/>
    <w:rsid w:val="00F909DE"/>
    <w:rsid w:val="00F90B2A"/>
    <w:rsid w:val="00F90B57"/>
    <w:rsid w:val="00F90B98"/>
    <w:rsid w:val="00F90BDE"/>
    <w:rsid w:val="00F90C5A"/>
    <w:rsid w:val="00F90D0C"/>
    <w:rsid w:val="00F90E05"/>
    <w:rsid w:val="00F90E54"/>
    <w:rsid w:val="00F90E98"/>
    <w:rsid w:val="00F90EA8"/>
    <w:rsid w:val="00F90EC7"/>
    <w:rsid w:val="00F90F33"/>
    <w:rsid w:val="00F90F82"/>
    <w:rsid w:val="00F90F8E"/>
    <w:rsid w:val="00F90F92"/>
    <w:rsid w:val="00F90F96"/>
    <w:rsid w:val="00F90FD6"/>
    <w:rsid w:val="00F91004"/>
    <w:rsid w:val="00F9105C"/>
    <w:rsid w:val="00F91064"/>
    <w:rsid w:val="00F9109E"/>
    <w:rsid w:val="00F9119C"/>
    <w:rsid w:val="00F91284"/>
    <w:rsid w:val="00F912C5"/>
    <w:rsid w:val="00F912CF"/>
    <w:rsid w:val="00F913A7"/>
    <w:rsid w:val="00F914BE"/>
    <w:rsid w:val="00F914E1"/>
    <w:rsid w:val="00F9169F"/>
    <w:rsid w:val="00F916A3"/>
    <w:rsid w:val="00F916C3"/>
    <w:rsid w:val="00F916E6"/>
    <w:rsid w:val="00F9179C"/>
    <w:rsid w:val="00F917D0"/>
    <w:rsid w:val="00F917EC"/>
    <w:rsid w:val="00F91805"/>
    <w:rsid w:val="00F918E1"/>
    <w:rsid w:val="00F9198E"/>
    <w:rsid w:val="00F919E4"/>
    <w:rsid w:val="00F91A02"/>
    <w:rsid w:val="00F91A4C"/>
    <w:rsid w:val="00F91A7F"/>
    <w:rsid w:val="00F91BB7"/>
    <w:rsid w:val="00F91BBC"/>
    <w:rsid w:val="00F91BED"/>
    <w:rsid w:val="00F91C37"/>
    <w:rsid w:val="00F91C88"/>
    <w:rsid w:val="00F91CA1"/>
    <w:rsid w:val="00F91D87"/>
    <w:rsid w:val="00F91E1C"/>
    <w:rsid w:val="00F91E20"/>
    <w:rsid w:val="00F91E3A"/>
    <w:rsid w:val="00F91E59"/>
    <w:rsid w:val="00F91FAB"/>
    <w:rsid w:val="00F92003"/>
    <w:rsid w:val="00F92058"/>
    <w:rsid w:val="00F9210B"/>
    <w:rsid w:val="00F921BF"/>
    <w:rsid w:val="00F921D9"/>
    <w:rsid w:val="00F9224E"/>
    <w:rsid w:val="00F92261"/>
    <w:rsid w:val="00F9236C"/>
    <w:rsid w:val="00F92419"/>
    <w:rsid w:val="00F92454"/>
    <w:rsid w:val="00F92499"/>
    <w:rsid w:val="00F924F1"/>
    <w:rsid w:val="00F92511"/>
    <w:rsid w:val="00F92523"/>
    <w:rsid w:val="00F925BB"/>
    <w:rsid w:val="00F925EC"/>
    <w:rsid w:val="00F926EC"/>
    <w:rsid w:val="00F92704"/>
    <w:rsid w:val="00F92857"/>
    <w:rsid w:val="00F92A09"/>
    <w:rsid w:val="00F92A4C"/>
    <w:rsid w:val="00F92ABC"/>
    <w:rsid w:val="00F92AD3"/>
    <w:rsid w:val="00F92B3B"/>
    <w:rsid w:val="00F92CA7"/>
    <w:rsid w:val="00F92CFC"/>
    <w:rsid w:val="00F92D21"/>
    <w:rsid w:val="00F92DA3"/>
    <w:rsid w:val="00F92E2A"/>
    <w:rsid w:val="00F92E31"/>
    <w:rsid w:val="00F92E3F"/>
    <w:rsid w:val="00F92E40"/>
    <w:rsid w:val="00F92E6D"/>
    <w:rsid w:val="00F92EA8"/>
    <w:rsid w:val="00F92EC8"/>
    <w:rsid w:val="00F92ECD"/>
    <w:rsid w:val="00F92F14"/>
    <w:rsid w:val="00F92F62"/>
    <w:rsid w:val="00F9302A"/>
    <w:rsid w:val="00F930C0"/>
    <w:rsid w:val="00F93100"/>
    <w:rsid w:val="00F93143"/>
    <w:rsid w:val="00F931CB"/>
    <w:rsid w:val="00F93374"/>
    <w:rsid w:val="00F93381"/>
    <w:rsid w:val="00F9338F"/>
    <w:rsid w:val="00F93396"/>
    <w:rsid w:val="00F9349A"/>
    <w:rsid w:val="00F934CC"/>
    <w:rsid w:val="00F9352A"/>
    <w:rsid w:val="00F935E5"/>
    <w:rsid w:val="00F935E7"/>
    <w:rsid w:val="00F93656"/>
    <w:rsid w:val="00F9366E"/>
    <w:rsid w:val="00F93682"/>
    <w:rsid w:val="00F9381F"/>
    <w:rsid w:val="00F93828"/>
    <w:rsid w:val="00F9383C"/>
    <w:rsid w:val="00F93875"/>
    <w:rsid w:val="00F9390B"/>
    <w:rsid w:val="00F9396C"/>
    <w:rsid w:val="00F93A29"/>
    <w:rsid w:val="00F93A8C"/>
    <w:rsid w:val="00F93B36"/>
    <w:rsid w:val="00F93B37"/>
    <w:rsid w:val="00F93D43"/>
    <w:rsid w:val="00F93DBF"/>
    <w:rsid w:val="00F93E48"/>
    <w:rsid w:val="00F93F06"/>
    <w:rsid w:val="00F93F84"/>
    <w:rsid w:val="00F93F96"/>
    <w:rsid w:val="00F93FE3"/>
    <w:rsid w:val="00F94098"/>
    <w:rsid w:val="00F9411B"/>
    <w:rsid w:val="00F94134"/>
    <w:rsid w:val="00F941E2"/>
    <w:rsid w:val="00F94291"/>
    <w:rsid w:val="00F94307"/>
    <w:rsid w:val="00F94355"/>
    <w:rsid w:val="00F9439F"/>
    <w:rsid w:val="00F943DE"/>
    <w:rsid w:val="00F94437"/>
    <w:rsid w:val="00F9451B"/>
    <w:rsid w:val="00F94573"/>
    <w:rsid w:val="00F945AF"/>
    <w:rsid w:val="00F945B7"/>
    <w:rsid w:val="00F945E0"/>
    <w:rsid w:val="00F9463C"/>
    <w:rsid w:val="00F946D8"/>
    <w:rsid w:val="00F946DA"/>
    <w:rsid w:val="00F9474A"/>
    <w:rsid w:val="00F947C0"/>
    <w:rsid w:val="00F947F6"/>
    <w:rsid w:val="00F948AB"/>
    <w:rsid w:val="00F948AD"/>
    <w:rsid w:val="00F94966"/>
    <w:rsid w:val="00F94A1B"/>
    <w:rsid w:val="00F94A35"/>
    <w:rsid w:val="00F94AC8"/>
    <w:rsid w:val="00F94AEA"/>
    <w:rsid w:val="00F94AF8"/>
    <w:rsid w:val="00F94B24"/>
    <w:rsid w:val="00F94B61"/>
    <w:rsid w:val="00F94C0A"/>
    <w:rsid w:val="00F94D74"/>
    <w:rsid w:val="00F94DC2"/>
    <w:rsid w:val="00F94E35"/>
    <w:rsid w:val="00F94E81"/>
    <w:rsid w:val="00F94EEE"/>
    <w:rsid w:val="00F94F30"/>
    <w:rsid w:val="00F94F54"/>
    <w:rsid w:val="00F94F5F"/>
    <w:rsid w:val="00F9504E"/>
    <w:rsid w:val="00F950B9"/>
    <w:rsid w:val="00F95307"/>
    <w:rsid w:val="00F95318"/>
    <w:rsid w:val="00F95321"/>
    <w:rsid w:val="00F95333"/>
    <w:rsid w:val="00F95389"/>
    <w:rsid w:val="00F953BA"/>
    <w:rsid w:val="00F953D4"/>
    <w:rsid w:val="00F953E1"/>
    <w:rsid w:val="00F9542E"/>
    <w:rsid w:val="00F954FB"/>
    <w:rsid w:val="00F9556E"/>
    <w:rsid w:val="00F95597"/>
    <w:rsid w:val="00F95666"/>
    <w:rsid w:val="00F95687"/>
    <w:rsid w:val="00F956BC"/>
    <w:rsid w:val="00F956C0"/>
    <w:rsid w:val="00F956FB"/>
    <w:rsid w:val="00F957EB"/>
    <w:rsid w:val="00F957FB"/>
    <w:rsid w:val="00F95822"/>
    <w:rsid w:val="00F958B8"/>
    <w:rsid w:val="00F958D3"/>
    <w:rsid w:val="00F95944"/>
    <w:rsid w:val="00F9597B"/>
    <w:rsid w:val="00F959B4"/>
    <w:rsid w:val="00F959D2"/>
    <w:rsid w:val="00F95A19"/>
    <w:rsid w:val="00F95A95"/>
    <w:rsid w:val="00F95AA6"/>
    <w:rsid w:val="00F95AD0"/>
    <w:rsid w:val="00F95B1E"/>
    <w:rsid w:val="00F95B80"/>
    <w:rsid w:val="00F95B8E"/>
    <w:rsid w:val="00F95C6A"/>
    <w:rsid w:val="00F95CC6"/>
    <w:rsid w:val="00F95CDA"/>
    <w:rsid w:val="00F95CF3"/>
    <w:rsid w:val="00F95DFB"/>
    <w:rsid w:val="00F95E13"/>
    <w:rsid w:val="00F95E1C"/>
    <w:rsid w:val="00F95E51"/>
    <w:rsid w:val="00F95E7B"/>
    <w:rsid w:val="00F95E85"/>
    <w:rsid w:val="00F95EEF"/>
    <w:rsid w:val="00F95F00"/>
    <w:rsid w:val="00F95F56"/>
    <w:rsid w:val="00F95F7E"/>
    <w:rsid w:val="00F95FC3"/>
    <w:rsid w:val="00F960C6"/>
    <w:rsid w:val="00F96130"/>
    <w:rsid w:val="00F9615D"/>
    <w:rsid w:val="00F961C2"/>
    <w:rsid w:val="00F961CC"/>
    <w:rsid w:val="00F961DA"/>
    <w:rsid w:val="00F96236"/>
    <w:rsid w:val="00F96256"/>
    <w:rsid w:val="00F96338"/>
    <w:rsid w:val="00F96433"/>
    <w:rsid w:val="00F96464"/>
    <w:rsid w:val="00F9647D"/>
    <w:rsid w:val="00F964E1"/>
    <w:rsid w:val="00F965D0"/>
    <w:rsid w:val="00F96600"/>
    <w:rsid w:val="00F9664D"/>
    <w:rsid w:val="00F966C6"/>
    <w:rsid w:val="00F966D9"/>
    <w:rsid w:val="00F966F1"/>
    <w:rsid w:val="00F96712"/>
    <w:rsid w:val="00F96826"/>
    <w:rsid w:val="00F968F4"/>
    <w:rsid w:val="00F96927"/>
    <w:rsid w:val="00F9692C"/>
    <w:rsid w:val="00F96998"/>
    <w:rsid w:val="00F96A4F"/>
    <w:rsid w:val="00F96A83"/>
    <w:rsid w:val="00F96AD6"/>
    <w:rsid w:val="00F96CA0"/>
    <w:rsid w:val="00F96CA2"/>
    <w:rsid w:val="00F96D0A"/>
    <w:rsid w:val="00F96D1D"/>
    <w:rsid w:val="00F96D88"/>
    <w:rsid w:val="00F96DD1"/>
    <w:rsid w:val="00F96EC2"/>
    <w:rsid w:val="00F96EE4"/>
    <w:rsid w:val="00F96F13"/>
    <w:rsid w:val="00F96F74"/>
    <w:rsid w:val="00F97008"/>
    <w:rsid w:val="00F97086"/>
    <w:rsid w:val="00F9708F"/>
    <w:rsid w:val="00F970E3"/>
    <w:rsid w:val="00F97111"/>
    <w:rsid w:val="00F97128"/>
    <w:rsid w:val="00F97140"/>
    <w:rsid w:val="00F97144"/>
    <w:rsid w:val="00F9717B"/>
    <w:rsid w:val="00F97182"/>
    <w:rsid w:val="00F9727B"/>
    <w:rsid w:val="00F9732A"/>
    <w:rsid w:val="00F97349"/>
    <w:rsid w:val="00F97371"/>
    <w:rsid w:val="00F973C9"/>
    <w:rsid w:val="00F9741E"/>
    <w:rsid w:val="00F974DD"/>
    <w:rsid w:val="00F97503"/>
    <w:rsid w:val="00F97525"/>
    <w:rsid w:val="00F97572"/>
    <w:rsid w:val="00F97583"/>
    <w:rsid w:val="00F975E1"/>
    <w:rsid w:val="00F9770E"/>
    <w:rsid w:val="00F9771D"/>
    <w:rsid w:val="00F97726"/>
    <w:rsid w:val="00F9772E"/>
    <w:rsid w:val="00F97766"/>
    <w:rsid w:val="00F977DE"/>
    <w:rsid w:val="00F978B9"/>
    <w:rsid w:val="00F978C9"/>
    <w:rsid w:val="00F9799B"/>
    <w:rsid w:val="00F97A78"/>
    <w:rsid w:val="00F97A7B"/>
    <w:rsid w:val="00F97A89"/>
    <w:rsid w:val="00F97AD2"/>
    <w:rsid w:val="00F97B61"/>
    <w:rsid w:val="00F97BC0"/>
    <w:rsid w:val="00F97D56"/>
    <w:rsid w:val="00F97DF4"/>
    <w:rsid w:val="00F97E2A"/>
    <w:rsid w:val="00F97E47"/>
    <w:rsid w:val="00F97F15"/>
    <w:rsid w:val="00F97F34"/>
    <w:rsid w:val="00F97F4D"/>
    <w:rsid w:val="00F97F86"/>
    <w:rsid w:val="00F97F89"/>
    <w:rsid w:val="00F97FF1"/>
    <w:rsid w:val="00FA0096"/>
    <w:rsid w:val="00FA009E"/>
    <w:rsid w:val="00FA00B1"/>
    <w:rsid w:val="00FA0121"/>
    <w:rsid w:val="00FA017C"/>
    <w:rsid w:val="00FA0189"/>
    <w:rsid w:val="00FA01F8"/>
    <w:rsid w:val="00FA0300"/>
    <w:rsid w:val="00FA035D"/>
    <w:rsid w:val="00FA0447"/>
    <w:rsid w:val="00FA05F6"/>
    <w:rsid w:val="00FA066B"/>
    <w:rsid w:val="00FA0677"/>
    <w:rsid w:val="00FA0800"/>
    <w:rsid w:val="00FA087E"/>
    <w:rsid w:val="00FA0896"/>
    <w:rsid w:val="00FA08F6"/>
    <w:rsid w:val="00FA095E"/>
    <w:rsid w:val="00FA09A0"/>
    <w:rsid w:val="00FA09CA"/>
    <w:rsid w:val="00FA0A0D"/>
    <w:rsid w:val="00FA0A35"/>
    <w:rsid w:val="00FA0AA7"/>
    <w:rsid w:val="00FA0AE8"/>
    <w:rsid w:val="00FA0B6D"/>
    <w:rsid w:val="00FA0B75"/>
    <w:rsid w:val="00FA0BE0"/>
    <w:rsid w:val="00FA0C99"/>
    <w:rsid w:val="00FA0E37"/>
    <w:rsid w:val="00FA0E94"/>
    <w:rsid w:val="00FA0F78"/>
    <w:rsid w:val="00FA1001"/>
    <w:rsid w:val="00FA101A"/>
    <w:rsid w:val="00FA1045"/>
    <w:rsid w:val="00FA105F"/>
    <w:rsid w:val="00FA1135"/>
    <w:rsid w:val="00FA115F"/>
    <w:rsid w:val="00FA11D3"/>
    <w:rsid w:val="00FA11D6"/>
    <w:rsid w:val="00FA1233"/>
    <w:rsid w:val="00FA12A0"/>
    <w:rsid w:val="00FA13F5"/>
    <w:rsid w:val="00FA1475"/>
    <w:rsid w:val="00FA14AB"/>
    <w:rsid w:val="00FA14BC"/>
    <w:rsid w:val="00FA14D4"/>
    <w:rsid w:val="00FA1534"/>
    <w:rsid w:val="00FA15AF"/>
    <w:rsid w:val="00FA15E8"/>
    <w:rsid w:val="00FA1646"/>
    <w:rsid w:val="00FA1762"/>
    <w:rsid w:val="00FA176A"/>
    <w:rsid w:val="00FA1797"/>
    <w:rsid w:val="00FA17CB"/>
    <w:rsid w:val="00FA17F5"/>
    <w:rsid w:val="00FA18C4"/>
    <w:rsid w:val="00FA18E5"/>
    <w:rsid w:val="00FA18F2"/>
    <w:rsid w:val="00FA192C"/>
    <w:rsid w:val="00FA193C"/>
    <w:rsid w:val="00FA19A6"/>
    <w:rsid w:val="00FA19BB"/>
    <w:rsid w:val="00FA1A44"/>
    <w:rsid w:val="00FA1B50"/>
    <w:rsid w:val="00FA1D32"/>
    <w:rsid w:val="00FA1D70"/>
    <w:rsid w:val="00FA1E06"/>
    <w:rsid w:val="00FA1E2B"/>
    <w:rsid w:val="00FA1E55"/>
    <w:rsid w:val="00FA1E6A"/>
    <w:rsid w:val="00FA1E84"/>
    <w:rsid w:val="00FA1EA3"/>
    <w:rsid w:val="00FA1EBE"/>
    <w:rsid w:val="00FA1ECA"/>
    <w:rsid w:val="00FA1ED8"/>
    <w:rsid w:val="00FA1EDE"/>
    <w:rsid w:val="00FA1F03"/>
    <w:rsid w:val="00FA1F56"/>
    <w:rsid w:val="00FA1FEA"/>
    <w:rsid w:val="00FA2080"/>
    <w:rsid w:val="00FA20FE"/>
    <w:rsid w:val="00FA217F"/>
    <w:rsid w:val="00FA2269"/>
    <w:rsid w:val="00FA229B"/>
    <w:rsid w:val="00FA22DC"/>
    <w:rsid w:val="00FA22FD"/>
    <w:rsid w:val="00FA2436"/>
    <w:rsid w:val="00FA2447"/>
    <w:rsid w:val="00FA2453"/>
    <w:rsid w:val="00FA2590"/>
    <w:rsid w:val="00FA26A9"/>
    <w:rsid w:val="00FA26CC"/>
    <w:rsid w:val="00FA2794"/>
    <w:rsid w:val="00FA2800"/>
    <w:rsid w:val="00FA299E"/>
    <w:rsid w:val="00FA29BD"/>
    <w:rsid w:val="00FA2AC4"/>
    <w:rsid w:val="00FA2B95"/>
    <w:rsid w:val="00FA2B9A"/>
    <w:rsid w:val="00FA2CF1"/>
    <w:rsid w:val="00FA2CF2"/>
    <w:rsid w:val="00FA2CFC"/>
    <w:rsid w:val="00FA2D32"/>
    <w:rsid w:val="00FA2D6C"/>
    <w:rsid w:val="00FA2F1C"/>
    <w:rsid w:val="00FA2F7D"/>
    <w:rsid w:val="00FA2FFE"/>
    <w:rsid w:val="00FA301D"/>
    <w:rsid w:val="00FA3057"/>
    <w:rsid w:val="00FA30A1"/>
    <w:rsid w:val="00FA317A"/>
    <w:rsid w:val="00FA3230"/>
    <w:rsid w:val="00FA3394"/>
    <w:rsid w:val="00FA33DC"/>
    <w:rsid w:val="00FA33F1"/>
    <w:rsid w:val="00FA34C2"/>
    <w:rsid w:val="00FA3505"/>
    <w:rsid w:val="00FA352C"/>
    <w:rsid w:val="00FA3550"/>
    <w:rsid w:val="00FA3576"/>
    <w:rsid w:val="00FA35FF"/>
    <w:rsid w:val="00FA371C"/>
    <w:rsid w:val="00FA3743"/>
    <w:rsid w:val="00FA37D5"/>
    <w:rsid w:val="00FA3852"/>
    <w:rsid w:val="00FA3908"/>
    <w:rsid w:val="00FA395B"/>
    <w:rsid w:val="00FA397C"/>
    <w:rsid w:val="00FA3A43"/>
    <w:rsid w:val="00FA3B18"/>
    <w:rsid w:val="00FA3B8D"/>
    <w:rsid w:val="00FA3CCE"/>
    <w:rsid w:val="00FA3D47"/>
    <w:rsid w:val="00FA3DA7"/>
    <w:rsid w:val="00FA3DA8"/>
    <w:rsid w:val="00FA3E04"/>
    <w:rsid w:val="00FA3E19"/>
    <w:rsid w:val="00FA3EB9"/>
    <w:rsid w:val="00FA3F23"/>
    <w:rsid w:val="00FA3F4C"/>
    <w:rsid w:val="00FA3F5C"/>
    <w:rsid w:val="00FA3FD3"/>
    <w:rsid w:val="00FA410F"/>
    <w:rsid w:val="00FA41F0"/>
    <w:rsid w:val="00FA427B"/>
    <w:rsid w:val="00FA42FB"/>
    <w:rsid w:val="00FA43CF"/>
    <w:rsid w:val="00FA43EB"/>
    <w:rsid w:val="00FA4420"/>
    <w:rsid w:val="00FA4430"/>
    <w:rsid w:val="00FA4456"/>
    <w:rsid w:val="00FA4490"/>
    <w:rsid w:val="00FA450A"/>
    <w:rsid w:val="00FA4531"/>
    <w:rsid w:val="00FA45BA"/>
    <w:rsid w:val="00FA45EC"/>
    <w:rsid w:val="00FA4657"/>
    <w:rsid w:val="00FA465F"/>
    <w:rsid w:val="00FA46F1"/>
    <w:rsid w:val="00FA4742"/>
    <w:rsid w:val="00FA47A3"/>
    <w:rsid w:val="00FA486D"/>
    <w:rsid w:val="00FA48B4"/>
    <w:rsid w:val="00FA4941"/>
    <w:rsid w:val="00FA4965"/>
    <w:rsid w:val="00FA4A06"/>
    <w:rsid w:val="00FA4A0E"/>
    <w:rsid w:val="00FA4A8A"/>
    <w:rsid w:val="00FA4AD8"/>
    <w:rsid w:val="00FA4B7A"/>
    <w:rsid w:val="00FA4CC4"/>
    <w:rsid w:val="00FA4CC8"/>
    <w:rsid w:val="00FA4D63"/>
    <w:rsid w:val="00FA4DE0"/>
    <w:rsid w:val="00FA4EEE"/>
    <w:rsid w:val="00FA4F6B"/>
    <w:rsid w:val="00FA4F81"/>
    <w:rsid w:val="00FA4F9F"/>
    <w:rsid w:val="00FA4FA7"/>
    <w:rsid w:val="00FA4FD8"/>
    <w:rsid w:val="00FA50A3"/>
    <w:rsid w:val="00FA50AD"/>
    <w:rsid w:val="00FA50C6"/>
    <w:rsid w:val="00FA5174"/>
    <w:rsid w:val="00FA528C"/>
    <w:rsid w:val="00FA52B7"/>
    <w:rsid w:val="00FA538E"/>
    <w:rsid w:val="00FA5458"/>
    <w:rsid w:val="00FA54D5"/>
    <w:rsid w:val="00FA5578"/>
    <w:rsid w:val="00FA5582"/>
    <w:rsid w:val="00FA5676"/>
    <w:rsid w:val="00FA56DC"/>
    <w:rsid w:val="00FA577F"/>
    <w:rsid w:val="00FA5830"/>
    <w:rsid w:val="00FA5876"/>
    <w:rsid w:val="00FA5908"/>
    <w:rsid w:val="00FA59BC"/>
    <w:rsid w:val="00FA59EE"/>
    <w:rsid w:val="00FA5BCD"/>
    <w:rsid w:val="00FA5C16"/>
    <w:rsid w:val="00FA5C6A"/>
    <w:rsid w:val="00FA5CD2"/>
    <w:rsid w:val="00FA5CFB"/>
    <w:rsid w:val="00FA5DBB"/>
    <w:rsid w:val="00FA5DC4"/>
    <w:rsid w:val="00FA5E32"/>
    <w:rsid w:val="00FA5E99"/>
    <w:rsid w:val="00FA5EAD"/>
    <w:rsid w:val="00FA5F3B"/>
    <w:rsid w:val="00FA5F8F"/>
    <w:rsid w:val="00FA5F9F"/>
    <w:rsid w:val="00FA5FB2"/>
    <w:rsid w:val="00FA5FE3"/>
    <w:rsid w:val="00FA6006"/>
    <w:rsid w:val="00FA6057"/>
    <w:rsid w:val="00FA60EE"/>
    <w:rsid w:val="00FA6115"/>
    <w:rsid w:val="00FA612C"/>
    <w:rsid w:val="00FA613B"/>
    <w:rsid w:val="00FA614B"/>
    <w:rsid w:val="00FA6188"/>
    <w:rsid w:val="00FA61E5"/>
    <w:rsid w:val="00FA6233"/>
    <w:rsid w:val="00FA634D"/>
    <w:rsid w:val="00FA637D"/>
    <w:rsid w:val="00FA63B0"/>
    <w:rsid w:val="00FA640F"/>
    <w:rsid w:val="00FA658E"/>
    <w:rsid w:val="00FA6595"/>
    <w:rsid w:val="00FA65B1"/>
    <w:rsid w:val="00FA6602"/>
    <w:rsid w:val="00FA6671"/>
    <w:rsid w:val="00FA6689"/>
    <w:rsid w:val="00FA6773"/>
    <w:rsid w:val="00FA6800"/>
    <w:rsid w:val="00FA681B"/>
    <w:rsid w:val="00FA687A"/>
    <w:rsid w:val="00FA6999"/>
    <w:rsid w:val="00FA699F"/>
    <w:rsid w:val="00FA69DF"/>
    <w:rsid w:val="00FA6B19"/>
    <w:rsid w:val="00FA6BE9"/>
    <w:rsid w:val="00FA6BEF"/>
    <w:rsid w:val="00FA6C70"/>
    <w:rsid w:val="00FA6CF6"/>
    <w:rsid w:val="00FA6D00"/>
    <w:rsid w:val="00FA6D75"/>
    <w:rsid w:val="00FA6DFC"/>
    <w:rsid w:val="00FA6E13"/>
    <w:rsid w:val="00FA6E1D"/>
    <w:rsid w:val="00FA6E21"/>
    <w:rsid w:val="00FA6E26"/>
    <w:rsid w:val="00FA6E34"/>
    <w:rsid w:val="00FA6E7F"/>
    <w:rsid w:val="00FA6E94"/>
    <w:rsid w:val="00FA6EDA"/>
    <w:rsid w:val="00FA711A"/>
    <w:rsid w:val="00FA7135"/>
    <w:rsid w:val="00FA715B"/>
    <w:rsid w:val="00FA71CB"/>
    <w:rsid w:val="00FA7206"/>
    <w:rsid w:val="00FA7257"/>
    <w:rsid w:val="00FA725D"/>
    <w:rsid w:val="00FA726E"/>
    <w:rsid w:val="00FA72AB"/>
    <w:rsid w:val="00FA72D0"/>
    <w:rsid w:val="00FA72E8"/>
    <w:rsid w:val="00FA7556"/>
    <w:rsid w:val="00FA7596"/>
    <w:rsid w:val="00FA75CC"/>
    <w:rsid w:val="00FA7637"/>
    <w:rsid w:val="00FA76F9"/>
    <w:rsid w:val="00FA77A9"/>
    <w:rsid w:val="00FA77DF"/>
    <w:rsid w:val="00FA7876"/>
    <w:rsid w:val="00FA7957"/>
    <w:rsid w:val="00FA799D"/>
    <w:rsid w:val="00FA79E8"/>
    <w:rsid w:val="00FA79EF"/>
    <w:rsid w:val="00FA7A1F"/>
    <w:rsid w:val="00FA7AB0"/>
    <w:rsid w:val="00FA7AEC"/>
    <w:rsid w:val="00FA7C80"/>
    <w:rsid w:val="00FA7CA0"/>
    <w:rsid w:val="00FA7D25"/>
    <w:rsid w:val="00FA7D8C"/>
    <w:rsid w:val="00FB0008"/>
    <w:rsid w:val="00FB0009"/>
    <w:rsid w:val="00FB0052"/>
    <w:rsid w:val="00FB007A"/>
    <w:rsid w:val="00FB0189"/>
    <w:rsid w:val="00FB01BD"/>
    <w:rsid w:val="00FB0249"/>
    <w:rsid w:val="00FB05D2"/>
    <w:rsid w:val="00FB06BC"/>
    <w:rsid w:val="00FB06CC"/>
    <w:rsid w:val="00FB07CB"/>
    <w:rsid w:val="00FB088A"/>
    <w:rsid w:val="00FB08B5"/>
    <w:rsid w:val="00FB0954"/>
    <w:rsid w:val="00FB09B6"/>
    <w:rsid w:val="00FB0A90"/>
    <w:rsid w:val="00FB0B52"/>
    <w:rsid w:val="00FB0C2A"/>
    <w:rsid w:val="00FB0C62"/>
    <w:rsid w:val="00FB0CAC"/>
    <w:rsid w:val="00FB0DFE"/>
    <w:rsid w:val="00FB0E79"/>
    <w:rsid w:val="00FB0EF0"/>
    <w:rsid w:val="00FB0F61"/>
    <w:rsid w:val="00FB0F8F"/>
    <w:rsid w:val="00FB107C"/>
    <w:rsid w:val="00FB10B8"/>
    <w:rsid w:val="00FB110A"/>
    <w:rsid w:val="00FB1218"/>
    <w:rsid w:val="00FB12A0"/>
    <w:rsid w:val="00FB1384"/>
    <w:rsid w:val="00FB1389"/>
    <w:rsid w:val="00FB13FF"/>
    <w:rsid w:val="00FB1474"/>
    <w:rsid w:val="00FB14BA"/>
    <w:rsid w:val="00FB154F"/>
    <w:rsid w:val="00FB155A"/>
    <w:rsid w:val="00FB161A"/>
    <w:rsid w:val="00FB1629"/>
    <w:rsid w:val="00FB165B"/>
    <w:rsid w:val="00FB171E"/>
    <w:rsid w:val="00FB1774"/>
    <w:rsid w:val="00FB1792"/>
    <w:rsid w:val="00FB17BE"/>
    <w:rsid w:val="00FB187E"/>
    <w:rsid w:val="00FB18EB"/>
    <w:rsid w:val="00FB1902"/>
    <w:rsid w:val="00FB196D"/>
    <w:rsid w:val="00FB19C9"/>
    <w:rsid w:val="00FB1A7C"/>
    <w:rsid w:val="00FB1AB6"/>
    <w:rsid w:val="00FB1BF9"/>
    <w:rsid w:val="00FB1C3D"/>
    <w:rsid w:val="00FB1C77"/>
    <w:rsid w:val="00FB1C86"/>
    <w:rsid w:val="00FB1D44"/>
    <w:rsid w:val="00FB1DBA"/>
    <w:rsid w:val="00FB1EE2"/>
    <w:rsid w:val="00FB1F03"/>
    <w:rsid w:val="00FB1F8F"/>
    <w:rsid w:val="00FB1F93"/>
    <w:rsid w:val="00FB200F"/>
    <w:rsid w:val="00FB2109"/>
    <w:rsid w:val="00FB22CB"/>
    <w:rsid w:val="00FB22D0"/>
    <w:rsid w:val="00FB234D"/>
    <w:rsid w:val="00FB2368"/>
    <w:rsid w:val="00FB2376"/>
    <w:rsid w:val="00FB23A2"/>
    <w:rsid w:val="00FB241C"/>
    <w:rsid w:val="00FB24E9"/>
    <w:rsid w:val="00FB256D"/>
    <w:rsid w:val="00FB259B"/>
    <w:rsid w:val="00FB262E"/>
    <w:rsid w:val="00FB26F5"/>
    <w:rsid w:val="00FB2703"/>
    <w:rsid w:val="00FB2799"/>
    <w:rsid w:val="00FB2820"/>
    <w:rsid w:val="00FB2863"/>
    <w:rsid w:val="00FB2882"/>
    <w:rsid w:val="00FB28CD"/>
    <w:rsid w:val="00FB28FA"/>
    <w:rsid w:val="00FB2907"/>
    <w:rsid w:val="00FB2A03"/>
    <w:rsid w:val="00FB2AC4"/>
    <w:rsid w:val="00FB2AEB"/>
    <w:rsid w:val="00FB2B41"/>
    <w:rsid w:val="00FB2BB8"/>
    <w:rsid w:val="00FB2BDC"/>
    <w:rsid w:val="00FB2CC8"/>
    <w:rsid w:val="00FB2CDF"/>
    <w:rsid w:val="00FB2DAF"/>
    <w:rsid w:val="00FB2E8B"/>
    <w:rsid w:val="00FB2E9F"/>
    <w:rsid w:val="00FB2EF1"/>
    <w:rsid w:val="00FB2EFD"/>
    <w:rsid w:val="00FB2F43"/>
    <w:rsid w:val="00FB2FD8"/>
    <w:rsid w:val="00FB3024"/>
    <w:rsid w:val="00FB305A"/>
    <w:rsid w:val="00FB3088"/>
    <w:rsid w:val="00FB3115"/>
    <w:rsid w:val="00FB31F3"/>
    <w:rsid w:val="00FB3301"/>
    <w:rsid w:val="00FB3337"/>
    <w:rsid w:val="00FB33A7"/>
    <w:rsid w:val="00FB34EB"/>
    <w:rsid w:val="00FB35A1"/>
    <w:rsid w:val="00FB35DB"/>
    <w:rsid w:val="00FB35E7"/>
    <w:rsid w:val="00FB3616"/>
    <w:rsid w:val="00FB361F"/>
    <w:rsid w:val="00FB3674"/>
    <w:rsid w:val="00FB36D1"/>
    <w:rsid w:val="00FB372C"/>
    <w:rsid w:val="00FB37BB"/>
    <w:rsid w:val="00FB37C2"/>
    <w:rsid w:val="00FB37EC"/>
    <w:rsid w:val="00FB3832"/>
    <w:rsid w:val="00FB3899"/>
    <w:rsid w:val="00FB398B"/>
    <w:rsid w:val="00FB39D6"/>
    <w:rsid w:val="00FB3A11"/>
    <w:rsid w:val="00FB3A86"/>
    <w:rsid w:val="00FB3B38"/>
    <w:rsid w:val="00FB3B53"/>
    <w:rsid w:val="00FB3B6C"/>
    <w:rsid w:val="00FB3B8A"/>
    <w:rsid w:val="00FB3BA6"/>
    <w:rsid w:val="00FB3C22"/>
    <w:rsid w:val="00FB3CEE"/>
    <w:rsid w:val="00FB3D5A"/>
    <w:rsid w:val="00FB3D67"/>
    <w:rsid w:val="00FB3EF1"/>
    <w:rsid w:val="00FB3EFB"/>
    <w:rsid w:val="00FB3F92"/>
    <w:rsid w:val="00FB3FAB"/>
    <w:rsid w:val="00FB3FC5"/>
    <w:rsid w:val="00FB3FE7"/>
    <w:rsid w:val="00FB4079"/>
    <w:rsid w:val="00FB40CD"/>
    <w:rsid w:val="00FB40DC"/>
    <w:rsid w:val="00FB40E9"/>
    <w:rsid w:val="00FB41AA"/>
    <w:rsid w:val="00FB41CB"/>
    <w:rsid w:val="00FB4218"/>
    <w:rsid w:val="00FB4245"/>
    <w:rsid w:val="00FB42D2"/>
    <w:rsid w:val="00FB430F"/>
    <w:rsid w:val="00FB4367"/>
    <w:rsid w:val="00FB43AF"/>
    <w:rsid w:val="00FB4503"/>
    <w:rsid w:val="00FB450A"/>
    <w:rsid w:val="00FB4527"/>
    <w:rsid w:val="00FB4618"/>
    <w:rsid w:val="00FB4754"/>
    <w:rsid w:val="00FB47BE"/>
    <w:rsid w:val="00FB47FE"/>
    <w:rsid w:val="00FB4820"/>
    <w:rsid w:val="00FB4822"/>
    <w:rsid w:val="00FB4949"/>
    <w:rsid w:val="00FB4AF5"/>
    <w:rsid w:val="00FB4B2E"/>
    <w:rsid w:val="00FB4B64"/>
    <w:rsid w:val="00FB4BD9"/>
    <w:rsid w:val="00FB4C72"/>
    <w:rsid w:val="00FB4CC8"/>
    <w:rsid w:val="00FB4CF6"/>
    <w:rsid w:val="00FB4D32"/>
    <w:rsid w:val="00FB4D43"/>
    <w:rsid w:val="00FB4D77"/>
    <w:rsid w:val="00FB4D83"/>
    <w:rsid w:val="00FB4D93"/>
    <w:rsid w:val="00FB4E87"/>
    <w:rsid w:val="00FB4F02"/>
    <w:rsid w:val="00FB4F77"/>
    <w:rsid w:val="00FB4FCD"/>
    <w:rsid w:val="00FB4FE7"/>
    <w:rsid w:val="00FB507C"/>
    <w:rsid w:val="00FB508F"/>
    <w:rsid w:val="00FB5100"/>
    <w:rsid w:val="00FB51C6"/>
    <w:rsid w:val="00FB51F2"/>
    <w:rsid w:val="00FB5261"/>
    <w:rsid w:val="00FB5326"/>
    <w:rsid w:val="00FB5329"/>
    <w:rsid w:val="00FB535E"/>
    <w:rsid w:val="00FB53E2"/>
    <w:rsid w:val="00FB53FD"/>
    <w:rsid w:val="00FB540F"/>
    <w:rsid w:val="00FB54DD"/>
    <w:rsid w:val="00FB56CF"/>
    <w:rsid w:val="00FB56F6"/>
    <w:rsid w:val="00FB579A"/>
    <w:rsid w:val="00FB57A1"/>
    <w:rsid w:val="00FB580F"/>
    <w:rsid w:val="00FB5840"/>
    <w:rsid w:val="00FB58EE"/>
    <w:rsid w:val="00FB593F"/>
    <w:rsid w:val="00FB59BF"/>
    <w:rsid w:val="00FB5A4C"/>
    <w:rsid w:val="00FB5A9F"/>
    <w:rsid w:val="00FB5AA4"/>
    <w:rsid w:val="00FB5AAD"/>
    <w:rsid w:val="00FB5AE2"/>
    <w:rsid w:val="00FB5B04"/>
    <w:rsid w:val="00FB5B17"/>
    <w:rsid w:val="00FB5B45"/>
    <w:rsid w:val="00FB5B53"/>
    <w:rsid w:val="00FB5BBB"/>
    <w:rsid w:val="00FB5C79"/>
    <w:rsid w:val="00FB5CE4"/>
    <w:rsid w:val="00FB5CE6"/>
    <w:rsid w:val="00FB5D2C"/>
    <w:rsid w:val="00FB5D62"/>
    <w:rsid w:val="00FB5DF8"/>
    <w:rsid w:val="00FB5FF3"/>
    <w:rsid w:val="00FB6070"/>
    <w:rsid w:val="00FB60FC"/>
    <w:rsid w:val="00FB634D"/>
    <w:rsid w:val="00FB634E"/>
    <w:rsid w:val="00FB6389"/>
    <w:rsid w:val="00FB6394"/>
    <w:rsid w:val="00FB6401"/>
    <w:rsid w:val="00FB647F"/>
    <w:rsid w:val="00FB64CD"/>
    <w:rsid w:val="00FB6582"/>
    <w:rsid w:val="00FB65C7"/>
    <w:rsid w:val="00FB65FC"/>
    <w:rsid w:val="00FB66CF"/>
    <w:rsid w:val="00FB6785"/>
    <w:rsid w:val="00FB6845"/>
    <w:rsid w:val="00FB68D8"/>
    <w:rsid w:val="00FB6981"/>
    <w:rsid w:val="00FB6A29"/>
    <w:rsid w:val="00FB6A2C"/>
    <w:rsid w:val="00FB6A33"/>
    <w:rsid w:val="00FB6C37"/>
    <w:rsid w:val="00FB6C42"/>
    <w:rsid w:val="00FB6CDF"/>
    <w:rsid w:val="00FB6D20"/>
    <w:rsid w:val="00FB6F20"/>
    <w:rsid w:val="00FB6F8E"/>
    <w:rsid w:val="00FB6F96"/>
    <w:rsid w:val="00FB71AF"/>
    <w:rsid w:val="00FB7342"/>
    <w:rsid w:val="00FB73D7"/>
    <w:rsid w:val="00FB74D2"/>
    <w:rsid w:val="00FB74FA"/>
    <w:rsid w:val="00FB7589"/>
    <w:rsid w:val="00FB75BB"/>
    <w:rsid w:val="00FB7643"/>
    <w:rsid w:val="00FB7654"/>
    <w:rsid w:val="00FB7691"/>
    <w:rsid w:val="00FB77BA"/>
    <w:rsid w:val="00FB77BD"/>
    <w:rsid w:val="00FB786B"/>
    <w:rsid w:val="00FB787D"/>
    <w:rsid w:val="00FB78CC"/>
    <w:rsid w:val="00FB7AB6"/>
    <w:rsid w:val="00FB7B94"/>
    <w:rsid w:val="00FB7BAF"/>
    <w:rsid w:val="00FB7BBD"/>
    <w:rsid w:val="00FB7DB2"/>
    <w:rsid w:val="00FB7DB3"/>
    <w:rsid w:val="00FB7DCD"/>
    <w:rsid w:val="00FB7E25"/>
    <w:rsid w:val="00FB7F24"/>
    <w:rsid w:val="00FC0057"/>
    <w:rsid w:val="00FC00AB"/>
    <w:rsid w:val="00FC019D"/>
    <w:rsid w:val="00FC01BB"/>
    <w:rsid w:val="00FC01F1"/>
    <w:rsid w:val="00FC027F"/>
    <w:rsid w:val="00FC034B"/>
    <w:rsid w:val="00FC03AB"/>
    <w:rsid w:val="00FC0459"/>
    <w:rsid w:val="00FC049A"/>
    <w:rsid w:val="00FC04BA"/>
    <w:rsid w:val="00FC04DE"/>
    <w:rsid w:val="00FC04E0"/>
    <w:rsid w:val="00FC04EB"/>
    <w:rsid w:val="00FC0513"/>
    <w:rsid w:val="00FC0514"/>
    <w:rsid w:val="00FC0586"/>
    <w:rsid w:val="00FC06BE"/>
    <w:rsid w:val="00FC06EF"/>
    <w:rsid w:val="00FC0788"/>
    <w:rsid w:val="00FC08EC"/>
    <w:rsid w:val="00FC09A1"/>
    <w:rsid w:val="00FC0A13"/>
    <w:rsid w:val="00FC0B34"/>
    <w:rsid w:val="00FC0B5E"/>
    <w:rsid w:val="00FC0BA5"/>
    <w:rsid w:val="00FC0C59"/>
    <w:rsid w:val="00FC0C83"/>
    <w:rsid w:val="00FC0DB6"/>
    <w:rsid w:val="00FC0DF7"/>
    <w:rsid w:val="00FC0E54"/>
    <w:rsid w:val="00FC0ECC"/>
    <w:rsid w:val="00FC0F1D"/>
    <w:rsid w:val="00FC100E"/>
    <w:rsid w:val="00FC10F8"/>
    <w:rsid w:val="00FC1122"/>
    <w:rsid w:val="00FC11BD"/>
    <w:rsid w:val="00FC130B"/>
    <w:rsid w:val="00FC139C"/>
    <w:rsid w:val="00FC1431"/>
    <w:rsid w:val="00FC145D"/>
    <w:rsid w:val="00FC1464"/>
    <w:rsid w:val="00FC155F"/>
    <w:rsid w:val="00FC1611"/>
    <w:rsid w:val="00FC1640"/>
    <w:rsid w:val="00FC1656"/>
    <w:rsid w:val="00FC167B"/>
    <w:rsid w:val="00FC16E5"/>
    <w:rsid w:val="00FC17C7"/>
    <w:rsid w:val="00FC191C"/>
    <w:rsid w:val="00FC1935"/>
    <w:rsid w:val="00FC195F"/>
    <w:rsid w:val="00FC1993"/>
    <w:rsid w:val="00FC19B9"/>
    <w:rsid w:val="00FC19ED"/>
    <w:rsid w:val="00FC1A0C"/>
    <w:rsid w:val="00FC1A72"/>
    <w:rsid w:val="00FC1A88"/>
    <w:rsid w:val="00FC1AC1"/>
    <w:rsid w:val="00FC1B08"/>
    <w:rsid w:val="00FC1C21"/>
    <w:rsid w:val="00FC1D11"/>
    <w:rsid w:val="00FC1E16"/>
    <w:rsid w:val="00FC1E22"/>
    <w:rsid w:val="00FC1EDC"/>
    <w:rsid w:val="00FC1EED"/>
    <w:rsid w:val="00FC1F2D"/>
    <w:rsid w:val="00FC1F4B"/>
    <w:rsid w:val="00FC21CD"/>
    <w:rsid w:val="00FC21E4"/>
    <w:rsid w:val="00FC220F"/>
    <w:rsid w:val="00FC22AF"/>
    <w:rsid w:val="00FC23A2"/>
    <w:rsid w:val="00FC23AE"/>
    <w:rsid w:val="00FC23F4"/>
    <w:rsid w:val="00FC23FE"/>
    <w:rsid w:val="00FC2415"/>
    <w:rsid w:val="00FC247C"/>
    <w:rsid w:val="00FC249E"/>
    <w:rsid w:val="00FC24C1"/>
    <w:rsid w:val="00FC24C9"/>
    <w:rsid w:val="00FC2608"/>
    <w:rsid w:val="00FC2663"/>
    <w:rsid w:val="00FC2676"/>
    <w:rsid w:val="00FC26DF"/>
    <w:rsid w:val="00FC27FC"/>
    <w:rsid w:val="00FC2807"/>
    <w:rsid w:val="00FC2811"/>
    <w:rsid w:val="00FC284A"/>
    <w:rsid w:val="00FC28C6"/>
    <w:rsid w:val="00FC2A4F"/>
    <w:rsid w:val="00FC2B0C"/>
    <w:rsid w:val="00FC2B69"/>
    <w:rsid w:val="00FC2BA3"/>
    <w:rsid w:val="00FC2C3F"/>
    <w:rsid w:val="00FC2C44"/>
    <w:rsid w:val="00FC2DC1"/>
    <w:rsid w:val="00FC2DC9"/>
    <w:rsid w:val="00FC2DEB"/>
    <w:rsid w:val="00FC2E0B"/>
    <w:rsid w:val="00FC3063"/>
    <w:rsid w:val="00FC3089"/>
    <w:rsid w:val="00FC30DC"/>
    <w:rsid w:val="00FC30FD"/>
    <w:rsid w:val="00FC311D"/>
    <w:rsid w:val="00FC3147"/>
    <w:rsid w:val="00FC316F"/>
    <w:rsid w:val="00FC319D"/>
    <w:rsid w:val="00FC3236"/>
    <w:rsid w:val="00FC3515"/>
    <w:rsid w:val="00FC35BA"/>
    <w:rsid w:val="00FC35D9"/>
    <w:rsid w:val="00FC3675"/>
    <w:rsid w:val="00FC36BE"/>
    <w:rsid w:val="00FC378F"/>
    <w:rsid w:val="00FC37B8"/>
    <w:rsid w:val="00FC37BB"/>
    <w:rsid w:val="00FC37FE"/>
    <w:rsid w:val="00FC3899"/>
    <w:rsid w:val="00FC38FB"/>
    <w:rsid w:val="00FC392E"/>
    <w:rsid w:val="00FC3935"/>
    <w:rsid w:val="00FC3A02"/>
    <w:rsid w:val="00FC3B4D"/>
    <w:rsid w:val="00FC3B6F"/>
    <w:rsid w:val="00FC3BEA"/>
    <w:rsid w:val="00FC3C0D"/>
    <w:rsid w:val="00FC3C50"/>
    <w:rsid w:val="00FC3CCB"/>
    <w:rsid w:val="00FC3CCD"/>
    <w:rsid w:val="00FC3D01"/>
    <w:rsid w:val="00FC3D0D"/>
    <w:rsid w:val="00FC3D79"/>
    <w:rsid w:val="00FC3D7B"/>
    <w:rsid w:val="00FC3DBA"/>
    <w:rsid w:val="00FC3E50"/>
    <w:rsid w:val="00FC3EE5"/>
    <w:rsid w:val="00FC3F01"/>
    <w:rsid w:val="00FC3F43"/>
    <w:rsid w:val="00FC4013"/>
    <w:rsid w:val="00FC4153"/>
    <w:rsid w:val="00FC4187"/>
    <w:rsid w:val="00FC419D"/>
    <w:rsid w:val="00FC428A"/>
    <w:rsid w:val="00FC42E1"/>
    <w:rsid w:val="00FC42EC"/>
    <w:rsid w:val="00FC4309"/>
    <w:rsid w:val="00FC435A"/>
    <w:rsid w:val="00FC43FB"/>
    <w:rsid w:val="00FC4404"/>
    <w:rsid w:val="00FC44A0"/>
    <w:rsid w:val="00FC4502"/>
    <w:rsid w:val="00FC4542"/>
    <w:rsid w:val="00FC455C"/>
    <w:rsid w:val="00FC458B"/>
    <w:rsid w:val="00FC45B4"/>
    <w:rsid w:val="00FC45F3"/>
    <w:rsid w:val="00FC464A"/>
    <w:rsid w:val="00FC46DC"/>
    <w:rsid w:val="00FC475C"/>
    <w:rsid w:val="00FC48F3"/>
    <w:rsid w:val="00FC4959"/>
    <w:rsid w:val="00FC4961"/>
    <w:rsid w:val="00FC4988"/>
    <w:rsid w:val="00FC49D2"/>
    <w:rsid w:val="00FC49D5"/>
    <w:rsid w:val="00FC49F3"/>
    <w:rsid w:val="00FC4A07"/>
    <w:rsid w:val="00FC4A17"/>
    <w:rsid w:val="00FC4A56"/>
    <w:rsid w:val="00FC4B6E"/>
    <w:rsid w:val="00FC4BEC"/>
    <w:rsid w:val="00FC4C6C"/>
    <w:rsid w:val="00FC4C8C"/>
    <w:rsid w:val="00FC4CC4"/>
    <w:rsid w:val="00FC4CC6"/>
    <w:rsid w:val="00FC4D79"/>
    <w:rsid w:val="00FC4F00"/>
    <w:rsid w:val="00FC4FD5"/>
    <w:rsid w:val="00FC4FE3"/>
    <w:rsid w:val="00FC50C9"/>
    <w:rsid w:val="00FC5161"/>
    <w:rsid w:val="00FC51D7"/>
    <w:rsid w:val="00FC5232"/>
    <w:rsid w:val="00FC5292"/>
    <w:rsid w:val="00FC530D"/>
    <w:rsid w:val="00FC5331"/>
    <w:rsid w:val="00FC53AF"/>
    <w:rsid w:val="00FC53D5"/>
    <w:rsid w:val="00FC53E4"/>
    <w:rsid w:val="00FC53FD"/>
    <w:rsid w:val="00FC5429"/>
    <w:rsid w:val="00FC55A9"/>
    <w:rsid w:val="00FC55AC"/>
    <w:rsid w:val="00FC55B8"/>
    <w:rsid w:val="00FC55D3"/>
    <w:rsid w:val="00FC55EA"/>
    <w:rsid w:val="00FC563E"/>
    <w:rsid w:val="00FC56A5"/>
    <w:rsid w:val="00FC570E"/>
    <w:rsid w:val="00FC577C"/>
    <w:rsid w:val="00FC57C1"/>
    <w:rsid w:val="00FC57DC"/>
    <w:rsid w:val="00FC5824"/>
    <w:rsid w:val="00FC5872"/>
    <w:rsid w:val="00FC58BC"/>
    <w:rsid w:val="00FC58DC"/>
    <w:rsid w:val="00FC58F6"/>
    <w:rsid w:val="00FC5A5A"/>
    <w:rsid w:val="00FC5B09"/>
    <w:rsid w:val="00FC5B41"/>
    <w:rsid w:val="00FC5BBC"/>
    <w:rsid w:val="00FC5BC0"/>
    <w:rsid w:val="00FC5D0C"/>
    <w:rsid w:val="00FC5D0D"/>
    <w:rsid w:val="00FC5D63"/>
    <w:rsid w:val="00FC5E72"/>
    <w:rsid w:val="00FC5FA1"/>
    <w:rsid w:val="00FC600B"/>
    <w:rsid w:val="00FC613A"/>
    <w:rsid w:val="00FC6183"/>
    <w:rsid w:val="00FC61A7"/>
    <w:rsid w:val="00FC62CC"/>
    <w:rsid w:val="00FC63D8"/>
    <w:rsid w:val="00FC6488"/>
    <w:rsid w:val="00FC64FA"/>
    <w:rsid w:val="00FC650B"/>
    <w:rsid w:val="00FC6558"/>
    <w:rsid w:val="00FC65D4"/>
    <w:rsid w:val="00FC65E5"/>
    <w:rsid w:val="00FC66CA"/>
    <w:rsid w:val="00FC6739"/>
    <w:rsid w:val="00FC6780"/>
    <w:rsid w:val="00FC67D2"/>
    <w:rsid w:val="00FC6A08"/>
    <w:rsid w:val="00FC6A2C"/>
    <w:rsid w:val="00FC6AA8"/>
    <w:rsid w:val="00FC6B7F"/>
    <w:rsid w:val="00FC6BC6"/>
    <w:rsid w:val="00FC6D48"/>
    <w:rsid w:val="00FC6D88"/>
    <w:rsid w:val="00FC6F70"/>
    <w:rsid w:val="00FC70BB"/>
    <w:rsid w:val="00FC726A"/>
    <w:rsid w:val="00FC73DD"/>
    <w:rsid w:val="00FC73E9"/>
    <w:rsid w:val="00FC7413"/>
    <w:rsid w:val="00FC7475"/>
    <w:rsid w:val="00FC75B7"/>
    <w:rsid w:val="00FC75E7"/>
    <w:rsid w:val="00FC75EA"/>
    <w:rsid w:val="00FC7633"/>
    <w:rsid w:val="00FC7726"/>
    <w:rsid w:val="00FC7733"/>
    <w:rsid w:val="00FC7740"/>
    <w:rsid w:val="00FC7747"/>
    <w:rsid w:val="00FC790F"/>
    <w:rsid w:val="00FC7986"/>
    <w:rsid w:val="00FC7A5F"/>
    <w:rsid w:val="00FC7B0B"/>
    <w:rsid w:val="00FC7B46"/>
    <w:rsid w:val="00FC7B80"/>
    <w:rsid w:val="00FC7BAC"/>
    <w:rsid w:val="00FC7C3A"/>
    <w:rsid w:val="00FC7CC8"/>
    <w:rsid w:val="00FC7D6A"/>
    <w:rsid w:val="00FC7D7C"/>
    <w:rsid w:val="00FC7E22"/>
    <w:rsid w:val="00FC7E76"/>
    <w:rsid w:val="00FC7EC0"/>
    <w:rsid w:val="00FD00B9"/>
    <w:rsid w:val="00FD0118"/>
    <w:rsid w:val="00FD0153"/>
    <w:rsid w:val="00FD01F1"/>
    <w:rsid w:val="00FD0221"/>
    <w:rsid w:val="00FD0256"/>
    <w:rsid w:val="00FD0293"/>
    <w:rsid w:val="00FD02A9"/>
    <w:rsid w:val="00FD0340"/>
    <w:rsid w:val="00FD0392"/>
    <w:rsid w:val="00FD040C"/>
    <w:rsid w:val="00FD04FA"/>
    <w:rsid w:val="00FD052E"/>
    <w:rsid w:val="00FD0575"/>
    <w:rsid w:val="00FD0600"/>
    <w:rsid w:val="00FD0601"/>
    <w:rsid w:val="00FD06BB"/>
    <w:rsid w:val="00FD0716"/>
    <w:rsid w:val="00FD07ED"/>
    <w:rsid w:val="00FD080B"/>
    <w:rsid w:val="00FD0972"/>
    <w:rsid w:val="00FD0985"/>
    <w:rsid w:val="00FD0997"/>
    <w:rsid w:val="00FD09D4"/>
    <w:rsid w:val="00FD09D5"/>
    <w:rsid w:val="00FD09ED"/>
    <w:rsid w:val="00FD0A74"/>
    <w:rsid w:val="00FD0B8F"/>
    <w:rsid w:val="00FD0BC3"/>
    <w:rsid w:val="00FD0BD7"/>
    <w:rsid w:val="00FD0CB0"/>
    <w:rsid w:val="00FD0E06"/>
    <w:rsid w:val="00FD0E0C"/>
    <w:rsid w:val="00FD0E44"/>
    <w:rsid w:val="00FD0EAA"/>
    <w:rsid w:val="00FD0F32"/>
    <w:rsid w:val="00FD0F64"/>
    <w:rsid w:val="00FD123A"/>
    <w:rsid w:val="00FD12F3"/>
    <w:rsid w:val="00FD14DD"/>
    <w:rsid w:val="00FD1524"/>
    <w:rsid w:val="00FD1587"/>
    <w:rsid w:val="00FD1718"/>
    <w:rsid w:val="00FD174B"/>
    <w:rsid w:val="00FD174F"/>
    <w:rsid w:val="00FD17EE"/>
    <w:rsid w:val="00FD183C"/>
    <w:rsid w:val="00FD1871"/>
    <w:rsid w:val="00FD1881"/>
    <w:rsid w:val="00FD18CB"/>
    <w:rsid w:val="00FD1A38"/>
    <w:rsid w:val="00FD1A4A"/>
    <w:rsid w:val="00FD1A5D"/>
    <w:rsid w:val="00FD1A75"/>
    <w:rsid w:val="00FD1AB2"/>
    <w:rsid w:val="00FD1ADA"/>
    <w:rsid w:val="00FD1ADE"/>
    <w:rsid w:val="00FD1B76"/>
    <w:rsid w:val="00FD1BE1"/>
    <w:rsid w:val="00FD1BE7"/>
    <w:rsid w:val="00FD1BF3"/>
    <w:rsid w:val="00FD1C7F"/>
    <w:rsid w:val="00FD1C98"/>
    <w:rsid w:val="00FD1CF9"/>
    <w:rsid w:val="00FD1D37"/>
    <w:rsid w:val="00FD1E1A"/>
    <w:rsid w:val="00FD1E46"/>
    <w:rsid w:val="00FD1E52"/>
    <w:rsid w:val="00FD1E57"/>
    <w:rsid w:val="00FD1E94"/>
    <w:rsid w:val="00FD1F56"/>
    <w:rsid w:val="00FD20FF"/>
    <w:rsid w:val="00FD2234"/>
    <w:rsid w:val="00FD224A"/>
    <w:rsid w:val="00FD225E"/>
    <w:rsid w:val="00FD229A"/>
    <w:rsid w:val="00FD22A9"/>
    <w:rsid w:val="00FD230D"/>
    <w:rsid w:val="00FD23CD"/>
    <w:rsid w:val="00FD242A"/>
    <w:rsid w:val="00FD2441"/>
    <w:rsid w:val="00FD2520"/>
    <w:rsid w:val="00FD25CA"/>
    <w:rsid w:val="00FD2658"/>
    <w:rsid w:val="00FD2714"/>
    <w:rsid w:val="00FD2717"/>
    <w:rsid w:val="00FD2754"/>
    <w:rsid w:val="00FD284C"/>
    <w:rsid w:val="00FD2866"/>
    <w:rsid w:val="00FD28BF"/>
    <w:rsid w:val="00FD29CD"/>
    <w:rsid w:val="00FD2AA2"/>
    <w:rsid w:val="00FD2AEA"/>
    <w:rsid w:val="00FD2BFC"/>
    <w:rsid w:val="00FD2C40"/>
    <w:rsid w:val="00FD2CAA"/>
    <w:rsid w:val="00FD2CF3"/>
    <w:rsid w:val="00FD2D0D"/>
    <w:rsid w:val="00FD2DBF"/>
    <w:rsid w:val="00FD2DD1"/>
    <w:rsid w:val="00FD2E00"/>
    <w:rsid w:val="00FD2E64"/>
    <w:rsid w:val="00FD2F01"/>
    <w:rsid w:val="00FD2FD4"/>
    <w:rsid w:val="00FD318F"/>
    <w:rsid w:val="00FD31C9"/>
    <w:rsid w:val="00FD32C2"/>
    <w:rsid w:val="00FD33DB"/>
    <w:rsid w:val="00FD3436"/>
    <w:rsid w:val="00FD3465"/>
    <w:rsid w:val="00FD348E"/>
    <w:rsid w:val="00FD35C1"/>
    <w:rsid w:val="00FD35FF"/>
    <w:rsid w:val="00FD3624"/>
    <w:rsid w:val="00FD36EE"/>
    <w:rsid w:val="00FD3742"/>
    <w:rsid w:val="00FD3743"/>
    <w:rsid w:val="00FD37FF"/>
    <w:rsid w:val="00FD3805"/>
    <w:rsid w:val="00FD3845"/>
    <w:rsid w:val="00FD391B"/>
    <w:rsid w:val="00FD3931"/>
    <w:rsid w:val="00FD39E5"/>
    <w:rsid w:val="00FD3B7D"/>
    <w:rsid w:val="00FD3BE8"/>
    <w:rsid w:val="00FD3C34"/>
    <w:rsid w:val="00FD3C41"/>
    <w:rsid w:val="00FD3C8B"/>
    <w:rsid w:val="00FD3CF8"/>
    <w:rsid w:val="00FD3D2E"/>
    <w:rsid w:val="00FD3D6A"/>
    <w:rsid w:val="00FD3DED"/>
    <w:rsid w:val="00FD3E70"/>
    <w:rsid w:val="00FD3E73"/>
    <w:rsid w:val="00FD3E7A"/>
    <w:rsid w:val="00FD3FE5"/>
    <w:rsid w:val="00FD4097"/>
    <w:rsid w:val="00FD41C3"/>
    <w:rsid w:val="00FD423E"/>
    <w:rsid w:val="00FD4260"/>
    <w:rsid w:val="00FD433F"/>
    <w:rsid w:val="00FD4440"/>
    <w:rsid w:val="00FD4445"/>
    <w:rsid w:val="00FD44B9"/>
    <w:rsid w:val="00FD475E"/>
    <w:rsid w:val="00FD477C"/>
    <w:rsid w:val="00FD4792"/>
    <w:rsid w:val="00FD47A3"/>
    <w:rsid w:val="00FD481E"/>
    <w:rsid w:val="00FD482A"/>
    <w:rsid w:val="00FD48EB"/>
    <w:rsid w:val="00FD48F8"/>
    <w:rsid w:val="00FD497A"/>
    <w:rsid w:val="00FD4995"/>
    <w:rsid w:val="00FD49EA"/>
    <w:rsid w:val="00FD4AB0"/>
    <w:rsid w:val="00FD4B26"/>
    <w:rsid w:val="00FD4B37"/>
    <w:rsid w:val="00FD4C3C"/>
    <w:rsid w:val="00FD4C62"/>
    <w:rsid w:val="00FD4D56"/>
    <w:rsid w:val="00FD4E17"/>
    <w:rsid w:val="00FD4F55"/>
    <w:rsid w:val="00FD4F86"/>
    <w:rsid w:val="00FD5115"/>
    <w:rsid w:val="00FD519F"/>
    <w:rsid w:val="00FD5267"/>
    <w:rsid w:val="00FD54DF"/>
    <w:rsid w:val="00FD5513"/>
    <w:rsid w:val="00FD55D9"/>
    <w:rsid w:val="00FD55E2"/>
    <w:rsid w:val="00FD560D"/>
    <w:rsid w:val="00FD5644"/>
    <w:rsid w:val="00FD5676"/>
    <w:rsid w:val="00FD56E4"/>
    <w:rsid w:val="00FD5703"/>
    <w:rsid w:val="00FD5728"/>
    <w:rsid w:val="00FD57DA"/>
    <w:rsid w:val="00FD5879"/>
    <w:rsid w:val="00FD5907"/>
    <w:rsid w:val="00FD5981"/>
    <w:rsid w:val="00FD59A4"/>
    <w:rsid w:val="00FD5A14"/>
    <w:rsid w:val="00FD5BBF"/>
    <w:rsid w:val="00FD5C31"/>
    <w:rsid w:val="00FD5C56"/>
    <w:rsid w:val="00FD5CE9"/>
    <w:rsid w:val="00FD5DA5"/>
    <w:rsid w:val="00FD5E78"/>
    <w:rsid w:val="00FD5E80"/>
    <w:rsid w:val="00FD5F6B"/>
    <w:rsid w:val="00FD602F"/>
    <w:rsid w:val="00FD606E"/>
    <w:rsid w:val="00FD6073"/>
    <w:rsid w:val="00FD6093"/>
    <w:rsid w:val="00FD61E6"/>
    <w:rsid w:val="00FD628D"/>
    <w:rsid w:val="00FD643C"/>
    <w:rsid w:val="00FD649B"/>
    <w:rsid w:val="00FD6514"/>
    <w:rsid w:val="00FD656D"/>
    <w:rsid w:val="00FD658D"/>
    <w:rsid w:val="00FD65CB"/>
    <w:rsid w:val="00FD65D4"/>
    <w:rsid w:val="00FD663A"/>
    <w:rsid w:val="00FD66CE"/>
    <w:rsid w:val="00FD67B3"/>
    <w:rsid w:val="00FD6865"/>
    <w:rsid w:val="00FD68CE"/>
    <w:rsid w:val="00FD6922"/>
    <w:rsid w:val="00FD6955"/>
    <w:rsid w:val="00FD699A"/>
    <w:rsid w:val="00FD6A0A"/>
    <w:rsid w:val="00FD6AE4"/>
    <w:rsid w:val="00FD6B36"/>
    <w:rsid w:val="00FD6C21"/>
    <w:rsid w:val="00FD6D5E"/>
    <w:rsid w:val="00FD6D61"/>
    <w:rsid w:val="00FD6EF3"/>
    <w:rsid w:val="00FD6EFE"/>
    <w:rsid w:val="00FD6F32"/>
    <w:rsid w:val="00FD71A6"/>
    <w:rsid w:val="00FD724C"/>
    <w:rsid w:val="00FD724E"/>
    <w:rsid w:val="00FD7276"/>
    <w:rsid w:val="00FD728D"/>
    <w:rsid w:val="00FD728F"/>
    <w:rsid w:val="00FD72A8"/>
    <w:rsid w:val="00FD7400"/>
    <w:rsid w:val="00FD7410"/>
    <w:rsid w:val="00FD7568"/>
    <w:rsid w:val="00FD762F"/>
    <w:rsid w:val="00FD768C"/>
    <w:rsid w:val="00FD7719"/>
    <w:rsid w:val="00FD77F2"/>
    <w:rsid w:val="00FD795D"/>
    <w:rsid w:val="00FD7990"/>
    <w:rsid w:val="00FD7B0D"/>
    <w:rsid w:val="00FD7B8A"/>
    <w:rsid w:val="00FD7C2C"/>
    <w:rsid w:val="00FD7C3A"/>
    <w:rsid w:val="00FD7C6C"/>
    <w:rsid w:val="00FD7C76"/>
    <w:rsid w:val="00FD7D1F"/>
    <w:rsid w:val="00FD7D3D"/>
    <w:rsid w:val="00FD7D8D"/>
    <w:rsid w:val="00FD7DEA"/>
    <w:rsid w:val="00FD7E29"/>
    <w:rsid w:val="00FD7E67"/>
    <w:rsid w:val="00FD7E74"/>
    <w:rsid w:val="00FD7EB5"/>
    <w:rsid w:val="00FD7F30"/>
    <w:rsid w:val="00FD7F34"/>
    <w:rsid w:val="00FE003F"/>
    <w:rsid w:val="00FE015F"/>
    <w:rsid w:val="00FE01E8"/>
    <w:rsid w:val="00FE020A"/>
    <w:rsid w:val="00FE0218"/>
    <w:rsid w:val="00FE022E"/>
    <w:rsid w:val="00FE026B"/>
    <w:rsid w:val="00FE028C"/>
    <w:rsid w:val="00FE02EC"/>
    <w:rsid w:val="00FE0314"/>
    <w:rsid w:val="00FE03DB"/>
    <w:rsid w:val="00FE03E0"/>
    <w:rsid w:val="00FE048D"/>
    <w:rsid w:val="00FE048E"/>
    <w:rsid w:val="00FE04E2"/>
    <w:rsid w:val="00FE05AB"/>
    <w:rsid w:val="00FE06BF"/>
    <w:rsid w:val="00FE06F9"/>
    <w:rsid w:val="00FE073E"/>
    <w:rsid w:val="00FE075F"/>
    <w:rsid w:val="00FE0775"/>
    <w:rsid w:val="00FE0788"/>
    <w:rsid w:val="00FE07D3"/>
    <w:rsid w:val="00FE084D"/>
    <w:rsid w:val="00FE087C"/>
    <w:rsid w:val="00FE0961"/>
    <w:rsid w:val="00FE0A8E"/>
    <w:rsid w:val="00FE0AB2"/>
    <w:rsid w:val="00FE0AC6"/>
    <w:rsid w:val="00FE0AFE"/>
    <w:rsid w:val="00FE0B0E"/>
    <w:rsid w:val="00FE0B9E"/>
    <w:rsid w:val="00FE0CDA"/>
    <w:rsid w:val="00FE0CE0"/>
    <w:rsid w:val="00FE0D29"/>
    <w:rsid w:val="00FE0D51"/>
    <w:rsid w:val="00FE0DA1"/>
    <w:rsid w:val="00FE0DE8"/>
    <w:rsid w:val="00FE0E39"/>
    <w:rsid w:val="00FE0F4B"/>
    <w:rsid w:val="00FE0FE0"/>
    <w:rsid w:val="00FE1116"/>
    <w:rsid w:val="00FE11B5"/>
    <w:rsid w:val="00FE1227"/>
    <w:rsid w:val="00FE123B"/>
    <w:rsid w:val="00FE137A"/>
    <w:rsid w:val="00FE145A"/>
    <w:rsid w:val="00FE1481"/>
    <w:rsid w:val="00FE15A8"/>
    <w:rsid w:val="00FE15FB"/>
    <w:rsid w:val="00FE1786"/>
    <w:rsid w:val="00FE17A9"/>
    <w:rsid w:val="00FE1860"/>
    <w:rsid w:val="00FE189C"/>
    <w:rsid w:val="00FE18ED"/>
    <w:rsid w:val="00FE1913"/>
    <w:rsid w:val="00FE197D"/>
    <w:rsid w:val="00FE19C9"/>
    <w:rsid w:val="00FE1A19"/>
    <w:rsid w:val="00FE1AD7"/>
    <w:rsid w:val="00FE1B76"/>
    <w:rsid w:val="00FE1DB6"/>
    <w:rsid w:val="00FE1DC1"/>
    <w:rsid w:val="00FE1DD4"/>
    <w:rsid w:val="00FE1E91"/>
    <w:rsid w:val="00FE1E93"/>
    <w:rsid w:val="00FE1F91"/>
    <w:rsid w:val="00FE1FF3"/>
    <w:rsid w:val="00FE2069"/>
    <w:rsid w:val="00FE2092"/>
    <w:rsid w:val="00FE211D"/>
    <w:rsid w:val="00FE2197"/>
    <w:rsid w:val="00FE21DF"/>
    <w:rsid w:val="00FE21F5"/>
    <w:rsid w:val="00FE2270"/>
    <w:rsid w:val="00FE2273"/>
    <w:rsid w:val="00FE235A"/>
    <w:rsid w:val="00FE237D"/>
    <w:rsid w:val="00FE237F"/>
    <w:rsid w:val="00FE23F6"/>
    <w:rsid w:val="00FE243F"/>
    <w:rsid w:val="00FE249F"/>
    <w:rsid w:val="00FE24DD"/>
    <w:rsid w:val="00FE2504"/>
    <w:rsid w:val="00FE2573"/>
    <w:rsid w:val="00FE2589"/>
    <w:rsid w:val="00FE258D"/>
    <w:rsid w:val="00FE259E"/>
    <w:rsid w:val="00FE26CE"/>
    <w:rsid w:val="00FE26EB"/>
    <w:rsid w:val="00FE272C"/>
    <w:rsid w:val="00FE2733"/>
    <w:rsid w:val="00FE2775"/>
    <w:rsid w:val="00FE280F"/>
    <w:rsid w:val="00FE2873"/>
    <w:rsid w:val="00FE2894"/>
    <w:rsid w:val="00FE28A7"/>
    <w:rsid w:val="00FE29AE"/>
    <w:rsid w:val="00FE2A28"/>
    <w:rsid w:val="00FE2B16"/>
    <w:rsid w:val="00FE2B99"/>
    <w:rsid w:val="00FE2BA7"/>
    <w:rsid w:val="00FE2BA8"/>
    <w:rsid w:val="00FE2C1F"/>
    <w:rsid w:val="00FE2C7E"/>
    <w:rsid w:val="00FE2D5D"/>
    <w:rsid w:val="00FE2DAF"/>
    <w:rsid w:val="00FE2DE9"/>
    <w:rsid w:val="00FE2E2A"/>
    <w:rsid w:val="00FE2E42"/>
    <w:rsid w:val="00FE2F1A"/>
    <w:rsid w:val="00FE2FD1"/>
    <w:rsid w:val="00FE306F"/>
    <w:rsid w:val="00FE31D4"/>
    <w:rsid w:val="00FE321E"/>
    <w:rsid w:val="00FE3278"/>
    <w:rsid w:val="00FE3291"/>
    <w:rsid w:val="00FE32B1"/>
    <w:rsid w:val="00FE332B"/>
    <w:rsid w:val="00FE3372"/>
    <w:rsid w:val="00FE3391"/>
    <w:rsid w:val="00FE33C7"/>
    <w:rsid w:val="00FE34A7"/>
    <w:rsid w:val="00FE34C8"/>
    <w:rsid w:val="00FE3618"/>
    <w:rsid w:val="00FE3621"/>
    <w:rsid w:val="00FE367D"/>
    <w:rsid w:val="00FE38AB"/>
    <w:rsid w:val="00FE391E"/>
    <w:rsid w:val="00FE39B4"/>
    <w:rsid w:val="00FE39F2"/>
    <w:rsid w:val="00FE39F6"/>
    <w:rsid w:val="00FE3A9C"/>
    <w:rsid w:val="00FE3AFB"/>
    <w:rsid w:val="00FE3B56"/>
    <w:rsid w:val="00FE3B65"/>
    <w:rsid w:val="00FE3B88"/>
    <w:rsid w:val="00FE3BB0"/>
    <w:rsid w:val="00FE3C46"/>
    <w:rsid w:val="00FE3C5E"/>
    <w:rsid w:val="00FE3CB4"/>
    <w:rsid w:val="00FE3CEE"/>
    <w:rsid w:val="00FE3DB0"/>
    <w:rsid w:val="00FE3DE6"/>
    <w:rsid w:val="00FE3E6E"/>
    <w:rsid w:val="00FE3EA0"/>
    <w:rsid w:val="00FE4058"/>
    <w:rsid w:val="00FE40EB"/>
    <w:rsid w:val="00FE41B5"/>
    <w:rsid w:val="00FE41DE"/>
    <w:rsid w:val="00FE4204"/>
    <w:rsid w:val="00FE43D0"/>
    <w:rsid w:val="00FE43D2"/>
    <w:rsid w:val="00FE44BC"/>
    <w:rsid w:val="00FE44DA"/>
    <w:rsid w:val="00FE469B"/>
    <w:rsid w:val="00FE46AE"/>
    <w:rsid w:val="00FE473C"/>
    <w:rsid w:val="00FE47C6"/>
    <w:rsid w:val="00FE4862"/>
    <w:rsid w:val="00FE48DF"/>
    <w:rsid w:val="00FE48F6"/>
    <w:rsid w:val="00FE49C1"/>
    <w:rsid w:val="00FE4A11"/>
    <w:rsid w:val="00FE4B42"/>
    <w:rsid w:val="00FE4BA1"/>
    <w:rsid w:val="00FE4C23"/>
    <w:rsid w:val="00FE4C3C"/>
    <w:rsid w:val="00FE4C56"/>
    <w:rsid w:val="00FE4CF2"/>
    <w:rsid w:val="00FE4D61"/>
    <w:rsid w:val="00FE4D71"/>
    <w:rsid w:val="00FE4E02"/>
    <w:rsid w:val="00FE4E46"/>
    <w:rsid w:val="00FE4E49"/>
    <w:rsid w:val="00FE4F05"/>
    <w:rsid w:val="00FE4F5A"/>
    <w:rsid w:val="00FE4FE1"/>
    <w:rsid w:val="00FE501A"/>
    <w:rsid w:val="00FE5058"/>
    <w:rsid w:val="00FE50A3"/>
    <w:rsid w:val="00FE5124"/>
    <w:rsid w:val="00FE51D0"/>
    <w:rsid w:val="00FE51FD"/>
    <w:rsid w:val="00FE525F"/>
    <w:rsid w:val="00FE5280"/>
    <w:rsid w:val="00FE52DB"/>
    <w:rsid w:val="00FE533C"/>
    <w:rsid w:val="00FE5366"/>
    <w:rsid w:val="00FE55B0"/>
    <w:rsid w:val="00FE5646"/>
    <w:rsid w:val="00FE568D"/>
    <w:rsid w:val="00FE56EA"/>
    <w:rsid w:val="00FE579D"/>
    <w:rsid w:val="00FE5852"/>
    <w:rsid w:val="00FE5888"/>
    <w:rsid w:val="00FE588F"/>
    <w:rsid w:val="00FE5B5F"/>
    <w:rsid w:val="00FE5B66"/>
    <w:rsid w:val="00FE5B8D"/>
    <w:rsid w:val="00FE5C01"/>
    <w:rsid w:val="00FE5C5F"/>
    <w:rsid w:val="00FE5CFD"/>
    <w:rsid w:val="00FE5D96"/>
    <w:rsid w:val="00FE5DB8"/>
    <w:rsid w:val="00FE5EDE"/>
    <w:rsid w:val="00FE6006"/>
    <w:rsid w:val="00FE609F"/>
    <w:rsid w:val="00FE622E"/>
    <w:rsid w:val="00FE6254"/>
    <w:rsid w:val="00FE6362"/>
    <w:rsid w:val="00FE6365"/>
    <w:rsid w:val="00FE63F1"/>
    <w:rsid w:val="00FE64AF"/>
    <w:rsid w:val="00FE6532"/>
    <w:rsid w:val="00FE65B4"/>
    <w:rsid w:val="00FE65BD"/>
    <w:rsid w:val="00FE660D"/>
    <w:rsid w:val="00FE664E"/>
    <w:rsid w:val="00FE6657"/>
    <w:rsid w:val="00FE66C0"/>
    <w:rsid w:val="00FE6704"/>
    <w:rsid w:val="00FE6718"/>
    <w:rsid w:val="00FE6719"/>
    <w:rsid w:val="00FE67F8"/>
    <w:rsid w:val="00FE68E6"/>
    <w:rsid w:val="00FE693A"/>
    <w:rsid w:val="00FE6944"/>
    <w:rsid w:val="00FE69BB"/>
    <w:rsid w:val="00FE69CF"/>
    <w:rsid w:val="00FE6AE6"/>
    <w:rsid w:val="00FE6B9D"/>
    <w:rsid w:val="00FE6BAC"/>
    <w:rsid w:val="00FE6BDF"/>
    <w:rsid w:val="00FE6C39"/>
    <w:rsid w:val="00FE6C5F"/>
    <w:rsid w:val="00FE6D0C"/>
    <w:rsid w:val="00FE6D7C"/>
    <w:rsid w:val="00FE6E9D"/>
    <w:rsid w:val="00FE6ED4"/>
    <w:rsid w:val="00FE6F54"/>
    <w:rsid w:val="00FE7116"/>
    <w:rsid w:val="00FE719E"/>
    <w:rsid w:val="00FE722A"/>
    <w:rsid w:val="00FE723E"/>
    <w:rsid w:val="00FE7429"/>
    <w:rsid w:val="00FE7440"/>
    <w:rsid w:val="00FE7502"/>
    <w:rsid w:val="00FE7515"/>
    <w:rsid w:val="00FE7580"/>
    <w:rsid w:val="00FE75AC"/>
    <w:rsid w:val="00FE75C3"/>
    <w:rsid w:val="00FE75E7"/>
    <w:rsid w:val="00FE76BD"/>
    <w:rsid w:val="00FE7735"/>
    <w:rsid w:val="00FE7798"/>
    <w:rsid w:val="00FE7899"/>
    <w:rsid w:val="00FE78BC"/>
    <w:rsid w:val="00FE79CD"/>
    <w:rsid w:val="00FE79F6"/>
    <w:rsid w:val="00FE7A23"/>
    <w:rsid w:val="00FE7AAD"/>
    <w:rsid w:val="00FE7B69"/>
    <w:rsid w:val="00FE7BDA"/>
    <w:rsid w:val="00FE7BEF"/>
    <w:rsid w:val="00FE7C38"/>
    <w:rsid w:val="00FE7D41"/>
    <w:rsid w:val="00FE7DDF"/>
    <w:rsid w:val="00FE7E10"/>
    <w:rsid w:val="00FE7EC1"/>
    <w:rsid w:val="00FE7ED9"/>
    <w:rsid w:val="00FE7F5D"/>
    <w:rsid w:val="00FE7FC5"/>
    <w:rsid w:val="00FF0142"/>
    <w:rsid w:val="00FF0156"/>
    <w:rsid w:val="00FF01D2"/>
    <w:rsid w:val="00FF01F8"/>
    <w:rsid w:val="00FF0216"/>
    <w:rsid w:val="00FF046A"/>
    <w:rsid w:val="00FF053E"/>
    <w:rsid w:val="00FF0546"/>
    <w:rsid w:val="00FF0616"/>
    <w:rsid w:val="00FF066C"/>
    <w:rsid w:val="00FF06D8"/>
    <w:rsid w:val="00FF06F8"/>
    <w:rsid w:val="00FF0701"/>
    <w:rsid w:val="00FF070D"/>
    <w:rsid w:val="00FF0769"/>
    <w:rsid w:val="00FF07D8"/>
    <w:rsid w:val="00FF07F3"/>
    <w:rsid w:val="00FF07F5"/>
    <w:rsid w:val="00FF08C2"/>
    <w:rsid w:val="00FF08C6"/>
    <w:rsid w:val="00FF08E7"/>
    <w:rsid w:val="00FF099F"/>
    <w:rsid w:val="00FF0A4B"/>
    <w:rsid w:val="00FF0AC8"/>
    <w:rsid w:val="00FF0B97"/>
    <w:rsid w:val="00FF0C00"/>
    <w:rsid w:val="00FF0CB0"/>
    <w:rsid w:val="00FF0D30"/>
    <w:rsid w:val="00FF0D85"/>
    <w:rsid w:val="00FF0DC0"/>
    <w:rsid w:val="00FF0E01"/>
    <w:rsid w:val="00FF0EB6"/>
    <w:rsid w:val="00FF0EF8"/>
    <w:rsid w:val="00FF0FF1"/>
    <w:rsid w:val="00FF101A"/>
    <w:rsid w:val="00FF103B"/>
    <w:rsid w:val="00FF1134"/>
    <w:rsid w:val="00FF119E"/>
    <w:rsid w:val="00FF1246"/>
    <w:rsid w:val="00FF129D"/>
    <w:rsid w:val="00FF139F"/>
    <w:rsid w:val="00FF14B2"/>
    <w:rsid w:val="00FF14BC"/>
    <w:rsid w:val="00FF14DC"/>
    <w:rsid w:val="00FF1507"/>
    <w:rsid w:val="00FF15AC"/>
    <w:rsid w:val="00FF16EA"/>
    <w:rsid w:val="00FF17DB"/>
    <w:rsid w:val="00FF185C"/>
    <w:rsid w:val="00FF1885"/>
    <w:rsid w:val="00FF18EF"/>
    <w:rsid w:val="00FF1A05"/>
    <w:rsid w:val="00FF1A24"/>
    <w:rsid w:val="00FF1ACD"/>
    <w:rsid w:val="00FF1AD6"/>
    <w:rsid w:val="00FF1B10"/>
    <w:rsid w:val="00FF1B31"/>
    <w:rsid w:val="00FF1B52"/>
    <w:rsid w:val="00FF1BFF"/>
    <w:rsid w:val="00FF1D10"/>
    <w:rsid w:val="00FF1D12"/>
    <w:rsid w:val="00FF1E4F"/>
    <w:rsid w:val="00FF1E5D"/>
    <w:rsid w:val="00FF1F6B"/>
    <w:rsid w:val="00FF2062"/>
    <w:rsid w:val="00FF2078"/>
    <w:rsid w:val="00FF2100"/>
    <w:rsid w:val="00FF21B1"/>
    <w:rsid w:val="00FF2242"/>
    <w:rsid w:val="00FF2288"/>
    <w:rsid w:val="00FF2320"/>
    <w:rsid w:val="00FF23B3"/>
    <w:rsid w:val="00FF24D0"/>
    <w:rsid w:val="00FF255F"/>
    <w:rsid w:val="00FF2630"/>
    <w:rsid w:val="00FF26E1"/>
    <w:rsid w:val="00FF26E3"/>
    <w:rsid w:val="00FF2731"/>
    <w:rsid w:val="00FF276F"/>
    <w:rsid w:val="00FF2833"/>
    <w:rsid w:val="00FF2866"/>
    <w:rsid w:val="00FF288E"/>
    <w:rsid w:val="00FF2943"/>
    <w:rsid w:val="00FF29AF"/>
    <w:rsid w:val="00FF2A12"/>
    <w:rsid w:val="00FF2A5B"/>
    <w:rsid w:val="00FF2BB7"/>
    <w:rsid w:val="00FF2CEA"/>
    <w:rsid w:val="00FF2D0F"/>
    <w:rsid w:val="00FF2DA5"/>
    <w:rsid w:val="00FF2EB5"/>
    <w:rsid w:val="00FF2FA6"/>
    <w:rsid w:val="00FF2FED"/>
    <w:rsid w:val="00FF3129"/>
    <w:rsid w:val="00FF313B"/>
    <w:rsid w:val="00FF314F"/>
    <w:rsid w:val="00FF3177"/>
    <w:rsid w:val="00FF3350"/>
    <w:rsid w:val="00FF3475"/>
    <w:rsid w:val="00FF348D"/>
    <w:rsid w:val="00FF34F2"/>
    <w:rsid w:val="00FF35C4"/>
    <w:rsid w:val="00FF368B"/>
    <w:rsid w:val="00FF36CF"/>
    <w:rsid w:val="00FF376B"/>
    <w:rsid w:val="00FF3817"/>
    <w:rsid w:val="00FF3818"/>
    <w:rsid w:val="00FF3838"/>
    <w:rsid w:val="00FF3873"/>
    <w:rsid w:val="00FF38B7"/>
    <w:rsid w:val="00FF38FC"/>
    <w:rsid w:val="00FF3916"/>
    <w:rsid w:val="00FF3944"/>
    <w:rsid w:val="00FF3A1F"/>
    <w:rsid w:val="00FF3A8E"/>
    <w:rsid w:val="00FF3AD7"/>
    <w:rsid w:val="00FF3AE3"/>
    <w:rsid w:val="00FF3B64"/>
    <w:rsid w:val="00FF3B67"/>
    <w:rsid w:val="00FF3BC6"/>
    <w:rsid w:val="00FF3BE8"/>
    <w:rsid w:val="00FF3C2F"/>
    <w:rsid w:val="00FF3C84"/>
    <w:rsid w:val="00FF3CD3"/>
    <w:rsid w:val="00FF3CDB"/>
    <w:rsid w:val="00FF3D6B"/>
    <w:rsid w:val="00FF3E82"/>
    <w:rsid w:val="00FF3EB2"/>
    <w:rsid w:val="00FF3ECC"/>
    <w:rsid w:val="00FF3EF8"/>
    <w:rsid w:val="00FF3F9A"/>
    <w:rsid w:val="00FF3FBD"/>
    <w:rsid w:val="00FF4059"/>
    <w:rsid w:val="00FF40D0"/>
    <w:rsid w:val="00FF4169"/>
    <w:rsid w:val="00FF41B2"/>
    <w:rsid w:val="00FF4259"/>
    <w:rsid w:val="00FF42D9"/>
    <w:rsid w:val="00FF42FE"/>
    <w:rsid w:val="00FF4339"/>
    <w:rsid w:val="00FF447F"/>
    <w:rsid w:val="00FF44B4"/>
    <w:rsid w:val="00FF451E"/>
    <w:rsid w:val="00FF455F"/>
    <w:rsid w:val="00FF460F"/>
    <w:rsid w:val="00FF4654"/>
    <w:rsid w:val="00FF4679"/>
    <w:rsid w:val="00FF467C"/>
    <w:rsid w:val="00FF4681"/>
    <w:rsid w:val="00FF46D1"/>
    <w:rsid w:val="00FF4896"/>
    <w:rsid w:val="00FF48EF"/>
    <w:rsid w:val="00FF491A"/>
    <w:rsid w:val="00FF496D"/>
    <w:rsid w:val="00FF49CA"/>
    <w:rsid w:val="00FF49D5"/>
    <w:rsid w:val="00FF49F2"/>
    <w:rsid w:val="00FF4ABE"/>
    <w:rsid w:val="00FF4AE3"/>
    <w:rsid w:val="00FF4AEA"/>
    <w:rsid w:val="00FF4B38"/>
    <w:rsid w:val="00FF4BF0"/>
    <w:rsid w:val="00FF4E57"/>
    <w:rsid w:val="00FF4E7F"/>
    <w:rsid w:val="00FF4EF0"/>
    <w:rsid w:val="00FF4FF1"/>
    <w:rsid w:val="00FF5023"/>
    <w:rsid w:val="00FF50C5"/>
    <w:rsid w:val="00FF5104"/>
    <w:rsid w:val="00FF52AE"/>
    <w:rsid w:val="00FF534A"/>
    <w:rsid w:val="00FF537B"/>
    <w:rsid w:val="00FF5396"/>
    <w:rsid w:val="00FF5503"/>
    <w:rsid w:val="00FF55F7"/>
    <w:rsid w:val="00FF5653"/>
    <w:rsid w:val="00FF57A6"/>
    <w:rsid w:val="00FF5816"/>
    <w:rsid w:val="00FF59AC"/>
    <w:rsid w:val="00FF59B2"/>
    <w:rsid w:val="00FF5A74"/>
    <w:rsid w:val="00FF5A93"/>
    <w:rsid w:val="00FF5B07"/>
    <w:rsid w:val="00FF5B22"/>
    <w:rsid w:val="00FF5B3A"/>
    <w:rsid w:val="00FF5BC0"/>
    <w:rsid w:val="00FF5BF5"/>
    <w:rsid w:val="00FF5C34"/>
    <w:rsid w:val="00FF5CF8"/>
    <w:rsid w:val="00FF5D69"/>
    <w:rsid w:val="00FF5DF5"/>
    <w:rsid w:val="00FF5E64"/>
    <w:rsid w:val="00FF5E8C"/>
    <w:rsid w:val="00FF5E99"/>
    <w:rsid w:val="00FF5ECC"/>
    <w:rsid w:val="00FF5F19"/>
    <w:rsid w:val="00FF5F64"/>
    <w:rsid w:val="00FF5FD5"/>
    <w:rsid w:val="00FF60EE"/>
    <w:rsid w:val="00FF60F2"/>
    <w:rsid w:val="00FF6146"/>
    <w:rsid w:val="00FF628B"/>
    <w:rsid w:val="00FF62F8"/>
    <w:rsid w:val="00FF6333"/>
    <w:rsid w:val="00FF6370"/>
    <w:rsid w:val="00FF6455"/>
    <w:rsid w:val="00FF65FE"/>
    <w:rsid w:val="00FF6617"/>
    <w:rsid w:val="00FF66E7"/>
    <w:rsid w:val="00FF6709"/>
    <w:rsid w:val="00FF671A"/>
    <w:rsid w:val="00FF6761"/>
    <w:rsid w:val="00FF67AB"/>
    <w:rsid w:val="00FF6826"/>
    <w:rsid w:val="00FF6858"/>
    <w:rsid w:val="00FF68E9"/>
    <w:rsid w:val="00FF6952"/>
    <w:rsid w:val="00FF6982"/>
    <w:rsid w:val="00FF69B4"/>
    <w:rsid w:val="00FF69D2"/>
    <w:rsid w:val="00FF6A07"/>
    <w:rsid w:val="00FF6A82"/>
    <w:rsid w:val="00FF6A84"/>
    <w:rsid w:val="00FF6A85"/>
    <w:rsid w:val="00FF6AE4"/>
    <w:rsid w:val="00FF6B02"/>
    <w:rsid w:val="00FF6B65"/>
    <w:rsid w:val="00FF6B72"/>
    <w:rsid w:val="00FF6BDF"/>
    <w:rsid w:val="00FF6C66"/>
    <w:rsid w:val="00FF6E76"/>
    <w:rsid w:val="00FF6EC4"/>
    <w:rsid w:val="00FF6EEB"/>
    <w:rsid w:val="00FF6F0D"/>
    <w:rsid w:val="00FF6F13"/>
    <w:rsid w:val="00FF6F1F"/>
    <w:rsid w:val="00FF6F45"/>
    <w:rsid w:val="00FF70D6"/>
    <w:rsid w:val="00FF70E3"/>
    <w:rsid w:val="00FF70F3"/>
    <w:rsid w:val="00FF722C"/>
    <w:rsid w:val="00FF7236"/>
    <w:rsid w:val="00FF73D1"/>
    <w:rsid w:val="00FF7413"/>
    <w:rsid w:val="00FF746C"/>
    <w:rsid w:val="00FF7485"/>
    <w:rsid w:val="00FF74E3"/>
    <w:rsid w:val="00FF754F"/>
    <w:rsid w:val="00FF757F"/>
    <w:rsid w:val="00FF7596"/>
    <w:rsid w:val="00FF75A9"/>
    <w:rsid w:val="00FF75DA"/>
    <w:rsid w:val="00FF765B"/>
    <w:rsid w:val="00FF778F"/>
    <w:rsid w:val="00FF77E6"/>
    <w:rsid w:val="00FF77EF"/>
    <w:rsid w:val="00FF7820"/>
    <w:rsid w:val="00FF786C"/>
    <w:rsid w:val="00FF7877"/>
    <w:rsid w:val="00FF7881"/>
    <w:rsid w:val="00FF788B"/>
    <w:rsid w:val="00FF7921"/>
    <w:rsid w:val="00FF798E"/>
    <w:rsid w:val="00FF79EC"/>
    <w:rsid w:val="00FF7AE6"/>
    <w:rsid w:val="00FF7B3A"/>
    <w:rsid w:val="00FF7B9F"/>
    <w:rsid w:val="00FF7C3C"/>
    <w:rsid w:val="00FF7C66"/>
    <w:rsid w:val="00FF7C85"/>
    <w:rsid w:val="00FF7D39"/>
    <w:rsid w:val="00FF7DC5"/>
    <w:rsid w:val="00FF7EF4"/>
    <w:rsid w:val="015450FE"/>
    <w:rsid w:val="0196AAC9"/>
    <w:rsid w:val="01A9A02C"/>
    <w:rsid w:val="01BE47A2"/>
    <w:rsid w:val="01DECFAA"/>
    <w:rsid w:val="01F14F9C"/>
    <w:rsid w:val="0203372B"/>
    <w:rsid w:val="024FF612"/>
    <w:rsid w:val="02622630"/>
    <w:rsid w:val="03331A5E"/>
    <w:rsid w:val="037ABCB1"/>
    <w:rsid w:val="0397680A"/>
    <w:rsid w:val="03E2109F"/>
    <w:rsid w:val="03E70337"/>
    <w:rsid w:val="0406564A"/>
    <w:rsid w:val="0407B51A"/>
    <w:rsid w:val="0419DE07"/>
    <w:rsid w:val="043608C7"/>
    <w:rsid w:val="04E87496"/>
    <w:rsid w:val="04FC8AD3"/>
    <w:rsid w:val="055E45FC"/>
    <w:rsid w:val="05FDB34D"/>
    <w:rsid w:val="0624B0EF"/>
    <w:rsid w:val="06B53AAC"/>
    <w:rsid w:val="070273AE"/>
    <w:rsid w:val="071003C1"/>
    <w:rsid w:val="07469B2C"/>
    <w:rsid w:val="07827BC8"/>
    <w:rsid w:val="07F9F591"/>
    <w:rsid w:val="085387CB"/>
    <w:rsid w:val="08EC1037"/>
    <w:rsid w:val="0A16FBB7"/>
    <w:rsid w:val="0A5599B2"/>
    <w:rsid w:val="0A767852"/>
    <w:rsid w:val="0AA1810D"/>
    <w:rsid w:val="0AF23958"/>
    <w:rsid w:val="0BB7F717"/>
    <w:rsid w:val="0BC5A0CF"/>
    <w:rsid w:val="0D7AE5DD"/>
    <w:rsid w:val="0DDBDA82"/>
    <w:rsid w:val="0E0E65FD"/>
    <w:rsid w:val="0E80DA87"/>
    <w:rsid w:val="0F9A1A6D"/>
    <w:rsid w:val="0FF460B7"/>
    <w:rsid w:val="102B93C8"/>
    <w:rsid w:val="10CFEB31"/>
    <w:rsid w:val="113D0BF5"/>
    <w:rsid w:val="117AC3E2"/>
    <w:rsid w:val="1188ADDC"/>
    <w:rsid w:val="11DBFE3C"/>
    <w:rsid w:val="11DF3B41"/>
    <w:rsid w:val="12403464"/>
    <w:rsid w:val="1334D2F5"/>
    <w:rsid w:val="134E86D7"/>
    <w:rsid w:val="13BF2318"/>
    <w:rsid w:val="13E98D5E"/>
    <w:rsid w:val="14058B14"/>
    <w:rsid w:val="14431529"/>
    <w:rsid w:val="14E2A519"/>
    <w:rsid w:val="150ABBAF"/>
    <w:rsid w:val="15279C08"/>
    <w:rsid w:val="157EE94C"/>
    <w:rsid w:val="160C2716"/>
    <w:rsid w:val="16C1E317"/>
    <w:rsid w:val="1709DEEB"/>
    <w:rsid w:val="175D18A5"/>
    <w:rsid w:val="17817270"/>
    <w:rsid w:val="181478CC"/>
    <w:rsid w:val="1821CDBF"/>
    <w:rsid w:val="18B92F38"/>
    <w:rsid w:val="18BBEB96"/>
    <w:rsid w:val="18BF91BD"/>
    <w:rsid w:val="18C96DF0"/>
    <w:rsid w:val="18F7FF1F"/>
    <w:rsid w:val="19E887E6"/>
    <w:rsid w:val="1AE6DA02"/>
    <w:rsid w:val="1B9255E8"/>
    <w:rsid w:val="1B9E2807"/>
    <w:rsid w:val="1BACE651"/>
    <w:rsid w:val="1C5E7D8D"/>
    <w:rsid w:val="1C6603FC"/>
    <w:rsid w:val="1C7AF172"/>
    <w:rsid w:val="1CB7C146"/>
    <w:rsid w:val="1CFE8130"/>
    <w:rsid w:val="1DB4F4E3"/>
    <w:rsid w:val="1EEEBE55"/>
    <w:rsid w:val="1F061D20"/>
    <w:rsid w:val="1F144CC5"/>
    <w:rsid w:val="1FB42502"/>
    <w:rsid w:val="20AC56F0"/>
    <w:rsid w:val="2135F605"/>
    <w:rsid w:val="213B6923"/>
    <w:rsid w:val="21762C5E"/>
    <w:rsid w:val="219E37A1"/>
    <w:rsid w:val="21ABA061"/>
    <w:rsid w:val="21FA9085"/>
    <w:rsid w:val="224C58BC"/>
    <w:rsid w:val="22D16C75"/>
    <w:rsid w:val="22E49F8A"/>
    <w:rsid w:val="22EBE227"/>
    <w:rsid w:val="22FABC93"/>
    <w:rsid w:val="233FD1D9"/>
    <w:rsid w:val="2351B7A7"/>
    <w:rsid w:val="236CF155"/>
    <w:rsid w:val="23D6E1E1"/>
    <w:rsid w:val="2479631F"/>
    <w:rsid w:val="2526B72D"/>
    <w:rsid w:val="25BEA27C"/>
    <w:rsid w:val="262829E1"/>
    <w:rsid w:val="262BA245"/>
    <w:rsid w:val="26C71BD4"/>
    <w:rsid w:val="26D0BA5B"/>
    <w:rsid w:val="270CD38A"/>
    <w:rsid w:val="2722AC71"/>
    <w:rsid w:val="272A7BC2"/>
    <w:rsid w:val="2748ACED"/>
    <w:rsid w:val="27573B68"/>
    <w:rsid w:val="27AD619B"/>
    <w:rsid w:val="27D10CFC"/>
    <w:rsid w:val="29D59686"/>
    <w:rsid w:val="29FACB6E"/>
    <w:rsid w:val="2AC64D57"/>
    <w:rsid w:val="2B4F48DC"/>
    <w:rsid w:val="2BBDE2FA"/>
    <w:rsid w:val="2BF17434"/>
    <w:rsid w:val="2C228D2F"/>
    <w:rsid w:val="2C6F3F5C"/>
    <w:rsid w:val="2CA16F2D"/>
    <w:rsid w:val="2CE10073"/>
    <w:rsid w:val="2D2A74BE"/>
    <w:rsid w:val="2DBC6875"/>
    <w:rsid w:val="2DF84900"/>
    <w:rsid w:val="2E846FC8"/>
    <w:rsid w:val="2F59B31F"/>
    <w:rsid w:val="2F5B514E"/>
    <w:rsid w:val="3044676A"/>
    <w:rsid w:val="30D71479"/>
    <w:rsid w:val="30E7DA08"/>
    <w:rsid w:val="310C0435"/>
    <w:rsid w:val="311C32ED"/>
    <w:rsid w:val="31483EA1"/>
    <w:rsid w:val="31AC5C01"/>
    <w:rsid w:val="31BC06C2"/>
    <w:rsid w:val="3208FA73"/>
    <w:rsid w:val="32174014"/>
    <w:rsid w:val="32928D69"/>
    <w:rsid w:val="3297155D"/>
    <w:rsid w:val="33327E22"/>
    <w:rsid w:val="333AFDB1"/>
    <w:rsid w:val="33C72203"/>
    <w:rsid w:val="345271A7"/>
    <w:rsid w:val="350BBCE9"/>
    <w:rsid w:val="3531409B"/>
    <w:rsid w:val="354B2230"/>
    <w:rsid w:val="3683FA77"/>
    <w:rsid w:val="36BCB020"/>
    <w:rsid w:val="370B066E"/>
    <w:rsid w:val="373DC51A"/>
    <w:rsid w:val="3756EF89"/>
    <w:rsid w:val="37D9157C"/>
    <w:rsid w:val="381CE9EC"/>
    <w:rsid w:val="38928C3A"/>
    <w:rsid w:val="38957A69"/>
    <w:rsid w:val="38B602A4"/>
    <w:rsid w:val="38FC5490"/>
    <w:rsid w:val="39479D54"/>
    <w:rsid w:val="39B47571"/>
    <w:rsid w:val="39DEEC02"/>
    <w:rsid w:val="3A0965CA"/>
    <w:rsid w:val="3A5722AF"/>
    <w:rsid w:val="3AE7B0A1"/>
    <w:rsid w:val="3B06B078"/>
    <w:rsid w:val="3B697A2D"/>
    <w:rsid w:val="3C07E1A5"/>
    <w:rsid w:val="3C1233A9"/>
    <w:rsid w:val="3D6447BE"/>
    <w:rsid w:val="3D647C91"/>
    <w:rsid w:val="3D855CA6"/>
    <w:rsid w:val="3DB28292"/>
    <w:rsid w:val="3DBC2346"/>
    <w:rsid w:val="3E010EA2"/>
    <w:rsid w:val="3E83BAA9"/>
    <w:rsid w:val="3F2F97A9"/>
    <w:rsid w:val="3FBDAA07"/>
    <w:rsid w:val="401CA235"/>
    <w:rsid w:val="409A87BA"/>
    <w:rsid w:val="40CEDA4F"/>
    <w:rsid w:val="4162CC56"/>
    <w:rsid w:val="41C660F6"/>
    <w:rsid w:val="41E793A2"/>
    <w:rsid w:val="426EB157"/>
    <w:rsid w:val="4344BEF6"/>
    <w:rsid w:val="43BD318B"/>
    <w:rsid w:val="4427F4A0"/>
    <w:rsid w:val="44B4A505"/>
    <w:rsid w:val="44E3D4DE"/>
    <w:rsid w:val="45A0C91D"/>
    <w:rsid w:val="46352D8D"/>
    <w:rsid w:val="46DF2C95"/>
    <w:rsid w:val="46E5B430"/>
    <w:rsid w:val="472236F8"/>
    <w:rsid w:val="485C572A"/>
    <w:rsid w:val="48D2C8F7"/>
    <w:rsid w:val="490D810E"/>
    <w:rsid w:val="495277FD"/>
    <w:rsid w:val="49FA3BE0"/>
    <w:rsid w:val="4A0A7389"/>
    <w:rsid w:val="4A10F7DE"/>
    <w:rsid w:val="4A927B5F"/>
    <w:rsid w:val="4B3FFDEB"/>
    <w:rsid w:val="4B401300"/>
    <w:rsid w:val="4B648390"/>
    <w:rsid w:val="4B74EEAD"/>
    <w:rsid w:val="4B8FF347"/>
    <w:rsid w:val="4BDEACA6"/>
    <w:rsid w:val="4C60143E"/>
    <w:rsid w:val="4CA7D3A8"/>
    <w:rsid w:val="4DDE2C4A"/>
    <w:rsid w:val="4DF38E90"/>
    <w:rsid w:val="4DF8F37B"/>
    <w:rsid w:val="4E0926F3"/>
    <w:rsid w:val="4E5C295B"/>
    <w:rsid w:val="4F71BFB3"/>
    <w:rsid w:val="4F8ACB16"/>
    <w:rsid w:val="513A84F6"/>
    <w:rsid w:val="519E7756"/>
    <w:rsid w:val="51C103A7"/>
    <w:rsid w:val="51F1D272"/>
    <w:rsid w:val="51F2C6CB"/>
    <w:rsid w:val="520808A4"/>
    <w:rsid w:val="52154BB1"/>
    <w:rsid w:val="5249EB34"/>
    <w:rsid w:val="5257ABD6"/>
    <w:rsid w:val="546A8095"/>
    <w:rsid w:val="5493643C"/>
    <w:rsid w:val="54BF466D"/>
    <w:rsid w:val="54F632BA"/>
    <w:rsid w:val="5517DFA3"/>
    <w:rsid w:val="561BFD70"/>
    <w:rsid w:val="563E3FFD"/>
    <w:rsid w:val="56C9C4CD"/>
    <w:rsid w:val="56DA2C16"/>
    <w:rsid w:val="570EE609"/>
    <w:rsid w:val="57D592CF"/>
    <w:rsid w:val="57DAD37C"/>
    <w:rsid w:val="5804CFCC"/>
    <w:rsid w:val="586B3753"/>
    <w:rsid w:val="591400B2"/>
    <w:rsid w:val="5936E285"/>
    <w:rsid w:val="59441355"/>
    <w:rsid w:val="59FC63D6"/>
    <w:rsid w:val="5A1E5837"/>
    <w:rsid w:val="5A5EDF4A"/>
    <w:rsid w:val="5AD59A65"/>
    <w:rsid w:val="5B7643C8"/>
    <w:rsid w:val="5B7F4943"/>
    <w:rsid w:val="5BD29A23"/>
    <w:rsid w:val="5C24FF7B"/>
    <w:rsid w:val="5C7E35B4"/>
    <w:rsid w:val="5CC1C9E5"/>
    <w:rsid w:val="5DCDC7F4"/>
    <w:rsid w:val="5E63F797"/>
    <w:rsid w:val="5EC72A6B"/>
    <w:rsid w:val="5FFFCAA6"/>
    <w:rsid w:val="6030102F"/>
    <w:rsid w:val="6035AFE2"/>
    <w:rsid w:val="603AC0F9"/>
    <w:rsid w:val="60765F04"/>
    <w:rsid w:val="6083D7F3"/>
    <w:rsid w:val="60A7B489"/>
    <w:rsid w:val="61219F33"/>
    <w:rsid w:val="6127D923"/>
    <w:rsid w:val="618FF1A4"/>
    <w:rsid w:val="61F382F5"/>
    <w:rsid w:val="6239DAAA"/>
    <w:rsid w:val="62EA8827"/>
    <w:rsid w:val="62F24F09"/>
    <w:rsid w:val="63A8E01A"/>
    <w:rsid w:val="63EB14C2"/>
    <w:rsid w:val="64167731"/>
    <w:rsid w:val="64961B3F"/>
    <w:rsid w:val="65AFDBFE"/>
    <w:rsid w:val="65CA23D5"/>
    <w:rsid w:val="65D39C76"/>
    <w:rsid w:val="6616C74E"/>
    <w:rsid w:val="66404135"/>
    <w:rsid w:val="6740F39C"/>
    <w:rsid w:val="678AFCB1"/>
    <w:rsid w:val="67948E13"/>
    <w:rsid w:val="686789D6"/>
    <w:rsid w:val="68FA45CB"/>
    <w:rsid w:val="694F8B6D"/>
    <w:rsid w:val="69BB49AC"/>
    <w:rsid w:val="6A350421"/>
    <w:rsid w:val="6B0CF0E2"/>
    <w:rsid w:val="6B702F35"/>
    <w:rsid w:val="6B731405"/>
    <w:rsid w:val="6BAD779F"/>
    <w:rsid w:val="6BBC0608"/>
    <w:rsid w:val="6C310F5F"/>
    <w:rsid w:val="6C3A5580"/>
    <w:rsid w:val="6C6D3CDB"/>
    <w:rsid w:val="6CBB7154"/>
    <w:rsid w:val="6D59CFA2"/>
    <w:rsid w:val="6E088C77"/>
    <w:rsid w:val="6E72625C"/>
    <w:rsid w:val="6EA6F621"/>
    <w:rsid w:val="6F1EF021"/>
    <w:rsid w:val="6F33C165"/>
    <w:rsid w:val="6F6FA6FB"/>
    <w:rsid w:val="6FEC6F0B"/>
    <w:rsid w:val="701028CC"/>
    <w:rsid w:val="709A9677"/>
    <w:rsid w:val="71A2889E"/>
    <w:rsid w:val="725D814F"/>
    <w:rsid w:val="72B88B3E"/>
    <w:rsid w:val="7323DA29"/>
    <w:rsid w:val="735F1F6B"/>
    <w:rsid w:val="73FC6A99"/>
    <w:rsid w:val="74A2F9D4"/>
    <w:rsid w:val="7537A5C7"/>
    <w:rsid w:val="75A0D7DA"/>
    <w:rsid w:val="75B07BC9"/>
    <w:rsid w:val="761D846E"/>
    <w:rsid w:val="7708877C"/>
    <w:rsid w:val="77D93FD4"/>
    <w:rsid w:val="78212895"/>
    <w:rsid w:val="7834F39C"/>
    <w:rsid w:val="7837D5AA"/>
    <w:rsid w:val="7870883E"/>
    <w:rsid w:val="78DC756C"/>
    <w:rsid w:val="7A15775A"/>
    <w:rsid w:val="7A256F4E"/>
    <w:rsid w:val="7A9C3E83"/>
    <w:rsid w:val="7ABC2E9A"/>
    <w:rsid w:val="7B15184F"/>
    <w:rsid w:val="7B397157"/>
    <w:rsid w:val="7B63D34D"/>
    <w:rsid w:val="7BD3F03A"/>
    <w:rsid w:val="7BDCECF6"/>
    <w:rsid w:val="7C2BD309"/>
    <w:rsid w:val="7C34065C"/>
    <w:rsid w:val="7C50D4CA"/>
    <w:rsid w:val="7C75F6DC"/>
    <w:rsid w:val="7CA6EF7B"/>
    <w:rsid w:val="7D5C8B88"/>
    <w:rsid w:val="7DA0D891"/>
    <w:rsid w:val="7DC9D438"/>
    <w:rsid w:val="7DE36B67"/>
    <w:rsid w:val="7E3ECBC9"/>
    <w:rsid w:val="7E61450E"/>
    <w:rsid w:val="7EB7F8A9"/>
    <w:rsid w:val="7F2DFB46"/>
    <w:rsid w:val="7F710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681A44"/>
  <w15:docId w15:val="{3377437D-76F7-40B3-A079-1871A053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F47"/>
    <w:pPr>
      <w:widowControl/>
      <w:autoSpaceDE/>
      <w:autoSpaceDN/>
      <w:jc w:val="both"/>
    </w:pPr>
    <w:rPr>
      <w:rFonts w:ascii="@PMingLiU" w:eastAsia="Times New Roman" w:hAnsi="@PMingLiU" w:cs="Times New Roman"/>
      <w:szCs w:val="24"/>
      <w:lang w:val="pt-BR" w:eastAsia="pt-BR"/>
    </w:rPr>
  </w:style>
  <w:style w:type="paragraph" w:styleId="Ttulo1">
    <w:name w:val="heading 1"/>
    <w:basedOn w:val="Normal"/>
    <w:link w:val="Ttulo1Char"/>
    <w:uiPriority w:val="1"/>
    <w:qFormat/>
    <w:rsid w:val="00AF6B07"/>
    <w:pPr>
      <w:spacing w:before="240"/>
      <w:jc w:val="right"/>
      <w:outlineLvl w:val="0"/>
    </w:pPr>
    <w:rPr>
      <w:rFonts w:ascii="Verdana" w:hAnsi="Verdana"/>
      <w:b/>
      <w:sz w:val="20"/>
      <w:szCs w:val="20"/>
      <w:u w:val="single"/>
      <w:lang w:val="pt-PT"/>
    </w:rPr>
  </w:style>
  <w:style w:type="paragraph" w:styleId="Ttulo2">
    <w:name w:val="heading 2"/>
    <w:basedOn w:val="Normal"/>
    <w:next w:val="Normal"/>
    <w:link w:val="Ttulo2Char"/>
    <w:uiPriority w:val="99"/>
    <w:qFormat/>
    <w:rsid w:val="00AF6B07"/>
    <w:pPr>
      <w:spacing w:before="120"/>
      <w:jc w:val="right"/>
      <w:outlineLvl w:val="1"/>
    </w:pPr>
    <w:rPr>
      <w:rFonts w:ascii="Verdana" w:hAnsi="Verdana"/>
      <w:b/>
      <w:sz w:val="20"/>
      <w:szCs w:val="20"/>
      <w:lang w:val="pt-PT"/>
    </w:rPr>
  </w:style>
  <w:style w:type="paragraph" w:styleId="Ttulo3">
    <w:name w:val="heading 3"/>
    <w:basedOn w:val="Normal"/>
    <w:next w:val="Recuonormal"/>
    <w:link w:val="Ttulo3Char"/>
    <w:uiPriority w:val="99"/>
    <w:qFormat/>
    <w:rsid w:val="00AF6B07"/>
    <w:pPr>
      <w:ind w:left="354"/>
      <w:jc w:val="right"/>
      <w:outlineLvl w:val="2"/>
    </w:pPr>
    <w:rPr>
      <w:b/>
      <w:sz w:val="20"/>
      <w:szCs w:val="20"/>
      <w:lang w:val="pt-PT"/>
    </w:rPr>
  </w:style>
  <w:style w:type="paragraph" w:styleId="Ttulo4">
    <w:name w:val="heading 4"/>
    <w:basedOn w:val="Normal"/>
    <w:next w:val="Normal"/>
    <w:link w:val="Ttulo4Char"/>
    <w:uiPriority w:val="99"/>
    <w:qFormat/>
    <w:rsid w:val="00AF6B07"/>
    <w:pPr>
      <w:keepNext/>
      <w:outlineLvl w:val="3"/>
    </w:pPr>
    <w:rPr>
      <w:i/>
      <w:iCs/>
      <w:color w:val="000000"/>
      <w:sz w:val="16"/>
      <w:szCs w:val="16"/>
      <w:lang w:val="es-ES_tradnl"/>
    </w:rPr>
  </w:style>
  <w:style w:type="paragraph" w:styleId="Ttulo5">
    <w:name w:val="heading 5"/>
    <w:aliases w:val="Eletrobras - Sumario DF"/>
    <w:next w:val="Default"/>
    <w:link w:val="Ttulo5Char"/>
    <w:unhideWhenUsed/>
    <w:qFormat/>
    <w:rsid w:val="00AF6B07"/>
    <w:pPr>
      <w:keepNext/>
      <w:keepLines/>
      <w:widowControl/>
      <w:autoSpaceDE/>
      <w:autoSpaceDN/>
      <w:spacing w:before="200"/>
      <w:outlineLvl w:val="4"/>
    </w:pPr>
    <w:rPr>
      <w:rFonts w:ascii="@PMingLiU" w:eastAsiaTheme="majorEastAsia" w:hAnsi="@PMingLiU" w:cstheme="majorBidi"/>
      <w:b/>
      <w:color w:val="000000" w:themeColor="text1"/>
      <w:szCs w:val="24"/>
      <w:lang w:val="pt-BR" w:eastAsia="pt-BR"/>
    </w:rPr>
  </w:style>
  <w:style w:type="paragraph" w:styleId="Ttulo6">
    <w:name w:val="heading 6"/>
    <w:basedOn w:val="Normal"/>
    <w:next w:val="Normal"/>
    <w:link w:val="Ttulo6Char"/>
    <w:uiPriority w:val="99"/>
    <w:qFormat/>
    <w:rsid w:val="00AF6B07"/>
    <w:pPr>
      <w:spacing w:before="240" w:after="60"/>
      <w:outlineLvl w:val="5"/>
    </w:pPr>
    <w:rPr>
      <w:b/>
      <w:bCs/>
      <w:sz w:val="20"/>
      <w:szCs w:val="20"/>
    </w:rPr>
  </w:style>
  <w:style w:type="paragraph" w:styleId="Ttulo7">
    <w:name w:val="heading 7"/>
    <w:basedOn w:val="Normal"/>
    <w:next w:val="Normal"/>
    <w:link w:val="Ttulo7Char"/>
    <w:uiPriority w:val="99"/>
    <w:qFormat/>
    <w:rsid w:val="00AF6B07"/>
    <w:pPr>
      <w:spacing w:before="240" w:after="60"/>
      <w:outlineLvl w:val="6"/>
    </w:pPr>
  </w:style>
  <w:style w:type="paragraph" w:styleId="Ttulo8">
    <w:name w:val="heading 8"/>
    <w:basedOn w:val="Normal"/>
    <w:next w:val="Normal"/>
    <w:link w:val="Ttulo8Char"/>
    <w:uiPriority w:val="99"/>
    <w:qFormat/>
    <w:rsid w:val="00AF6B07"/>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rsid w:val="00BC2466"/>
    <w:tblPr>
      <w:tblInd w:w="0" w:type="dxa"/>
      <w:tblCellMar>
        <w:top w:w="0" w:type="dxa"/>
        <w:left w:w="0" w:type="dxa"/>
        <w:bottom w:w="0" w:type="dxa"/>
        <w:right w:w="0" w:type="dxa"/>
      </w:tblCellMar>
    </w:tblPr>
  </w:style>
  <w:style w:type="paragraph" w:styleId="Corpodetexto">
    <w:name w:val="Body Text"/>
    <w:aliases w:val="CORPORES"/>
    <w:basedOn w:val="Normal"/>
    <w:link w:val="CorpodetextoChar"/>
    <w:uiPriority w:val="99"/>
    <w:qFormat/>
    <w:rsid w:val="00AF6B07"/>
    <w:pPr>
      <w:tabs>
        <w:tab w:val="left" w:pos="567"/>
        <w:tab w:val="left" w:pos="1134"/>
        <w:tab w:val="left" w:pos="1701"/>
        <w:tab w:val="left" w:pos="2268"/>
        <w:tab w:val="left" w:pos="2835"/>
      </w:tabs>
    </w:pPr>
    <w:rPr>
      <w:sz w:val="20"/>
      <w:szCs w:val="20"/>
      <w:lang w:val="pt-PT"/>
    </w:rPr>
  </w:style>
  <w:style w:type="paragraph" w:styleId="PargrafodaLista">
    <w:name w:val="List Paragraph"/>
    <w:aliases w:val="Párrafo de lista numerado,Normal numerado,Lista Numerada,Subsubtítulo,Marcadores,paragrafo 3,Quadros-Tabelas,Titulo 3,Corpo do Texto CB,Lista Colorida - Ênfase 11,Marcadores PDTI,DOCs_Paragrafo-1,Lista Paragrafo em Preto"/>
    <w:basedOn w:val="Normal"/>
    <w:link w:val="PargrafodaListaChar"/>
    <w:uiPriority w:val="34"/>
    <w:qFormat/>
    <w:rsid w:val="00AF6B07"/>
    <w:pPr>
      <w:ind w:left="708"/>
    </w:pPr>
  </w:style>
  <w:style w:type="paragraph" w:customStyle="1" w:styleId="TableParagraph">
    <w:name w:val="Table Paragraph"/>
    <w:basedOn w:val="Normal"/>
    <w:uiPriority w:val="1"/>
    <w:qFormat/>
    <w:rsid w:val="00BC2466"/>
  </w:style>
  <w:style w:type="character" w:customStyle="1" w:styleId="Ttulo2Char">
    <w:name w:val="Título 2 Char"/>
    <w:basedOn w:val="Fontepargpadro"/>
    <w:link w:val="Ttulo2"/>
    <w:uiPriority w:val="99"/>
    <w:rsid w:val="00AF6B07"/>
    <w:rPr>
      <w:rFonts w:ascii="Verdana" w:eastAsia="Times New Roman" w:hAnsi="Verdana" w:cs="Times New Roman"/>
      <w:b/>
      <w:sz w:val="20"/>
      <w:szCs w:val="20"/>
      <w:lang w:val="pt-PT" w:eastAsia="pt-BR"/>
    </w:rPr>
  </w:style>
  <w:style w:type="character" w:customStyle="1" w:styleId="Ttulo3Char">
    <w:name w:val="Título 3 Char"/>
    <w:basedOn w:val="Fontepargpadro"/>
    <w:link w:val="Ttulo3"/>
    <w:uiPriority w:val="99"/>
    <w:rsid w:val="00AF6B07"/>
    <w:rPr>
      <w:rFonts w:ascii="Verdana" w:eastAsia="Times New Roman" w:hAnsi="Verdana" w:cs="Times New Roman"/>
      <w:b/>
      <w:sz w:val="20"/>
      <w:szCs w:val="20"/>
      <w:lang w:val="pt-PT" w:eastAsia="pt-BR"/>
    </w:rPr>
  </w:style>
  <w:style w:type="character" w:customStyle="1" w:styleId="Ttulo4Char">
    <w:name w:val="Título 4 Char"/>
    <w:basedOn w:val="Fontepargpadro"/>
    <w:link w:val="Ttulo4"/>
    <w:uiPriority w:val="99"/>
    <w:rsid w:val="00AF6B07"/>
    <w:rPr>
      <w:rFonts w:ascii="Verdana" w:eastAsia="Times New Roman" w:hAnsi="Verdana" w:cs="Times New Roman"/>
      <w:i/>
      <w:iCs/>
      <w:color w:val="000000"/>
      <w:sz w:val="16"/>
      <w:szCs w:val="16"/>
      <w:lang w:val="es-ES_tradnl" w:eastAsia="pt-BR"/>
    </w:rPr>
  </w:style>
  <w:style w:type="character" w:customStyle="1" w:styleId="Ttulo5Char">
    <w:name w:val="Título 5 Char"/>
    <w:aliases w:val="Eletrobras - Sumario DF Char"/>
    <w:basedOn w:val="Fontepargpadro"/>
    <w:link w:val="Ttulo5"/>
    <w:rsid w:val="00AF6B07"/>
    <w:rPr>
      <w:rFonts w:ascii="@PMingLiU" w:eastAsiaTheme="majorEastAsia" w:hAnsi="@PMingLiU" w:cstheme="majorBidi"/>
      <w:b/>
      <w:color w:val="000000" w:themeColor="text1"/>
      <w:szCs w:val="24"/>
      <w:lang w:val="pt-BR" w:eastAsia="pt-BR"/>
    </w:rPr>
  </w:style>
  <w:style w:type="character" w:customStyle="1" w:styleId="Ttulo6Char">
    <w:name w:val="Título 6 Char"/>
    <w:basedOn w:val="Fontepargpadro"/>
    <w:link w:val="Ttulo6"/>
    <w:uiPriority w:val="99"/>
    <w:rsid w:val="00AF6B07"/>
    <w:rPr>
      <w:rFonts w:ascii="Verdana" w:eastAsia="Times New Roman" w:hAnsi="Verdana" w:cs="Times New Roman"/>
      <w:b/>
      <w:bCs/>
      <w:sz w:val="20"/>
      <w:szCs w:val="20"/>
      <w:lang w:val="pt-BR" w:eastAsia="pt-BR"/>
    </w:rPr>
  </w:style>
  <w:style w:type="character" w:customStyle="1" w:styleId="Ttulo7Char">
    <w:name w:val="Título 7 Char"/>
    <w:basedOn w:val="Fontepargpadro"/>
    <w:link w:val="Ttulo7"/>
    <w:uiPriority w:val="99"/>
    <w:rsid w:val="00AF6B07"/>
    <w:rPr>
      <w:rFonts w:ascii="Verdana" w:eastAsia="Times New Roman" w:hAnsi="Verdana" w:cs="Times New Roman"/>
      <w:szCs w:val="24"/>
      <w:lang w:val="pt-BR" w:eastAsia="pt-BR"/>
    </w:rPr>
  </w:style>
  <w:style w:type="character" w:customStyle="1" w:styleId="Ttulo8Char">
    <w:name w:val="Título 8 Char"/>
    <w:basedOn w:val="Fontepargpadro"/>
    <w:link w:val="Ttulo8"/>
    <w:uiPriority w:val="99"/>
    <w:rsid w:val="00AF6B07"/>
    <w:rPr>
      <w:rFonts w:ascii="Verdana" w:eastAsia="Times New Roman" w:hAnsi="Verdana" w:cs="Times New Roman"/>
      <w:i/>
      <w:iCs/>
      <w:szCs w:val="24"/>
      <w:lang w:val="pt-BR" w:eastAsia="pt-BR"/>
    </w:rPr>
  </w:style>
  <w:style w:type="character" w:customStyle="1" w:styleId="Ttulo1Char">
    <w:name w:val="Título 1 Char"/>
    <w:link w:val="Ttulo1"/>
    <w:uiPriority w:val="1"/>
    <w:locked/>
    <w:rsid w:val="00AF6B07"/>
    <w:rPr>
      <w:rFonts w:ascii="Verdana" w:eastAsia="Times New Roman" w:hAnsi="Verdana" w:cs="Times New Roman"/>
      <w:b/>
      <w:sz w:val="20"/>
      <w:szCs w:val="20"/>
      <w:u w:val="single"/>
      <w:lang w:val="pt-PT" w:eastAsia="pt-BR"/>
    </w:rPr>
  </w:style>
  <w:style w:type="paragraph" w:styleId="Recuonormal">
    <w:name w:val="Normal Indent"/>
    <w:basedOn w:val="Normal"/>
    <w:uiPriority w:val="99"/>
    <w:rsid w:val="00AF6B07"/>
    <w:pPr>
      <w:ind w:left="708"/>
      <w:jc w:val="right"/>
    </w:pPr>
    <w:rPr>
      <w:sz w:val="26"/>
      <w:szCs w:val="20"/>
      <w:lang w:val="pt-PT"/>
    </w:rPr>
  </w:style>
  <w:style w:type="paragraph" w:customStyle="1" w:styleId="CharCharCharCharCharChar">
    <w:name w:val="Char Char Char Char Char Char"/>
    <w:basedOn w:val="Normal"/>
    <w:rsid w:val="00AF6B07"/>
    <w:pPr>
      <w:spacing w:after="160" w:line="240" w:lineRule="exact"/>
    </w:pPr>
    <w:rPr>
      <w:sz w:val="20"/>
      <w:szCs w:val="20"/>
      <w:lang w:val="en-US" w:eastAsia="en-US"/>
    </w:rPr>
  </w:style>
  <w:style w:type="character" w:customStyle="1" w:styleId="CorpodetextoChar">
    <w:name w:val="Corpo de texto Char"/>
    <w:aliases w:val="CORPORES Char"/>
    <w:link w:val="Corpodetexto"/>
    <w:uiPriority w:val="99"/>
    <w:locked/>
    <w:rsid w:val="00AF6B07"/>
    <w:rPr>
      <w:rFonts w:ascii="Verdana" w:eastAsia="Times New Roman" w:hAnsi="Verdana" w:cs="Times New Roman"/>
      <w:sz w:val="20"/>
      <w:szCs w:val="20"/>
      <w:lang w:val="pt-PT" w:eastAsia="pt-BR"/>
    </w:rPr>
  </w:style>
  <w:style w:type="paragraph" w:customStyle="1" w:styleId="Blockquote">
    <w:name w:val="Blockquote"/>
    <w:basedOn w:val="Normal"/>
    <w:uiPriority w:val="99"/>
    <w:rsid w:val="00AF6B07"/>
    <w:pPr>
      <w:snapToGrid w:val="0"/>
      <w:spacing w:before="100" w:after="100"/>
      <w:ind w:left="360" w:right="360"/>
    </w:pPr>
    <w:rPr>
      <w:szCs w:val="20"/>
    </w:rPr>
  </w:style>
  <w:style w:type="paragraph" w:customStyle="1" w:styleId="BodyText22">
    <w:name w:val="Body Text 22"/>
    <w:basedOn w:val="Normal"/>
    <w:uiPriority w:val="99"/>
    <w:rsid w:val="00AF6B07"/>
    <w:rPr>
      <w:szCs w:val="20"/>
    </w:rPr>
  </w:style>
  <w:style w:type="paragraph" w:styleId="Recuodecorpodetexto">
    <w:name w:val="Body Text Indent"/>
    <w:basedOn w:val="Normal"/>
    <w:link w:val="RecuodecorpodetextoChar"/>
    <w:uiPriority w:val="99"/>
    <w:rsid w:val="00AF6B07"/>
    <w:rPr>
      <w:sz w:val="20"/>
      <w:szCs w:val="20"/>
    </w:rPr>
  </w:style>
  <w:style w:type="character" w:customStyle="1" w:styleId="RecuodecorpodetextoChar">
    <w:name w:val="Recuo de corpo de texto Char"/>
    <w:basedOn w:val="Fontepargpadro"/>
    <w:link w:val="Recuodecorpodetexto"/>
    <w:uiPriority w:val="99"/>
    <w:rsid w:val="00AF6B07"/>
    <w:rPr>
      <w:rFonts w:ascii="Verdana" w:eastAsia="Times New Roman" w:hAnsi="Verdana" w:cs="Times New Roman"/>
      <w:sz w:val="20"/>
      <w:szCs w:val="20"/>
      <w:lang w:val="pt-BR" w:eastAsia="pt-BR"/>
    </w:rPr>
  </w:style>
  <w:style w:type="paragraph" w:styleId="Textodenotaderodap">
    <w:name w:val="footnote text"/>
    <w:basedOn w:val="Normal"/>
    <w:link w:val="TextodenotaderodapChar"/>
    <w:uiPriority w:val="99"/>
    <w:semiHidden/>
    <w:rsid w:val="00AF6B07"/>
    <w:pPr>
      <w:jc w:val="right"/>
    </w:pPr>
    <w:rPr>
      <w:sz w:val="20"/>
      <w:szCs w:val="20"/>
      <w:lang w:val="pt-PT"/>
    </w:rPr>
  </w:style>
  <w:style w:type="character" w:customStyle="1" w:styleId="TextodenotaderodapChar">
    <w:name w:val="Texto de nota de rodapé Char"/>
    <w:basedOn w:val="Fontepargpadro"/>
    <w:link w:val="Textodenotaderodap"/>
    <w:uiPriority w:val="99"/>
    <w:semiHidden/>
    <w:rsid w:val="00AF6B07"/>
    <w:rPr>
      <w:rFonts w:ascii="Verdana" w:eastAsia="Times New Roman" w:hAnsi="Verdana" w:cs="Times New Roman"/>
      <w:sz w:val="20"/>
      <w:szCs w:val="20"/>
      <w:lang w:val="pt-PT" w:eastAsia="pt-BR"/>
    </w:rPr>
  </w:style>
  <w:style w:type="paragraph" w:styleId="Corpodetexto3">
    <w:name w:val="Body Text 3"/>
    <w:basedOn w:val="Normal"/>
    <w:link w:val="Corpodetexto3Char"/>
    <w:uiPriority w:val="99"/>
    <w:rsid w:val="00AF6B07"/>
    <w:rPr>
      <w:sz w:val="20"/>
      <w:szCs w:val="20"/>
      <w:lang w:val="pt-PT"/>
    </w:rPr>
  </w:style>
  <w:style w:type="character" w:customStyle="1" w:styleId="Corpodetexto3Char">
    <w:name w:val="Corpo de texto 3 Char"/>
    <w:basedOn w:val="Fontepargpadro"/>
    <w:link w:val="Corpodetexto3"/>
    <w:uiPriority w:val="99"/>
    <w:rsid w:val="00AF6B07"/>
    <w:rPr>
      <w:rFonts w:ascii="Verdana" w:eastAsia="Times New Roman" w:hAnsi="Verdana" w:cs="Times New Roman"/>
      <w:sz w:val="20"/>
      <w:szCs w:val="20"/>
      <w:lang w:val="pt-PT" w:eastAsia="pt-BR"/>
    </w:rPr>
  </w:style>
  <w:style w:type="paragraph" w:styleId="Corpodetexto2">
    <w:name w:val="Body Text 2"/>
    <w:basedOn w:val="Normal"/>
    <w:link w:val="Corpodetexto2Char"/>
    <w:uiPriority w:val="99"/>
    <w:rsid w:val="00AF6B07"/>
    <w:rPr>
      <w:b/>
      <w:sz w:val="20"/>
      <w:szCs w:val="20"/>
      <w:lang w:val="pt-PT"/>
    </w:rPr>
  </w:style>
  <w:style w:type="character" w:customStyle="1" w:styleId="Corpodetexto2Char">
    <w:name w:val="Corpo de texto 2 Char"/>
    <w:basedOn w:val="Fontepargpadro"/>
    <w:link w:val="Corpodetexto2"/>
    <w:uiPriority w:val="99"/>
    <w:rsid w:val="00AF6B07"/>
    <w:rPr>
      <w:rFonts w:ascii="Verdana" w:eastAsia="Times New Roman" w:hAnsi="Verdana" w:cs="Times New Roman"/>
      <w:b/>
      <w:sz w:val="20"/>
      <w:szCs w:val="20"/>
      <w:lang w:val="pt-PT" w:eastAsia="pt-BR"/>
    </w:rPr>
  </w:style>
  <w:style w:type="paragraph" w:styleId="Cabealho">
    <w:name w:val="header"/>
    <w:basedOn w:val="Normal"/>
    <w:link w:val="CabealhoChar"/>
    <w:rsid w:val="00AF6B07"/>
    <w:pPr>
      <w:tabs>
        <w:tab w:val="center" w:pos="4252"/>
        <w:tab w:val="right" w:pos="8504"/>
      </w:tabs>
      <w:jc w:val="right"/>
    </w:pPr>
    <w:rPr>
      <w:sz w:val="20"/>
      <w:szCs w:val="20"/>
      <w:lang w:val="pt-PT"/>
    </w:rPr>
  </w:style>
  <w:style w:type="character" w:customStyle="1" w:styleId="CabealhoChar">
    <w:name w:val="Cabeçalho Char"/>
    <w:basedOn w:val="Fontepargpadro"/>
    <w:link w:val="Cabealho"/>
    <w:rsid w:val="00AF6B07"/>
    <w:rPr>
      <w:rFonts w:ascii="Verdana" w:eastAsia="Times New Roman" w:hAnsi="Verdana" w:cs="Times New Roman"/>
      <w:sz w:val="20"/>
      <w:szCs w:val="20"/>
      <w:lang w:val="pt-PT" w:eastAsia="pt-BR"/>
    </w:rPr>
  </w:style>
  <w:style w:type="paragraph" w:styleId="Recuodecorpodetexto3">
    <w:name w:val="Body Text Indent 3"/>
    <w:basedOn w:val="Normal"/>
    <w:link w:val="Recuodecorpodetexto3Char"/>
    <w:uiPriority w:val="99"/>
    <w:rsid w:val="00AF6B07"/>
    <w:pPr>
      <w:tabs>
        <w:tab w:val="num" w:pos="360"/>
      </w:tabs>
      <w:spacing w:before="120" w:after="120"/>
      <w:ind w:left="360" w:hanging="360"/>
    </w:pPr>
    <w:rPr>
      <w:rFonts w:ascii="Arial" w:hAnsi="Arial"/>
      <w:sz w:val="20"/>
      <w:szCs w:val="20"/>
    </w:rPr>
  </w:style>
  <w:style w:type="character" w:customStyle="1" w:styleId="Recuodecorpodetexto3Char">
    <w:name w:val="Recuo de corpo de texto 3 Char"/>
    <w:basedOn w:val="Fontepargpadro"/>
    <w:link w:val="Recuodecorpodetexto3"/>
    <w:uiPriority w:val="99"/>
    <w:rsid w:val="00AF6B07"/>
    <w:rPr>
      <w:rFonts w:ascii="Arial" w:eastAsia="Times New Roman" w:hAnsi="Arial" w:cs="Times New Roman"/>
      <w:sz w:val="20"/>
      <w:szCs w:val="20"/>
      <w:lang w:val="pt-BR" w:eastAsia="pt-BR"/>
    </w:rPr>
  </w:style>
  <w:style w:type="paragraph" w:styleId="Recuodecorpodetexto2">
    <w:name w:val="Body Text Indent 2"/>
    <w:basedOn w:val="Normal"/>
    <w:link w:val="Recuodecorpodetexto2Char"/>
    <w:uiPriority w:val="99"/>
    <w:rsid w:val="00AF6B07"/>
    <w:pPr>
      <w:ind w:left="1276" w:hanging="1276"/>
    </w:pPr>
    <w:rPr>
      <w:rFonts w:ascii="Verdana" w:hAnsi="Verdana"/>
      <w:b/>
      <w:sz w:val="20"/>
      <w:szCs w:val="20"/>
    </w:rPr>
  </w:style>
  <w:style w:type="character" w:customStyle="1" w:styleId="Recuodecorpodetexto2Char">
    <w:name w:val="Recuo de corpo de texto 2 Char"/>
    <w:basedOn w:val="Fontepargpadro"/>
    <w:link w:val="Recuodecorpodetexto2"/>
    <w:uiPriority w:val="99"/>
    <w:rsid w:val="00AF6B07"/>
    <w:rPr>
      <w:rFonts w:ascii="Verdana" w:eastAsia="Times New Roman" w:hAnsi="Verdana" w:cs="Times New Roman"/>
      <w:b/>
      <w:sz w:val="20"/>
      <w:szCs w:val="20"/>
      <w:lang w:val="pt-BR" w:eastAsia="pt-BR"/>
    </w:rPr>
  </w:style>
  <w:style w:type="paragraph" w:styleId="Rodap">
    <w:name w:val="footer"/>
    <w:basedOn w:val="Normal"/>
    <w:link w:val="RodapChar"/>
    <w:uiPriority w:val="99"/>
    <w:rsid w:val="00AF6B07"/>
    <w:pPr>
      <w:tabs>
        <w:tab w:val="center" w:pos="4419"/>
        <w:tab w:val="right" w:pos="8838"/>
      </w:tabs>
    </w:pPr>
  </w:style>
  <w:style w:type="character" w:customStyle="1" w:styleId="RodapChar">
    <w:name w:val="Rodapé Char"/>
    <w:basedOn w:val="Fontepargpadro"/>
    <w:link w:val="Rodap"/>
    <w:uiPriority w:val="99"/>
    <w:rsid w:val="00AF6B07"/>
    <w:rPr>
      <w:rFonts w:ascii="Verdana" w:eastAsia="Times New Roman" w:hAnsi="Verdana" w:cs="Times New Roman"/>
      <w:szCs w:val="24"/>
      <w:lang w:val="pt-BR" w:eastAsia="pt-BR"/>
    </w:rPr>
  </w:style>
  <w:style w:type="character" w:styleId="Nmerodepgina">
    <w:name w:val="page number"/>
    <w:uiPriority w:val="99"/>
    <w:rsid w:val="00AF6B07"/>
    <w:rPr>
      <w:rFonts w:cs="Times New Roman"/>
    </w:rPr>
  </w:style>
  <w:style w:type="character" w:styleId="Hyperlink">
    <w:name w:val="Hyperlink"/>
    <w:uiPriority w:val="99"/>
    <w:rsid w:val="00AF6B07"/>
    <w:rPr>
      <w:rFonts w:cs="Times New Roman"/>
      <w:color w:val="0000FF"/>
      <w:u w:val="single"/>
    </w:rPr>
  </w:style>
  <w:style w:type="paragraph" w:styleId="Textodebalo">
    <w:name w:val="Balloon Text"/>
    <w:basedOn w:val="Normal"/>
    <w:link w:val="TextodebaloChar"/>
    <w:uiPriority w:val="99"/>
    <w:semiHidden/>
    <w:rsid w:val="00AF6B07"/>
    <w:rPr>
      <w:rFonts w:ascii="PMingLiU" w:hAnsi="PMingLiU"/>
      <w:sz w:val="16"/>
      <w:szCs w:val="16"/>
    </w:rPr>
  </w:style>
  <w:style w:type="character" w:customStyle="1" w:styleId="TextodebaloChar">
    <w:name w:val="Texto de balão Char"/>
    <w:basedOn w:val="Fontepargpadro"/>
    <w:link w:val="Textodebalo"/>
    <w:uiPriority w:val="99"/>
    <w:semiHidden/>
    <w:rsid w:val="00AF6B07"/>
    <w:rPr>
      <w:rFonts w:ascii="PMingLiU" w:eastAsia="Times New Roman" w:hAnsi="PMingLiU" w:cs="Times New Roman"/>
      <w:sz w:val="16"/>
      <w:szCs w:val="16"/>
      <w:lang w:val="pt-BR" w:eastAsia="pt-BR"/>
    </w:rPr>
  </w:style>
  <w:style w:type="paragraph" w:styleId="NormalWeb">
    <w:name w:val="Normal (Web)"/>
    <w:basedOn w:val="Normal"/>
    <w:link w:val="NormalWebChar"/>
    <w:uiPriority w:val="99"/>
    <w:rsid w:val="00AF6B07"/>
    <w:pPr>
      <w:spacing w:before="100" w:beforeAutospacing="1" w:after="100" w:afterAutospacing="1"/>
    </w:pPr>
  </w:style>
  <w:style w:type="paragraph" w:customStyle="1" w:styleId="LHOTimes">
    <w:name w:val="LHO Times"/>
    <w:basedOn w:val="Ttulo1"/>
    <w:uiPriority w:val="99"/>
    <w:rsid w:val="00AF6B07"/>
    <w:pPr>
      <w:keepNext/>
      <w:spacing w:line="340" w:lineRule="atLeast"/>
      <w:jc w:val="center"/>
    </w:pPr>
    <w:rPr>
      <w:rFonts w:ascii="Times New Roman" w:hAnsi="Times New Roman"/>
      <w:b w:val="0"/>
      <w:bCs/>
    </w:rPr>
  </w:style>
  <w:style w:type="paragraph" w:customStyle="1" w:styleId="Bullet">
    <w:name w:val="Bullet"/>
    <w:basedOn w:val="Normal"/>
    <w:uiPriority w:val="99"/>
    <w:rsid w:val="00AF6B07"/>
    <w:pPr>
      <w:tabs>
        <w:tab w:val="num" w:pos="1069"/>
      </w:tabs>
      <w:ind w:left="1069" w:hanging="360"/>
    </w:pPr>
    <w:rPr>
      <w:rFonts w:ascii="Verdana" w:hAnsi="Verdana"/>
      <w:szCs w:val="20"/>
    </w:rPr>
  </w:style>
  <w:style w:type="paragraph" w:customStyle="1" w:styleId="BodyText2">
    <w:name w:val="Body Text2"/>
    <w:uiPriority w:val="99"/>
    <w:rsid w:val="00AF6B07"/>
    <w:pPr>
      <w:widowControl/>
      <w:autoSpaceDE/>
      <w:autoSpaceDN/>
      <w:jc w:val="both"/>
    </w:pPr>
    <w:rPr>
      <w:rFonts w:ascii="Verdana" w:eastAsia="Times New Roman" w:hAnsi="Verdana" w:cs="Times New Roman"/>
      <w:color w:val="000000"/>
      <w:sz w:val="24"/>
      <w:szCs w:val="20"/>
      <w:lang w:eastAsia="pt-BR"/>
    </w:rPr>
  </w:style>
  <w:style w:type="paragraph" w:customStyle="1" w:styleId="Corpo">
    <w:name w:val="Corpo"/>
    <w:uiPriority w:val="99"/>
    <w:rsid w:val="00AF6B07"/>
    <w:pPr>
      <w:widowControl/>
      <w:autoSpaceDE/>
      <w:autoSpaceDN/>
    </w:pPr>
    <w:rPr>
      <w:rFonts w:ascii="Times New Roman" w:eastAsia="Times New Roman" w:hAnsi="Times New Roman" w:cs="Times New Roman"/>
      <w:color w:val="000000"/>
      <w:sz w:val="24"/>
      <w:szCs w:val="20"/>
      <w:lang w:eastAsia="pt-BR"/>
    </w:rPr>
  </w:style>
  <w:style w:type="paragraph" w:styleId="Textoembloco">
    <w:name w:val="Block Text"/>
    <w:basedOn w:val="Normal"/>
    <w:uiPriority w:val="99"/>
    <w:rsid w:val="00AF6B07"/>
    <w:pPr>
      <w:ind w:left="1134" w:right="731" w:hanging="708"/>
    </w:pPr>
    <w:rPr>
      <w:rFonts w:ascii="Verdana" w:hAnsi="Verdana"/>
      <w:szCs w:val="20"/>
    </w:rPr>
  </w:style>
  <w:style w:type="character" w:styleId="Forte">
    <w:name w:val="Strong"/>
    <w:uiPriority w:val="22"/>
    <w:qFormat/>
    <w:rsid w:val="00AF6B07"/>
    <w:rPr>
      <w:rFonts w:cs="Times New Roman"/>
      <w:b/>
      <w:bCs/>
    </w:rPr>
  </w:style>
  <w:style w:type="paragraph" w:customStyle="1" w:styleId="texto2">
    <w:name w:val="texto2"/>
    <w:basedOn w:val="Normal"/>
    <w:uiPriority w:val="99"/>
    <w:rsid w:val="00AF6B07"/>
    <w:pPr>
      <w:spacing w:before="100" w:beforeAutospacing="1" w:after="100" w:afterAutospacing="1"/>
    </w:pPr>
  </w:style>
  <w:style w:type="paragraph" w:styleId="Lista">
    <w:name w:val="List"/>
    <w:basedOn w:val="Normal"/>
    <w:uiPriority w:val="99"/>
    <w:rsid w:val="00AF6B07"/>
    <w:pPr>
      <w:ind w:left="283" w:hanging="283"/>
    </w:pPr>
  </w:style>
  <w:style w:type="paragraph" w:customStyle="1" w:styleId="16FOOTERrodap">
    <w:name w:val="16. «FOOTER» rodapé"/>
    <w:basedOn w:val="Normal"/>
    <w:uiPriority w:val="99"/>
    <w:rsid w:val="00AF6B07"/>
    <w:pPr>
      <w:tabs>
        <w:tab w:val="center" w:pos="4320"/>
      </w:tabs>
      <w:spacing w:before="260"/>
      <w:ind w:right="113" w:firstLine="1701"/>
      <w:jc w:val="center"/>
    </w:pPr>
    <w:rPr>
      <w:szCs w:val="20"/>
      <w:lang w:eastAsia="en-US"/>
    </w:rPr>
  </w:style>
  <w:style w:type="paragraph" w:customStyle="1" w:styleId="a007-npbb12">
    <w:name w:val="a007-npbb12"/>
    <w:basedOn w:val="Normal"/>
    <w:uiPriority w:val="99"/>
    <w:rsid w:val="00AF6B07"/>
    <w:pPr>
      <w:spacing w:line="228" w:lineRule="auto"/>
    </w:pPr>
  </w:style>
  <w:style w:type="paragraph" w:customStyle="1" w:styleId="NormalGaramond">
    <w:name w:val="Normal + Garamond"/>
    <w:aliases w:val="10 pt,Normal + Arial,Justificado,Primeira linha:  1,27 cm,25 cm,27 cm + 10 pt...,27 cm + 10 pt,Preto,Título 3 + Arial"/>
    <w:basedOn w:val="Normal"/>
    <w:link w:val="NormalGaramondChar"/>
    <w:rsid w:val="00AF6B07"/>
    <w:pPr>
      <w:ind w:firstLine="708"/>
    </w:pPr>
    <w:rPr>
      <w:rFonts w:ascii="Verdana" w:hAnsi="Verdana"/>
    </w:rPr>
  </w:style>
  <w:style w:type="character" w:customStyle="1" w:styleId="NormalGaramondChar">
    <w:name w:val="Normal + Garamond Char"/>
    <w:aliases w:val="10 pt Char"/>
    <w:link w:val="NormalGaramond"/>
    <w:locked/>
    <w:rsid w:val="00AF6B07"/>
    <w:rPr>
      <w:rFonts w:ascii="Verdana" w:eastAsia="Times New Roman" w:hAnsi="Verdana" w:cs="Times New Roman"/>
      <w:szCs w:val="24"/>
      <w:lang w:val="pt-BR" w:eastAsia="pt-BR"/>
    </w:rPr>
  </w:style>
  <w:style w:type="character" w:styleId="MquinadeescreverHTML">
    <w:name w:val="HTML Typewriter"/>
    <w:uiPriority w:val="99"/>
    <w:rsid w:val="00AF6B07"/>
    <w:rPr>
      <w:rFonts w:ascii="PMingLiU" w:hAnsi="PMingLiU" w:cs="PMingLiU"/>
      <w:sz w:val="20"/>
      <w:szCs w:val="20"/>
    </w:rPr>
  </w:style>
  <w:style w:type="paragraph" w:customStyle="1" w:styleId="1CharCharCharCharCharCharCharCharCharCharCharCharCharCharCharCharCharCharChar">
    <w:name w:val="1 Char Char Char Char Char Char Char Char Char Char Char Char Char Char Char Char Char Char Char"/>
    <w:basedOn w:val="Normal"/>
    <w:uiPriority w:val="99"/>
    <w:rsid w:val="00AF6B07"/>
    <w:pPr>
      <w:spacing w:after="160" w:line="240" w:lineRule="exact"/>
    </w:pPr>
    <w:rPr>
      <w:sz w:val="20"/>
      <w:szCs w:val="20"/>
      <w:lang w:val="en-US" w:eastAsia="en-US"/>
    </w:rPr>
  </w:style>
  <w:style w:type="paragraph" w:customStyle="1" w:styleId="CharCharCharCharCharChar4">
    <w:name w:val="Char Char Char Char Char Char4"/>
    <w:basedOn w:val="Normal"/>
    <w:uiPriority w:val="99"/>
    <w:rsid w:val="00AF6B07"/>
    <w:pPr>
      <w:spacing w:after="160" w:line="240" w:lineRule="exact"/>
    </w:pPr>
    <w:rPr>
      <w:sz w:val="20"/>
      <w:szCs w:val="20"/>
      <w:lang w:val="en-US" w:eastAsia="en-US"/>
    </w:rPr>
  </w:style>
  <w:style w:type="character" w:styleId="nfase">
    <w:name w:val="Emphasis"/>
    <w:uiPriority w:val="20"/>
    <w:qFormat/>
    <w:rsid w:val="00AF6B07"/>
    <w:rPr>
      <w:rFonts w:cs="Times New Roman"/>
      <w:i/>
      <w:iCs/>
    </w:rPr>
  </w:style>
  <w:style w:type="paragraph" w:customStyle="1" w:styleId="Default">
    <w:name w:val="Default"/>
    <w:link w:val="DefaultChar"/>
    <w:rsid w:val="00AF6B07"/>
    <w:pPr>
      <w:widowControl/>
      <w:adjustRightInd w:val="0"/>
    </w:pPr>
    <w:rPr>
      <w:rFonts w:ascii="Verdana" w:eastAsia="Times New Roman" w:hAnsi="Verdana" w:cs="Verdana"/>
      <w:color w:val="000000"/>
      <w:sz w:val="24"/>
      <w:szCs w:val="24"/>
      <w:lang w:val="pt-BR" w:eastAsia="pt-BR"/>
    </w:rPr>
  </w:style>
  <w:style w:type="character" w:customStyle="1" w:styleId="DefaultChar">
    <w:name w:val="Default Char"/>
    <w:link w:val="Default"/>
    <w:locked/>
    <w:rsid w:val="00AF6B07"/>
    <w:rPr>
      <w:rFonts w:ascii="Verdana" w:eastAsia="Times New Roman" w:hAnsi="Verdana" w:cs="Verdana"/>
      <w:color w:val="000000"/>
      <w:sz w:val="24"/>
      <w:szCs w:val="24"/>
      <w:lang w:val="pt-BR" w:eastAsia="pt-BR"/>
    </w:rPr>
  </w:style>
  <w:style w:type="paragraph" w:customStyle="1" w:styleId="garamond">
    <w:name w:val="garamond"/>
    <w:basedOn w:val="Default"/>
    <w:link w:val="garamondChar"/>
    <w:uiPriority w:val="99"/>
    <w:rsid w:val="00AF6B07"/>
    <w:pPr>
      <w:jc w:val="both"/>
    </w:pPr>
  </w:style>
  <w:style w:type="character" w:customStyle="1" w:styleId="garamondChar">
    <w:name w:val="garamond Char"/>
    <w:link w:val="garamond"/>
    <w:uiPriority w:val="99"/>
    <w:locked/>
    <w:rsid w:val="00AF6B07"/>
    <w:rPr>
      <w:rFonts w:ascii="Arial" w:eastAsia="Times New Roman" w:hAnsi="Arial" w:cs="Arial"/>
      <w:color w:val="000000"/>
      <w:sz w:val="24"/>
      <w:szCs w:val="24"/>
      <w:lang w:val="pt-BR" w:eastAsia="pt-BR"/>
    </w:rPr>
  </w:style>
  <w:style w:type="paragraph" w:styleId="Textodecomentrio">
    <w:name w:val="annotation text"/>
    <w:basedOn w:val="Normal"/>
    <w:link w:val="TextodecomentrioChar1"/>
    <w:uiPriority w:val="99"/>
    <w:rsid w:val="00AF6B07"/>
    <w:rPr>
      <w:sz w:val="20"/>
      <w:szCs w:val="20"/>
    </w:rPr>
  </w:style>
  <w:style w:type="character" w:customStyle="1" w:styleId="TextodecomentrioChar">
    <w:name w:val="Texto de comentário Char"/>
    <w:basedOn w:val="Fontepargpadro"/>
    <w:uiPriority w:val="99"/>
    <w:rsid w:val="00AF6B07"/>
    <w:rPr>
      <w:rFonts w:ascii="Times New Roman" w:hAnsi="Times New Roman" w:cs="Times New Roman"/>
      <w:sz w:val="20"/>
      <w:szCs w:val="20"/>
      <w:lang w:eastAsia="pt-BR"/>
    </w:rPr>
  </w:style>
  <w:style w:type="character" w:customStyle="1" w:styleId="TextodecomentrioChar1">
    <w:name w:val="Texto de comentário Char1"/>
    <w:link w:val="Textodecomentrio"/>
    <w:uiPriority w:val="99"/>
    <w:locked/>
    <w:rsid w:val="00AF6B07"/>
    <w:rPr>
      <w:rFonts w:ascii="Verdana" w:eastAsia="Times New Roman" w:hAnsi="Verdana" w:cs="Times New Roman"/>
      <w:sz w:val="20"/>
      <w:szCs w:val="20"/>
      <w:lang w:val="pt-BR" w:eastAsia="pt-BR"/>
    </w:rPr>
  </w:style>
  <w:style w:type="character" w:styleId="Refdecomentrio">
    <w:name w:val="annotation reference"/>
    <w:uiPriority w:val="99"/>
    <w:rsid w:val="00AF6B07"/>
    <w:rPr>
      <w:rFonts w:cs="Times New Roman"/>
    </w:rPr>
  </w:style>
  <w:style w:type="paragraph" w:customStyle="1" w:styleId="descrio1">
    <w:name w:val="descrição 1"/>
    <w:basedOn w:val="Normal"/>
    <w:uiPriority w:val="99"/>
    <w:rsid w:val="00AF6B07"/>
    <w:pPr>
      <w:ind w:left="851"/>
    </w:pPr>
    <w:rPr>
      <w:sz w:val="20"/>
      <w:szCs w:val="20"/>
    </w:rPr>
  </w:style>
  <w:style w:type="paragraph" w:customStyle="1" w:styleId="normalgaramond0">
    <w:name w:val="normalgaramond"/>
    <w:basedOn w:val="Normal"/>
    <w:uiPriority w:val="99"/>
    <w:rsid w:val="00AF6B07"/>
    <w:pPr>
      <w:ind w:firstLine="708"/>
    </w:pPr>
    <w:rPr>
      <w:rFonts w:ascii="Verdana" w:hAnsi="Verdana" w:cs="Verdana"/>
    </w:rPr>
  </w:style>
  <w:style w:type="paragraph" w:customStyle="1" w:styleId="TheSerifOffice">
    <w:name w:val="TheSerifOffice"/>
    <w:basedOn w:val="Normal"/>
    <w:uiPriority w:val="99"/>
    <w:rsid w:val="00AF6B07"/>
    <w:pPr>
      <w:jc w:val="center"/>
    </w:pPr>
    <w:rPr>
      <w:rFonts w:ascii="Verdana" w:hAnsi="Verdana" w:cs="Verdana"/>
      <w:bCs/>
    </w:rPr>
  </w:style>
  <w:style w:type="paragraph" w:customStyle="1" w:styleId="These">
    <w:name w:val="These"/>
    <w:basedOn w:val="Normal"/>
    <w:uiPriority w:val="99"/>
    <w:rsid w:val="00AF6B07"/>
    <w:pPr>
      <w:jc w:val="center"/>
    </w:pPr>
    <w:rPr>
      <w:rFonts w:ascii="Cambria Math" w:hAnsi="Cambria Math" w:cs="Verdana"/>
      <w:bCs/>
    </w:rPr>
  </w:style>
  <w:style w:type="paragraph" w:customStyle="1" w:styleId="BodyText21">
    <w:name w:val="Body Text 21"/>
    <w:basedOn w:val="Normal"/>
    <w:uiPriority w:val="99"/>
    <w:rsid w:val="00AF6B07"/>
    <w:rPr>
      <w:szCs w:val="20"/>
    </w:rPr>
  </w:style>
  <w:style w:type="paragraph" w:customStyle="1" w:styleId="BodyText1">
    <w:name w:val="Body Text1"/>
    <w:uiPriority w:val="99"/>
    <w:rsid w:val="00AF6B07"/>
    <w:pPr>
      <w:widowControl/>
      <w:autoSpaceDE/>
      <w:autoSpaceDN/>
      <w:jc w:val="both"/>
    </w:pPr>
    <w:rPr>
      <w:rFonts w:ascii="Verdana" w:eastAsia="Times New Roman" w:hAnsi="Verdana" w:cs="Times New Roman"/>
      <w:color w:val="000000"/>
      <w:sz w:val="24"/>
      <w:szCs w:val="20"/>
      <w:lang w:eastAsia="pt-BR"/>
    </w:rPr>
  </w:style>
  <w:style w:type="paragraph" w:customStyle="1" w:styleId="CharCharCharCharCharChar2">
    <w:name w:val="Char Char Char Char Char Char2"/>
    <w:basedOn w:val="Normal"/>
    <w:uiPriority w:val="99"/>
    <w:rsid w:val="00AF6B07"/>
    <w:pPr>
      <w:spacing w:after="160" w:line="240" w:lineRule="exact"/>
    </w:pPr>
    <w:rPr>
      <w:sz w:val="20"/>
      <w:szCs w:val="20"/>
      <w:lang w:val="en-US" w:eastAsia="en-US"/>
    </w:rPr>
  </w:style>
  <w:style w:type="paragraph" w:customStyle="1" w:styleId="PargrafodaLista1">
    <w:name w:val="Parágrafo da Lista1"/>
    <w:basedOn w:val="Normal"/>
    <w:uiPriority w:val="99"/>
    <w:rsid w:val="00AF6B07"/>
    <w:pPr>
      <w:ind w:left="720"/>
      <w:contextualSpacing/>
    </w:pPr>
  </w:style>
  <w:style w:type="character" w:styleId="Refdenotaderodap">
    <w:name w:val="footnote reference"/>
    <w:uiPriority w:val="99"/>
    <w:rsid w:val="00AF6B07"/>
    <w:rPr>
      <w:rFonts w:cs="Times New Roman"/>
      <w:vertAlign w:val="superscript"/>
    </w:rPr>
  </w:style>
  <w:style w:type="paragraph" w:customStyle="1" w:styleId="CharCharCharCharCharChar1">
    <w:name w:val="Char Char Char Char Char Char1"/>
    <w:basedOn w:val="Normal"/>
    <w:uiPriority w:val="99"/>
    <w:rsid w:val="00AF6B07"/>
    <w:pPr>
      <w:spacing w:after="160" w:line="240" w:lineRule="exact"/>
    </w:pPr>
    <w:rPr>
      <w:sz w:val="20"/>
      <w:szCs w:val="20"/>
      <w:lang w:val="en-US" w:eastAsia="en-US"/>
    </w:rPr>
  </w:style>
  <w:style w:type="paragraph" w:styleId="Assuntodocomentrio">
    <w:name w:val="annotation subject"/>
    <w:basedOn w:val="Textodecomentrio"/>
    <w:next w:val="Textodecomentrio"/>
    <w:link w:val="AssuntodocomentrioChar"/>
    <w:uiPriority w:val="99"/>
    <w:rsid w:val="00AF6B07"/>
    <w:rPr>
      <w:b/>
      <w:bCs/>
    </w:rPr>
  </w:style>
  <w:style w:type="character" w:customStyle="1" w:styleId="AssuntodocomentrioChar">
    <w:name w:val="Assunto do comentário Char"/>
    <w:basedOn w:val="TextodecomentrioChar"/>
    <w:link w:val="Assuntodocomentrio"/>
    <w:uiPriority w:val="99"/>
    <w:rsid w:val="00AF6B07"/>
    <w:rPr>
      <w:rFonts w:ascii="Verdana" w:eastAsia="Times New Roman" w:hAnsi="Verdana" w:cs="Times New Roman"/>
      <w:b/>
      <w:bCs/>
      <w:sz w:val="20"/>
      <w:szCs w:val="20"/>
      <w:lang w:val="pt-BR" w:eastAsia="pt-BR" w:bidi="pt-BR"/>
    </w:rPr>
  </w:style>
  <w:style w:type="paragraph" w:customStyle="1" w:styleId="Bodycopy">
    <w:name w:val="Body copy"/>
    <w:rsid w:val="00AF6B07"/>
    <w:pPr>
      <w:widowControl/>
      <w:autoSpaceDE/>
      <w:autoSpaceDN/>
      <w:spacing w:before="20" w:line="210" w:lineRule="exact"/>
    </w:pPr>
    <w:rPr>
      <w:rFonts w:ascii="Verdana" w:eastAsia="@PMingLiU" w:hAnsi="Verdana" w:cs="Verdana"/>
      <w:color w:val="000000"/>
      <w:sz w:val="17"/>
      <w:szCs w:val="17"/>
    </w:rPr>
  </w:style>
  <w:style w:type="paragraph" w:customStyle="1" w:styleId="Bodycopyheader1">
    <w:name w:val="Body copy header 1"/>
    <w:basedOn w:val="Bodycopy"/>
    <w:uiPriority w:val="99"/>
    <w:rsid w:val="00AF6B07"/>
    <w:rPr>
      <w:b/>
    </w:rPr>
  </w:style>
  <w:style w:type="paragraph" w:customStyle="1" w:styleId="Texto">
    <w:name w:val="Texto"/>
    <w:uiPriority w:val="99"/>
    <w:rsid w:val="00AF6B07"/>
    <w:pPr>
      <w:adjustRightInd w:val="0"/>
      <w:jc w:val="both"/>
    </w:pPr>
    <w:rPr>
      <w:rFonts w:ascii="Times New Roman" w:eastAsia="Times New Roman" w:hAnsi="Times New Roman" w:cs="Times New Roman"/>
    </w:rPr>
  </w:style>
  <w:style w:type="paragraph" w:customStyle="1" w:styleId="Bodycopyhanging">
    <w:name w:val="Body copy hanging"/>
    <w:basedOn w:val="Bodycopy"/>
    <w:uiPriority w:val="99"/>
    <w:rsid w:val="00AF6B07"/>
    <w:pPr>
      <w:ind w:left="510" w:hanging="510"/>
    </w:pPr>
    <w:rPr>
      <w:lang w:val="en-AU"/>
    </w:rPr>
  </w:style>
  <w:style w:type="paragraph" w:customStyle="1" w:styleId="bodycopyindent">
    <w:name w:val="body copy indent"/>
    <w:basedOn w:val="Normal"/>
    <w:uiPriority w:val="99"/>
    <w:rsid w:val="00AF6B07"/>
    <w:pPr>
      <w:spacing w:before="20" w:line="210" w:lineRule="exact"/>
      <w:ind w:left="510"/>
    </w:pPr>
    <w:rPr>
      <w:rFonts w:ascii="Verdana" w:eastAsia="@PMingLiU" w:hAnsi="Verdana" w:cs="Verdana"/>
      <w:color w:val="000000"/>
      <w:sz w:val="17"/>
      <w:szCs w:val="17"/>
      <w:lang w:eastAsia="en-US"/>
    </w:rPr>
  </w:style>
  <w:style w:type="paragraph" w:customStyle="1" w:styleId="Bodycopyindentbullet">
    <w:name w:val="Body copy indent bullet"/>
    <w:uiPriority w:val="99"/>
    <w:rsid w:val="00AF6B07"/>
    <w:pPr>
      <w:widowControl/>
      <w:tabs>
        <w:tab w:val="num" w:pos="1021"/>
      </w:tabs>
      <w:autoSpaceDE/>
      <w:autoSpaceDN/>
      <w:spacing w:before="20" w:line="210" w:lineRule="exact"/>
      <w:ind w:left="1021" w:hanging="511"/>
    </w:pPr>
    <w:rPr>
      <w:rFonts w:ascii="Verdana" w:eastAsia="@PMingLiU" w:hAnsi="Verdana" w:cs="Verdana"/>
      <w:color w:val="000000"/>
      <w:sz w:val="17"/>
      <w:szCs w:val="17"/>
      <w:lang w:val="en-AU" w:eastAsia="zh-CN"/>
    </w:rPr>
  </w:style>
  <w:style w:type="paragraph" w:customStyle="1" w:styleId="Bodycopyindenthanging">
    <w:name w:val="Body copy indent hanging"/>
    <w:basedOn w:val="Normal"/>
    <w:uiPriority w:val="99"/>
    <w:rsid w:val="00AF6B07"/>
    <w:pPr>
      <w:spacing w:before="20" w:line="210" w:lineRule="exact"/>
      <w:ind w:left="1020" w:hanging="510"/>
    </w:pPr>
    <w:rPr>
      <w:rFonts w:ascii="Verdana" w:eastAsia="@PMingLiU" w:hAnsi="Verdana" w:cs="Verdana"/>
      <w:color w:val="000000"/>
      <w:sz w:val="17"/>
      <w:szCs w:val="17"/>
      <w:lang w:eastAsia="en-US"/>
    </w:rPr>
  </w:style>
  <w:style w:type="paragraph" w:customStyle="1" w:styleId="Bodycopyheaderhanging">
    <w:name w:val="Body copy header hanging"/>
    <w:basedOn w:val="Bodycopyhanging"/>
    <w:uiPriority w:val="99"/>
    <w:rsid w:val="00AF6B07"/>
    <w:rPr>
      <w:b/>
    </w:rPr>
  </w:style>
  <w:style w:type="character" w:customStyle="1" w:styleId="hps">
    <w:name w:val="hps"/>
    <w:uiPriority w:val="99"/>
    <w:rsid w:val="00AF6B07"/>
    <w:rPr>
      <w:rFonts w:cs="Times New Roman"/>
    </w:rPr>
  </w:style>
  <w:style w:type="paragraph" w:customStyle="1" w:styleId="CharCharCharCharCharChar3">
    <w:name w:val="Char Char Char Char Char Char3"/>
    <w:basedOn w:val="Normal"/>
    <w:uiPriority w:val="99"/>
    <w:rsid w:val="00AF6B07"/>
    <w:pPr>
      <w:spacing w:after="160" w:line="240" w:lineRule="exact"/>
    </w:pPr>
    <w:rPr>
      <w:sz w:val="20"/>
      <w:szCs w:val="20"/>
      <w:lang w:val="en-US" w:eastAsia="en-US"/>
    </w:rPr>
  </w:style>
  <w:style w:type="paragraph" w:customStyle="1" w:styleId="DPWfd">
    <w:name w:val="DPW fd"/>
    <w:aliases w:val="n"/>
    <w:basedOn w:val="Normal"/>
    <w:uiPriority w:val="99"/>
    <w:rsid w:val="00AF6B07"/>
    <w:rPr>
      <w:sz w:val="20"/>
      <w:szCs w:val="20"/>
      <w:lang w:val="en-US" w:eastAsia="en-US"/>
    </w:rPr>
  </w:style>
  <w:style w:type="paragraph" w:customStyle="1" w:styleId="tabletitle">
    <w:name w:val="tabletitle"/>
    <w:basedOn w:val="Normal"/>
    <w:uiPriority w:val="99"/>
    <w:rsid w:val="00AF6B07"/>
    <w:pPr>
      <w:keepNext/>
      <w:suppressAutoHyphens/>
      <w:spacing w:after="240"/>
      <w:jc w:val="center"/>
    </w:pPr>
    <w:rPr>
      <w:rFonts w:ascii="Verdana" w:hAnsi="Verdana"/>
      <w:b/>
      <w:sz w:val="16"/>
      <w:lang w:val="en-US" w:eastAsia="en-US"/>
    </w:rPr>
  </w:style>
  <w:style w:type="paragraph" w:customStyle="1" w:styleId="CharCharCharCharCharChar5">
    <w:name w:val="Char Char Char Char Char Char5"/>
    <w:basedOn w:val="Normal"/>
    <w:uiPriority w:val="99"/>
    <w:rsid w:val="00AF6B07"/>
    <w:pPr>
      <w:spacing w:after="160" w:line="240" w:lineRule="exact"/>
    </w:pPr>
    <w:rPr>
      <w:sz w:val="20"/>
      <w:szCs w:val="20"/>
      <w:lang w:val="en-US" w:eastAsia="en-US"/>
    </w:rPr>
  </w:style>
  <w:style w:type="paragraph" w:customStyle="1" w:styleId="CharCharCharCharCharChar6">
    <w:name w:val="Char Char Char Char Char Char6"/>
    <w:basedOn w:val="Normal"/>
    <w:uiPriority w:val="99"/>
    <w:rsid w:val="00AF6B07"/>
    <w:pPr>
      <w:spacing w:after="160" w:line="240" w:lineRule="exact"/>
    </w:pPr>
    <w:rPr>
      <w:sz w:val="20"/>
      <w:szCs w:val="20"/>
      <w:lang w:val="en-US" w:eastAsia="en-US"/>
    </w:rPr>
  </w:style>
  <w:style w:type="character" w:customStyle="1" w:styleId="CharChar">
    <w:name w:val="Char Char"/>
    <w:uiPriority w:val="99"/>
    <w:rsid w:val="00AF6B07"/>
    <w:rPr>
      <w:rFonts w:cs="Times New Roman"/>
      <w:sz w:val="24"/>
      <w:lang w:val="pt-PT" w:eastAsia="pt-BR" w:bidi="ar-SA"/>
    </w:rPr>
  </w:style>
  <w:style w:type="table" w:styleId="Tabelacomgrade">
    <w:name w:val="Table Grid"/>
    <w:basedOn w:val="Tabelanormal"/>
    <w:uiPriority w:val="59"/>
    <w:rsid w:val="00AF6B0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uiPriority w:val="99"/>
    <w:rsid w:val="00AF6B07"/>
    <w:rPr>
      <w:rFonts w:cs="Times New Roman"/>
    </w:rPr>
  </w:style>
  <w:style w:type="paragraph" w:customStyle="1" w:styleId="06ATENOcarta">
    <w:name w:val="06. «ATENÇÃO» carta"/>
    <w:basedOn w:val="Normal"/>
    <w:uiPriority w:val="99"/>
    <w:rsid w:val="00AF6B07"/>
    <w:pPr>
      <w:spacing w:after="260" w:line="220" w:lineRule="atLeast"/>
    </w:pPr>
    <w:rPr>
      <w:rFonts w:ascii="Segoe UI" w:hAnsi="Segoe UI" w:cs="Segoe UI"/>
      <w:lang w:eastAsia="en-US"/>
    </w:rPr>
  </w:style>
  <w:style w:type="character" w:customStyle="1" w:styleId="CharChar2">
    <w:name w:val="Char Char2"/>
    <w:uiPriority w:val="99"/>
    <w:rsid w:val="00AF6B07"/>
    <w:rPr>
      <w:rFonts w:ascii="Times New Roman" w:hAnsi="Times New Roman" w:cs="Times New Roman"/>
      <w:sz w:val="20"/>
      <w:szCs w:val="20"/>
      <w:lang w:val="pt-PT" w:eastAsia="pt-BR"/>
    </w:rPr>
  </w:style>
  <w:style w:type="paragraph" w:customStyle="1" w:styleId="CharCharCharCharCharChar7">
    <w:name w:val="Char Char Char Char Char Char7"/>
    <w:basedOn w:val="Normal"/>
    <w:uiPriority w:val="99"/>
    <w:rsid w:val="00AF6B07"/>
    <w:pPr>
      <w:spacing w:after="160" w:line="240" w:lineRule="exact"/>
    </w:pPr>
    <w:rPr>
      <w:sz w:val="20"/>
      <w:szCs w:val="20"/>
      <w:lang w:val="en-US" w:eastAsia="en-US"/>
    </w:rPr>
  </w:style>
  <w:style w:type="paragraph" w:customStyle="1" w:styleId="PargrafodaLista11">
    <w:name w:val="Parágrafo da Lista11"/>
    <w:basedOn w:val="Normal"/>
    <w:uiPriority w:val="99"/>
    <w:rsid w:val="00AF6B07"/>
    <w:pPr>
      <w:ind w:left="720"/>
      <w:contextualSpacing/>
    </w:pPr>
  </w:style>
  <w:style w:type="paragraph" w:customStyle="1" w:styleId="ListParagraph1">
    <w:name w:val="List Paragraph1"/>
    <w:basedOn w:val="Normal"/>
    <w:uiPriority w:val="99"/>
    <w:rsid w:val="00AF6B07"/>
    <w:pPr>
      <w:ind w:left="720"/>
      <w:contextualSpacing/>
    </w:pPr>
  </w:style>
  <w:style w:type="paragraph" w:styleId="Reviso">
    <w:name w:val="Revision"/>
    <w:hidden/>
    <w:uiPriority w:val="99"/>
    <w:semiHidden/>
    <w:rsid w:val="00AF6B07"/>
    <w:pPr>
      <w:widowControl/>
      <w:autoSpaceDE/>
      <w:autoSpaceDN/>
    </w:pPr>
    <w:rPr>
      <w:rFonts w:ascii="Times New Roman" w:eastAsia="Times New Roman" w:hAnsi="Times New Roman" w:cs="Times New Roman"/>
      <w:sz w:val="24"/>
      <w:szCs w:val="24"/>
      <w:lang w:val="pt-BR" w:eastAsia="pt-BR"/>
    </w:rPr>
  </w:style>
  <w:style w:type="paragraph" w:customStyle="1" w:styleId="CharCharCharCharCharChar8">
    <w:name w:val="Char Char Char Char Char Char8"/>
    <w:basedOn w:val="Normal"/>
    <w:uiPriority w:val="99"/>
    <w:rsid w:val="00AF6B07"/>
    <w:pPr>
      <w:spacing w:after="160" w:line="240" w:lineRule="exact"/>
    </w:pPr>
    <w:rPr>
      <w:sz w:val="20"/>
      <w:szCs w:val="20"/>
      <w:lang w:val="en-US" w:eastAsia="en-US"/>
    </w:rPr>
  </w:style>
  <w:style w:type="paragraph" w:customStyle="1" w:styleId="Corpodetexto21">
    <w:name w:val="Corpo de texto 21"/>
    <w:basedOn w:val="Normal"/>
    <w:rsid w:val="00AF6B07"/>
    <w:rPr>
      <w:szCs w:val="20"/>
    </w:rPr>
  </w:style>
  <w:style w:type="character" w:customStyle="1" w:styleId="EstiloDeEmail111">
    <w:name w:val="EstiloDeEmail111"/>
    <w:uiPriority w:val="99"/>
    <w:semiHidden/>
    <w:rsid w:val="00AF6B07"/>
    <w:rPr>
      <w:rFonts w:ascii="Verdana" w:hAnsi="Verdana" w:cs="Times New Roman"/>
      <w:i/>
      <w:iCs/>
      <w:color w:val="auto"/>
      <w:sz w:val="24"/>
      <w:szCs w:val="24"/>
      <w:u w:val="none"/>
    </w:rPr>
  </w:style>
  <w:style w:type="paragraph" w:customStyle="1" w:styleId="Corpodetexto1">
    <w:name w:val="Corpo de texto1"/>
    <w:uiPriority w:val="99"/>
    <w:rsid w:val="00AF6B07"/>
    <w:pPr>
      <w:widowControl/>
      <w:autoSpaceDE/>
      <w:autoSpaceDN/>
      <w:jc w:val="both"/>
    </w:pPr>
    <w:rPr>
      <w:rFonts w:ascii="Verdana" w:eastAsia="Times New Roman" w:hAnsi="Verdana" w:cs="Times New Roman"/>
      <w:color w:val="000000"/>
      <w:sz w:val="24"/>
      <w:szCs w:val="20"/>
      <w:lang w:eastAsia="pt-BR"/>
    </w:rPr>
  </w:style>
  <w:style w:type="character" w:styleId="HiperlinkVisitado">
    <w:name w:val="FollowedHyperlink"/>
    <w:uiPriority w:val="99"/>
    <w:semiHidden/>
    <w:rsid w:val="00AF6B07"/>
    <w:rPr>
      <w:rFonts w:cs="Times New Roman"/>
      <w:color w:val="800080"/>
      <w:u w:val="single"/>
    </w:rPr>
  </w:style>
  <w:style w:type="paragraph" w:customStyle="1" w:styleId="xl63">
    <w:name w:val="xl63"/>
    <w:basedOn w:val="Normal"/>
    <w:rsid w:val="00AF6B07"/>
    <w:pPr>
      <w:spacing w:before="100" w:beforeAutospacing="1" w:after="100" w:afterAutospacing="1"/>
      <w:jc w:val="center"/>
    </w:pPr>
    <w:rPr>
      <w:rFonts w:ascii="Arial" w:hAnsi="Arial"/>
    </w:rPr>
  </w:style>
  <w:style w:type="paragraph" w:customStyle="1" w:styleId="xl64">
    <w:name w:val="xl64"/>
    <w:basedOn w:val="Normal"/>
    <w:rsid w:val="00AF6B07"/>
    <w:pPr>
      <w:pBdr>
        <w:top w:val="single" w:sz="8" w:space="0" w:color="auto"/>
      </w:pBdr>
      <w:spacing w:before="100" w:beforeAutospacing="1" w:after="100" w:afterAutospacing="1"/>
      <w:jc w:val="center"/>
    </w:pPr>
    <w:rPr>
      <w:rFonts w:ascii="Arial" w:hAnsi="Arial"/>
    </w:rPr>
  </w:style>
  <w:style w:type="paragraph" w:customStyle="1" w:styleId="xl65">
    <w:name w:val="xl65"/>
    <w:basedOn w:val="Normal"/>
    <w:rsid w:val="00AF6B07"/>
    <w:pPr>
      <w:spacing w:before="100" w:beforeAutospacing="1" w:after="100" w:afterAutospacing="1"/>
    </w:pPr>
    <w:rPr>
      <w:rFonts w:ascii="Arial" w:hAnsi="Arial"/>
    </w:rPr>
  </w:style>
  <w:style w:type="paragraph" w:customStyle="1" w:styleId="xl66">
    <w:name w:val="xl66"/>
    <w:basedOn w:val="Normal"/>
    <w:rsid w:val="00AF6B07"/>
    <w:pPr>
      <w:spacing w:before="100" w:beforeAutospacing="1" w:after="100" w:afterAutospacing="1"/>
      <w:jc w:val="right"/>
    </w:pPr>
    <w:rPr>
      <w:rFonts w:ascii="Arial" w:hAnsi="Arial"/>
    </w:rPr>
  </w:style>
  <w:style w:type="paragraph" w:customStyle="1" w:styleId="xl67">
    <w:name w:val="xl67"/>
    <w:basedOn w:val="Normal"/>
    <w:rsid w:val="00AF6B07"/>
    <w:pPr>
      <w:spacing w:before="100" w:beforeAutospacing="1" w:after="100" w:afterAutospacing="1"/>
    </w:pPr>
    <w:rPr>
      <w:rFonts w:ascii="Arial" w:hAnsi="Arial"/>
    </w:rPr>
  </w:style>
  <w:style w:type="paragraph" w:customStyle="1" w:styleId="xl68">
    <w:name w:val="xl68"/>
    <w:basedOn w:val="Normal"/>
    <w:rsid w:val="00AF6B07"/>
    <w:pPr>
      <w:spacing w:before="100" w:beforeAutospacing="1" w:after="100" w:afterAutospacing="1"/>
      <w:jc w:val="right"/>
    </w:pPr>
    <w:rPr>
      <w:rFonts w:ascii="Arial" w:hAnsi="Arial"/>
    </w:rPr>
  </w:style>
  <w:style w:type="paragraph" w:customStyle="1" w:styleId="xl69">
    <w:name w:val="xl69"/>
    <w:basedOn w:val="Normal"/>
    <w:rsid w:val="00AF6B07"/>
    <w:pPr>
      <w:spacing w:before="100" w:beforeAutospacing="1" w:after="100" w:afterAutospacing="1"/>
      <w:jc w:val="center"/>
    </w:pPr>
    <w:rPr>
      <w:rFonts w:ascii="Arial" w:hAnsi="Arial"/>
    </w:rPr>
  </w:style>
  <w:style w:type="paragraph" w:customStyle="1" w:styleId="xl70">
    <w:name w:val="xl70"/>
    <w:basedOn w:val="Normal"/>
    <w:rsid w:val="00AF6B07"/>
    <w:pPr>
      <w:spacing w:before="100" w:beforeAutospacing="1" w:after="100" w:afterAutospacing="1"/>
    </w:pPr>
    <w:rPr>
      <w:rFonts w:ascii="Arial" w:hAnsi="Arial"/>
      <w:color w:val="FF0000"/>
    </w:rPr>
  </w:style>
  <w:style w:type="paragraph" w:customStyle="1" w:styleId="xl71">
    <w:name w:val="xl71"/>
    <w:basedOn w:val="Normal"/>
    <w:rsid w:val="00AF6B07"/>
    <w:pPr>
      <w:shd w:val="clear" w:color="000000" w:fill="FFFFFF"/>
      <w:spacing w:before="100" w:beforeAutospacing="1" w:after="100" w:afterAutospacing="1"/>
    </w:pPr>
    <w:rPr>
      <w:rFonts w:ascii="Arial" w:hAnsi="Arial"/>
    </w:rPr>
  </w:style>
  <w:style w:type="paragraph" w:customStyle="1" w:styleId="xl72">
    <w:name w:val="xl72"/>
    <w:basedOn w:val="Normal"/>
    <w:rsid w:val="00AF6B07"/>
    <w:pPr>
      <w:spacing w:before="100" w:beforeAutospacing="1" w:after="100" w:afterAutospacing="1"/>
      <w:jc w:val="center"/>
    </w:pPr>
    <w:rPr>
      <w:rFonts w:ascii="Arial" w:hAnsi="Arial"/>
    </w:rPr>
  </w:style>
  <w:style w:type="paragraph" w:customStyle="1" w:styleId="xl73">
    <w:name w:val="xl73"/>
    <w:basedOn w:val="Normal"/>
    <w:rsid w:val="00AF6B07"/>
    <w:pPr>
      <w:spacing w:before="100" w:beforeAutospacing="1" w:after="100" w:afterAutospacing="1"/>
    </w:pPr>
    <w:rPr>
      <w:rFonts w:ascii="Arial" w:hAnsi="Arial"/>
    </w:rPr>
  </w:style>
  <w:style w:type="paragraph" w:customStyle="1" w:styleId="xl74">
    <w:name w:val="xl74"/>
    <w:basedOn w:val="Normal"/>
    <w:rsid w:val="00AF6B07"/>
    <w:pPr>
      <w:pBdr>
        <w:top w:val="single" w:sz="8" w:space="0" w:color="auto"/>
      </w:pBdr>
      <w:spacing w:before="100" w:beforeAutospacing="1" w:after="100" w:afterAutospacing="1"/>
      <w:jc w:val="center"/>
    </w:pPr>
    <w:rPr>
      <w:rFonts w:ascii="Arial" w:hAnsi="Arial"/>
    </w:rPr>
  </w:style>
  <w:style w:type="paragraph" w:customStyle="1" w:styleId="xl75">
    <w:name w:val="xl75"/>
    <w:basedOn w:val="Normal"/>
    <w:rsid w:val="00AF6B07"/>
    <w:pPr>
      <w:spacing w:before="100" w:beforeAutospacing="1" w:after="100" w:afterAutospacing="1"/>
    </w:pPr>
    <w:rPr>
      <w:rFonts w:ascii="Arial" w:hAnsi="Arial"/>
      <w:color w:val="FF0000"/>
    </w:rPr>
  </w:style>
  <w:style w:type="paragraph" w:customStyle="1" w:styleId="xl77">
    <w:name w:val="xl77"/>
    <w:basedOn w:val="Normal"/>
    <w:rsid w:val="00AF6B07"/>
    <w:pPr>
      <w:spacing w:before="100" w:beforeAutospacing="1" w:after="100" w:afterAutospacing="1"/>
      <w:jc w:val="center"/>
    </w:pPr>
    <w:rPr>
      <w:rFonts w:ascii="Arial" w:hAnsi="Arial"/>
      <w:color w:val="FF0000"/>
    </w:rPr>
  </w:style>
  <w:style w:type="paragraph" w:customStyle="1" w:styleId="xl78">
    <w:name w:val="xl78"/>
    <w:basedOn w:val="Normal"/>
    <w:rsid w:val="00AF6B07"/>
    <w:pPr>
      <w:pBdr>
        <w:top w:val="single" w:sz="8" w:space="0" w:color="auto"/>
        <w:bottom w:val="single" w:sz="4" w:space="0" w:color="auto"/>
      </w:pBdr>
      <w:spacing w:before="100" w:beforeAutospacing="1" w:after="100" w:afterAutospacing="1"/>
      <w:jc w:val="center"/>
    </w:pPr>
    <w:rPr>
      <w:rFonts w:ascii="Arial" w:hAnsi="Arial"/>
    </w:rPr>
  </w:style>
  <w:style w:type="paragraph" w:customStyle="1" w:styleId="xl79">
    <w:name w:val="xl79"/>
    <w:basedOn w:val="Normal"/>
    <w:rsid w:val="00AF6B07"/>
    <w:pPr>
      <w:spacing w:before="100" w:beforeAutospacing="1" w:after="100" w:afterAutospacing="1"/>
      <w:jc w:val="right"/>
    </w:pPr>
    <w:rPr>
      <w:rFonts w:ascii="Arial" w:hAnsi="Arial"/>
    </w:rPr>
  </w:style>
  <w:style w:type="paragraph" w:customStyle="1" w:styleId="xl80">
    <w:name w:val="xl80"/>
    <w:basedOn w:val="Normal"/>
    <w:rsid w:val="00AF6B07"/>
    <w:pPr>
      <w:spacing w:before="100" w:beforeAutospacing="1" w:after="100" w:afterAutospacing="1"/>
    </w:pPr>
    <w:rPr>
      <w:rFonts w:ascii="Arial" w:hAnsi="Arial"/>
    </w:rPr>
  </w:style>
  <w:style w:type="paragraph" w:customStyle="1" w:styleId="xl81">
    <w:name w:val="xl81"/>
    <w:basedOn w:val="Normal"/>
    <w:rsid w:val="00AF6B07"/>
    <w:pPr>
      <w:spacing w:before="100" w:beforeAutospacing="1" w:after="100" w:afterAutospacing="1"/>
      <w:jc w:val="right"/>
      <w:textAlignment w:val="top"/>
    </w:pPr>
    <w:rPr>
      <w:rFonts w:ascii="Arial" w:hAnsi="Arial"/>
    </w:rPr>
  </w:style>
  <w:style w:type="paragraph" w:customStyle="1" w:styleId="xl82">
    <w:name w:val="xl82"/>
    <w:basedOn w:val="Normal"/>
    <w:rsid w:val="00AF6B07"/>
    <w:pPr>
      <w:spacing w:before="100" w:beforeAutospacing="1" w:after="100" w:afterAutospacing="1"/>
      <w:jc w:val="right"/>
      <w:textAlignment w:val="top"/>
    </w:pPr>
    <w:rPr>
      <w:rFonts w:ascii="Arial" w:hAnsi="Arial"/>
    </w:rPr>
  </w:style>
  <w:style w:type="paragraph" w:customStyle="1" w:styleId="xl83">
    <w:name w:val="xl83"/>
    <w:basedOn w:val="Normal"/>
    <w:rsid w:val="00AF6B07"/>
    <w:pPr>
      <w:spacing w:before="100" w:beforeAutospacing="1" w:after="100" w:afterAutospacing="1"/>
      <w:jc w:val="right"/>
    </w:pPr>
    <w:rPr>
      <w:rFonts w:ascii="Arial" w:hAnsi="Arial"/>
    </w:rPr>
  </w:style>
  <w:style w:type="paragraph" w:customStyle="1" w:styleId="xl84">
    <w:name w:val="xl84"/>
    <w:basedOn w:val="Normal"/>
    <w:rsid w:val="00AF6B07"/>
    <w:pPr>
      <w:spacing w:before="100" w:beforeAutospacing="1" w:after="100" w:afterAutospacing="1"/>
      <w:jc w:val="center"/>
    </w:pPr>
    <w:rPr>
      <w:rFonts w:ascii="Arial" w:hAnsi="Arial"/>
    </w:rPr>
  </w:style>
  <w:style w:type="paragraph" w:customStyle="1" w:styleId="xl85">
    <w:name w:val="xl85"/>
    <w:basedOn w:val="Normal"/>
    <w:rsid w:val="00AF6B07"/>
    <w:pPr>
      <w:spacing w:before="100" w:beforeAutospacing="1" w:after="100" w:afterAutospacing="1"/>
      <w:jc w:val="center"/>
    </w:pPr>
    <w:rPr>
      <w:rFonts w:ascii="Arial" w:hAnsi="Arial"/>
    </w:rPr>
  </w:style>
  <w:style w:type="paragraph" w:customStyle="1" w:styleId="xl86">
    <w:name w:val="xl86"/>
    <w:basedOn w:val="Normal"/>
    <w:rsid w:val="00AF6B07"/>
    <w:pPr>
      <w:spacing w:before="100" w:beforeAutospacing="1" w:after="100" w:afterAutospacing="1"/>
      <w:jc w:val="center"/>
    </w:pPr>
    <w:rPr>
      <w:rFonts w:ascii="Arial" w:hAnsi="Arial"/>
      <w:color w:val="FF0000"/>
    </w:rPr>
  </w:style>
  <w:style w:type="paragraph" w:customStyle="1" w:styleId="xl87">
    <w:name w:val="xl87"/>
    <w:basedOn w:val="Normal"/>
    <w:rsid w:val="00AF6B07"/>
    <w:pPr>
      <w:spacing w:before="100" w:beforeAutospacing="1" w:after="100" w:afterAutospacing="1"/>
      <w:jc w:val="center"/>
      <w:textAlignment w:val="top"/>
    </w:pPr>
    <w:rPr>
      <w:rFonts w:ascii="Arial" w:hAnsi="Arial"/>
    </w:rPr>
  </w:style>
  <w:style w:type="paragraph" w:customStyle="1" w:styleId="xl88">
    <w:name w:val="xl88"/>
    <w:basedOn w:val="Normal"/>
    <w:rsid w:val="00AF6B07"/>
    <w:pPr>
      <w:spacing w:before="100" w:beforeAutospacing="1" w:after="100" w:afterAutospacing="1"/>
      <w:jc w:val="center"/>
      <w:textAlignment w:val="top"/>
    </w:pPr>
    <w:rPr>
      <w:rFonts w:ascii="Arial" w:hAnsi="Arial"/>
      <w:color w:val="FF0000"/>
    </w:rPr>
  </w:style>
  <w:style w:type="paragraph" w:customStyle="1" w:styleId="xl89">
    <w:name w:val="xl89"/>
    <w:basedOn w:val="Normal"/>
    <w:rsid w:val="00AF6B07"/>
    <w:pPr>
      <w:spacing w:before="100" w:beforeAutospacing="1" w:after="100" w:afterAutospacing="1"/>
      <w:jc w:val="right"/>
    </w:pPr>
    <w:rPr>
      <w:rFonts w:ascii="Arial" w:hAnsi="Arial"/>
      <w:color w:val="FF0000"/>
    </w:rPr>
  </w:style>
  <w:style w:type="paragraph" w:customStyle="1" w:styleId="xl90">
    <w:name w:val="xl90"/>
    <w:basedOn w:val="Normal"/>
    <w:rsid w:val="00AF6B07"/>
    <w:pPr>
      <w:spacing w:before="100" w:beforeAutospacing="1" w:after="100" w:afterAutospacing="1"/>
      <w:jc w:val="right"/>
      <w:textAlignment w:val="top"/>
    </w:pPr>
    <w:rPr>
      <w:rFonts w:ascii="Arial" w:hAnsi="Arial"/>
      <w:color w:val="FF0000"/>
    </w:rPr>
  </w:style>
  <w:style w:type="paragraph" w:customStyle="1" w:styleId="xl91">
    <w:name w:val="xl91"/>
    <w:basedOn w:val="Normal"/>
    <w:rsid w:val="00AF6B07"/>
    <w:pPr>
      <w:spacing w:before="100" w:beforeAutospacing="1" w:after="100" w:afterAutospacing="1"/>
      <w:jc w:val="right"/>
      <w:textAlignment w:val="top"/>
    </w:pPr>
    <w:rPr>
      <w:rFonts w:ascii="Arial" w:hAnsi="Arial"/>
      <w:i/>
      <w:iCs/>
    </w:rPr>
  </w:style>
  <w:style w:type="paragraph" w:customStyle="1" w:styleId="xl92">
    <w:name w:val="xl92"/>
    <w:basedOn w:val="Normal"/>
    <w:rsid w:val="00AF6B07"/>
    <w:pPr>
      <w:spacing w:before="100" w:beforeAutospacing="1" w:after="100" w:afterAutospacing="1"/>
    </w:pPr>
    <w:rPr>
      <w:rFonts w:ascii="Arial" w:hAnsi="Arial"/>
      <w:color w:val="FF0000"/>
    </w:rPr>
  </w:style>
  <w:style w:type="paragraph" w:customStyle="1" w:styleId="xl93">
    <w:name w:val="xl93"/>
    <w:basedOn w:val="Normal"/>
    <w:rsid w:val="00AF6B07"/>
    <w:pPr>
      <w:spacing w:before="100" w:beforeAutospacing="1" w:after="100" w:afterAutospacing="1"/>
      <w:jc w:val="right"/>
    </w:pPr>
    <w:rPr>
      <w:rFonts w:ascii="Arial" w:hAnsi="Arial"/>
      <w:color w:val="FF0000"/>
    </w:rPr>
  </w:style>
  <w:style w:type="paragraph" w:customStyle="1" w:styleId="xl95">
    <w:name w:val="xl95"/>
    <w:basedOn w:val="Normal"/>
    <w:rsid w:val="00AF6B07"/>
    <w:pPr>
      <w:shd w:val="clear" w:color="000000" w:fill="FFFFFF"/>
      <w:spacing w:before="100" w:beforeAutospacing="1" w:after="100" w:afterAutospacing="1"/>
      <w:jc w:val="right"/>
      <w:textAlignment w:val="top"/>
    </w:pPr>
    <w:rPr>
      <w:rFonts w:ascii="Arial" w:hAnsi="Arial"/>
    </w:rPr>
  </w:style>
  <w:style w:type="paragraph" w:customStyle="1" w:styleId="xl96">
    <w:name w:val="xl96"/>
    <w:basedOn w:val="Normal"/>
    <w:rsid w:val="00AF6B07"/>
    <w:pPr>
      <w:pBdr>
        <w:bottom w:val="single" w:sz="4" w:space="0" w:color="auto"/>
      </w:pBdr>
      <w:spacing w:before="100" w:beforeAutospacing="1" w:after="100" w:afterAutospacing="1"/>
      <w:jc w:val="center"/>
    </w:pPr>
    <w:rPr>
      <w:rFonts w:ascii="Arial" w:hAnsi="Arial"/>
    </w:rPr>
  </w:style>
  <w:style w:type="paragraph" w:customStyle="1" w:styleId="xl97">
    <w:name w:val="xl97"/>
    <w:basedOn w:val="Normal"/>
    <w:rsid w:val="00AF6B07"/>
    <w:pPr>
      <w:pBdr>
        <w:bottom w:val="single" w:sz="4" w:space="0" w:color="auto"/>
      </w:pBdr>
      <w:spacing w:before="100" w:beforeAutospacing="1" w:after="100" w:afterAutospacing="1"/>
      <w:jc w:val="right"/>
    </w:pPr>
    <w:rPr>
      <w:rFonts w:ascii="Arial" w:hAnsi="Arial"/>
    </w:rPr>
  </w:style>
  <w:style w:type="paragraph" w:customStyle="1" w:styleId="xl98">
    <w:name w:val="xl98"/>
    <w:basedOn w:val="Normal"/>
    <w:rsid w:val="00AF6B07"/>
    <w:pPr>
      <w:pBdr>
        <w:bottom w:val="single" w:sz="4" w:space="0" w:color="auto"/>
      </w:pBdr>
      <w:shd w:val="clear" w:color="000000" w:fill="FFFFFF"/>
      <w:spacing w:before="100" w:beforeAutospacing="1" w:after="100" w:afterAutospacing="1"/>
      <w:jc w:val="right"/>
      <w:textAlignment w:val="top"/>
    </w:pPr>
    <w:rPr>
      <w:rFonts w:ascii="Arial" w:hAnsi="Arial"/>
    </w:rPr>
  </w:style>
  <w:style w:type="paragraph" w:customStyle="1" w:styleId="xl99">
    <w:name w:val="xl99"/>
    <w:basedOn w:val="Normal"/>
    <w:rsid w:val="00AF6B07"/>
    <w:pPr>
      <w:pBdr>
        <w:bottom w:val="single" w:sz="4" w:space="0" w:color="auto"/>
      </w:pBdr>
      <w:spacing w:before="100" w:beforeAutospacing="1" w:after="100" w:afterAutospacing="1"/>
      <w:jc w:val="right"/>
      <w:textAlignment w:val="top"/>
    </w:pPr>
    <w:rPr>
      <w:rFonts w:ascii="Arial" w:hAnsi="Arial"/>
    </w:rPr>
  </w:style>
  <w:style w:type="paragraph" w:customStyle="1" w:styleId="xl100">
    <w:name w:val="xl100"/>
    <w:basedOn w:val="Normal"/>
    <w:rsid w:val="00AF6B07"/>
    <w:pPr>
      <w:pBdr>
        <w:bottom w:val="single" w:sz="4" w:space="0" w:color="auto"/>
      </w:pBdr>
      <w:spacing w:before="100" w:beforeAutospacing="1" w:after="100" w:afterAutospacing="1"/>
      <w:jc w:val="right"/>
    </w:pPr>
    <w:rPr>
      <w:rFonts w:ascii="Arial" w:hAnsi="Arial"/>
    </w:rPr>
  </w:style>
  <w:style w:type="paragraph" w:customStyle="1" w:styleId="xl101">
    <w:name w:val="xl101"/>
    <w:basedOn w:val="Normal"/>
    <w:rsid w:val="00AF6B07"/>
    <w:pPr>
      <w:pBdr>
        <w:bottom w:val="single" w:sz="4" w:space="0" w:color="auto"/>
      </w:pBdr>
      <w:spacing w:before="100" w:beforeAutospacing="1" w:after="100" w:afterAutospacing="1"/>
      <w:jc w:val="right"/>
      <w:textAlignment w:val="top"/>
    </w:pPr>
    <w:rPr>
      <w:rFonts w:ascii="Arial" w:hAnsi="Arial"/>
    </w:rPr>
  </w:style>
  <w:style w:type="paragraph" w:customStyle="1" w:styleId="xl76">
    <w:name w:val="xl76"/>
    <w:basedOn w:val="Normal"/>
    <w:rsid w:val="00AF6B07"/>
    <w:pPr>
      <w:spacing w:before="100" w:beforeAutospacing="1" w:after="100" w:afterAutospacing="1"/>
      <w:jc w:val="right"/>
      <w:textAlignment w:val="top"/>
    </w:pPr>
    <w:rPr>
      <w:rFonts w:ascii="Arial" w:hAnsi="Arial"/>
      <w:sz w:val="20"/>
      <w:szCs w:val="20"/>
    </w:rPr>
  </w:style>
  <w:style w:type="paragraph" w:customStyle="1" w:styleId="xl94">
    <w:name w:val="xl94"/>
    <w:basedOn w:val="Normal"/>
    <w:rsid w:val="00AF6B07"/>
    <w:pPr>
      <w:spacing w:before="100" w:beforeAutospacing="1" w:after="100" w:afterAutospacing="1"/>
      <w:jc w:val="right"/>
    </w:pPr>
    <w:rPr>
      <w:rFonts w:ascii="Arial" w:hAnsi="Arial"/>
      <w:color w:val="FF0000"/>
      <w:sz w:val="20"/>
      <w:szCs w:val="20"/>
    </w:rPr>
  </w:style>
  <w:style w:type="paragraph" w:customStyle="1" w:styleId="xl102">
    <w:name w:val="xl102"/>
    <w:basedOn w:val="Normal"/>
    <w:rsid w:val="00AF6B07"/>
    <w:pPr>
      <w:pBdr>
        <w:bottom w:val="single" w:sz="4" w:space="0" w:color="auto"/>
      </w:pBdr>
      <w:shd w:val="clear" w:color="000000" w:fill="FFFFFF"/>
      <w:spacing w:before="100" w:beforeAutospacing="1" w:after="100" w:afterAutospacing="1"/>
      <w:jc w:val="right"/>
      <w:textAlignment w:val="top"/>
    </w:pPr>
    <w:rPr>
      <w:rFonts w:ascii="Arial" w:hAnsi="Arial"/>
      <w:sz w:val="20"/>
      <w:szCs w:val="20"/>
    </w:rPr>
  </w:style>
  <w:style w:type="paragraph" w:styleId="MapadoDocumento">
    <w:name w:val="Document Map"/>
    <w:basedOn w:val="Normal"/>
    <w:link w:val="MapadoDocumentoChar"/>
    <w:uiPriority w:val="99"/>
    <w:semiHidden/>
    <w:rsid w:val="00AF6B07"/>
    <w:rPr>
      <w:rFonts w:ascii="PMingLiU" w:hAnsi="PMingLiU"/>
      <w:sz w:val="16"/>
      <w:szCs w:val="16"/>
    </w:rPr>
  </w:style>
  <w:style w:type="character" w:customStyle="1" w:styleId="MapadoDocumentoChar">
    <w:name w:val="Mapa do Documento Char"/>
    <w:basedOn w:val="Fontepargpadro"/>
    <w:link w:val="MapadoDocumento"/>
    <w:uiPriority w:val="99"/>
    <w:semiHidden/>
    <w:rsid w:val="00AF6B07"/>
    <w:rPr>
      <w:rFonts w:ascii="PMingLiU" w:eastAsia="Times New Roman" w:hAnsi="PMingLiU" w:cs="Times New Roman"/>
      <w:sz w:val="16"/>
      <w:szCs w:val="16"/>
      <w:lang w:val="pt-BR" w:eastAsia="pt-BR"/>
    </w:rPr>
  </w:style>
  <w:style w:type="character" w:customStyle="1" w:styleId="EstiloDeEmail156">
    <w:name w:val="EstiloDeEmail156"/>
    <w:uiPriority w:val="99"/>
    <w:semiHidden/>
    <w:rsid w:val="00AF6B07"/>
    <w:rPr>
      <w:rFonts w:ascii="Verdana" w:hAnsi="Verdana" w:cs="Times New Roman"/>
      <w:i/>
      <w:iCs/>
      <w:color w:val="auto"/>
      <w:sz w:val="24"/>
      <w:szCs w:val="24"/>
      <w:u w:val="none"/>
    </w:rPr>
  </w:style>
  <w:style w:type="paragraph" w:customStyle="1" w:styleId="Normal1">
    <w:name w:val="Normal 1"/>
    <w:uiPriority w:val="99"/>
    <w:rsid w:val="00AF6B07"/>
    <w:pPr>
      <w:widowControl/>
      <w:autoSpaceDE/>
      <w:autoSpaceDN/>
      <w:jc w:val="both"/>
    </w:pPr>
    <w:rPr>
      <w:rFonts w:ascii="Times New Roman" w:eastAsia="Times New Roman" w:hAnsi="Times New Roman" w:cs="Times New Roman"/>
      <w:sz w:val="24"/>
      <w:szCs w:val="24"/>
      <w:lang w:val="pt-BR"/>
    </w:rPr>
  </w:style>
  <w:style w:type="character" w:customStyle="1" w:styleId="EstiloDeEmail158">
    <w:name w:val="EstiloDeEmail158"/>
    <w:uiPriority w:val="99"/>
    <w:semiHidden/>
    <w:rsid w:val="00AF6B07"/>
    <w:rPr>
      <w:rFonts w:ascii="Verdana" w:hAnsi="Verdana" w:cs="Times New Roman"/>
      <w:i/>
      <w:iCs/>
      <w:color w:val="auto"/>
      <w:sz w:val="24"/>
      <w:szCs w:val="24"/>
      <w:u w:val="none"/>
    </w:rPr>
  </w:style>
  <w:style w:type="character" w:customStyle="1" w:styleId="EstiloDeEmail159">
    <w:name w:val="EstiloDeEmail159"/>
    <w:uiPriority w:val="99"/>
    <w:semiHidden/>
    <w:rsid w:val="00AF6B07"/>
    <w:rPr>
      <w:rFonts w:ascii="Verdana" w:hAnsi="Verdana" w:cs="Times New Roman"/>
      <w:i/>
      <w:iCs/>
      <w:color w:val="auto"/>
      <w:sz w:val="24"/>
      <w:szCs w:val="24"/>
      <w:u w:val="none"/>
    </w:rPr>
  </w:style>
  <w:style w:type="paragraph" w:customStyle="1" w:styleId="font5">
    <w:name w:val="font5"/>
    <w:basedOn w:val="Normal"/>
    <w:rsid w:val="00AF6B07"/>
    <w:pPr>
      <w:spacing w:before="100" w:beforeAutospacing="1" w:after="100" w:afterAutospacing="1"/>
    </w:pPr>
    <w:rPr>
      <w:rFonts w:ascii="PMingLiU" w:hAnsi="PMingLiU" w:cs="PMingLiU"/>
      <w:color w:val="000000"/>
      <w:sz w:val="16"/>
      <w:szCs w:val="16"/>
    </w:rPr>
  </w:style>
  <w:style w:type="paragraph" w:customStyle="1" w:styleId="font6">
    <w:name w:val="font6"/>
    <w:basedOn w:val="Normal"/>
    <w:rsid w:val="00AF6B07"/>
    <w:pPr>
      <w:spacing w:before="100" w:beforeAutospacing="1" w:after="100" w:afterAutospacing="1"/>
    </w:pPr>
    <w:rPr>
      <w:rFonts w:ascii="PMingLiU" w:hAnsi="PMingLiU" w:cs="PMingLiU"/>
      <w:b/>
      <w:bCs/>
      <w:color w:val="000000"/>
      <w:sz w:val="16"/>
      <w:szCs w:val="16"/>
    </w:rPr>
  </w:style>
  <w:style w:type="paragraph" w:customStyle="1" w:styleId="CharCharCharCharCharChar9">
    <w:name w:val="Char Char Char Char Char Char9"/>
    <w:basedOn w:val="Normal"/>
    <w:uiPriority w:val="99"/>
    <w:rsid w:val="00AF6B07"/>
    <w:pPr>
      <w:spacing w:after="160" w:line="240" w:lineRule="exact"/>
    </w:pPr>
    <w:rPr>
      <w:sz w:val="20"/>
      <w:szCs w:val="20"/>
      <w:lang w:val="en-US" w:eastAsia="en-US"/>
    </w:rPr>
  </w:style>
  <w:style w:type="paragraph" w:customStyle="1" w:styleId="font7">
    <w:name w:val="font7"/>
    <w:basedOn w:val="Normal"/>
    <w:rsid w:val="00AF6B07"/>
    <w:pPr>
      <w:spacing w:before="100" w:beforeAutospacing="1" w:after="100" w:afterAutospacing="1"/>
    </w:pPr>
    <w:rPr>
      <w:rFonts w:ascii="PMingLiU" w:hAnsi="PMingLiU" w:cs="PMingLiU"/>
      <w:color w:val="000000"/>
      <w:sz w:val="16"/>
      <w:szCs w:val="16"/>
    </w:rPr>
  </w:style>
  <w:style w:type="paragraph" w:customStyle="1" w:styleId="font8">
    <w:name w:val="font8"/>
    <w:basedOn w:val="Normal"/>
    <w:rsid w:val="00AF6B07"/>
    <w:pPr>
      <w:spacing w:before="100" w:beforeAutospacing="1" w:after="100" w:afterAutospacing="1"/>
    </w:pPr>
    <w:rPr>
      <w:rFonts w:ascii="PMingLiU" w:hAnsi="PMingLiU" w:cs="PMingLiU"/>
      <w:b/>
      <w:bCs/>
      <w:color w:val="000000"/>
      <w:sz w:val="16"/>
      <w:szCs w:val="16"/>
    </w:rPr>
  </w:style>
  <w:style w:type="paragraph" w:customStyle="1" w:styleId="xl103">
    <w:name w:val="xl103"/>
    <w:basedOn w:val="Normal"/>
    <w:rsid w:val="00AF6B07"/>
    <w:pPr>
      <w:pBdr>
        <w:left w:val="single" w:sz="8" w:space="0" w:color="auto"/>
      </w:pBdr>
      <w:spacing w:before="100" w:beforeAutospacing="1" w:after="100" w:afterAutospacing="1"/>
      <w:jc w:val="right"/>
      <w:textAlignment w:val="top"/>
    </w:pPr>
    <w:rPr>
      <w:rFonts w:ascii="Arial" w:hAnsi="Arial"/>
      <w:b/>
      <w:bCs/>
      <w:color w:val="000000"/>
      <w:sz w:val="16"/>
      <w:szCs w:val="16"/>
    </w:rPr>
  </w:style>
  <w:style w:type="paragraph" w:customStyle="1" w:styleId="xl104">
    <w:name w:val="xl104"/>
    <w:basedOn w:val="Normal"/>
    <w:rsid w:val="00AF6B07"/>
    <w:pPr>
      <w:spacing w:before="100" w:beforeAutospacing="1" w:after="100" w:afterAutospacing="1"/>
      <w:jc w:val="right"/>
      <w:textAlignment w:val="top"/>
    </w:pPr>
    <w:rPr>
      <w:rFonts w:ascii="Arial" w:hAnsi="Arial"/>
      <w:b/>
      <w:bCs/>
      <w:color w:val="000000"/>
      <w:sz w:val="16"/>
      <w:szCs w:val="16"/>
    </w:rPr>
  </w:style>
  <w:style w:type="paragraph" w:customStyle="1" w:styleId="xl105">
    <w:name w:val="xl105"/>
    <w:basedOn w:val="Normal"/>
    <w:rsid w:val="00AF6B07"/>
    <w:pPr>
      <w:pBdr>
        <w:top w:val="single" w:sz="4" w:space="0" w:color="auto"/>
        <w:bottom w:val="double" w:sz="6" w:space="0" w:color="auto"/>
      </w:pBdr>
      <w:spacing w:before="100" w:beforeAutospacing="1" w:after="100" w:afterAutospacing="1"/>
      <w:jc w:val="right"/>
      <w:textAlignment w:val="top"/>
    </w:pPr>
    <w:rPr>
      <w:rFonts w:ascii="Arial" w:hAnsi="Arial"/>
      <w:b/>
      <w:bCs/>
      <w:sz w:val="16"/>
      <w:szCs w:val="16"/>
    </w:rPr>
  </w:style>
  <w:style w:type="paragraph" w:customStyle="1" w:styleId="xl106">
    <w:name w:val="xl106"/>
    <w:basedOn w:val="Normal"/>
    <w:rsid w:val="00AF6B07"/>
    <w:pPr>
      <w:spacing w:before="100" w:beforeAutospacing="1" w:after="100" w:afterAutospacing="1"/>
      <w:jc w:val="right"/>
      <w:textAlignment w:val="top"/>
    </w:pPr>
    <w:rPr>
      <w:rFonts w:ascii="Arial" w:hAnsi="Arial"/>
      <w:b/>
      <w:bCs/>
      <w:sz w:val="16"/>
      <w:szCs w:val="16"/>
    </w:rPr>
  </w:style>
  <w:style w:type="paragraph" w:customStyle="1" w:styleId="xl107">
    <w:name w:val="xl107"/>
    <w:basedOn w:val="Normal"/>
    <w:rsid w:val="00AF6B07"/>
    <w:pPr>
      <w:pBdr>
        <w:top w:val="single" w:sz="4" w:space="0" w:color="auto"/>
        <w:bottom w:val="double" w:sz="6" w:space="0" w:color="auto"/>
        <w:right w:val="single" w:sz="8" w:space="0" w:color="auto"/>
      </w:pBdr>
      <w:spacing w:before="100" w:beforeAutospacing="1" w:after="100" w:afterAutospacing="1"/>
      <w:jc w:val="right"/>
      <w:textAlignment w:val="top"/>
    </w:pPr>
    <w:rPr>
      <w:rFonts w:ascii="Arial" w:hAnsi="Arial"/>
      <w:b/>
      <w:bCs/>
      <w:sz w:val="16"/>
      <w:szCs w:val="16"/>
    </w:rPr>
  </w:style>
  <w:style w:type="paragraph" w:customStyle="1" w:styleId="xl108">
    <w:name w:val="xl108"/>
    <w:basedOn w:val="Normal"/>
    <w:rsid w:val="00AF6B07"/>
    <w:pPr>
      <w:pBdr>
        <w:bottom w:val="single" w:sz="4" w:space="0" w:color="auto"/>
      </w:pBdr>
      <w:spacing w:before="100" w:beforeAutospacing="1" w:after="100" w:afterAutospacing="1"/>
      <w:jc w:val="center"/>
      <w:textAlignment w:val="top"/>
    </w:pPr>
    <w:rPr>
      <w:rFonts w:ascii="Arial" w:hAnsi="Arial"/>
      <w:color w:val="000000"/>
      <w:sz w:val="16"/>
      <w:szCs w:val="16"/>
    </w:rPr>
  </w:style>
  <w:style w:type="paragraph" w:customStyle="1" w:styleId="xl109">
    <w:name w:val="xl109"/>
    <w:basedOn w:val="Normal"/>
    <w:rsid w:val="00AF6B07"/>
    <w:pPr>
      <w:pBdr>
        <w:bottom w:val="single" w:sz="4" w:space="0" w:color="auto"/>
      </w:pBdr>
      <w:spacing w:before="100" w:beforeAutospacing="1" w:after="100" w:afterAutospacing="1"/>
      <w:jc w:val="center"/>
      <w:textAlignment w:val="top"/>
    </w:pPr>
    <w:rPr>
      <w:rFonts w:ascii="Arial" w:hAnsi="Arial"/>
      <w:sz w:val="16"/>
      <w:szCs w:val="16"/>
    </w:rPr>
  </w:style>
  <w:style w:type="paragraph" w:customStyle="1" w:styleId="xl110">
    <w:name w:val="xl110"/>
    <w:basedOn w:val="Normal"/>
    <w:rsid w:val="00AF6B07"/>
    <w:pPr>
      <w:pBdr>
        <w:bottom w:val="single" w:sz="4" w:space="0" w:color="auto"/>
      </w:pBdr>
      <w:spacing w:before="100" w:beforeAutospacing="1" w:after="100" w:afterAutospacing="1"/>
    </w:pPr>
    <w:rPr>
      <w:rFonts w:ascii="Arial" w:hAnsi="Arial"/>
      <w:sz w:val="16"/>
      <w:szCs w:val="16"/>
    </w:rPr>
  </w:style>
  <w:style w:type="paragraph" w:customStyle="1" w:styleId="xl111">
    <w:name w:val="xl111"/>
    <w:basedOn w:val="Normal"/>
    <w:rsid w:val="00AF6B07"/>
    <w:pPr>
      <w:pBdr>
        <w:bottom w:val="single" w:sz="4" w:space="0" w:color="auto"/>
        <w:right w:val="single" w:sz="8" w:space="0" w:color="auto"/>
      </w:pBdr>
      <w:spacing w:before="100" w:beforeAutospacing="1" w:after="100" w:afterAutospacing="1"/>
    </w:pPr>
    <w:rPr>
      <w:rFonts w:ascii="Arial" w:hAnsi="Arial"/>
      <w:sz w:val="16"/>
      <w:szCs w:val="16"/>
    </w:rPr>
  </w:style>
  <w:style w:type="paragraph" w:customStyle="1" w:styleId="xl112">
    <w:name w:val="xl112"/>
    <w:basedOn w:val="Normal"/>
    <w:rsid w:val="00AF6B07"/>
    <w:pPr>
      <w:pBdr>
        <w:left w:val="single" w:sz="8" w:space="0" w:color="auto"/>
      </w:pBdr>
      <w:spacing w:before="100" w:beforeAutospacing="1" w:after="100" w:afterAutospacing="1"/>
    </w:pPr>
    <w:rPr>
      <w:rFonts w:ascii="Arial" w:hAnsi="Arial"/>
      <w:sz w:val="16"/>
      <w:szCs w:val="16"/>
    </w:rPr>
  </w:style>
  <w:style w:type="paragraph" w:customStyle="1" w:styleId="xl113">
    <w:name w:val="xl113"/>
    <w:basedOn w:val="Normal"/>
    <w:rsid w:val="00AF6B07"/>
    <w:pPr>
      <w:pBdr>
        <w:bottom w:val="single" w:sz="4" w:space="0" w:color="auto"/>
        <w:right w:val="single" w:sz="8" w:space="0" w:color="auto"/>
      </w:pBdr>
      <w:spacing w:before="100" w:beforeAutospacing="1" w:after="100" w:afterAutospacing="1"/>
      <w:jc w:val="right"/>
    </w:pPr>
    <w:rPr>
      <w:rFonts w:ascii="Arial" w:hAnsi="Arial"/>
      <w:sz w:val="16"/>
      <w:szCs w:val="16"/>
    </w:rPr>
  </w:style>
  <w:style w:type="paragraph" w:customStyle="1" w:styleId="xl114">
    <w:name w:val="xl114"/>
    <w:basedOn w:val="Normal"/>
    <w:rsid w:val="00AF6B07"/>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5">
    <w:name w:val="xl115"/>
    <w:basedOn w:val="Normal"/>
    <w:rsid w:val="00AF6B07"/>
    <w:pPr>
      <w:pBdr>
        <w:bottom w:val="single" w:sz="4" w:space="0" w:color="auto"/>
      </w:pBdr>
      <w:spacing w:before="100" w:beforeAutospacing="1" w:after="100" w:afterAutospacing="1"/>
      <w:jc w:val="center"/>
      <w:textAlignment w:val="top"/>
    </w:pPr>
    <w:rPr>
      <w:rFonts w:ascii="Arial" w:hAnsi="Arial"/>
      <w:color w:val="000000"/>
      <w:sz w:val="18"/>
      <w:szCs w:val="18"/>
    </w:rPr>
  </w:style>
  <w:style w:type="paragraph" w:customStyle="1" w:styleId="xl116">
    <w:name w:val="xl116"/>
    <w:basedOn w:val="Normal"/>
    <w:rsid w:val="00AF6B07"/>
    <w:pPr>
      <w:pBdr>
        <w:bottom w:val="single" w:sz="4" w:space="0" w:color="auto"/>
      </w:pBdr>
      <w:spacing w:before="100" w:beforeAutospacing="1" w:after="100" w:afterAutospacing="1"/>
      <w:jc w:val="center"/>
      <w:textAlignment w:val="top"/>
    </w:pPr>
    <w:rPr>
      <w:rFonts w:ascii="Arial" w:hAnsi="Arial"/>
      <w:sz w:val="18"/>
      <w:szCs w:val="18"/>
    </w:rPr>
  </w:style>
  <w:style w:type="paragraph" w:customStyle="1" w:styleId="xl117">
    <w:name w:val="xl117"/>
    <w:basedOn w:val="Normal"/>
    <w:rsid w:val="00AF6B07"/>
    <w:pPr>
      <w:pBdr>
        <w:bottom w:val="single" w:sz="4" w:space="0" w:color="auto"/>
      </w:pBdr>
      <w:spacing w:before="100" w:beforeAutospacing="1" w:after="100" w:afterAutospacing="1"/>
    </w:pPr>
    <w:rPr>
      <w:rFonts w:ascii="Arial" w:hAnsi="Arial"/>
      <w:sz w:val="18"/>
      <w:szCs w:val="18"/>
    </w:rPr>
  </w:style>
  <w:style w:type="paragraph" w:customStyle="1" w:styleId="xl118">
    <w:name w:val="xl118"/>
    <w:basedOn w:val="Normal"/>
    <w:rsid w:val="00AF6B07"/>
    <w:pPr>
      <w:pBdr>
        <w:bottom w:val="single" w:sz="4" w:space="0" w:color="auto"/>
        <w:right w:val="single" w:sz="8" w:space="0" w:color="auto"/>
      </w:pBdr>
      <w:spacing w:before="100" w:beforeAutospacing="1" w:after="100" w:afterAutospacing="1"/>
    </w:pPr>
    <w:rPr>
      <w:rFonts w:ascii="Arial" w:hAnsi="Arial"/>
      <w:sz w:val="18"/>
      <w:szCs w:val="18"/>
    </w:rPr>
  </w:style>
  <w:style w:type="paragraph" w:customStyle="1" w:styleId="xl119">
    <w:name w:val="xl119"/>
    <w:basedOn w:val="Normal"/>
    <w:rsid w:val="00AF6B07"/>
    <w:pPr>
      <w:pBdr>
        <w:left w:val="single" w:sz="8" w:space="0" w:color="auto"/>
      </w:pBdr>
      <w:spacing w:before="100" w:beforeAutospacing="1" w:after="100" w:afterAutospacing="1"/>
    </w:pPr>
    <w:rPr>
      <w:rFonts w:ascii="Arial" w:hAnsi="Arial"/>
      <w:sz w:val="18"/>
      <w:szCs w:val="18"/>
    </w:rPr>
  </w:style>
  <w:style w:type="paragraph" w:customStyle="1" w:styleId="xl120">
    <w:name w:val="xl120"/>
    <w:basedOn w:val="Normal"/>
    <w:rsid w:val="00AF6B07"/>
    <w:pPr>
      <w:pBdr>
        <w:bottom w:val="single" w:sz="4" w:space="0" w:color="auto"/>
        <w:right w:val="single" w:sz="8" w:space="0" w:color="auto"/>
      </w:pBdr>
      <w:spacing w:before="100" w:beforeAutospacing="1" w:after="100" w:afterAutospacing="1"/>
      <w:jc w:val="right"/>
    </w:pPr>
    <w:rPr>
      <w:rFonts w:ascii="Arial" w:hAnsi="Arial"/>
      <w:sz w:val="18"/>
      <w:szCs w:val="18"/>
    </w:rPr>
  </w:style>
  <w:style w:type="paragraph" w:customStyle="1" w:styleId="CharCharCharCharCharChar10">
    <w:name w:val="Char Char Char Char Char Char10"/>
    <w:basedOn w:val="Normal"/>
    <w:rsid w:val="00AF6B07"/>
    <w:pPr>
      <w:spacing w:after="160" w:line="240" w:lineRule="exact"/>
    </w:pPr>
    <w:rPr>
      <w:sz w:val="20"/>
      <w:szCs w:val="20"/>
      <w:lang w:val="en-US" w:eastAsia="en-US"/>
    </w:rPr>
  </w:style>
  <w:style w:type="paragraph" w:styleId="Pr-formataoHTML">
    <w:name w:val="HTML Preformatted"/>
    <w:basedOn w:val="Normal"/>
    <w:link w:val="Pr-formataoHTMLChar"/>
    <w:uiPriority w:val="99"/>
    <w:semiHidden/>
    <w:unhideWhenUsed/>
    <w:rsid w:val="00AF6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PMingLiU" w:hAnsi="PMingLiU"/>
      <w:sz w:val="20"/>
      <w:szCs w:val="20"/>
    </w:rPr>
  </w:style>
  <w:style w:type="character" w:customStyle="1" w:styleId="Pr-formataoHTMLChar">
    <w:name w:val="Pré-formatação HTML Char"/>
    <w:basedOn w:val="Fontepargpadro"/>
    <w:link w:val="Pr-formataoHTML"/>
    <w:uiPriority w:val="99"/>
    <w:semiHidden/>
    <w:rsid w:val="00AF6B07"/>
    <w:rPr>
      <w:rFonts w:ascii="PMingLiU" w:eastAsia="Times New Roman" w:hAnsi="PMingLiU" w:cs="Times New Roman"/>
      <w:sz w:val="20"/>
      <w:szCs w:val="20"/>
      <w:lang w:val="pt-BR" w:eastAsia="pt-BR"/>
    </w:rPr>
  </w:style>
  <w:style w:type="paragraph" w:styleId="Legenda">
    <w:name w:val="caption"/>
    <w:basedOn w:val="Normal"/>
    <w:next w:val="Normal"/>
    <w:uiPriority w:val="35"/>
    <w:unhideWhenUsed/>
    <w:qFormat/>
    <w:rsid w:val="00AF6B07"/>
    <w:rPr>
      <w:b/>
      <w:bCs/>
      <w:sz w:val="20"/>
      <w:szCs w:val="20"/>
    </w:rPr>
  </w:style>
  <w:style w:type="paragraph" w:customStyle="1" w:styleId="TITULO2">
    <w:name w:val="TITULO2"/>
    <w:basedOn w:val="Normal"/>
    <w:link w:val="TITULO2Char"/>
    <w:rsid w:val="00AF6B07"/>
    <w:pPr>
      <w:pBdr>
        <w:top w:val="single" w:sz="6" w:space="1" w:color="C0C0C0"/>
        <w:left w:val="single" w:sz="6" w:space="0" w:color="C0C0C0"/>
        <w:bottom w:val="single" w:sz="6" w:space="0" w:color="C0C0C0"/>
        <w:right w:val="single" w:sz="6" w:space="0" w:color="C0C0C0"/>
      </w:pBdr>
      <w:shd w:val="pct30" w:color="C0C0C0" w:fill="auto"/>
      <w:spacing w:before="100" w:beforeAutospacing="1" w:after="100" w:afterAutospacing="1"/>
      <w:outlineLvl w:val="0"/>
    </w:pPr>
    <w:rPr>
      <w:b/>
      <w:color w:val="3366FF"/>
      <w:spacing w:val="20"/>
    </w:rPr>
  </w:style>
  <w:style w:type="character" w:customStyle="1" w:styleId="TITULO2Char">
    <w:name w:val="TITULO2 Char"/>
    <w:link w:val="TITULO2"/>
    <w:rsid w:val="00AF6B07"/>
    <w:rPr>
      <w:rFonts w:ascii="Verdana" w:eastAsia="Times New Roman" w:hAnsi="Verdana" w:cs="Times New Roman"/>
      <w:b/>
      <w:color w:val="3366FF"/>
      <w:spacing w:val="20"/>
      <w:shd w:val="pct30" w:color="C0C0C0" w:fill="auto"/>
      <w:lang w:val="pt-BR" w:eastAsia="pt-BR"/>
    </w:rPr>
  </w:style>
  <w:style w:type="character" w:customStyle="1" w:styleId="EmailStyle1111">
    <w:name w:val="EmailStyle1111"/>
    <w:uiPriority w:val="99"/>
    <w:semiHidden/>
    <w:rsid w:val="00AF6B07"/>
    <w:rPr>
      <w:rFonts w:ascii="Verdana" w:hAnsi="Verdana" w:cs="Times New Roman"/>
      <w:i/>
      <w:iCs/>
      <w:color w:val="auto"/>
      <w:sz w:val="24"/>
      <w:szCs w:val="24"/>
      <w:u w:val="none"/>
    </w:rPr>
  </w:style>
  <w:style w:type="character" w:customStyle="1" w:styleId="EmailStyle1561">
    <w:name w:val="EmailStyle1561"/>
    <w:uiPriority w:val="99"/>
    <w:semiHidden/>
    <w:rsid w:val="00AF6B07"/>
    <w:rPr>
      <w:rFonts w:ascii="Verdana" w:hAnsi="Verdana" w:cs="Times New Roman"/>
      <w:i/>
      <w:iCs/>
      <w:color w:val="auto"/>
      <w:sz w:val="24"/>
      <w:szCs w:val="24"/>
      <w:u w:val="none"/>
    </w:rPr>
  </w:style>
  <w:style w:type="character" w:customStyle="1" w:styleId="EmailStyle1581">
    <w:name w:val="EmailStyle1581"/>
    <w:uiPriority w:val="99"/>
    <w:semiHidden/>
    <w:rsid w:val="00AF6B07"/>
    <w:rPr>
      <w:rFonts w:ascii="Verdana" w:hAnsi="Verdana" w:cs="Times New Roman"/>
      <w:i/>
      <w:iCs/>
      <w:color w:val="auto"/>
      <w:sz w:val="24"/>
      <w:szCs w:val="24"/>
      <w:u w:val="none"/>
    </w:rPr>
  </w:style>
  <w:style w:type="character" w:customStyle="1" w:styleId="EmailStyle1591">
    <w:name w:val="EmailStyle1591"/>
    <w:uiPriority w:val="99"/>
    <w:semiHidden/>
    <w:rsid w:val="00AF6B07"/>
    <w:rPr>
      <w:rFonts w:ascii="Verdana" w:hAnsi="Verdana" w:cs="Times New Roman"/>
      <w:i/>
      <w:iCs/>
      <w:color w:val="auto"/>
      <w:sz w:val="24"/>
      <w:szCs w:val="24"/>
      <w:u w:val="none"/>
    </w:rPr>
  </w:style>
  <w:style w:type="paragraph" w:customStyle="1" w:styleId="PargrafodaLista2">
    <w:name w:val="Parágrafo da Lista2"/>
    <w:basedOn w:val="Normal"/>
    <w:rsid w:val="00AF6B07"/>
    <w:pPr>
      <w:spacing w:after="200" w:line="276" w:lineRule="auto"/>
      <w:ind w:left="720"/>
    </w:pPr>
    <w:rPr>
      <w:rFonts w:ascii="Cambria Math" w:hAnsi="Cambria Math"/>
      <w:lang w:eastAsia="en-US"/>
    </w:rPr>
  </w:style>
  <w:style w:type="paragraph" w:styleId="TextosemFormatao">
    <w:name w:val="Plain Text"/>
    <w:basedOn w:val="Normal"/>
    <w:link w:val="TextosemFormataoChar"/>
    <w:uiPriority w:val="99"/>
    <w:unhideWhenUsed/>
    <w:rsid w:val="00AF6B07"/>
    <w:rPr>
      <w:rFonts w:ascii="Cambria Math" w:eastAsia="Cambria Math" w:hAnsi="Cambria Math"/>
      <w:color w:val="365F91"/>
      <w:szCs w:val="21"/>
      <w:lang w:val="en-US" w:eastAsia="en-US"/>
    </w:rPr>
  </w:style>
  <w:style w:type="character" w:customStyle="1" w:styleId="TextosemFormataoChar">
    <w:name w:val="Texto sem Formatação Char"/>
    <w:basedOn w:val="Fontepargpadro"/>
    <w:link w:val="TextosemFormatao"/>
    <w:uiPriority w:val="99"/>
    <w:rsid w:val="00AF6B07"/>
    <w:rPr>
      <w:rFonts w:ascii="Cambria Math" w:eastAsia="Cambria Math" w:hAnsi="Cambria Math" w:cs="Times New Roman"/>
      <w:color w:val="365F91"/>
      <w:szCs w:val="21"/>
    </w:rPr>
  </w:style>
  <w:style w:type="paragraph" w:customStyle="1" w:styleId="nota">
    <w:name w:val="nota"/>
    <w:basedOn w:val="Normal"/>
    <w:rsid w:val="00AF6B07"/>
    <w:rPr>
      <w:sz w:val="20"/>
      <w:szCs w:val="20"/>
    </w:rPr>
  </w:style>
  <w:style w:type="paragraph" w:customStyle="1" w:styleId="CharChar3CharCharCharCharChar1CharCharChar">
    <w:name w:val="Char Char3 Char Char Char Char Char1 Char Char Char"/>
    <w:basedOn w:val="Normal"/>
    <w:rsid w:val="00AF6B07"/>
    <w:pPr>
      <w:spacing w:after="160" w:line="240" w:lineRule="exact"/>
    </w:pPr>
    <w:rPr>
      <w:sz w:val="20"/>
      <w:szCs w:val="20"/>
      <w:lang w:val="en-US" w:eastAsia="en-US"/>
    </w:rPr>
  </w:style>
  <w:style w:type="paragraph" w:customStyle="1" w:styleId="texto1">
    <w:name w:val="texto1"/>
    <w:basedOn w:val="Normal"/>
    <w:rsid w:val="00AF6B07"/>
    <w:pPr>
      <w:spacing w:before="100" w:beforeAutospacing="1" w:after="100" w:afterAutospacing="1"/>
    </w:pPr>
    <w:rPr>
      <w:rFonts w:eastAsia="SimSun"/>
      <w:lang w:eastAsia="zh-CN"/>
    </w:rPr>
  </w:style>
  <w:style w:type="character" w:customStyle="1" w:styleId="NormalWebChar">
    <w:name w:val="Normal (Web) Char"/>
    <w:link w:val="NormalWeb"/>
    <w:uiPriority w:val="99"/>
    <w:locked/>
    <w:rsid w:val="00AF6B07"/>
    <w:rPr>
      <w:rFonts w:ascii="Verdana" w:eastAsia="Times New Roman" w:hAnsi="Verdana" w:cs="Times New Roman"/>
      <w:szCs w:val="24"/>
      <w:lang w:val="pt-BR" w:eastAsia="pt-BR"/>
    </w:rPr>
  </w:style>
  <w:style w:type="character" w:customStyle="1" w:styleId="apple-converted-space">
    <w:name w:val="apple-converted-space"/>
    <w:basedOn w:val="Fontepargpadro"/>
    <w:rsid w:val="00AF6B07"/>
  </w:style>
  <w:style w:type="paragraph" w:customStyle="1" w:styleId="BNDES">
    <w:name w:val="BNDES"/>
    <w:basedOn w:val="Normal"/>
    <w:rsid w:val="00AF6B07"/>
    <w:rPr>
      <w:rFonts w:ascii="Cambria Math" w:hAnsi="Cambria Math"/>
    </w:rPr>
  </w:style>
  <w:style w:type="paragraph" w:styleId="Commarcadores">
    <w:name w:val="List Bullet"/>
    <w:basedOn w:val="Normal"/>
    <w:uiPriority w:val="99"/>
    <w:unhideWhenUsed/>
    <w:rsid w:val="00AF6B07"/>
    <w:pPr>
      <w:numPr>
        <w:numId w:val="1"/>
      </w:numPr>
      <w:contextualSpacing/>
    </w:pPr>
  </w:style>
  <w:style w:type="paragraph" w:styleId="SemEspaamento">
    <w:name w:val="No Spacing"/>
    <w:uiPriority w:val="1"/>
    <w:qFormat/>
    <w:rsid w:val="00AF6B07"/>
    <w:pPr>
      <w:widowControl/>
      <w:autoSpaceDE/>
      <w:autoSpaceDN/>
    </w:pPr>
    <w:rPr>
      <w:rFonts w:ascii="Times New Roman" w:eastAsia="Times New Roman" w:hAnsi="Times New Roman" w:cs="Times New Roman"/>
      <w:sz w:val="24"/>
      <w:szCs w:val="24"/>
      <w:lang w:val="pt-BR" w:eastAsia="pt-BR"/>
    </w:rPr>
  </w:style>
  <w:style w:type="paragraph" w:customStyle="1" w:styleId="FCD">
    <w:name w:val="FCD"/>
    <w:basedOn w:val="Normal"/>
    <w:uiPriority w:val="99"/>
    <w:qFormat/>
    <w:rsid w:val="00AF6B07"/>
    <w:pPr>
      <w:spacing w:line="312" w:lineRule="auto"/>
    </w:pPr>
    <w:rPr>
      <w:rFonts w:eastAsia="Cambria"/>
      <w:lang w:eastAsia="en-US"/>
    </w:rPr>
  </w:style>
  <w:style w:type="paragraph" w:customStyle="1" w:styleId="Normal7">
    <w:name w:val="Normal_7"/>
    <w:qFormat/>
    <w:rsid w:val="00AF6B07"/>
    <w:pPr>
      <w:widowControl/>
      <w:autoSpaceDE/>
      <w:autoSpaceDN/>
      <w:spacing w:before="100" w:beforeAutospacing="1" w:after="100" w:afterAutospacing="1"/>
    </w:pPr>
    <w:rPr>
      <w:rFonts w:ascii="Cambria Math" w:eastAsia="Cambria Math" w:hAnsi="Cambria Math" w:cs="Times New Roman"/>
    </w:rPr>
  </w:style>
  <w:style w:type="paragraph" w:customStyle="1" w:styleId="xdefault">
    <w:name w:val="x_default"/>
    <w:basedOn w:val="Normal"/>
    <w:rsid w:val="00AF6B07"/>
    <w:pPr>
      <w:spacing w:before="100" w:beforeAutospacing="1" w:after="100" w:afterAutospacing="1"/>
    </w:pPr>
  </w:style>
  <w:style w:type="paragraph" w:customStyle="1" w:styleId="xmsonormal">
    <w:name w:val="x_msonormal"/>
    <w:basedOn w:val="Normal"/>
    <w:rsid w:val="00AF6B07"/>
    <w:pPr>
      <w:spacing w:before="100" w:beforeAutospacing="1" w:after="100" w:afterAutospacing="1"/>
    </w:pPr>
  </w:style>
  <w:style w:type="paragraph" w:customStyle="1" w:styleId="ListParagraph0">
    <w:name w:val="List Paragraph_0"/>
    <w:basedOn w:val="Normal"/>
    <w:link w:val="PargrafodaListaChar0"/>
    <w:uiPriority w:val="34"/>
    <w:qFormat/>
    <w:rsid w:val="00AF6B07"/>
    <w:pPr>
      <w:spacing w:before="100" w:beforeAutospacing="1" w:after="100" w:afterAutospacing="1" w:line="276" w:lineRule="auto"/>
      <w:ind w:left="720"/>
      <w:contextualSpacing/>
    </w:pPr>
    <w:rPr>
      <w:rFonts w:ascii="Cambria Math" w:eastAsia="Cambria Math" w:hAnsi="Cambria Math" w:cs="Cambria Math"/>
      <w:lang w:val="en-US" w:eastAsia="en-US"/>
    </w:rPr>
  </w:style>
  <w:style w:type="character" w:customStyle="1" w:styleId="PargrafodaListaChar0">
    <w:name w:val="Parágrafo da Lista Char_0"/>
    <w:link w:val="ListParagraph0"/>
    <w:uiPriority w:val="34"/>
    <w:locked/>
    <w:rsid w:val="00AF6B07"/>
    <w:rPr>
      <w:rFonts w:ascii="Cambria Math" w:eastAsia="Cambria Math" w:hAnsi="Cambria Math" w:cs="Cambria Math"/>
      <w:szCs w:val="24"/>
    </w:rPr>
  </w:style>
  <w:style w:type="paragraph" w:customStyle="1" w:styleId="xmsobodytext">
    <w:name w:val="x_msobodytext"/>
    <w:basedOn w:val="Normal"/>
    <w:rsid w:val="00AF6B07"/>
    <w:pPr>
      <w:spacing w:before="100" w:beforeAutospacing="1" w:after="100" w:afterAutospacing="1"/>
    </w:pPr>
  </w:style>
  <w:style w:type="paragraph" w:customStyle="1" w:styleId="Normal0">
    <w:name w:val="Normal_0"/>
    <w:qFormat/>
    <w:rsid w:val="00AF6B07"/>
    <w:pPr>
      <w:widowControl/>
      <w:autoSpaceDE/>
      <w:autoSpaceDN/>
    </w:pPr>
    <w:rPr>
      <w:rFonts w:ascii="@PMingLiU" w:eastAsia="Times New Roman" w:hAnsi="@PMingLiU" w:cs="Times New Roman"/>
      <w:szCs w:val="20"/>
      <w:lang w:val="pt-BR" w:eastAsia="pt-BR"/>
    </w:rPr>
  </w:style>
  <w:style w:type="paragraph" w:styleId="Subttulo">
    <w:name w:val="Subtitle"/>
    <w:aliases w:val="Subtítulo DF"/>
    <w:basedOn w:val="Normal"/>
    <w:next w:val="Normal"/>
    <w:link w:val="SubttuloChar"/>
    <w:qFormat/>
    <w:rsid w:val="00AF6B07"/>
    <w:pPr>
      <w:spacing w:after="60"/>
      <w:jc w:val="center"/>
      <w:outlineLvl w:val="1"/>
    </w:pPr>
    <w:rPr>
      <w:rFonts w:asciiTheme="majorHAnsi" w:eastAsiaTheme="majorEastAsia" w:hAnsiTheme="majorHAnsi" w:cstheme="majorBidi"/>
    </w:rPr>
  </w:style>
  <w:style w:type="character" w:customStyle="1" w:styleId="SubttuloChar">
    <w:name w:val="Subtítulo Char"/>
    <w:aliases w:val="Subtítulo DF Char"/>
    <w:basedOn w:val="Fontepargpadro"/>
    <w:link w:val="Subttulo"/>
    <w:rsid w:val="00AF6B07"/>
    <w:rPr>
      <w:rFonts w:asciiTheme="majorHAnsi" w:eastAsiaTheme="majorEastAsia" w:hAnsiTheme="majorHAnsi" w:cstheme="majorBidi"/>
      <w:szCs w:val="24"/>
      <w:lang w:val="pt-BR" w:eastAsia="pt-BR"/>
    </w:rPr>
  </w:style>
  <w:style w:type="character" w:customStyle="1" w:styleId="PargrafodaListaChar">
    <w:name w:val="Parágrafo da Lista Char"/>
    <w:aliases w:val="Párrafo de lista numerado Char,Normal numerado Char,Lista Numerada Char,Subsubtítulo Char,Marcadores Char,paragrafo 3 Char,Quadros-Tabelas Char,Titulo 3 Char,Corpo do Texto CB Char,Lista Colorida - Ênfase 11 Char"/>
    <w:link w:val="PargrafodaLista"/>
    <w:uiPriority w:val="34"/>
    <w:qFormat/>
    <w:rsid w:val="00AF6B07"/>
    <w:rPr>
      <w:rFonts w:ascii="Verdana" w:eastAsia="Times New Roman" w:hAnsi="Verdana" w:cs="Times New Roman"/>
      <w:szCs w:val="24"/>
      <w:lang w:val="pt-BR" w:eastAsia="pt-BR"/>
    </w:rPr>
  </w:style>
  <w:style w:type="paragraph" w:customStyle="1" w:styleId="xmsolistparagraph">
    <w:name w:val="x_msolistparagraph"/>
    <w:basedOn w:val="Normal"/>
    <w:rsid w:val="00AF6B07"/>
    <w:pPr>
      <w:spacing w:before="100" w:beforeAutospacing="1" w:after="100" w:afterAutospacing="1"/>
    </w:pPr>
  </w:style>
  <w:style w:type="paragraph" w:customStyle="1" w:styleId="gmail-msolistparagraph">
    <w:name w:val="gmail-msolistparagraph"/>
    <w:basedOn w:val="Normal"/>
    <w:rsid w:val="00AF6B07"/>
    <w:pPr>
      <w:spacing w:before="100" w:beforeAutospacing="1" w:after="100" w:afterAutospacing="1"/>
    </w:pPr>
    <w:rPr>
      <w:rFonts w:eastAsiaTheme="minorHAnsi"/>
      <w:lang w:val="en-US" w:eastAsia="en-US"/>
    </w:rPr>
  </w:style>
  <w:style w:type="paragraph" w:styleId="Encerramento">
    <w:name w:val="Closing"/>
    <w:basedOn w:val="Normal"/>
    <w:link w:val="EncerramentoChar"/>
    <w:rsid w:val="00AF6B07"/>
    <w:pPr>
      <w:ind w:left="4252"/>
    </w:pPr>
    <w:rPr>
      <w:sz w:val="20"/>
      <w:szCs w:val="20"/>
    </w:rPr>
  </w:style>
  <w:style w:type="character" w:customStyle="1" w:styleId="EncerramentoChar">
    <w:name w:val="Encerramento Char"/>
    <w:basedOn w:val="Fontepargpadro"/>
    <w:link w:val="Encerramento"/>
    <w:rsid w:val="00AF6B07"/>
    <w:rPr>
      <w:rFonts w:ascii="Verdana" w:eastAsia="Times New Roman" w:hAnsi="Verdana" w:cs="Times New Roman"/>
      <w:sz w:val="20"/>
      <w:szCs w:val="20"/>
      <w:lang w:val="pt-BR" w:eastAsia="pt-BR"/>
    </w:rPr>
  </w:style>
  <w:style w:type="paragraph" w:styleId="CabealhodoSumrio">
    <w:name w:val="TOC Heading"/>
    <w:basedOn w:val="Ttulo1"/>
    <w:next w:val="Normal"/>
    <w:uiPriority w:val="39"/>
    <w:semiHidden/>
    <w:unhideWhenUsed/>
    <w:qFormat/>
    <w:rsid w:val="00AF6B07"/>
    <w:pPr>
      <w:keepNext/>
      <w:keepLines/>
      <w:spacing w:before="48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Sumrio1">
    <w:name w:val="toc 1"/>
    <w:basedOn w:val="Normal"/>
    <w:next w:val="Normal"/>
    <w:autoRedefine/>
    <w:uiPriority w:val="39"/>
    <w:rsid w:val="00AF6B07"/>
    <w:pPr>
      <w:spacing w:after="100"/>
    </w:pPr>
  </w:style>
  <w:style w:type="paragraph" w:styleId="Sumrio2">
    <w:name w:val="toc 2"/>
    <w:basedOn w:val="Normal"/>
    <w:next w:val="Normal"/>
    <w:autoRedefine/>
    <w:uiPriority w:val="39"/>
    <w:rsid w:val="00AF6B07"/>
    <w:pPr>
      <w:spacing w:after="100"/>
      <w:ind w:left="240"/>
    </w:pPr>
  </w:style>
  <w:style w:type="paragraph" w:styleId="Sumrio3">
    <w:name w:val="toc 3"/>
    <w:basedOn w:val="Normal"/>
    <w:next w:val="Normal"/>
    <w:autoRedefine/>
    <w:uiPriority w:val="39"/>
    <w:rsid w:val="00AF6B07"/>
    <w:pPr>
      <w:spacing w:after="100"/>
      <w:ind w:left="480"/>
    </w:pPr>
  </w:style>
  <w:style w:type="paragraph" w:styleId="Sumrio4">
    <w:name w:val="toc 4"/>
    <w:basedOn w:val="Normal"/>
    <w:next w:val="Normal"/>
    <w:autoRedefine/>
    <w:uiPriority w:val="39"/>
    <w:unhideWhenUsed/>
    <w:rsid w:val="00AF6B07"/>
    <w:pPr>
      <w:spacing w:after="100" w:line="276" w:lineRule="auto"/>
      <w:ind w:left="660"/>
    </w:pPr>
    <w:rPr>
      <w:rFonts w:asciiTheme="minorHAnsi" w:eastAsiaTheme="minorEastAsia" w:hAnsiTheme="minorHAnsi" w:cstheme="minorBidi"/>
    </w:rPr>
  </w:style>
  <w:style w:type="paragraph" w:styleId="Sumrio5">
    <w:name w:val="toc 5"/>
    <w:basedOn w:val="Normal"/>
    <w:next w:val="Normal"/>
    <w:autoRedefine/>
    <w:uiPriority w:val="39"/>
    <w:unhideWhenUsed/>
    <w:rsid w:val="00AF6B07"/>
    <w:pPr>
      <w:spacing w:after="100" w:line="276" w:lineRule="auto"/>
      <w:ind w:left="880"/>
    </w:pPr>
    <w:rPr>
      <w:rFonts w:asciiTheme="minorHAnsi" w:eastAsiaTheme="minorEastAsia" w:hAnsiTheme="minorHAnsi" w:cstheme="minorBidi"/>
    </w:rPr>
  </w:style>
  <w:style w:type="paragraph" w:styleId="Sumrio6">
    <w:name w:val="toc 6"/>
    <w:basedOn w:val="Normal"/>
    <w:next w:val="Normal"/>
    <w:autoRedefine/>
    <w:uiPriority w:val="39"/>
    <w:unhideWhenUsed/>
    <w:rsid w:val="00AF6B07"/>
    <w:pPr>
      <w:spacing w:after="100" w:line="276" w:lineRule="auto"/>
      <w:ind w:left="1100"/>
    </w:pPr>
    <w:rPr>
      <w:rFonts w:asciiTheme="minorHAnsi" w:eastAsiaTheme="minorEastAsia" w:hAnsiTheme="minorHAnsi" w:cstheme="minorBidi"/>
    </w:rPr>
  </w:style>
  <w:style w:type="paragraph" w:styleId="Sumrio7">
    <w:name w:val="toc 7"/>
    <w:basedOn w:val="Normal"/>
    <w:next w:val="Normal"/>
    <w:autoRedefine/>
    <w:uiPriority w:val="39"/>
    <w:unhideWhenUsed/>
    <w:rsid w:val="00AF6B07"/>
    <w:pPr>
      <w:spacing w:after="100" w:line="276" w:lineRule="auto"/>
      <w:ind w:left="1320"/>
    </w:pPr>
    <w:rPr>
      <w:rFonts w:asciiTheme="minorHAnsi" w:eastAsiaTheme="minorEastAsia" w:hAnsiTheme="minorHAnsi" w:cstheme="minorBidi"/>
    </w:rPr>
  </w:style>
  <w:style w:type="paragraph" w:styleId="Sumrio8">
    <w:name w:val="toc 8"/>
    <w:basedOn w:val="Normal"/>
    <w:next w:val="Normal"/>
    <w:autoRedefine/>
    <w:uiPriority w:val="39"/>
    <w:unhideWhenUsed/>
    <w:rsid w:val="00AF6B07"/>
    <w:pPr>
      <w:spacing w:after="100" w:line="276" w:lineRule="auto"/>
      <w:ind w:left="1540"/>
    </w:pPr>
    <w:rPr>
      <w:rFonts w:asciiTheme="minorHAnsi" w:eastAsiaTheme="minorEastAsia" w:hAnsiTheme="minorHAnsi" w:cstheme="minorBidi"/>
    </w:rPr>
  </w:style>
  <w:style w:type="paragraph" w:styleId="Sumrio9">
    <w:name w:val="toc 9"/>
    <w:basedOn w:val="Normal"/>
    <w:next w:val="Normal"/>
    <w:autoRedefine/>
    <w:uiPriority w:val="39"/>
    <w:unhideWhenUsed/>
    <w:rsid w:val="00AF6B07"/>
    <w:pPr>
      <w:spacing w:after="100" w:line="276" w:lineRule="auto"/>
      <w:ind w:left="1760"/>
    </w:pPr>
    <w:rPr>
      <w:rFonts w:asciiTheme="minorHAnsi" w:eastAsiaTheme="minorEastAsia" w:hAnsiTheme="minorHAnsi" w:cstheme="minorBidi"/>
    </w:rPr>
  </w:style>
  <w:style w:type="paragraph" w:customStyle="1" w:styleId="Normal60">
    <w:name w:val="Normal_6_0"/>
    <w:qFormat/>
    <w:rsid w:val="00083D0D"/>
    <w:pPr>
      <w:widowControl/>
      <w:autoSpaceDE/>
      <w:autoSpaceDN/>
      <w:spacing w:before="100" w:beforeAutospacing="1" w:after="100" w:afterAutospacing="1"/>
    </w:pPr>
    <w:rPr>
      <w:rFonts w:ascii="Cambria Math" w:eastAsia="Cambria Math" w:hAnsi="Cambria Math" w:cs="Times New Roman"/>
    </w:rPr>
  </w:style>
  <w:style w:type="paragraph" w:customStyle="1" w:styleId="Normal01">
    <w:name w:val="Normal_0_1"/>
    <w:qFormat/>
    <w:rsid w:val="00FF4169"/>
    <w:pPr>
      <w:widowControl/>
      <w:autoSpaceDE/>
      <w:autoSpaceDN/>
    </w:pPr>
    <w:rPr>
      <w:rFonts w:ascii="@PMingLiU" w:eastAsia="Times New Roman" w:hAnsi="@PMingLiU" w:cs="Times New Roman"/>
      <w:szCs w:val="20"/>
      <w:lang w:val="pt-BR" w:eastAsia="pt-BR"/>
    </w:rPr>
  </w:style>
  <w:style w:type="paragraph" w:styleId="Primeirorecuodecorpodetexto">
    <w:name w:val="Body Text First Indent"/>
    <w:basedOn w:val="Corpodetexto"/>
    <w:link w:val="PrimeirorecuodecorpodetextoChar"/>
    <w:uiPriority w:val="99"/>
    <w:semiHidden/>
    <w:unhideWhenUsed/>
    <w:rsid w:val="00EC6E50"/>
    <w:pPr>
      <w:tabs>
        <w:tab w:val="clear" w:pos="567"/>
        <w:tab w:val="clear" w:pos="1134"/>
        <w:tab w:val="clear" w:pos="1701"/>
        <w:tab w:val="clear" w:pos="2268"/>
        <w:tab w:val="clear" w:pos="2835"/>
      </w:tabs>
      <w:ind w:firstLine="360"/>
    </w:pPr>
    <w:rPr>
      <w:sz w:val="22"/>
      <w:szCs w:val="24"/>
      <w:lang w:val="pt-BR"/>
    </w:rPr>
  </w:style>
  <w:style w:type="character" w:customStyle="1" w:styleId="PrimeirorecuodecorpodetextoChar">
    <w:name w:val="Primeiro recuo de corpo de texto Char"/>
    <w:basedOn w:val="CorpodetextoChar"/>
    <w:link w:val="Primeirorecuodecorpodetexto"/>
    <w:uiPriority w:val="99"/>
    <w:semiHidden/>
    <w:rsid w:val="00EC6E50"/>
    <w:rPr>
      <w:rFonts w:ascii="Verdana" w:eastAsia="Times New Roman" w:hAnsi="Verdana" w:cs="Times New Roman"/>
      <w:sz w:val="20"/>
      <w:szCs w:val="24"/>
      <w:lang w:val="pt-BR" w:eastAsia="pt-BR"/>
    </w:rPr>
  </w:style>
  <w:style w:type="numbering" w:customStyle="1" w:styleId="Estilo1">
    <w:name w:val="Estilo1"/>
    <w:uiPriority w:val="99"/>
    <w:rsid w:val="004623D3"/>
    <w:pPr>
      <w:numPr>
        <w:numId w:val="2"/>
      </w:numPr>
    </w:pPr>
  </w:style>
  <w:style w:type="paragraph" w:customStyle="1" w:styleId="Normal6">
    <w:name w:val="Normal_6"/>
    <w:qFormat/>
    <w:rsid w:val="00951617"/>
    <w:pPr>
      <w:widowControl/>
      <w:autoSpaceDE/>
      <w:autoSpaceDN/>
      <w:spacing w:before="100" w:beforeAutospacing="1" w:after="100" w:afterAutospacing="1"/>
    </w:pPr>
    <w:rPr>
      <w:rFonts w:ascii="Cambria Math" w:eastAsia="Cambria Math" w:hAnsi="Cambria Math" w:cs="Times New Roman"/>
    </w:rPr>
  </w:style>
  <w:style w:type="paragraph" w:customStyle="1" w:styleId="Bodycopy2009">
    <w:name w:val="(Body copy) 2009"/>
    <w:basedOn w:val="Normal"/>
    <w:uiPriority w:val="2"/>
    <w:qFormat/>
    <w:rsid w:val="00FC42E1"/>
    <w:pPr>
      <w:spacing w:after="240" w:line="280" w:lineRule="exact"/>
      <w:jc w:val="left"/>
    </w:pPr>
    <w:rPr>
      <w:rFonts w:ascii="Verdana" w:eastAsia="Cambria Math" w:hAnsi="Verdana"/>
      <w:sz w:val="24"/>
      <w:szCs w:val="22"/>
      <w:lang w:val="en-US" w:eastAsia="en-US"/>
    </w:rPr>
  </w:style>
  <w:style w:type="paragraph" w:customStyle="1" w:styleId="111">
    <w:name w:val="_1.1.1."/>
    <w:qFormat/>
    <w:rsid w:val="00552187"/>
    <w:pPr>
      <w:widowControl/>
      <w:autoSpaceDE/>
      <w:autoSpaceDN/>
      <w:spacing w:before="320" w:after="160" w:line="259" w:lineRule="auto"/>
      <w:outlineLvl w:val="2"/>
    </w:pPr>
    <w:rPr>
      <w:rFonts w:eastAsia="Times New Roman" w:cs="Times New Roman"/>
      <w:color w:val="4BACC6" w:themeColor="accent5"/>
      <w:sz w:val="28"/>
      <w:szCs w:val="32"/>
      <w:lang w:val="pt-BR"/>
    </w:rPr>
  </w:style>
  <w:style w:type="numbering" w:customStyle="1" w:styleId="Style1">
    <w:name w:val="Style1"/>
    <w:uiPriority w:val="99"/>
    <w:rsid w:val="00AA7EBC"/>
    <w:pPr>
      <w:numPr>
        <w:numId w:val="3"/>
      </w:numPr>
    </w:pPr>
  </w:style>
  <w:style w:type="numbering" w:customStyle="1" w:styleId="Style2">
    <w:name w:val="Style2"/>
    <w:uiPriority w:val="99"/>
    <w:rsid w:val="00AA7EBC"/>
    <w:pPr>
      <w:numPr>
        <w:numId w:val="4"/>
      </w:numPr>
    </w:pPr>
  </w:style>
  <w:style w:type="paragraph" w:customStyle="1" w:styleId="yiv6459758197msolistparagraph">
    <w:name w:val="yiv6459758197msolistparagraph"/>
    <w:basedOn w:val="Normal"/>
    <w:rsid w:val="00BA405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91">
      <w:bodyDiv w:val="1"/>
      <w:marLeft w:val="0"/>
      <w:marRight w:val="0"/>
      <w:marTop w:val="0"/>
      <w:marBottom w:val="0"/>
      <w:divBdr>
        <w:top w:val="none" w:sz="0" w:space="0" w:color="auto"/>
        <w:left w:val="none" w:sz="0" w:space="0" w:color="auto"/>
        <w:bottom w:val="none" w:sz="0" w:space="0" w:color="auto"/>
        <w:right w:val="none" w:sz="0" w:space="0" w:color="auto"/>
      </w:divBdr>
    </w:div>
    <w:div w:id="3217496">
      <w:bodyDiv w:val="1"/>
      <w:marLeft w:val="0"/>
      <w:marRight w:val="0"/>
      <w:marTop w:val="0"/>
      <w:marBottom w:val="0"/>
      <w:divBdr>
        <w:top w:val="none" w:sz="0" w:space="0" w:color="auto"/>
        <w:left w:val="none" w:sz="0" w:space="0" w:color="auto"/>
        <w:bottom w:val="none" w:sz="0" w:space="0" w:color="auto"/>
        <w:right w:val="none" w:sz="0" w:space="0" w:color="auto"/>
      </w:divBdr>
    </w:div>
    <w:div w:id="4982149">
      <w:bodyDiv w:val="1"/>
      <w:marLeft w:val="0"/>
      <w:marRight w:val="0"/>
      <w:marTop w:val="0"/>
      <w:marBottom w:val="0"/>
      <w:divBdr>
        <w:top w:val="none" w:sz="0" w:space="0" w:color="auto"/>
        <w:left w:val="none" w:sz="0" w:space="0" w:color="auto"/>
        <w:bottom w:val="none" w:sz="0" w:space="0" w:color="auto"/>
        <w:right w:val="none" w:sz="0" w:space="0" w:color="auto"/>
      </w:divBdr>
    </w:div>
    <w:div w:id="5520804">
      <w:bodyDiv w:val="1"/>
      <w:marLeft w:val="0"/>
      <w:marRight w:val="0"/>
      <w:marTop w:val="0"/>
      <w:marBottom w:val="0"/>
      <w:divBdr>
        <w:top w:val="none" w:sz="0" w:space="0" w:color="auto"/>
        <w:left w:val="none" w:sz="0" w:space="0" w:color="auto"/>
        <w:bottom w:val="none" w:sz="0" w:space="0" w:color="auto"/>
        <w:right w:val="none" w:sz="0" w:space="0" w:color="auto"/>
      </w:divBdr>
    </w:div>
    <w:div w:id="8680352">
      <w:bodyDiv w:val="1"/>
      <w:marLeft w:val="0"/>
      <w:marRight w:val="0"/>
      <w:marTop w:val="0"/>
      <w:marBottom w:val="0"/>
      <w:divBdr>
        <w:top w:val="none" w:sz="0" w:space="0" w:color="auto"/>
        <w:left w:val="none" w:sz="0" w:space="0" w:color="auto"/>
        <w:bottom w:val="none" w:sz="0" w:space="0" w:color="auto"/>
        <w:right w:val="none" w:sz="0" w:space="0" w:color="auto"/>
      </w:divBdr>
    </w:div>
    <w:div w:id="10881638">
      <w:bodyDiv w:val="1"/>
      <w:marLeft w:val="0"/>
      <w:marRight w:val="0"/>
      <w:marTop w:val="0"/>
      <w:marBottom w:val="0"/>
      <w:divBdr>
        <w:top w:val="none" w:sz="0" w:space="0" w:color="auto"/>
        <w:left w:val="none" w:sz="0" w:space="0" w:color="auto"/>
        <w:bottom w:val="none" w:sz="0" w:space="0" w:color="auto"/>
        <w:right w:val="none" w:sz="0" w:space="0" w:color="auto"/>
      </w:divBdr>
    </w:div>
    <w:div w:id="13121296">
      <w:bodyDiv w:val="1"/>
      <w:marLeft w:val="0"/>
      <w:marRight w:val="0"/>
      <w:marTop w:val="0"/>
      <w:marBottom w:val="0"/>
      <w:divBdr>
        <w:top w:val="none" w:sz="0" w:space="0" w:color="auto"/>
        <w:left w:val="none" w:sz="0" w:space="0" w:color="auto"/>
        <w:bottom w:val="none" w:sz="0" w:space="0" w:color="auto"/>
        <w:right w:val="none" w:sz="0" w:space="0" w:color="auto"/>
      </w:divBdr>
    </w:div>
    <w:div w:id="13924832">
      <w:bodyDiv w:val="1"/>
      <w:marLeft w:val="0"/>
      <w:marRight w:val="0"/>
      <w:marTop w:val="0"/>
      <w:marBottom w:val="0"/>
      <w:divBdr>
        <w:top w:val="none" w:sz="0" w:space="0" w:color="auto"/>
        <w:left w:val="none" w:sz="0" w:space="0" w:color="auto"/>
        <w:bottom w:val="none" w:sz="0" w:space="0" w:color="auto"/>
        <w:right w:val="none" w:sz="0" w:space="0" w:color="auto"/>
      </w:divBdr>
    </w:div>
    <w:div w:id="14038262">
      <w:bodyDiv w:val="1"/>
      <w:marLeft w:val="0"/>
      <w:marRight w:val="0"/>
      <w:marTop w:val="0"/>
      <w:marBottom w:val="0"/>
      <w:divBdr>
        <w:top w:val="none" w:sz="0" w:space="0" w:color="auto"/>
        <w:left w:val="none" w:sz="0" w:space="0" w:color="auto"/>
        <w:bottom w:val="none" w:sz="0" w:space="0" w:color="auto"/>
        <w:right w:val="none" w:sz="0" w:space="0" w:color="auto"/>
      </w:divBdr>
    </w:div>
    <w:div w:id="14384807">
      <w:bodyDiv w:val="1"/>
      <w:marLeft w:val="0"/>
      <w:marRight w:val="0"/>
      <w:marTop w:val="0"/>
      <w:marBottom w:val="0"/>
      <w:divBdr>
        <w:top w:val="none" w:sz="0" w:space="0" w:color="auto"/>
        <w:left w:val="none" w:sz="0" w:space="0" w:color="auto"/>
        <w:bottom w:val="none" w:sz="0" w:space="0" w:color="auto"/>
        <w:right w:val="none" w:sz="0" w:space="0" w:color="auto"/>
      </w:divBdr>
    </w:div>
    <w:div w:id="15860071">
      <w:bodyDiv w:val="1"/>
      <w:marLeft w:val="0"/>
      <w:marRight w:val="0"/>
      <w:marTop w:val="0"/>
      <w:marBottom w:val="0"/>
      <w:divBdr>
        <w:top w:val="none" w:sz="0" w:space="0" w:color="auto"/>
        <w:left w:val="none" w:sz="0" w:space="0" w:color="auto"/>
        <w:bottom w:val="none" w:sz="0" w:space="0" w:color="auto"/>
        <w:right w:val="none" w:sz="0" w:space="0" w:color="auto"/>
      </w:divBdr>
    </w:div>
    <w:div w:id="16153282">
      <w:bodyDiv w:val="1"/>
      <w:marLeft w:val="0"/>
      <w:marRight w:val="0"/>
      <w:marTop w:val="0"/>
      <w:marBottom w:val="0"/>
      <w:divBdr>
        <w:top w:val="none" w:sz="0" w:space="0" w:color="auto"/>
        <w:left w:val="none" w:sz="0" w:space="0" w:color="auto"/>
        <w:bottom w:val="none" w:sz="0" w:space="0" w:color="auto"/>
        <w:right w:val="none" w:sz="0" w:space="0" w:color="auto"/>
      </w:divBdr>
      <w:divsChild>
        <w:div w:id="2101483158">
          <w:marLeft w:val="0"/>
          <w:marRight w:val="0"/>
          <w:marTop w:val="0"/>
          <w:marBottom w:val="0"/>
          <w:divBdr>
            <w:top w:val="none" w:sz="0" w:space="0" w:color="auto"/>
            <w:left w:val="none" w:sz="0" w:space="0" w:color="auto"/>
            <w:bottom w:val="none" w:sz="0" w:space="0" w:color="auto"/>
            <w:right w:val="none" w:sz="0" w:space="0" w:color="auto"/>
          </w:divBdr>
        </w:div>
      </w:divsChild>
    </w:div>
    <w:div w:id="17246100">
      <w:bodyDiv w:val="1"/>
      <w:marLeft w:val="0"/>
      <w:marRight w:val="0"/>
      <w:marTop w:val="0"/>
      <w:marBottom w:val="0"/>
      <w:divBdr>
        <w:top w:val="none" w:sz="0" w:space="0" w:color="auto"/>
        <w:left w:val="none" w:sz="0" w:space="0" w:color="auto"/>
        <w:bottom w:val="none" w:sz="0" w:space="0" w:color="auto"/>
        <w:right w:val="none" w:sz="0" w:space="0" w:color="auto"/>
      </w:divBdr>
    </w:div>
    <w:div w:id="18285424">
      <w:bodyDiv w:val="1"/>
      <w:marLeft w:val="0"/>
      <w:marRight w:val="0"/>
      <w:marTop w:val="0"/>
      <w:marBottom w:val="0"/>
      <w:divBdr>
        <w:top w:val="none" w:sz="0" w:space="0" w:color="auto"/>
        <w:left w:val="none" w:sz="0" w:space="0" w:color="auto"/>
        <w:bottom w:val="none" w:sz="0" w:space="0" w:color="auto"/>
        <w:right w:val="none" w:sz="0" w:space="0" w:color="auto"/>
      </w:divBdr>
    </w:div>
    <w:div w:id="19823651">
      <w:bodyDiv w:val="1"/>
      <w:marLeft w:val="0"/>
      <w:marRight w:val="0"/>
      <w:marTop w:val="0"/>
      <w:marBottom w:val="0"/>
      <w:divBdr>
        <w:top w:val="none" w:sz="0" w:space="0" w:color="auto"/>
        <w:left w:val="none" w:sz="0" w:space="0" w:color="auto"/>
        <w:bottom w:val="none" w:sz="0" w:space="0" w:color="auto"/>
        <w:right w:val="none" w:sz="0" w:space="0" w:color="auto"/>
      </w:divBdr>
    </w:div>
    <w:div w:id="21980819">
      <w:bodyDiv w:val="1"/>
      <w:marLeft w:val="0"/>
      <w:marRight w:val="0"/>
      <w:marTop w:val="0"/>
      <w:marBottom w:val="0"/>
      <w:divBdr>
        <w:top w:val="none" w:sz="0" w:space="0" w:color="auto"/>
        <w:left w:val="none" w:sz="0" w:space="0" w:color="auto"/>
        <w:bottom w:val="none" w:sz="0" w:space="0" w:color="auto"/>
        <w:right w:val="none" w:sz="0" w:space="0" w:color="auto"/>
      </w:divBdr>
    </w:div>
    <w:div w:id="23872244">
      <w:bodyDiv w:val="1"/>
      <w:marLeft w:val="0"/>
      <w:marRight w:val="0"/>
      <w:marTop w:val="0"/>
      <w:marBottom w:val="0"/>
      <w:divBdr>
        <w:top w:val="none" w:sz="0" w:space="0" w:color="auto"/>
        <w:left w:val="none" w:sz="0" w:space="0" w:color="auto"/>
        <w:bottom w:val="none" w:sz="0" w:space="0" w:color="auto"/>
        <w:right w:val="none" w:sz="0" w:space="0" w:color="auto"/>
      </w:divBdr>
    </w:div>
    <w:div w:id="24721025">
      <w:bodyDiv w:val="1"/>
      <w:marLeft w:val="0"/>
      <w:marRight w:val="0"/>
      <w:marTop w:val="0"/>
      <w:marBottom w:val="0"/>
      <w:divBdr>
        <w:top w:val="none" w:sz="0" w:space="0" w:color="auto"/>
        <w:left w:val="none" w:sz="0" w:space="0" w:color="auto"/>
        <w:bottom w:val="none" w:sz="0" w:space="0" w:color="auto"/>
        <w:right w:val="none" w:sz="0" w:space="0" w:color="auto"/>
      </w:divBdr>
    </w:div>
    <w:div w:id="26102167">
      <w:bodyDiv w:val="1"/>
      <w:marLeft w:val="0"/>
      <w:marRight w:val="0"/>
      <w:marTop w:val="0"/>
      <w:marBottom w:val="0"/>
      <w:divBdr>
        <w:top w:val="none" w:sz="0" w:space="0" w:color="auto"/>
        <w:left w:val="none" w:sz="0" w:space="0" w:color="auto"/>
        <w:bottom w:val="none" w:sz="0" w:space="0" w:color="auto"/>
        <w:right w:val="none" w:sz="0" w:space="0" w:color="auto"/>
      </w:divBdr>
    </w:div>
    <w:div w:id="26610042">
      <w:bodyDiv w:val="1"/>
      <w:marLeft w:val="0"/>
      <w:marRight w:val="0"/>
      <w:marTop w:val="0"/>
      <w:marBottom w:val="0"/>
      <w:divBdr>
        <w:top w:val="none" w:sz="0" w:space="0" w:color="auto"/>
        <w:left w:val="none" w:sz="0" w:space="0" w:color="auto"/>
        <w:bottom w:val="none" w:sz="0" w:space="0" w:color="auto"/>
        <w:right w:val="none" w:sz="0" w:space="0" w:color="auto"/>
      </w:divBdr>
    </w:div>
    <w:div w:id="28603154">
      <w:bodyDiv w:val="1"/>
      <w:marLeft w:val="0"/>
      <w:marRight w:val="0"/>
      <w:marTop w:val="0"/>
      <w:marBottom w:val="0"/>
      <w:divBdr>
        <w:top w:val="none" w:sz="0" w:space="0" w:color="auto"/>
        <w:left w:val="none" w:sz="0" w:space="0" w:color="auto"/>
        <w:bottom w:val="none" w:sz="0" w:space="0" w:color="auto"/>
        <w:right w:val="none" w:sz="0" w:space="0" w:color="auto"/>
      </w:divBdr>
    </w:div>
    <w:div w:id="33770510">
      <w:bodyDiv w:val="1"/>
      <w:marLeft w:val="0"/>
      <w:marRight w:val="0"/>
      <w:marTop w:val="0"/>
      <w:marBottom w:val="0"/>
      <w:divBdr>
        <w:top w:val="none" w:sz="0" w:space="0" w:color="auto"/>
        <w:left w:val="none" w:sz="0" w:space="0" w:color="auto"/>
        <w:bottom w:val="none" w:sz="0" w:space="0" w:color="auto"/>
        <w:right w:val="none" w:sz="0" w:space="0" w:color="auto"/>
      </w:divBdr>
    </w:div>
    <w:div w:id="34627353">
      <w:bodyDiv w:val="1"/>
      <w:marLeft w:val="0"/>
      <w:marRight w:val="0"/>
      <w:marTop w:val="0"/>
      <w:marBottom w:val="0"/>
      <w:divBdr>
        <w:top w:val="none" w:sz="0" w:space="0" w:color="auto"/>
        <w:left w:val="none" w:sz="0" w:space="0" w:color="auto"/>
        <w:bottom w:val="none" w:sz="0" w:space="0" w:color="auto"/>
        <w:right w:val="none" w:sz="0" w:space="0" w:color="auto"/>
      </w:divBdr>
    </w:div>
    <w:div w:id="36004352">
      <w:bodyDiv w:val="1"/>
      <w:marLeft w:val="0"/>
      <w:marRight w:val="0"/>
      <w:marTop w:val="0"/>
      <w:marBottom w:val="0"/>
      <w:divBdr>
        <w:top w:val="none" w:sz="0" w:space="0" w:color="auto"/>
        <w:left w:val="none" w:sz="0" w:space="0" w:color="auto"/>
        <w:bottom w:val="none" w:sz="0" w:space="0" w:color="auto"/>
        <w:right w:val="none" w:sz="0" w:space="0" w:color="auto"/>
      </w:divBdr>
    </w:div>
    <w:div w:id="36515852">
      <w:bodyDiv w:val="1"/>
      <w:marLeft w:val="0"/>
      <w:marRight w:val="0"/>
      <w:marTop w:val="0"/>
      <w:marBottom w:val="0"/>
      <w:divBdr>
        <w:top w:val="none" w:sz="0" w:space="0" w:color="auto"/>
        <w:left w:val="none" w:sz="0" w:space="0" w:color="auto"/>
        <w:bottom w:val="none" w:sz="0" w:space="0" w:color="auto"/>
        <w:right w:val="none" w:sz="0" w:space="0" w:color="auto"/>
      </w:divBdr>
    </w:div>
    <w:div w:id="36778664">
      <w:bodyDiv w:val="1"/>
      <w:marLeft w:val="0"/>
      <w:marRight w:val="0"/>
      <w:marTop w:val="0"/>
      <w:marBottom w:val="0"/>
      <w:divBdr>
        <w:top w:val="none" w:sz="0" w:space="0" w:color="auto"/>
        <w:left w:val="none" w:sz="0" w:space="0" w:color="auto"/>
        <w:bottom w:val="none" w:sz="0" w:space="0" w:color="auto"/>
        <w:right w:val="none" w:sz="0" w:space="0" w:color="auto"/>
      </w:divBdr>
    </w:div>
    <w:div w:id="38627889">
      <w:bodyDiv w:val="1"/>
      <w:marLeft w:val="0"/>
      <w:marRight w:val="0"/>
      <w:marTop w:val="0"/>
      <w:marBottom w:val="0"/>
      <w:divBdr>
        <w:top w:val="none" w:sz="0" w:space="0" w:color="auto"/>
        <w:left w:val="none" w:sz="0" w:space="0" w:color="auto"/>
        <w:bottom w:val="none" w:sz="0" w:space="0" w:color="auto"/>
        <w:right w:val="none" w:sz="0" w:space="0" w:color="auto"/>
      </w:divBdr>
    </w:div>
    <w:div w:id="39595480">
      <w:bodyDiv w:val="1"/>
      <w:marLeft w:val="0"/>
      <w:marRight w:val="0"/>
      <w:marTop w:val="0"/>
      <w:marBottom w:val="0"/>
      <w:divBdr>
        <w:top w:val="none" w:sz="0" w:space="0" w:color="auto"/>
        <w:left w:val="none" w:sz="0" w:space="0" w:color="auto"/>
        <w:bottom w:val="none" w:sz="0" w:space="0" w:color="auto"/>
        <w:right w:val="none" w:sz="0" w:space="0" w:color="auto"/>
      </w:divBdr>
    </w:div>
    <w:div w:id="42946755">
      <w:bodyDiv w:val="1"/>
      <w:marLeft w:val="0"/>
      <w:marRight w:val="0"/>
      <w:marTop w:val="0"/>
      <w:marBottom w:val="0"/>
      <w:divBdr>
        <w:top w:val="none" w:sz="0" w:space="0" w:color="auto"/>
        <w:left w:val="none" w:sz="0" w:space="0" w:color="auto"/>
        <w:bottom w:val="none" w:sz="0" w:space="0" w:color="auto"/>
        <w:right w:val="none" w:sz="0" w:space="0" w:color="auto"/>
      </w:divBdr>
    </w:div>
    <w:div w:id="43410785">
      <w:bodyDiv w:val="1"/>
      <w:marLeft w:val="0"/>
      <w:marRight w:val="0"/>
      <w:marTop w:val="0"/>
      <w:marBottom w:val="0"/>
      <w:divBdr>
        <w:top w:val="none" w:sz="0" w:space="0" w:color="auto"/>
        <w:left w:val="none" w:sz="0" w:space="0" w:color="auto"/>
        <w:bottom w:val="none" w:sz="0" w:space="0" w:color="auto"/>
        <w:right w:val="none" w:sz="0" w:space="0" w:color="auto"/>
      </w:divBdr>
    </w:div>
    <w:div w:id="44380581">
      <w:bodyDiv w:val="1"/>
      <w:marLeft w:val="0"/>
      <w:marRight w:val="0"/>
      <w:marTop w:val="0"/>
      <w:marBottom w:val="0"/>
      <w:divBdr>
        <w:top w:val="none" w:sz="0" w:space="0" w:color="auto"/>
        <w:left w:val="none" w:sz="0" w:space="0" w:color="auto"/>
        <w:bottom w:val="none" w:sz="0" w:space="0" w:color="auto"/>
        <w:right w:val="none" w:sz="0" w:space="0" w:color="auto"/>
      </w:divBdr>
    </w:div>
    <w:div w:id="44719016">
      <w:bodyDiv w:val="1"/>
      <w:marLeft w:val="0"/>
      <w:marRight w:val="0"/>
      <w:marTop w:val="0"/>
      <w:marBottom w:val="0"/>
      <w:divBdr>
        <w:top w:val="none" w:sz="0" w:space="0" w:color="auto"/>
        <w:left w:val="none" w:sz="0" w:space="0" w:color="auto"/>
        <w:bottom w:val="none" w:sz="0" w:space="0" w:color="auto"/>
        <w:right w:val="none" w:sz="0" w:space="0" w:color="auto"/>
      </w:divBdr>
    </w:div>
    <w:div w:id="50465807">
      <w:bodyDiv w:val="1"/>
      <w:marLeft w:val="0"/>
      <w:marRight w:val="0"/>
      <w:marTop w:val="0"/>
      <w:marBottom w:val="0"/>
      <w:divBdr>
        <w:top w:val="none" w:sz="0" w:space="0" w:color="auto"/>
        <w:left w:val="none" w:sz="0" w:space="0" w:color="auto"/>
        <w:bottom w:val="none" w:sz="0" w:space="0" w:color="auto"/>
        <w:right w:val="none" w:sz="0" w:space="0" w:color="auto"/>
      </w:divBdr>
    </w:div>
    <w:div w:id="52317487">
      <w:bodyDiv w:val="1"/>
      <w:marLeft w:val="0"/>
      <w:marRight w:val="0"/>
      <w:marTop w:val="0"/>
      <w:marBottom w:val="0"/>
      <w:divBdr>
        <w:top w:val="none" w:sz="0" w:space="0" w:color="auto"/>
        <w:left w:val="none" w:sz="0" w:space="0" w:color="auto"/>
        <w:bottom w:val="none" w:sz="0" w:space="0" w:color="auto"/>
        <w:right w:val="none" w:sz="0" w:space="0" w:color="auto"/>
      </w:divBdr>
      <w:divsChild>
        <w:div w:id="1678920072">
          <w:marLeft w:val="0"/>
          <w:marRight w:val="0"/>
          <w:marTop w:val="0"/>
          <w:marBottom w:val="0"/>
          <w:divBdr>
            <w:top w:val="none" w:sz="0" w:space="0" w:color="auto"/>
            <w:left w:val="none" w:sz="0" w:space="0" w:color="auto"/>
            <w:bottom w:val="none" w:sz="0" w:space="0" w:color="auto"/>
            <w:right w:val="none" w:sz="0" w:space="0" w:color="auto"/>
          </w:divBdr>
        </w:div>
      </w:divsChild>
    </w:div>
    <w:div w:id="54593419">
      <w:bodyDiv w:val="1"/>
      <w:marLeft w:val="0"/>
      <w:marRight w:val="0"/>
      <w:marTop w:val="0"/>
      <w:marBottom w:val="0"/>
      <w:divBdr>
        <w:top w:val="none" w:sz="0" w:space="0" w:color="auto"/>
        <w:left w:val="none" w:sz="0" w:space="0" w:color="auto"/>
        <w:bottom w:val="none" w:sz="0" w:space="0" w:color="auto"/>
        <w:right w:val="none" w:sz="0" w:space="0" w:color="auto"/>
      </w:divBdr>
    </w:div>
    <w:div w:id="57557883">
      <w:bodyDiv w:val="1"/>
      <w:marLeft w:val="0"/>
      <w:marRight w:val="0"/>
      <w:marTop w:val="0"/>
      <w:marBottom w:val="0"/>
      <w:divBdr>
        <w:top w:val="none" w:sz="0" w:space="0" w:color="auto"/>
        <w:left w:val="none" w:sz="0" w:space="0" w:color="auto"/>
        <w:bottom w:val="none" w:sz="0" w:space="0" w:color="auto"/>
        <w:right w:val="none" w:sz="0" w:space="0" w:color="auto"/>
      </w:divBdr>
    </w:div>
    <w:div w:id="61681486">
      <w:bodyDiv w:val="1"/>
      <w:marLeft w:val="0"/>
      <w:marRight w:val="0"/>
      <w:marTop w:val="0"/>
      <w:marBottom w:val="0"/>
      <w:divBdr>
        <w:top w:val="none" w:sz="0" w:space="0" w:color="auto"/>
        <w:left w:val="none" w:sz="0" w:space="0" w:color="auto"/>
        <w:bottom w:val="none" w:sz="0" w:space="0" w:color="auto"/>
        <w:right w:val="none" w:sz="0" w:space="0" w:color="auto"/>
      </w:divBdr>
    </w:div>
    <w:div w:id="62139600">
      <w:bodyDiv w:val="1"/>
      <w:marLeft w:val="0"/>
      <w:marRight w:val="0"/>
      <w:marTop w:val="0"/>
      <w:marBottom w:val="0"/>
      <w:divBdr>
        <w:top w:val="none" w:sz="0" w:space="0" w:color="auto"/>
        <w:left w:val="none" w:sz="0" w:space="0" w:color="auto"/>
        <w:bottom w:val="none" w:sz="0" w:space="0" w:color="auto"/>
        <w:right w:val="none" w:sz="0" w:space="0" w:color="auto"/>
      </w:divBdr>
    </w:div>
    <w:div w:id="69079366">
      <w:bodyDiv w:val="1"/>
      <w:marLeft w:val="0"/>
      <w:marRight w:val="0"/>
      <w:marTop w:val="0"/>
      <w:marBottom w:val="0"/>
      <w:divBdr>
        <w:top w:val="none" w:sz="0" w:space="0" w:color="auto"/>
        <w:left w:val="none" w:sz="0" w:space="0" w:color="auto"/>
        <w:bottom w:val="none" w:sz="0" w:space="0" w:color="auto"/>
        <w:right w:val="none" w:sz="0" w:space="0" w:color="auto"/>
      </w:divBdr>
    </w:div>
    <w:div w:id="70395199">
      <w:bodyDiv w:val="1"/>
      <w:marLeft w:val="0"/>
      <w:marRight w:val="0"/>
      <w:marTop w:val="0"/>
      <w:marBottom w:val="0"/>
      <w:divBdr>
        <w:top w:val="none" w:sz="0" w:space="0" w:color="auto"/>
        <w:left w:val="none" w:sz="0" w:space="0" w:color="auto"/>
        <w:bottom w:val="none" w:sz="0" w:space="0" w:color="auto"/>
        <w:right w:val="none" w:sz="0" w:space="0" w:color="auto"/>
      </w:divBdr>
    </w:div>
    <w:div w:id="76102400">
      <w:bodyDiv w:val="1"/>
      <w:marLeft w:val="0"/>
      <w:marRight w:val="0"/>
      <w:marTop w:val="0"/>
      <w:marBottom w:val="0"/>
      <w:divBdr>
        <w:top w:val="none" w:sz="0" w:space="0" w:color="auto"/>
        <w:left w:val="none" w:sz="0" w:space="0" w:color="auto"/>
        <w:bottom w:val="none" w:sz="0" w:space="0" w:color="auto"/>
        <w:right w:val="none" w:sz="0" w:space="0" w:color="auto"/>
      </w:divBdr>
    </w:div>
    <w:div w:id="76682101">
      <w:bodyDiv w:val="1"/>
      <w:marLeft w:val="0"/>
      <w:marRight w:val="0"/>
      <w:marTop w:val="0"/>
      <w:marBottom w:val="0"/>
      <w:divBdr>
        <w:top w:val="none" w:sz="0" w:space="0" w:color="auto"/>
        <w:left w:val="none" w:sz="0" w:space="0" w:color="auto"/>
        <w:bottom w:val="none" w:sz="0" w:space="0" w:color="auto"/>
        <w:right w:val="none" w:sz="0" w:space="0" w:color="auto"/>
      </w:divBdr>
    </w:div>
    <w:div w:id="77752597">
      <w:bodyDiv w:val="1"/>
      <w:marLeft w:val="0"/>
      <w:marRight w:val="0"/>
      <w:marTop w:val="0"/>
      <w:marBottom w:val="0"/>
      <w:divBdr>
        <w:top w:val="none" w:sz="0" w:space="0" w:color="auto"/>
        <w:left w:val="none" w:sz="0" w:space="0" w:color="auto"/>
        <w:bottom w:val="none" w:sz="0" w:space="0" w:color="auto"/>
        <w:right w:val="none" w:sz="0" w:space="0" w:color="auto"/>
      </w:divBdr>
    </w:div>
    <w:div w:id="77793422">
      <w:bodyDiv w:val="1"/>
      <w:marLeft w:val="0"/>
      <w:marRight w:val="0"/>
      <w:marTop w:val="0"/>
      <w:marBottom w:val="0"/>
      <w:divBdr>
        <w:top w:val="none" w:sz="0" w:space="0" w:color="auto"/>
        <w:left w:val="none" w:sz="0" w:space="0" w:color="auto"/>
        <w:bottom w:val="none" w:sz="0" w:space="0" w:color="auto"/>
        <w:right w:val="none" w:sz="0" w:space="0" w:color="auto"/>
      </w:divBdr>
    </w:div>
    <w:div w:id="79369873">
      <w:bodyDiv w:val="1"/>
      <w:marLeft w:val="0"/>
      <w:marRight w:val="0"/>
      <w:marTop w:val="0"/>
      <w:marBottom w:val="0"/>
      <w:divBdr>
        <w:top w:val="none" w:sz="0" w:space="0" w:color="auto"/>
        <w:left w:val="none" w:sz="0" w:space="0" w:color="auto"/>
        <w:bottom w:val="none" w:sz="0" w:space="0" w:color="auto"/>
        <w:right w:val="none" w:sz="0" w:space="0" w:color="auto"/>
      </w:divBdr>
    </w:div>
    <w:div w:id="79454474">
      <w:bodyDiv w:val="1"/>
      <w:marLeft w:val="0"/>
      <w:marRight w:val="0"/>
      <w:marTop w:val="0"/>
      <w:marBottom w:val="0"/>
      <w:divBdr>
        <w:top w:val="none" w:sz="0" w:space="0" w:color="auto"/>
        <w:left w:val="none" w:sz="0" w:space="0" w:color="auto"/>
        <w:bottom w:val="none" w:sz="0" w:space="0" w:color="auto"/>
        <w:right w:val="none" w:sz="0" w:space="0" w:color="auto"/>
      </w:divBdr>
    </w:div>
    <w:div w:id="84306109">
      <w:bodyDiv w:val="1"/>
      <w:marLeft w:val="0"/>
      <w:marRight w:val="0"/>
      <w:marTop w:val="0"/>
      <w:marBottom w:val="0"/>
      <w:divBdr>
        <w:top w:val="none" w:sz="0" w:space="0" w:color="auto"/>
        <w:left w:val="none" w:sz="0" w:space="0" w:color="auto"/>
        <w:bottom w:val="none" w:sz="0" w:space="0" w:color="auto"/>
        <w:right w:val="none" w:sz="0" w:space="0" w:color="auto"/>
      </w:divBdr>
    </w:div>
    <w:div w:id="85352068">
      <w:bodyDiv w:val="1"/>
      <w:marLeft w:val="0"/>
      <w:marRight w:val="0"/>
      <w:marTop w:val="0"/>
      <w:marBottom w:val="0"/>
      <w:divBdr>
        <w:top w:val="none" w:sz="0" w:space="0" w:color="auto"/>
        <w:left w:val="none" w:sz="0" w:space="0" w:color="auto"/>
        <w:bottom w:val="none" w:sz="0" w:space="0" w:color="auto"/>
        <w:right w:val="none" w:sz="0" w:space="0" w:color="auto"/>
      </w:divBdr>
    </w:div>
    <w:div w:id="86266810">
      <w:bodyDiv w:val="1"/>
      <w:marLeft w:val="0"/>
      <w:marRight w:val="0"/>
      <w:marTop w:val="0"/>
      <w:marBottom w:val="0"/>
      <w:divBdr>
        <w:top w:val="none" w:sz="0" w:space="0" w:color="auto"/>
        <w:left w:val="none" w:sz="0" w:space="0" w:color="auto"/>
        <w:bottom w:val="none" w:sz="0" w:space="0" w:color="auto"/>
        <w:right w:val="none" w:sz="0" w:space="0" w:color="auto"/>
      </w:divBdr>
    </w:div>
    <w:div w:id="87233096">
      <w:bodyDiv w:val="1"/>
      <w:marLeft w:val="0"/>
      <w:marRight w:val="0"/>
      <w:marTop w:val="0"/>
      <w:marBottom w:val="0"/>
      <w:divBdr>
        <w:top w:val="none" w:sz="0" w:space="0" w:color="auto"/>
        <w:left w:val="none" w:sz="0" w:space="0" w:color="auto"/>
        <w:bottom w:val="none" w:sz="0" w:space="0" w:color="auto"/>
        <w:right w:val="none" w:sz="0" w:space="0" w:color="auto"/>
      </w:divBdr>
    </w:div>
    <w:div w:id="87774237">
      <w:bodyDiv w:val="1"/>
      <w:marLeft w:val="0"/>
      <w:marRight w:val="0"/>
      <w:marTop w:val="0"/>
      <w:marBottom w:val="0"/>
      <w:divBdr>
        <w:top w:val="none" w:sz="0" w:space="0" w:color="auto"/>
        <w:left w:val="none" w:sz="0" w:space="0" w:color="auto"/>
        <w:bottom w:val="none" w:sz="0" w:space="0" w:color="auto"/>
        <w:right w:val="none" w:sz="0" w:space="0" w:color="auto"/>
      </w:divBdr>
    </w:div>
    <w:div w:id="89157351">
      <w:bodyDiv w:val="1"/>
      <w:marLeft w:val="0"/>
      <w:marRight w:val="0"/>
      <w:marTop w:val="0"/>
      <w:marBottom w:val="0"/>
      <w:divBdr>
        <w:top w:val="none" w:sz="0" w:space="0" w:color="auto"/>
        <w:left w:val="none" w:sz="0" w:space="0" w:color="auto"/>
        <w:bottom w:val="none" w:sz="0" w:space="0" w:color="auto"/>
        <w:right w:val="none" w:sz="0" w:space="0" w:color="auto"/>
      </w:divBdr>
    </w:div>
    <w:div w:id="90901602">
      <w:bodyDiv w:val="1"/>
      <w:marLeft w:val="0"/>
      <w:marRight w:val="0"/>
      <w:marTop w:val="0"/>
      <w:marBottom w:val="0"/>
      <w:divBdr>
        <w:top w:val="none" w:sz="0" w:space="0" w:color="auto"/>
        <w:left w:val="none" w:sz="0" w:space="0" w:color="auto"/>
        <w:bottom w:val="none" w:sz="0" w:space="0" w:color="auto"/>
        <w:right w:val="none" w:sz="0" w:space="0" w:color="auto"/>
      </w:divBdr>
    </w:div>
    <w:div w:id="90977750">
      <w:bodyDiv w:val="1"/>
      <w:marLeft w:val="0"/>
      <w:marRight w:val="0"/>
      <w:marTop w:val="0"/>
      <w:marBottom w:val="0"/>
      <w:divBdr>
        <w:top w:val="none" w:sz="0" w:space="0" w:color="auto"/>
        <w:left w:val="none" w:sz="0" w:space="0" w:color="auto"/>
        <w:bottom w:val="none" w:sz="0" w:space="0" w:color="auto"/>
        <w:right w:val="none" w:sz="0" w:space="0" w:color="auto"/>
      </w:divBdr>
    </w:div>
    <w:div w:id="91364866">
      <w:bodyDiv w:val="1"/>
      <w:marLeft w:val="0"/>
      <w:marRight w:val="0"/>
      <w:marTop w:val="0"/>
      <w:marBottom w:val="0"/>
      <w:divBdr>
        <w:top w:val="none" w:sz="0" w:space="0" w:color="auto"/>
        <w:left w:val="none" w:sz="0" w:space="0" w:color="auto"/>
        <w:bottom w:val="none" w:sz="0" w:space="0" w:color="auto"/>
        <w:right w:val="none" w:sz="0" w:space="0" w:color="auto"/>
      </w:divBdr>
    </w:div>
    <w:div w:id="91511821">
      <w:bodyDiv w:val="1"/>
      <w:marLeft w:val="0"/>
      <w:marRight w:val="0"/>
      <w:marTop w:val="0"/>
      <w:marBottom w:val="0"/>
      <w:divBdr>
        <w:top w:val="none" w:sz="0" w:space="0" w:color="auto"/>
        <w:left w:val="none" w:sz="0" w:space="0" w:color="auto"/>
        <w:bottom w:val="none" w:sz="0" w:space="0" w:color="auto"/>
        <w:right w:val="none" w:sz="0" w:space="0" w:color="auto"/>
      </w:divBdr>
    </w:div>
    <w:div w:id="93331252">
      <w:bodyDiv w:val="1"/>
      <w:marLeft w:val="0"/>
      <w:marRight w:val="0"/>
      <w:marTop w:val="0"/>
      <w:marBottom w:val="0"/>
      <w:divBdr>
        <w:top w:val="none" w:sz="0" w:space="0" w:color="auto"/>
        <w:left w:val="none" w:sz="0" w:space="0" w:color="auto"/>
        <w:bottom w:val="none" w:sz="0" w:space="0" w:color="auto"/>
        <w:right w:val="none" w:sz="0" w:space="0" w:color="auto"/>
      </w:divBdr>
    </w:div>
    <w:div w:id="93526345">
      <w:bodyDiv w:val="1"/>
      <w:marLeft w:val="0"/>
      <w:marRight w:val="0"/>
      <w:marTop w:val="0"/>
      <w:marBottom w:val="0"/>
      <w:divBdr>
        <w:top w:val="none" w:sz="0" w:space="0" w:color="auto"/>
        <w:left w:val="none" w:sz="0" w:space="0" w:color="auto"/>
        <w:bottom w:val="none" w:sz="0" w:space="0" w:color="auto"/>
        <w:right w:val="none" w:sz="0" w:space="0" w:color="auto"/>
      </w:divBdr>
    </w:div>
    <w:div w:id="96025377">
      <w:bodyDiv w:val="1"/>
      <w:marLeft w:val="0"/>
      <w:marRight w:val="0"/>
      <w:marTop w:val="0"/>
      <w:marBottom w:val="0"/>
      <w:divBdr>
        <w:top w:val="none" w:sz="0" w:space="0" w:color="auto"/>
        <w:left w:val="none" w:sz="0" w:space="0" w:color="auto"/>
        <w:bottom w:val="none" w:sz="0" w:space="0" w:color="auto"/>
        <w:right w:val="none" w:sz="0" w:space="0" w:color="auto"/>
      </w:divBdr>
    </w:div>
    <w:div w:id="96096850">
      <w:bodyDiv w:val="1"/>
      <w:marLeft w:val="0"/>
      <w:marRight w:val="0"/>
      <w:marTop w:val="0"/>
      <w:marBottom w:val="0"/>
      <w:divBdr>
        <w:top w:val="none" w:sz="0" w:space="0" w:color="auto"/>
        <w:left w:val="none" w:sz="0" w:space="0" w:color="auto"/>
        <w:bottom w:val="none" w:sz="0" w:space="0" w:color="auto"/>
        <w:right w:val="none" w:sz="0" w:space="0" w:color="auto"/>
      </w:divBdr>
    </w:div>
    <w:div w:id="96104756">
      <w:bodyDiv w:val="1"/>
      <w:marLeft w:val="0"/>
      <w:marRight w:val="0"/>
      <w:marTop w:val="0"/>
      <w:marBottom w:val="0"/>
      <w:divBdr>
        <w:top w:val="none" w:sz="0" w:space="0" w:color="auto"/>
        <w:left w:val="none" w:sz="0" w:space="0" w:color="auto"/>
        <w:bottom w:val="none" w:sz="0" w:space="0" w:color="auto"/>
        <w:right w:val="none" w:sz="0" w:space="0" w:color="auto"/>
      </w:divBdr>
    </w:div>
    <w:div w:id="96563039">
      <w:bodyDiv w:val="1"/>
      <w:marLeft w:val="0"/>
      <w:marRight w:val="0"/>
      <w:marTop w:val="0"/>
      <w:marBottom w:val="0"/>
      <w:divBdr>
        <w:top w:val="none" w:sz="0" w:space="0" w:color="auto"/>
        <w:left w:val="none" w:sz="0" w:space="0" w:color="auto"/>
        <w:bottom w:val="none" w:sz="0" w:space="0" w:color="auto"/>
        <w:right w:val="none" w:sz="0" w:space="0" w:color="auto"/>
      </w:divBdr>
    </w:div>
    <w:div w:id="96608432">
      <w:bodyDiv w:val="1"/>
      <w:marLeft w:val="0"/>
      <w:marRight w:val="0"/>
      <w:marTop w:val="0"/>
      <w:marBottom w:val="0"/>
      <w:divBdr>
        <w:top w:val="none" w:sz="0" w:space="0" w:color="auto"/>
        <w:left w:val="none" w:sz="0" w:space="0" w:color="auto"/>
        <w:bottom w:val="none" w:sz="0" w:space="0" w:color="auto"/>
        <w:right w:val="none" w:sz="0" w:space="0" w:color="auto"/>
      </w:divBdr>
    </w:div>
    <w:div w:id="96876617">
      <w:bodyDiv w:val="1"/>
      <w:marLeft w:val="0"/>
      <w:marRight w:val="0"/>
      <w:marTop w:val="0"/>
      <w:marBottom w:val="0"/>
      <w:divBdr>
        <w:top w:val="none" w:sz="0" w:space="0" w:color="auto"/>
        <w:left w:val="none" w:sz="0" w:space="0" w:color="auto"/>
        <w:bottom w:val="none" w:sz="0" w:space="0" w:color="auto"/>
        <w:right w:val="none" w:sz="0" w:space="0" w:color="auto"/>
      </w:divBdr>
    </w:div>
    <w:div w:id="98374903">
      <w:bodyDiv w:val="1"/>
      <w:marLeft w:val="0"/>
      <w:marRight w:val="0"/>
      <w:marTop w:val="0"/>
      <w:marBottom w:val="0"/>
      <w:divBdr>
        <w:top w:val="none" w:sz="0" w:space="0" w:color="auto"/>
        <w:left w:val="none" w:sz="0" w:space="0" w:color="auto"/>
        <w:bottom w:val="none" w:sz="0" w:space="0" w:color="auto"/>
        <w:right w:val="none" w:sz="0" w:space="0" w:color="auto"/>
      </w:divBdr>
    </w:div>
    <w:div w:id="98919501">
      <w:bodyDiv w:val="1"/>
      <w:marLeft w:val="0"/>
      <w:marRight w:val="0"/>
      <w:marTop w:val="0"/>
      <w:marBottom w:val="0"/>
      <w:divBdr>
        <w:top w:val="none" w:sz="0" w:space="0" w:color="auto"/>
        <w:left w:val="none" w:sz="0" w:space="0" w:color="auto"/>
        <w:bottom w:val="none" w:sz="0" w:space="0" w:color="auto"/>
        <w:right w:val="none" w:sz="0" w:space="0" w:color="auto"/>
      </w:divBdr>
    </w:div>
    <w:div w:id="99574759">
      <w:bodyDiv w:val="1"/>
      <w:marLeft w:val="0"/>
      <w:marRight w:val="0"/>
      <w:marTop w:val="0"/>
      <w:marBottom w:val="0"/>
      <w:divBdr>
        <w:top w:val="none" w:sz="0" w:space="0" w:color="auto"/>
        <w:left w:val="none" w:sz="0" w:space="0" w:color="auto"/>
        <w:bottom w:val="none" w:sz="0" w:space="0" w:color="auto"/>
        <w:right w:val="none" w:sz="0" w:space="0" w:color="auto"/>
      </w:divBdr>
    </w:div>
    <w:div w:id="100271708">
      <w:bodyDiv w:val="1"/>
      <w:marLeft w:val="0"/>
      <w:marRight w:val="0"/>
      <w:marTop w:val="0"/>
      <w:marBottom w:val="0"/>
      <w:divBdr>
        <w:top w:val="none" w:sz="0" w:space="0" w:color="auto"/>
        <w:left w:val="none" w:sz="0" w:space="0" w:color="auto"/>
        <w:bottom w:val="none" w:sz="0" w:space="0" w:color="auto"/>
        <w:right w:val="none" w:sz="0" w:space="0" w:color="auto"/>
      </w:divBdr>
    </w:div>
    <w:div w:id="103113038">
      <w:bodyDiv w:val="1"/>
      <w:marLeft w:val="0"/>
      <w:marRight w:val="0"/>
      <w:marTop w:val="0"/>
      <w:marBottom w:val="0"/>
      <w:divBdr>
        <w:top w:val="none" w:sz="0" w:space="0" w:color="auto"/>
        <w:left w:val="none" w:sz="0" w:space="0" w:color="auto"/>
        <w:bottom w:val="none" w:sz="0" w:space="0" w:color="auto"/>
        <w:right w:val="none" w:sz="0" w:space="0" w:color="auto"/>
      </w:divBdr>
    </w:div>
    <w:div w:id="103312981">
      <w:bodyDiv w:val="1"/>
      <w:marLeft w:val="0"/>
      <w:marRight w:val="0"/>
      <w:marTop w:val="0"/>
      <w:marBottom w:val="0"/>
      <w:divBdr>
        <w:top w:val="none" w:sz="0" w:space="0" w:color="auto"/>
        <w:left w:val="none" w:sz="0" w:space="0" w:color="auto"/>
        <w:bottom w:val="none" w:sz="0" w:space="0" w:color="auto"/>
        <w:right w:val="none" w:sz="0" w:space="0" w:color="auto"/>
      </w:divBdr>
    </w:div>
    <w:div w:id="103892165">
      <w:bodyDiv w:val="1"/>
      <w:marLeft w:val="0"/>
      <w:marRight w:val="0"/>
      <w:marTop w:val="0"/>
      <w:marBottom w:val="0"/>
      <w:divBdr>
        <w:top w:val="none" w:sz="0" w:space="0" w:color="auto"/>
        <w:left w:val="none" w:sz="0" w:space="0" w:color="auto"/>
        <w:bottom w:val="none" w:sz="0" w:space="0" w:color="auto"/>
        <w:right w:val="none" w:sz="0" w:space="0" w:color="auto"/>
      </w:divBdr>
    </w:div>
    <w:div w:id="106629275">
      <w:bodyDiv w:val="1"/>
      <w:marLeft w:val="0"/>
      <w:marRight w:val="0"/>
      <w:marTop w:val="0"/>
      <w:marBottom w:val="0"/>
      <w:divBdr>
        <w:top w:val="none" w:sz="0" w:space="0" w:color="auto"/>
        <w:left w:val="none" w:sz="0" w:space="0" w:color="auto"/>
        <w:bottom w:val="none" w:sz="0" w:space="0" w:color="auto"/>
        <w:right w:val="none" w:sz="0" w:space="0" w:color="auto"/>
      </w:divBdr>
    </w:div>
    <w:div w:id="106968252">
      <w:bodyDiv w:val="1"/>
      <w:marLeft w:val="0"/>
      <w:marRight w:val="0"/>
      <w:marTop w:val="0"/>
      <w:marBottom w:val="0"/>
      <w:divBdr>
        <w:top w:val="none" w:sz="0" w:space="0" w:color="auto"/>
        <w:left w:val="none" w:sz="0" w:space="0" w:color="auto"/>
        <w:bottom w:val="none" w:sz="0" w:space="0" w:color="auto"/>
        <w:right w:val="none" w:sz="0" w:space="0" w:color="auto"/>
      </w:divBdr>
    </w:div>
    <w:div w:id="112091478">
      <w:bodyDiv w:val="1"/>
      <w:marLeft w:val="0"/>
      <w:marRight w:val="0"/>
      <w:marTop w:val="0"/>
      <w:marBottom w:val="0"/>
      <w:divBdr>
        <w:top w:val="none" w:sz="0" w:space="0" w:color="auto"/>
        <w:left w:val="none" w:sz="0" w:space="0" w:color="auto"/>
        <w:bottom w:val="none" w:sz="0" w:space="0" w:color="auto"/>
        <w:right w:val="none" w:sz="0" w:space="0" w:color="auto"/>
      </w:divBdr>
    </w:div>
    <w:div w:id="112486218">
      <w:bodyDiv w:val="1"/>
      <w:marLeft w:val="0"/>
      <w:marRight w:val="0"/>
      <w:marTop w:val="0"/>
      <w:marBottom w:val="0"/>
      <w:divBdr>
        <w:top w:val="none" w:sz="0" w:space="0" w:color="auto"/>
        <w:left w:val="none" w:sz="0" w:space="0" w:color="auto"/>
        <w:bottom w:val="none" w:sz="0" w:space="0" w:color="auto"/>
        <w:right w:val="none" w:sz="0" w:space="0" w:color="auto"/>
      </w:divBdr>
    </w:div>
    <w:div w:id="112602318">
      <w:bodyDiv w:val="1"/>
      <w:marLeft w:val="0"/>
      <w:marRight w:val="0"/>
      <w:marTop w:val="0"/>
      <w:marBottom w:val="0"/>
      <w:divBdr>
        <w:top w:val="none" w:sz="0" w:space="0" w:color="auto"/>
        <w:left w:val="none" w:sz="0" w:space="0" w:color="auto"/>
        <w:bottom w:val="none" w:sz="0" w:space="0" w:color="auto"/>
        <w:right w:val="none" w:sz="0" w:space="0" w:color="auto"/>
      </w:divBdr>
    </w:div>
    <w:div w:id="118111830">
      <w:bodyDiv w:val="1"/>
      <w:marLeft w:val="0"/>
      <w:marRight w:val="0"/>
      <w:marTop w:val="0"/>
      <w:marBottom w:val="0"/>
      <w:divBdr>
        <w:top w:val="none" w:sz="0" w:space="0" w:color="auto"/>
        <w:left w:val="none" w:sz="0" w:space="0" w:color="auto"/>
        <w:bottom w:val="none" w:sz="0" w:space="0" w:color="auto"/>
        <w:right w:val="none" w:sz="0" w:space="0" w:color="auto"/>
      </w:divBdr>
    </w:div>
    <w:div w:id="121853957">
      <w:bodyDiv w:val="1"/>
      <w:marLeft w:val="0"/>
      <w:marRight w:val="0"/>
      <w:marTop w:val="0"/>
      <w:marBottom w:val="0"/>
      <w:divBdr>
        <w:top w:val="none" w:sz="0" w:space="0" w:color="auto"/>
        <w:left w:val="none" w:sz="0" w:space="0" w:color="auto"/>
        <w:bottom w:val="none" w:sz="0" w:space="0" w:color="auto"/>
        <w:right w:val="none" w:sz="0" w:space="0" w:color="auto"/>
      </w:divBdr>
    </w:div>
    <w:div w:id="124585835">
      <w:bodyDiv w:val="1"/>
      <w:marLeft w:val="0"/>
      <w:marRight w:val="0"/>
      <w:marTop w:val="0"/>
      <w:marBottom w:val="0"/>
      <w:divBdr>
        <w:top w:val="none" w:sz="0" w:space="0" w:color="auto"/>
        <w:left w:val="none" w:sz="0" w:space="0" w:color="auto"/>
        <w:bottom w:val="none" w:sz="0" w:space="0" w:color="auto"/>
        <w:right w:val="none" w:sz="0" w:space="0" w:color="auto"/>
      </w:divBdr>
    </w:div>
    <w:div w:id="124592378">
      <w:bodyDiv w:val="1"/>
      <w:marLeft w:val="0"/>
      <w:marRight w:val="0"/>
      <w:marTop w:val="0"/>
      <w:marBottom w:val="0"/>
      <w:divBdr>
        <w:top w:val="none" w:sz="0" w:space="0" w:color="auto"/>
        <w:left w:val="none" w:sz="0" w:space="0" w:color="auto"/>
        <w:bottom w:val="none" w:sz="0" w:space="0" w:color="auto"/>
        <w:right w:val="none" w:sz="0" w:space="0" w:color="auto"/>
      </w:divBdr>
    </w:div>
    <w:div w:id="129443408">
      <w:bodyDiv w:val="1"/>
      <w:marLeft w:val="0"/>
      <w:marRight w:val="0"/>
      <w:marTop w:val="0"/>
      <w:marBottom w:val="0"/>
      <w:divBdr>
        <w:top w:val="none" w:sz="0" w:space="0" w:color="auto"/>
        <w:left w:val="none" w:sz="0" w:space="0" w:color="auto"/>
        <w:bottom w:val="none" w:sz="0" w:space="0" w:color="auto"/>
        <w:right w:val="none" w:sz="0" w:space="0" w:color="auto"/>
      </w:divBdr>
    </w:div>
    <w:div w:id="131682753">
      <w:bodyDiv w:val="1"/>
      <w:marLeft w:val="0"/>
      <w:marRight w:val="0"/>
      <w:marTop w:val="0"/>
      <w:marBottom w:val="0"/>
      <w:divBdr>
        <w:top w:val="none" w:sz="0" w:space="0" w:color="auto"/>
        <w:left w:val="none" w:sz="0" w:space="0" w:color="auto"/>
        <w:bottom w:val="none" w:sz="0" w:space="0" w:color="auto"/>
        <w:right w:val="none" w:sz="0" w:space="0" w:color="auto"/>
      </w:divBdr>
    </w:div>
    <w:div w:id="132213426">
      <w:bodyDiv w:val="1"/>
      <w:marLeft w:val="0"/>
      <w:marRight w:val="0"/>
      <w:marTop w:val="0"/>
      <w:marBottom w:val="0"/>
      <w:divBdr>
        <w:top w:val="none" w:sz="0" w:space="0" w:color="auto"/>
        <w:left w:val="none" w:sz="0" w:space="0" w:color="auto"/>
        <w:bottom w:val="none" w:sz="0" w:space="0" w:color="auto"/>
        <w:right w:val="none" w:sz="0" w:space="0" w:color="auto"/>
      </w:divBdr>
    </w:div>
    <w:div w:id="132985117">
      <w:bodyDiv w:val="1"/>
      <w:marLeft w:val="0"/>
      <w:marRight w:val="0"/>
      <w:marTop w:val="0"/>
      <w:marBottom w:val="0"/>
      <w:divBdr>
        <w:top w:val="none" w:sz="0" w:space="0" w:color="auto"/>
        <w:left w:val="none" w:sz="0" w:space="0" w:color="auto"/>
        <w:bottom w:val="none" w:sz="0" w:space="0" w:color="auto"/>
        <w:right w:val="none" w:sz="0" w:space="0" w:color="auto"/>
      </w:divBdr>
    </w:div>
    <w:div w:id="133186610">
      <w:bodyDiv w:val="1"/>
      <w:marLeft w:val="0"/>
      <w:marRight w:val="0"/>
      <w:marTop w:val="0"/>
      <w:marBottom w:val="0"/>
      <w:divBdr>
        <w:top w:val="none" w:sz="0" w:space="0" w:color="auto"/>
        <w:left w:val="none" w:sz="0" w:space="0" w:color="auto"/>
        <w:bottom w:val="none" w:sz="0" w:space="0" w:color="auto"/>
        <w:right w:val="none" w:sz="0" w:space="0" w:color="auto"/>
      </w:divBdr>
    </w:div>
    <w:div w:id="137772413">
      <w:bodyDiv w:val="1"/>
      <w:marLeft w:val="0"/>
      <w:marRight w:val="0"/>
      <w:marTop w:val="0"/>
      <w:marBottom w:val="0"/>
      <w:divBdr>
        <w:top w:val="none" w:sz="0" w:space="0" w:color="auto"/>
        <w:left w:val="none" w:sz="0" w:space="0" w:color="auto"/>
        <w:bottom w:val="none" w:sz="0" w:space="0" w:color="auto"/>
        <w:right w:val="none" w:sz="0" w:space="0" w:color="auto"/>
      </w:divBdr>
    </w:div>
    <w:div w:id="138348913">
      <w:bodyDiv w:val="1"/>
      <w:marLeft w:val="0"/>
      <w:marRight w:val="0"/>
      <w:marTop w:val="0"/>
      <w:marBottom w:val="0"/>
      <w:divBdr>
        <w:top w:val="none" w:sz="0" w:space="0" w:color="auto"/>
        <w:left w:val="none" w:sz="0" w:space="0" w:color="auto"/>
        <w:bottom w:val="none" w:sz="0" w:space="0" w:color="auto"/>
        <w:right w:val="none" w:sz="0" w:space="0" w:color="auto"/>
      </w:divBdr>
    </w:div>
    <w:div w:id="138377672">
      <w:bodyDiv w:val="1"/>
      <w:marLeft w:val="0"/>
      <w:marRight w:val="0"/>
      <w:marTop w:val="0"/>
      <w:marBottom w:val="0"/>
      <w:divBdr>
        <w:top w:val="none" w:sz="0" w:space="0" w:color="auto"/>
        <w:left w:val="none" w:sz="0" w:space="0" w:color="auto"/>
        <w:bottom w:val="none" w:sz="0" w:space="0" w:color="auto"/>
        <w:right w:val="none" w:sz="0" w:space="0" w:color="auto"/>
      </w:divBdr>
    </w:div>
    <w:div w:id="138422062">
      <w:bodyDiv w:val="1"/>
      <w:marLeft w:val="0"/>
      <w:marRight w:val="0"/>
      <w:marTop w:val="0"/>
      <w:marBottom w:val="0"/>
      <w:divBdr>
        <w:top w:val="none" w:sz="0" w:space="0" w:color="auto"/>
        <w:left w:val="none" w:sz="0" w:space="0" w:color="auto"/>
        <w:bottom w:val="none" w:sz="0" w:space="0" w:color="auto"/>
        <w:right w:val="none" w:sz="0" w:space="0" w:color="auto"/>
      </w:divBdr>
    </w:div>
    <w:div w:id="138768209">
      <w:bodyDiv w:val="1"/>
      <w:marLeft w:val="0"/>
      <w:marRight w:val="0"/>
      <w:marTop w:val="0"/>
      <w:marBottom w:val="0"/>
      <w:divBdr>
        <w:top w:val="none" w:sz="0" w:space="0" w:color="auto"/>
        <w:left w:val="none" w:sz="0" w:space="0" w:color="auto"/>
        <w:bottom w:val="none" w:sz="0" w:space="0" w:color="auto"/>
        <w:right w:val="none" w:sz="0" w:space="0" w:color="auto"/>
      </w:divBdr>
    </w:div>
    <w:div w:id="142544798">
      <w:bodyDiv w:val="1"/>
      <w:marLeft w:val="0"/>
      <w:marRight w:val="0"/>
      <w:marTop w:val="0"/>
      <w:marBottom w:val="0"/>
      <w:divBdr>
        <w:top w:val="none" w:sz="0" w:space="0" w:color="auto"/>
        <w:left w:val="none" w:sz="0" w:space="0" w:color="auto"/>
        <w:bottom w:val="none" w:sz="0" w:space="0" w:color="auto"/>
        <w:right w:val="none" w:sz="0" w:space="0" w:color="auto"/>
      </w:divBdr>
    </w:div>
    <w:div w:id="143013520">
      <w:bodyDiv w:val="1"/>
      <w:marLeft w:val="0"/>
      <w:marRight w:val="0"/>
      <w:marTop w:val="0"/>
      <w:marBottom w:val="0"/>
      <w:divBdr>
        <w:top w:val="none" w:sz="0" w:space="0" w:color="auto"/>
        <w:left w:val="none" w:sz="0" w:space="0" w:color="auto"/>
        <w:bottom w:val="none" w:sz="0" w:space="0" w:color="auto"/>
        <w:right w:val="none" w:sz="0" w:space="0" w:color="auto"/>
      </w:divBdr>
    </w:div>
    <w:div w:id="143859935">
      <w:bodyDiv w:val="1"/>
      <w:marLeft w:val="0"/>
      <w:marRight w:val="0"/>
      <w:marTop w:val="0"/>
      <w:marBottom w:val="0"/>
      <w:divBdr>
        <w:top w:val="none" w:sz="0" w:space="0" w:color="auto"/>
        <w:left w:val="none" w:sz="0" w:space="0" w:color="auto"/>
        <w:bottom w:val="none" w:sz="0" w:space="0" w:color="auto"/>
        <w:right w:val="none" w:sz="0" w:space="0" w:color="auto"/>
      </w:divBdr>
    </w:div>
    <w:div w:id="144396281">
      <w:bodyDiv w:val="1"/>
      <w:marLeft w:val="0"/>
      <w:marRight w:val="0"/>
      <w:marTop w:val="0"/>
      <w:marBottom w:val="0"/>
      <w:divBdr>
        <w:top w:val="none" w:sz="0" w:space="0" w:color="auto"/>
        <w:left w:val="none" w:sz="0" w:space="0" w:color="auto"/>
        <w:bottom w:val="none" w:sz="0" w:space="0" w:color="auto"/>
        <w:right w:val="none" w:sz="0" w:space="0" w:color="auto"/>
      </w:divBdr>
    </w:div>
    <w:div w:id="144589066">
      <w:bodyDiv w:val="1"/>
      <w:marLeft w:val="0"/>
      <w:marRight w:val="0"/>
      <w:marTop w:val="0"/>
      <w:marBottom w:val="0"/>
      <w:divBdr>
        <w:top w:val="none" w:sz="0" w:space="0" w:color="auto"/>
        <w:left w:val="none" w:sz="0" w:space="0" w:color="auto"/>
        <w:bottom w:val="none" w:sz="0" w:space="0" w:color="auto"/>
        <w:right w:val="none" w:sz="0" w:space="0" w:color="auto"/>
      </w:divBdr>
    </w:div>
    <w:div w:id="145246442">
      <w:bodyDiv w:val="1"/>
      <w:marLeft w:val="0"/>
      <w:marRight w:val="0"/>
      <w:marTop w:val="0"/>
      <w:marBottom w:val="0"/>
      <w:divBdr>
        <w:top w:val="none" w:sz="0" w:space="0" w:color="auto"/>
        <w:left w:val="none" w:sz="0" w:space="0" w:color="auto"/>
        <w:bottom w:val="none" w:sz="0" w:space="0" w:color="auto"/>
        <w:right w:val="none" w:sz="0" w:space="0" w:color="auto"/>
      </w:divBdr>
    </w:div>
    <w:div w:id="147598880">
      <w:bodyDiv w:val="1"/>
      <w:marLeft w:val="0"/>
      <w:marRight w:val="0"/>
      <w:marTop w:val="0"/>
      <w:marBottom w:val="0"/>
      <w:divBdr>
        <w:top w:val="none" w:sz="0" w:space="0" w:color="auto"/>
        <w:left w:val="none" w:sz="0" w:space="0" w:color="auto"/>
        <w:bottom w:val="none" w:sz="0" w:space="0" w:color="auto"/>
        <w:right w:val="none" w:sz="0" w:space="0" w:color="auto"/>
      </w:divBdr>
    </w:div>
    <w:div w:id="148910520">
      <w:bodyDiv w:val="1"/>
      <w:marLeft w:val="0"/>
      <w:marRight w:val="0"/>
      <w:marTop w:val="0"/>
      <w:marBottom w:val="0"/>
      <w:divBdr>
        <w:top w:val="none" w:sz="0" w:space="0" w:color="auto"/>
        <w:left w:val="none" w:sz="0" w:space="0" w:color="auto"/>
        <w:bottom w:val="none" w:sz="0" w:space="0" w:color="auto"/>
        <w:right w:val="none" w:sz="0" w:space="0" w:color="auto"/>
      </w:divBdr>
      <w:divsChild>
        <w:div w:id="805707875">
          <w:marLeft w:val="0"/>
          <w:marRight w:val="0"/>
          <w:marTop w:val="0"/>
          <w:marBottom w:val="0"/>
          <w:divBdr>
            <w:top w:val="none" w:sz="0" w:space="0" w:color="auto"/>
            <w:left w:val="none" w:sz="0" w:space="0" w:color="auto"/>
            <w:bottom w:val="none" w:sz="0" w:space="0" w:color="auto"/>
            <w:right w:val="none" w:sz="0" w:space="0" w:color="auto"/>
          </w:divBdr>
        </w:div>
      </w:divsChild>
    </w:div>
    <w:div w:id="151067871">
      <w:bodyDiv w:val="1"/>
      <w:marLeft w:val="0"/>
      <w:marRight w:val="0"/>
      <w:marTop w:val="0"/>
      <w:marBottom w:val="0"/>
      <w:divBdr>
        <w:top w:val="none" w:sz="0" w:space="0" w:color="auto"/>
        <w:left w:val="none" w:sz="0" w:space="0" w:color="auto"/>
        <w:bottom w:val="none" w:sz="0" w:space="0" w:color="auto"/>
        <w:right w:val="none" w:sz="0" w:space="0" w:color="auto"/>
      </w:divBdr>
    </w:div>
    <w:div w:id="155146016">
      <w:bodyDiv w:val="1"/>
      <w:marLeft w:val="0"/>
      <w:marRight w:val="0"/>
      <w:marTop w:val="0"/>
      <w:marBottom w:val="0"/>
      <w:divBdr>
        <w:top w:val="none" w:sz="0" w:space="0" w:color="auto"/>
        <w:left w:val="none" w:sz="0" w:space="0" w:color="auto"/>
        <w:bottom w:val="none" w:sz="0" w:space="0" w:color="auto"/>
        <w:right w:val="none" w:sz="0" w:space="0" w:color="auto"/>
      </w:divBdr>
    </w:div>
    <w:div w:id="155192912">
      <w:bodyDiv w:val="1"/>
      <w:marLeft w:val="0"/>
      <w:marRight w:val="0"/>
      <w:marTop w:val="0"/>
      <w:marBottom w:val="0"/>
      <w:divBdr>
        <w:top w:val="none" w:sz="0" w:space="0" w:color="auto"/>
        <w:left w:val="none" w:sz="0" w:space="0" w:color="auto"/>
        <w:bottom w:val="none" w:sz="0" w:space="0" w:color="auto"/>
        <w:right w:val="none" w:sz="0" w:space="0" w:color="auto"/>
      </w:divBdr>
      <w:divsChild>
        <w:div w:id="216167469">
          <w:marLeft w:val="0"/>
          <w:marRight w:val="0"/>
          <w:marTop w:val="0"/>
          <w:marBottom w:val="0"/>
          <w:divBdr>
            <w:top w:val="none" w:sz="0" w:space="0" w:color="auto"/>
            <w:left w:val="none" w:sz="0" w:space="0" w:color="auto"/>
            <w:bottom w:val="none" w:sz="0" w:space="0" w:color="auto"/>
            <w:right w:val="none" w:sz="0" w:space="0" w:color="auto"/>
          </w:divBdr>
        </w:div>
      </w:divsChild>
    </w:div>
    <w:div w:id="155344022">
      <w:bodyDiv w:val="1"/>
      <w:marLeft w:val="0"/>
      <w:marRight w:val="0"/>
      <w:marTop w:val="0"/>
      <w:marBottom w:val="0"/>
      <w:divBdr>
        <w:top w:val="none" w:sz="0" w:space="0" w:color="auto"/>
        <w:left w:val="none" w:sz="0" w:space="0" w:color="auto"/>
        <w:bottom w:val="none" w:sz="0" w:space="0" w:color="auto"/>
        <w:right w:val="none" w:sz="0" w:space="0" w:color="auto"/>
      </w:divBdr>
    </w:div>
    <w:div w:id="158663163">
      <w:bodyDiv w:val="1"/>
      <w:marLeft w:val="0"/>
      <w:marRight w:val="0"/>
      <w:marTop w:val="0"/>
      <w:marBottom w:val="0"/>
      <w:divBdr>
        <w:top w:val="none" w:sz="0" w:space="0" w:color="auto"/>
        <w:left w:val="none" w:sz="0" w:space="0" w:color="auto"/>
        <w:bottom w:val="none" w:sz="0" w:space="0" w:color="auto"/>
        <w:right w:val="none" w:sz="0" w:space="0" w:color="auto"/>
      </w:divBdr>
    </w:div>
    <w:div w:id="160436512">
      <w:bodyDiv w:val="1"/>
      <w:marLeft w:val="0"/>
      <w:marRight w:val="0"/>
      <w:marTop w:val="0"/>
      <w:marBottom w:val="0"/>
      <w:divBdr>
        <w:top w:val="none" w:sz="0" w:space="0" w:color="auto"/>
        <w:left w:val="none" w:sz="0" w:space="0" w:color="auto"/>
        <w:bottom w:val="none" w:sz="0" w:space="0" w:color="auto"/>
        <w:right w:val="none" w:sz="0" w:space="0" w:color="auto"/>
      </w:divBdr>
    </w:div>
    <w:div w:id="160700188">
      <w:bodyDiv w:val="1"/>
      <w:marLeft w:val="0"/>
      <w:marRight w:val="0"/>
      <w:marTop w:val="0"/>
      <w:marBottom w:val="0"/>
      <w:divBdr>
        <w:top w:val="none" w:sz="0" w:space="0" w:color="auto"/>
        <w:left w:val="none" w:sz="0" w:space="0" w:color="auto"/>
        <w:bottom w:val="none" w:sz="0" w:space="0" w:color="auto"/>
        <w:right w:val="none" w:sz="0" w:space="0" w:color="auto"/>
      </w:divBdr>
    </w:div>
    <w:div w:id="162546411">
      <w:bodyDiv w:val="1"/>
      <w:marLeft w:val="0"/>
      <w:marRight w:val="0"/>
      <w:marTop w:val="0"/>
      <w:marBottom w:val="0"/>
      <w:divBdr>
        <w:top w:val="none" w:sz="0" w:space="0" w:color="auto"/>
        <w:left w:val="none" w:sz="0" w:space="0" w:color="auto"/>
        <w:bottom w:val="none" w:sz="0" w:space="0" w:color="auto"/>
        <w:right w:val="none" w:sz="0" w:space="0" w:color="auto"/>
      </w:divBdr>
    </w:div>
    <w:div w:id="162547754">
      <w:bodyDiv w:val="1"/>
      <w:marLeft w:val="0"/>
      <w:marRight w:val="0"/>
      <w:marTop w:val="0"/>
      <w:marBottom w:val="0"/>
      <w:divBdr>
        <w:top w:val="none" w:sz="0" w:space="0" w:color="auto"/>
        <w:left w:val="none" w:sz="0" w:space="0" w:color="auto"/>
        <w:bottom w:val="none" w:sz="0" w:space="0" w:color="auto"/>
        <w:right w:val="none" w:sz="0" w:space="0" w:color="auto"/>
      </w:divBdr>
      <w:divsChild>
        <w:div w:id="154146521">
          <w:marLeft w:val="0"/>
          <w:marRight w:val="0"/>
          <w:marTop w:val="0"/>
          <w:marBottom w:val="0"/>
          <w:divBdr>
            <w:top w:val="none" w:sz="0" w:space="0" w:color="auto"/>
            <w:left w:val="none" w:sz="0" w:space="0" w:color="auto"/>
            <w:bottom w:val="none" w:sz="0" w:space="0" w:color="auto"/>
            <w:right w:val="none" w:sz="0" w:space="0" w:color="auto"/>
          </w:divBdr>
        </w:div>
        <w:div w:id="186456096">
          <w:marLeft w:val="0"/>
          <w:marRight w:val="0"/>
          <w:marTop w:val="0"/>
          <w:marBottom w:val="0"/>
          <w:divBdr>
            <w:top w:val="none" w:sz="0" w:space="0" w:color="auto"/>
            <w:left w:val="none" w:sz="0" w:space="0" w:color="auto"/>
            <w:bottom w:val="none" w:sz="0" w:space="0" w:color="auto"/>
            <w:right w:val="none" w:sz="0" w:space="0" w:color="auto"/>
          </w:divBdr>
        </w:div>
        <w:div w:id="225917196">
          <w:marLeft w:val="0"/>
          <w:marRight w:val="0"/>
          <w:marTop w:val="0"/>
          <w:marBottom w:val="0"/>
          <w:divBdr>
            <w:top w:val="none" w:sz="0" w:space="0" w:color="auto"/>
            <w:left w:val="none" w:sz="0" w:space="0" w:color="auto"/>
            <w:bottom w:val="none" w:sz="0" w:space="0" w:color="auto"/>
            <w:right w:val="none" w:sz="0" w:space="0" w:color="auto"/>
          </w:divBdr>
        </w:div>
        <w:div w:id="982856144">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
        <w:div w:id="1894660792">
          <w:marLeft w:val="0"/>
          <w:marRight w:val="0"/>
          <w:marTop w:val="0"/>
          <w:marBottom w:val="0"/>
          <w:divBdr>
            <w:top w:val="none" w:sz="0" w:space="0" w:color="auto"/>
            <w:left w:val="none" w:sz="0" w:space="0" w:color="auto"/>
            <w:bottom w:val="none" w:sz="0" w:space="0" w:color="auto"/>
            <w:right w:val="none" w:sz="0" w:space="0" w:color="auto"/>
          </w:divBdr>
        </w:div>
        <w:div w:id="2047633782">
          <w:marLeft w:val="0"/>
          <w:marRight w:val="0"/>
          <w:marTop w:val="0"/>
          <w:marBottom w:val="0"/>
          <w:divBdr>
            <w:top w:val="none" w:sz="0" w:space="0" w:color="auto"/>
            <w:left w:val="none" w:sz="0" w:space="0" w:color="auto"/>
            <w:bottom w:val="none" w:sz="0" w:space="0" w:color="auto"/>
            <w:right w:val="none" w:sz="0" w:space="0" w:color="auto"/>
          </w:divBdr>
        </w:div>
      </w:divsChild>
    </w:div>
    <w:div w:id="163010800">
      <w:bodyDiv w:val="1"/>
      <w:marLeft w:val="0"/>
      <w:marRight w:val="0"/>
      <w:marTop w:val="0"/>
      <w:marBottom w:val="0"/>
      <w:divBdr>
        <w:top w:val="none" w:sz="0" w:space="0" w:color="auto"/>
        <w:left w:val="none" w:sz="0" w:space="0" w:color="auto"/>
        <w:bottom w:val="none" w:sz="0" w:space="0" w:color="auto"/>
        <w:right w:val="none" w:sz="0" w:space="0" w:color="auto"/>
      </w:divBdr>
    </w:div>
    <w:div w:id="163786249">
      <w:bodyDiv w:val="1"/>
      <w:marLeft w:val="0"/>
      <w:marRight w:val="0"/>
      <w:marTop w:val="0"/>
      <w:marBottom w:val="0"/>
      <w:divBdr>
        <w:top w:val="none" w:sz="0" w:space="0" w:color="auto"/>
        <w:left w:val="none" w:sz="0" w:space="0" w:color="auto"/>
        <w:bottom w:val="none" w:sz="0" w:space="0" w:color="auto"/>
        <w:right w:val="none" w:sz="0" w:space="0" w:color="auto"/>
      </w:divBdr>
      <w:divsChild>
        <w:div w:id="268852364">
          <w:marLeft w:val="0"/>
          <w:marRight w:val="0"/>
          <w:marTop w:val="0"/>
          <w:marBottom w:val="0"/>
          <w:divBdr>
            <w:top w:val="none" w:sz="0" w:space="0" w:color="auto"/>
            <w:left w:val="none" w:sz="0" w:space="0" w:color="auto"/>
            <w:bottom w:val="none" w:sz="0" w:space="0" w:color="auto"/>
            <w:right w:val="none" w:sz="0" w:space="0" w:color="auto"/>
          </w:divBdr>
        </w:div>
      </w:divsChild>
    </w:div>
    <w:div w:id="164826765">
      <w:bodyDiv w:val="1"/>
      <w:marLeft w:val="0"/>
      <w:marRight w:val="0"/>
      <w:marTop w:val="0"/>
      <w:marBottom w:val="0"/>
      <w:divBdr>
        <w:top w:val="none" w:sz="0" w:space="0" w:color="auto"/>
        <w:left w:val="none" w:sz="0" w:space="0" w:color="auto"/>
        <w:bottom w:val="none" w:sz="0" w:space="0" w:color="auto"/>
        <w:right w:val="none" w:sz="0" w:space="0" w:color="auto"/>
      </w:divBdr>
    </w:div>
    <w:div w:id="168253000">
      <w:bodyDiv w:val="1"/>
      <w:marLeft w:val="0"/>
      <w:marRight w:val="0"/>
      <w:marTop w:val="0"/>
      <w:marBottom w:val="0"/>
      <w:divBdr>
        <w:top w:val="none" w:sz="0" w:space="0" w:color="auto"/>
        <w:left w:val="none" w:sz="0" w:space="0" w:color="auto"/>
        <w:bottom w:val="none" w:sz="0" w:space="0" w:color="auto"/>
        <w:right w:val="none" w:sz="0" w:space="0" w:color="auto"/>
      </w:divBdr>
    </w:div>
    <w:div w:id="172913827">
      <w:bodyDiv w:val="1"/>
      <w:marLeft w:val="0"/>
      <w:marRight w:val="0"/>
      <w:marTop w:val="0"/>
      <w:marBottom w:val="0"/>
      <w:divBdr>
        <w:top w:val="none" w:sz="0" w:space="0" w:color="auto"/>
        <w:left w:val="none" w:sz="0" w:space="0" w:color="auto"/>
        <w:bottom w:val="none" w:sz="0" w:space="0" w:color="auto"/>
        <w:right w:val="none" w:sz="0" w:space="0" w:color="auto"/>
      </w:divBdr>
    </w:div>
    <w:div w:id="173232558">
      <w:bodyDiv w:val="1"/>
      <w:marLeft w:val="0"/>
      <w:marRight w:val="0"/>
      <w:marTop w:val="0"/>
      <w:marBottom w:val="0"/>
      <w:divBdr>
        <w:top w:val="none" w:sz="0" w:space="0" w:color="auto"/>
        <w:left w:val="none" w:sz="0" w:space="0" w:color="auto"/>
        <w:bottom w:val="none" w:sz="0" w:space="0" w:color="auto"/>
        <w:right w:val="none" w:sz="0" w:space="0" w:color="auto"/>
      </w:divBdr>
    </w:div>
    <w:div w:id="174853864">
      <w:bodyDiv w:val="1"/>
      <w:marLeft w:val="0"/>
      <w:marRight w:val="0"/>
      <w:marTop w:val="0"/>
      <w:marBottom w:val="0"/>
      <w:divBdr>
        <w:top w:val="none" w:sz="0" w:space="0" w:color="auto"/>
        <w:left w:val="none" w:sz="0" w:space="0" w:color="auto"/>
        <w:bottom w:val="none" w:sz="0" w:space="0" w:color="auto"/>
        <w:right w:val="none" w:sz="0" w:space="0" w:color="auto"/>
      </w:divBdr>
    </w:div>
    <w:div w:id="178082250">
      <w:bodyDiv w:val="1"/>
      <w:marLeft w:val="0"/>
      <w:marRight w:val="0"/>
      <w:marTop w:val="0"/>
      <w:marBottom w:val="0"/>
      <w:divBdr>
        <w:top w:val="none" w:sz="0" w:space="0" w:color="auto"/>
        <w:left w:val="none" w:sz="0" w:space="0" w:color="auto"/>
        <w:bottom w:val="none" w:sz="0" w:space="0" w:color="auto"/>
        <w:right w:val="none" w:sz="0" w:space="0" w:color="auto"/>
      </w:divBdr>
    </w:div>
    <w:div w:id="178859201">
      <w:bodyDiv w:val="1"/>
      <w:marLeft w:val="0"/>
      <w:marRight w:val="0"/>
      <w:marTop w:val="0"/>
      <w:marBottom w:val="0"/>
      <w:divBdr>
        <w:top w:val="none" w:sz="0" w:space="0" w:color="auto"/>
        <w:left w:val="none" w:sz="0" w:space="0" w:color="auto"/>
        <w:bottom w:val="none" w:sz="0" w:space="0" w:color="auto"/>
        <w:right w:val="none" w:sz="0" w:space="0" w:color="auto"/>
      </w:divBdr>
    </w:div>
    <w:div w:id="179898481">
      <w:bodyDiv w:val="1"/>
      <w:marLeft w:val="0"/>
      <w:marRight w:val="0"/>
      <w:marTop w:val="0"/>
      <w:marBottom w:val="0"/>
      <w:divBdr>
        <w:top w:val="none" w:sz="0" w:space="0" w:color="auto"/>
        <w:left w:val="none" w:sz="0" w:space="0" w:color="auto"/>
        <w:bottom w:val="none" w:sz="0" w:space="0" w:color="auto"/>
        <w:right w:val="none" w:sz="0" w:space="0" w:color="auto"/>
      </w:divBdr>
    </w:div>
    <w:div w:id="181629312">
      <w:bodyDiv w:val="1"/>
      <w:marLeft w:val="0"/>
      <w:marRight w:val="0"/>
      <w:marTop w:val="0"/>
      <w:marBottom w:val="0"/>
      <w:divBdr>
        <w:top w:val="none" w:sz="0" w:space="0" w:color="auto"/>
        <w:left w:val="none" w:sz="0" w:space="0" w:color="auto"/>
        <w:bottom w:val="none" w:sz="0" w:space="0" w:color="auto"/>
        <w:right w:val="none" w:sz="0" w:space="0" w:color="auto"/>
      </w:divBdr>
    </w:div>
    <w:div w:id="185750459">
      <w:bodyDiv w:val="1"/>
      <w:marLeft w:val="0"/>
      <w:marRight w:val="0"/>
      <w:marTop w:val="0"/>
      <w:marBottom w:val="0"/>
      <w:divBdr>
        <w:top w:val="none" w:sz="0" w:space="0" w:color="auto"/>
        <w:left w:val="none" w:sz="0" w:space="0" w:color="auto"/>
        <w:bottom w:val="none" w:sz="0" w:space="0" w:color="auto"/>
        <w:right w:val="none" w:sz="0" w:space="0" w:color="auto"/>
      </w:divBdr>
    </w:div>
    <w:div w:id="185868557">
      <w:bodyDiv w:val="1"/>
      <w:marLeft w:val="0"/>
      <w:marRight w:val="0"/>
      <w:marTop w:val="0"/>
      <w:marBottom w:val="0"/>
      <w:divBdr>
        <w:top w:val="none" w:sz="0" w:space="0" w:color="auto"/>
        <w:left w:val="none" w:sz="0" w:space="0" w:color="auto"/>
        <w:bottom w:val="none" w:sz="0" w:space="0" w:color="auto"/>
        <w:right w:val="none" w:sz="0" w:space="0" w:color="auto"/>
      </w:divBdr>
    </w:div>
    <w:div w:id="187522842">
      <w:bodyDiv w:val="1"/>
      <w:marLeft w:val="0"/>
      <w:marRight w:val="0"/>
      <w:marTop w:val="0"/>
      <w:marBottom w:val="0"/>
      <w:divBdr>
        <w:top w:val="none" w:sz="0" w:space="0" w:color="auto"/>
        <w:left w:val="none" w:sz="0" w:space="0" w:color="auto"/>
        <w:bottom w:val="none" w:sz="0" w:space="0" w:color="auto"/>
        <w:right w:val="none" w:sz="0" w:space="0" w:color="auto"/>
      </w:divBdr>
    </w:div>
    <w:div w:id="188375636">
      <w:bodyDiv w:val="1"/>
      <w:marLeft w:val="0"/>
      <w:marRight w:val="0"/>
      <w:marTop w:val="0"/>
      <w:marBottom w:val="0"/>
      <w:divBdr>
        <w:top w:val="none" w:sz="0" w:space="0" w:color="auto"/>
        <w:left w:val="none" w:sz="0" w:space="0" w:color="auto"/>
        <w:bottom w:val="none" w:sz="0" w:space="0" w:color="auto"/>
        <w:right w:val="none" w:sz="0" w:space="0" w:color="auto"/>
      </w:divBdr>
    </w:div>
    <w:div w:id="188420334">
      <w:bodyDiv w:val="1"/>
      <w:marLeft w:val="0"/>
      <w:marRight w:val="0"/>
      <w:marTop w:val="0"/>
      <w:marBottom w:val="0"/>
      <w:divBdr>
        <w:top w:val="none" w:sz="0" w:space="0" w:color="auto"/>
        <w:left w:val="none" w:sz="0" w:space="0" w:color="auto"/>
        <w:bottom w:val="none" w:sz="0" w:space="0" w:color="auto"/>
        <w:right w:val="none" w:sz="0" w:space="0" w:color="auto"/>
      </w:divBdr>
    </w:div>
    <w:div w:id="188759606">
      <w:bodyDiv w:val="1"/>
      <w:marLeft w:val="0"/>
      <w:marRight w:val="0"/>
      <w:marTop w:val="0"/>
      <w:marBottom w:val="0"/>
      <w:divBdr>
        <w:top w:val="none" w:sz="0" w:space="0" w:color="auto"/>
        <w:left w:val="none" w:sz="0" w:space="0" w:color="auto"/>
        <w:bottom w:val="none" w:sz="0" w:space="0" w:color="auto"/>
        <w:right w:val="none" w:sz="0" w:space="0" w:color="auto"/>
      </w:divBdr>
    </w:div>
    <w:div w:id="189952875">
      <w:bodyDiv w:val="1"/>
      <w:marLeft w:val="0"/>
      <w:marRight w:val="0"/>
      <w:marTop w:val="0"/>
      <w:marBottom w:val="0"/>
      <w:divBdr>
        <w:top w:val="none" w:sz="0" w:space="0" w:color="auto"/>
        <w:left w:val="none" w:sz="0" w:space="0" w:color="auto"/>
        <w:bottom w:val="none" w:sz="0" w:space="0" w:color="auto"/>
        <w:right w:val="none" w:sz="0" w:space="0" w:color="auto"/>
      </w:divBdr>
    </w:div>
    <w:div w:id="190266636">
      <w:bodyDiv w:val="1"/>
      <w:marLeft w:val="0"/>
      <w:marRight w:val="0"/>
      <w:marTop w:val="0"/>
      <w:marBottom w:val="0"/>
      <w:divBdr>
        <w:top w:val="none" w:sz="0" w:space="0" w:color="auto"/>
        <w:left w:val="none" w:sz="0" w:space="0" w:color="auto"/>
        <w:bottom w:val="none" w:sz="0" w:space="0" w:color="auto"/>
        <w:right w:val="none" w:sz="0" w:space="0" w:color="auto"/>
      </w:divBdr>
    </w:div>
    <w:div w:id="191383478">
      <w:bodyDiv w:val="1"/>
      <w:marLeft w:val="0"/>
      <w:marRight w:val="0"/>
      <w:marTop w:val="0"/>
      <w:marBottom w:val="0"/>
      <w:divBdr>
        <w:top w:val="none" w:sz="0" w:space="0" w:color="auto"/>
        <w:left w:val="none" w:sz="0" w:space="0" w:color="auto"/>
        <w:bottom w:val="none" w:sz="0" w:space="0" w:color="auto"/>
        <w:right w:val="none" w:sz="0" w:space="0" w:color="auto"/>
      </w:divBdr>
    </w:div>
    <w:div w:id="192378510">
      <w:bodyDiv w:val="1"/>
      <w:marLeft w:val="0"/>
      <w:marRight w:val="0"/>
      <w:marTop w:val="0"/>
      <w:marBottom w:val="0"/>
      <w:divBdr>
        <w:top w:val="none" w:sz="0" w:space="0" w:color="auto"/>
        <w:left w:val="none" w:sz="0" w:space="0" w:color="auto"/>
        <w:bottom w:val="none" w:sz="0" w:space="0" w:color="auto"/>
        <w:right w:val="none" w:sz="0" w:space="0" w:color="auto"/>
      </w:divBdr>
    </w:div>
    <w:div w:id="193079002">
      <w:bodyDiv w:val="1"/>
      <w:marLeft w:val="0"/>
      <w:marRight w:val="0"/>
      <w:marTop w:val="0"/>
      <w:marBottom w:val="0"/>
      <w:divBdr>
        <w:top w:val="none" w:sz="0" w:space="0" w:color="auto"/>
        <w:left w:val="none" w:sz="0" w:space="0" w:color="auto"/>
        <w:bottom w:val="none" w:sz="0" w:space="0" w:color="auto"/>
        <w:right w:val="none" w:sz="0" w:space="0" w:color="auto"/>
      </w:divBdr>
    </w:div>
    <w:div w:id="193689694">
      <w:bodyDiv w:val="1"/>
      <w:marLeft w:val="0"/>
      <w:marRight w:val="0"/>
      <w:marTop w:val="0"/>
      <w:marBottom w:val="0"/>
      <w:divBdr>
        <w:top w:val="none" w:sz="0" w:space="0" w:color="auto"/>
        <w:left w:val="none" w:sz="0" w:space="0" w:color="auto"/>
        <w:bottom w:val="none" w:sz="0" w:space="0" w:color="auto"/>
        <w:right w:val="none" w:sz="0" w:space="0" w:color="auto"/>
      </w:divBdr>
    </w:div>
    <w:div w:id="194125716">
      <w:bodyDiv w:val="1"/>
      <w:marLeft w:val="0"/>
      <w:marRight w:val="0"/>
      <w:marTop w:val="0"/>
      <w:marBottom w:val="0"/>
      <w:divBdr>
        <w:top w:val="none" w:sz="0" w:space="0" w:color="auto"/>
        <w:left w:val="none" w:sz="0" w:space="0" w:color="auto"/>
        <w:bottom w:val="none" w:sz="0" w:space="0" w:color="auto"/>
        <w:right w:val="none" w:sz="0" w:space="0" w:color="auto"/>
      </w:divBdr>
    </w:div>
    <w:div w:id="196697982">
      <w:bodyDiv w:val="1"/>
      <w:marLeft w:val="0"/>
      <w:marRight w:val="0"/>
      <w:marTop w:val="0"/>
      <w:marBottom w:val="0"/>
      <w:divBdr>
        <w:top w:val="none" w:sz="0" w:space="0" w:color="auto"/>
        <w:left w:val="none" w:sz="0" w:space="0" w:color="auto"/>
        <w:bottom w:val="none" w:sz="0" w:space="0" w:color="auto"/>
        <w:right w:val="none" w:sz="0" w:space="0" w:color="auto"/>
      </w:divBdr>
    </w:div>
    <w:div w:id="197014070">
      <w:bodyDiv w:val="1"/>
      <w:marLeft w:val="0"/>
      <w:marRight w:val="0"/>
      <w:marTop w:val="0"/>
      <w:marBottom w:val="0"/>
      <w:divBdr>
        <w:top w:val="none" w:sz="0" w:space="0" w:color="auto"/>
        <w:left w:val="none" w:sz="0" w:space="0" w:color="auto"/>
        <w:bottom w:val="none" w:sz="0" w:space="0" w:color="auto"/>
        <w:right w:val="none" w:sz="0" w:space="0" w:color="auto"/>
      </w:divBdr>
      <w:divsChild>
        <w:div w:id="1422874300">
          <w:marLeft w:val="0"/>
          <w:marRight w:val="0"/>
          <w:marTop w:val="0"/>
          <w:marBottom w:val="0"/>
          <w:divBdr>
            <w:top w:val="none" w:sz="0" w:space="0" w:color="auto"/>
            <w:left w:val="none" w:sz="0" w:space="0" w:color="auto"/>
            <w:bottom w:val="none" w:sz="0" w:space="0" w:color="auto"/>
            <w:right w:val="none" w:sz="0" w:space="0" w:color="auto"/>
          </w:divBdr>
        </w:div>
      </w:divsChild>
    </w:div>
    <w:div w:id="197086781">
      <w:bodyDiv w:val="1"/>
      <w:marLeft w:val="0"/>
      <w:marRight w:val="0"/>
      <w:marTop w:val="0"/>
      <w:marBottom w:val="0"/>
      <w:divBdr>
        <w:top w:val="none" w:sz="0" w:space="0" w:color="auto"/>
        <w:left w:val="none" w:sz="0" w:space="0" w:color="auto"/>
        <w:bottom w:val="none" w:sz="0" w:space="0" w:color="auto"/>
        <w:right w:val="none" w:sz="0" w:space="0" w:color="auto"/>
      </w:divBdr>
      <w:divsChild>
        <w:div w:id="1163231101">
          <w:marLeft w:val="0"/>
          <w:marRight w:val="0"/>
          <w:marTop w:val="0"/>
          <w:marBottom w:val="0"/>
          <w:divBdr>
            <w:top w:val="none" w:sz="0" w:space="0" w:color="auto"/>
            <w:left w:val="none" w:sz="0" w:space="0" w:color="auto"/>
            <w:bottom w:val="none" w:sz="0" w:space="0" w:color="auto"/>
            <w:right w:val="none" w:sz="0" w:space="0" w:color="auto"/>
          </w:divBdr>
          <w:divsChild>
            <w:div w:id="1900286591">
              <w:marLeft w:val="0"/>
              <w:marRight w:val="0"/>
              <w:marTop w:val="0"/>
              <w:marBottom w:val="0"/>
              <w:divBdr>
                <w:top w:val="none" w:sz="0" w:space="0" w:color="auto"/>
                <w:left w:val="none" w:sz="0" w:space="0" w:color="auto"/>
                <w:bottom w:val="none" w:sz="0" w:space="0" w:color="auto"/>
                <w:right w:val="none" w:sz="0" w:space="0" w:color="auto"/>
              </w:divBdr>
            </w:div>
            <w:div w:id="2107925112">
              <w:marLeft w:val="0"/>
              <w:marRight w:val="0"/>
              <w:marTop w:val="0"/>
              <w:marBottom w:val="0"/>
              <w:divBdr>
                <w:top w:val="none" w:sz="0" w:space="0" w:color="auto"/>
                <w:left w:val="none" w:sz="0" w:space="0" w:color="auto"/>
                <w:bottom w:val="none" w:sz="0" w:space="0" w:color="auto"/>
                <w:right w:val="none" w:sz="0" w:space="0" w:color="auto"/>
              </w:divBdr>
              <w:divsChild>
                <w:div w:id="469638202">
                  <w:marLeft w:val="0"/>
                  <w:marRight w:val="0"/>
                  <w:marTop w:val="0"/>
                  <w:marBottom w:val="0"/>
                  <w:divBdr>
                    <w:top w:val="none" w:sz="0" w:space="0" w:color="auto"/>
                    <w:left w:val="none" w:sz="0" w:space="0" w:color="auto"/>
                    <w:bottom w:val="none" w:sz="0" w:space="0" w:color="auto"/>
                    <w:right w:val="none" w:sz="0" w:space="0" w:color="auto"/>
                  </w:divBdr>
                  <w:divsChild>
                    <w:div w:id="1313826193">
                      <w:marLeft w:val="0"/>
                      <w:marRight w:val="0"/>
                      <w:marTop w:val="0"/>
                      <w:marBottom w:val="0"/>
                      <w:divBdr>
                        <w:top w:val="none" w:sz="0" w:space="0" w:color="auto"/>
                        <w:left w:val="none" w:sz="0" w:space="0" w:color="auto"/>
                        <w:bottom w:val="none" w:sz="0" w:space="0" w:color="auto"/>
                        <w:right w:val="none" w:sz="0" w:space="0" w:color="auto"/>
                      </w:divBdr>
                      <w:divsChild>
                        <w:div w:id="1237083832">
                          <w:marLeft w:val="0"/>
                          <w:marRight w:val="0"/>
                          <w:marTop w:val="0"/>
                          <w:marBottom w:val="0"/>
                          <w:divBdr>
                            <w:top w:val="none" w:sz="0" w:space="0" w:color="auto"/>
                            <w:left w:val="none" w:sz="0" w:space="0" w:color="auto"/>
                            <w:bottom w:val="none" w:sz="0" w:space="0" w:color="auto"/>
                            <w:right w:val="none" w:sz="0" w:space="0" w:color="auto"/>
                          </w:divBdr>
                          <w:divsChild>
                            <w:div w:id="20983119">
                              <w:marLeft w:val="0"/>
                              <w:marRight w:val="0"/>
                              <w:marTop w:val="0"/>
                              <w:marBottom w:val="0"/>
                              <w:divBdr>
                                <w:top w:val="none" w:sz="0" w:space="0" w:color="auto"/>
                                <w:left w:val="none" w:sz="0" w:space="0" w:color="auto"/>
                                <w:bottom w:val="none" w:sz="0" w:space="0" w:color="auto"/>
                                <w:right w:val="none" w:sz="0" w:space="0" w:color="auto"/>
                              </w:divBdr>
                            </w:div>
                            <w:div w:id="196819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7819">
      <w:bodyDiv w:val="1"/>
      <w:marLeft w:val="0"/>
      <w:marRight w:val="0"/>
      <w:marTop w:val="0"/>
      <w:marBottom w:val="0"/>
      <w:divBdr>
        <w:top w:val="none" w:sz="0" w:space="0" w:color="auto"/>
        <w:left w:val="none" w:sz="0" w:space="0" w:color="auto"/>
        <w:bottom w:val="none" w:sz="0" w:space="0" w:color="auto"/>
        <w:right w:val="none" w:sz="0" w:space="0" w:color="auto"/>
      </w:divBdr>
    </w:div>
    <w:div w:id="199443497">
      <w:bodyDiv w:val="1"/>
      <w:marLeft w:val="0"/>
      <w:marRight w:val="0"/>
      <w:marTop w:val="0"/>
      <w:marBottom w:val="0"/>
      <w:divBdr>
        <w:top w:val="none" w:sz="0" w:space="0" w:color="auto"/>
        <w:left w:val="none" w:sz="0" w:space="0" w:color="auto"/>
        <w:bottom w:val="none" w:sz="0" w:space="0" w:color="auto"/>
        <w:right w:val="none" w:sz="0" w:space="0" w:color="auto"/>
      </w:divBdr>
    </w:div>
    <w:div w:id="201750354">
      <w:bodyDiv w:val="1"/>
      <w:marLeft w:val="0"/>
      <w:marRight w:val="0"/>
      <w:marTop w:val="0"/>
      <w:marBottom w:val="0"/>
      <w:divBdr>
        <w:top w:val="none" w:sz="0" w:space="0" w:color="auto"/>
        <w:left w:val="none" w:sz="0" w:space="0" w:color="auto"/>
        <w:bottom w:val="none" w:sz="0" w:space="0" w:color="auto"/>
        <w:right w:val="none" w:sz="0" w:space="0" w:color="auto"/>
      </w:divBdr>
    </w:div>
    <w:div w:id="204413974">
      <w:bodyDiv w:val="1"/>
      <w:marLeft w:val="0"/>
      <w:marRight w:val="0"/>
      <w:marTop w:val="0"/>
      <w:marBottom w:val="0"/>
      <w:divBdr>
        <w:top w:val="none" w:sz="0" w:space="0" w:color="auto"/>
        <w:left w:val="none" w:sz="0" w:space="0" w:color="auto"/>
        <w:bottom w:val="none" w:sz="0" w:space="0" w:color="auto"/>
        <w:right w:val="none" w:sz="0" w:space="0" w:color="auto"/>
      </w:divBdr>
    </w:div>
    <w:div w:id="206647910">
      <w:bodyDiv w:val="1"/>
      <w:marLeft w:val="0"/>
      <w:marRight w:val="0"/>
      <w:marTop w:val="0"/>
      <w:marBottom w:val="0"/>
      <w:divBdr>
        <w:top w:val="none" w:sz="0" w:space="0" w:color="auto"/>
        <w:left w:val="none" w:sz="0" w:space="0" w:color="auto"/>
        <w:bottom w:val="none" w:sz="0" w:space="0" w:color="auto"/>
        <w:right w:val="none" w:sz="0" w:space="0" w:color="auto"/>
      </w:divBdr>
    </w:div>
    <w:div w:id="207953326">
      <w:bodyDiv w:val="1"/>
      <w:marLeft w:val="0"/>
      <w:marRight w:val="0"/>
      <w:marTop w:val="0"/>
      <w:marBottom w:val="0"/>
      <w:divBdr>
        <w:top w:val="none" w:sz="0" w:space="0" w:color="auto"/>
        <w:left w:val="none" w:sz="0" w:space="0" w:color="auto"/>
        <w:bottom w:val="none" w:sz="0" w:space="0" w:color="auto"/>
        <w:right w:val="none" w:sz="0" w:space="0" w:color="auto"/>
      </w:divBdr>
    </w:div>
    <w:div w:id="208566963">
      <w:bodyDiv w:val="1"/>
      <w:marLeft w:val="0"/>
      <w:marRight w:val="0"/>
      <w:marTop w:val="0"/>
      <w:marBottom w:val="0"/>
      <w:divBdr>
        <w:top w:val="none" w:sz="0" w:space="0" w:color="auto"/>
        <w:left w:val="none" w:sz="0" w:space="0" w:color="auto"/>
        <w:bottom w:val="none" w:sz="0" w:space="0" w:color="auto"/>
        <w:right w:val="none" w:sz="0" w:space="0" w:color="auto"/>
      </w:divBdr>
    </w:div>
    <w:div w:id="209153891">
      <w:bodyDiv w:val="1"/>
      <w:marLeft w:val="0"/>
      <w:marRight w:val="0"/>
      <w:marTop w:val="0"/>
      <w:marBottom w:val="0"/>
      <w:divBdr>
        <w:top w:val="none" w:sz="0" w:space="0" w:color="auto"/>
        <w:left w:val="none" w:sz="0" w:space="0" w:color="auto"/>
        <w:bottom w:val="none" w:sz="0" w:space="0" w:color="auto"/>
        <w:right w:val="none" w:sz="0" w:space="0" w:color="auto"/>
      </w:divBdr>
    </w:div>
    <w:div w:id="209846891">
      <w:bodyDiv w:val="1"/>
      <w:marLeft w:val="0"/>
      <w:marRight w:val="0"/>
      <w:marTop w:val="0"/>
      <w:marBottom w:val="0"/>
      <w:divBdr>
        <w:top w:val="none" w:sz="0" w:space="0" w:color="auto"/>
        <w:left w:val="none" w:sz="0" w:space="0" w:color="auto"/>
        <w:bottom w:val="none" w:sz="0" w:space="0" w:color="auto"/>
        <w:right w:val="none" w:sz="0" w:space="0" w:color="auto"/>
      </w:divBdr>
    </w:div>
    <w:div w:id="210075615">
      <w:bodyDiv w:val="1"/>
      <w:marLeft w:val="0"/>
      <w:marRight w:val="0"/>
      <w:marTop w:val="0"/>
      <w:marBottom w:val="0"/>
      <w:divBdr>
        <w:top w:val="none" w:sz="0" w:space="0" w:color="auto"/>
        <w:left w:val="none" w:sz="0" w:space="0" w:color="auto"/>
        <w:bottom w:val="none" w:sz="0" w:space="0" w:color="auto"/>
        <w:right w:val="none" w:sz="0" w:space="0" w:color="auto"/>
      </w:divBdr>
    </w:div>
    <w:div w:id="213469393">
      <w:bodyDiv w:val="1"/>
      <w:marLeft w:val="0"/>
      <w:marRight w:val="0"/>
      <w:marTop w:val="0"/>
      <w:marBottom w:val="0"/>
      <w:divBdr>
        <w:top w:val="none" w:sz="0" w:space="0" w:color="auto"/>
        <w:left w:val="none" w:sz="0" w:space="0" w:color="auto"/>
        <w:bottom w:val="none" w:sz="0" w:space="0" w:color="auto"/>
        <w:right w:val="none" w:sz="0" w:space="0" w:color="auto"/>
      </w:divBdr>
    </w:div>
    <w:div w:id="214196278">
      <w:bodyDiv w:val="1"/>
      <w:marLeft w:val="0"/>
      <w:marRight w:val="0"/>
      <w:marTop w:val="0"/>
      <w:marBottom w:val="0"/>
      <w:divBdr>
        <w:top w:val="none" w:sz="0" w:space="0" w:color="auto"/>
        <w:left w:val="none" w:sz="0" w:space="0" w:color="auto"/>
        <w:bottom w:val="none" w:sz="0" w:space="0" w:color="auto"/>
        <w:right w:val="none" w:sz="0" w:space="0" w:color="auto"/>
      </w:divBdr>
    </w:div>
    <w:div w:id="215550025">
      <w:bodyDiv w:val="1"/>
      <w:marLeft w:val="0"/>
      <w:marRight w:val="0"/>
      <w:marTop w:val="0"/>
      <w:marBottom w:val="0"/>
      <w:divBdr>
        <w:top w:val="none" w:sz="0" w:space="0" w:color="auto"/>
        <w:left w:val="none" w:sz="0" w:space="0" w:color="auto"/>
        <w:bottom w:val="none" w:sz="0" w:space="0" w:color="auto"/>
        <w:right w:val="none" w:sz="0" w:space="0" w:color="auto"/>
      </w:divBdr>
    </w:div>
    <w:div w:id="215705046">
      <w:bodyDiv w:val="1"/>
      <w:marLeft w:val="0"/>
      <w:marRight w:val="0"/>
      <w:marTop w:val="0"/>
      <w:marBottom w:val="0"/>
      <w:divBdr>
        <w:top w:val="none" w:sz="0" w:space="0" w:color="auto"/>
        <w:left w:val="none" w:sz="0" w:space="0" w:color="auto"/>
        <w:bottom w:val="none" w:sz="0" w:space="0" w:color="auto"/>
        <w:right w:val="none" w:sz="0" w:space="0" w:color="auto"/>
      </w:divBdr>
    </w:div>
    <w:div w:id="216750237">
      <w:bodyDiv w:val="1"/>
      <w:marLeft w:val="0"/>
      <w:marRight w:val="0"/>
      <w:marTop w:val="0"/>
      <w:marBottom w:val="0"/>
      <w:divBdr>
        <w:top w:val="none" w:sz="0" w:space="0" w:color="auto"/>
        <w:left w:val="none" w:sz="0" w:space="0" w:color="auto"/>
        <w:bottom w:val="none" w:sz="0" w:space="0" w:color="auto"/>
        <w:right w:val="none" w:sz="0" w:space="0" w:color="auto"/>
      </w:divBdr>
    </w:div>
    <w:div w:id="216943058">
      <w:bodyDiv w:val="1"/>
      <w:marLeft w:val="0"/>
      <w:marRight w:val="0"/>
      <w:marTop w:val="0"/>
      <w:marBottom w:val="0"/>
      <w:divBdr>
        <w:top w:val="none" w:sz="0" w:space="0" w:color="auto"/>
        <w:left w:val="none" w:sz="0" w:space="0" w:color="auto"/>
        <w:bottom w:val="none" w:sz="0" w:space="0" w:color="auto"/>
        <w:right w:val="none" w:sz="0" w:space="0" w:color="auto"/>
      </w:divBdr>
    </w:div>
    <w:div w:id="217598270">
      <w:bodyDiv w:val="1"/>
      <w:marLeft w:val="0"/>
      <w:marRight w:val="0"/>
      <w:marTop w:val="0"/>
      <w:marBottom w:val="0"/>
      <w:divBdr>
        <w:top w:val="none" w:sz="0" w:space="0" w:color="auto"/>
        <w:left w:val="none" w:sz="0" w:space="0" w:color="auto"/>
        <w:bottom w:val="none" w:sz="0" w:space="0" w:color="auto"/>
        <w:right w:val="none" w:sz="0" w:space="0" w:color="auto"/>
      </w:divBdr>
    </w:div>
    <w:div w:id="217670691">
      <w:bodyDiv w:val="1"/>
      <w:marLeft w:val="0"/>
      <w:marRight w:val="0"/>
      <w:marTop w:val="0"/>
      <w:marBottom w:val="0"/>
      <w:divBdr>
        <w:top w:val="none" w:sz="0" w:space="0" w:color="auto"/>
        <w:left w:val="none" w:sz="0" w:space="0" w:color="auto"/>
        <w:bottom w:val="none" w:sz="0" w:space="0" w:color="auto"/>
        <w:right w:val="none" w:sz="0" w:space="0" w:color="auto"/>
      </w:divBdr>
    </w:div>
    <w:div w:id="218395761">
      <w:bodyDiv w:val="1"/>
      <w:marLeft w:val="0"/>
      <w:marRight w:val="0"/>
      <w:marTop w:val="0"/>
      <w:marBottom w:val="0"/>
      <w:divBdr>
        <w:top w:val="none" w:sz="0" w:space="0" w:color="auto"/>
        <w:left w:val="none" w:sz="0" w:space="0" w:color="auto"/>
        <w:bottom w:val="none" w:sz="0" w:space="0" w:color="auto"/>
        <w:right w:val="none" w:sz="0" w:space="0" w:color="auto"/>
      </w:divBdr>
    </w:div>
    <w:div w:id="218439327">
      <w:bodyDiv w:val="1"/>
      <w:marLeft w:val="0"/>
      <w:marRight w:val="0"/>
      <w:marTop w:val="0"/>
      <w:marBottom w:val="0"/>
      <w:divBdr>
        <w:top w:val="none" w:sz="0" w:space="0" w:color="auto"/>
        <w:left w:val="none" w:sz="0" w:space="0" w:color="auto"/>
        <w:bottom w:val="none" w:sz="0" w:space="0" w:color="auto"/>
        <w:right w:val="none" w:sz="0" w:space="0" w:color="auto"/>
      </w:divBdr>
    </w:div>
    <w:div w:id="219100619">
      <w:bodyDiv w:val="1"/>
      <w:marLeft w:val="0"/>
      <w:marRight w:val="0"/>
      <w:marTop w:val="0"/>
      <w:marBottom w:val="0"/>
      <w:divBdr>
        <w:top w:val="none" w:sz="0" w:space="0" w:color="auto"/>
        <w:left w:val="none" w:sz="0" w:space="0" w:color="auto"/>
        <w:bottom w:val="none" w:sz="0" w:space="0" w:color="auto"/>
        <w:right w:val="none" w:sz="0" w:space="0" w:color="auto"/>
      </w:divBdr>
    </w:div>
    <w:div w:id="219364067">
      <w:bodyDiv w:val="1"/>
      <w:marLeft w:val="0"/>
      <w:marRight w:val="0"/>
      <w:marTop w:val="0"/>
      <w:marBottom w:val="0"/>
      <w:divBdr>
        <w:top w:val="none" w:sz="0" w:space="0" w:color="auto"/>
        <w:left w:val="none" w:sz="0" w:space="0" w:color="auto"/>
        <w:bottom w:val="none" w:sz="0" w:space="0" w:color="auto"/>
        <w:right w:val="none" w:sz="0" w:space="0" w:color="auto"/>
      </w:divBdr>
    </w:div>
    <w:div w:id="224880290">
      <w:bodyDiv w:val="1"/>
      <w:marLeft w:val="0"/>
      <w:marRight w:val="0"/>
      <w:marTop w:val="0"/>
      <w:marBottom w:val="0"/>
      <w:divBdr>
        <w:top w:val="none" w:sz="0" w:space="0" w:color="auto"/>
        <w:left w:val="none" w:sz="0" w:space="0" w:color="auto"/>
        <w:bottom w:val="none" w:sz="0" w:space="0" w:color="auto"/>
        <w:right w:val="none" w:sz="0" w:space="0" w:color="auto"/>
      </w:divBdr>
    </w:div>
    <w:div w:id="228150166">
      <w:bodyDiv w:val="1"/>
      <w:marLeft w:val="0"/>
      <w:marRight w:val="0"/>
      <w:marTop w:val="0"/>
      <w:marBottom w:val="0"/>
      <w:divBdr>
        <w:top w:val="none" w:sz="0" w:space="0" w:color="auto"/>
        <w:left w:val="none" w:sz="0" w:space="0" w:color="auto"/>
        <w:bottom w:val="none" w:sz="0" w:space="0" w:color="auto"/>
        <w:right w:val="none" w:sz="0" w:space="0" w:color="auto"/>
      </w:divBdr>
    </w:div>
    <w:div w:id="228393771">
      <w:bodyDiv w:val="1"/>
      <w:marLeft w:val="0"/>
      <w:marRight w:val="0"/>
      <w:marTop w:val="0"/>
      <w:marBottom w:val="0"/>
      <w:divBdr>
        <w:top w:val="none" w:sz="0" w:space="0" w:color="auto"/>
        <w:left w:val="none" w:sz="0" w:space="0" w:color="auto"/>
        <w:bottom w:val="none" w:sz="0" w:space="0" w:color="auto"/>
        <w:right w:val="none" w:sz="0" w:space="0" w:color="auto"/>
      </w:divBdr>
    </w:div>
    <w:div w:id="229968097">
      <w:bodyDiv w:val="1"/>
      <w:marLeft w:val="0"/>
      <w:marRight w:val="0"/>
      <w:marTop w:val="0"/>
      <w:marBottom w:val="0"/>
      <w:divBdr>
        <w:top w:val="none" w:sz="0" w:space="0" w:color="auto"/>
        <w:left w:val="none" w:sz="0" w:space="0" w:color="auto"/>
        <w:bottom w:val="none" w:sz="0" w:space="0" w:color="auto"/>
        <w:right w:val="none" w:sz="0" w:space="0" w:color="auto"/>
      </w:divBdr>
    </w:div>
    <w:div w:id="230503119">
      <w:bodyDiv w:val="1"/>
      <w:marLeft w:val="0"/>
      <w:marRight w:val="0"/>
      <w:marTop w:val="0"/>
      <w:marBottom w:val="0"/>
      <w:divBdr>
        <w:top w:val="none" w:sz="0" w:space="0" w:color="auto"/>
        <w:left w:val="none" w:sz="0" w:space="0" w:color="auto"/>
        <w:bottom w:val="none" w:sz="0" w:space="0" w:color="auto"/>
        <w:right w:val="none" w:sz="0" w:space="0" w:color="auto"/>
      </w:divBdr>
    </w:div>
    <w:div w:id="231358531">
      <w:bodyDiv w:val="1"/>
      <w:marLeft w:val="0"/>
      <w:marRight w:val="0"/>
      <w:marTop w:val="0"/>
      <w:marBottom w:val="0"/>
      <w:divBdr>
        <w:top w:val="none" w:sz="0" w:space="0" w:color="auto"/>
        <w:left w:val="none" w:sz="0" w:space="0" w:color="auto"/>
        <w:bottom w:val="none" w:sz="0" w:space="0" w:color="auto"/>
        <w:right w:val="none" w:sz="0" w:space="0" w:color="auto"/>
      </w:divBdr>
    </w:div>
    <w:div w:id="233131387">
      <w:bodyDiv w:val="1"/>
      <w:marLeft w:val="0"/>
      <w:marRight w:val="0"/>
      <w:marTop w:val="0"/>
      <w:marBottom w:val="0"/>
      <w:divBdr>
        <w:top w:val="none" w:sz="0" w:space="0" w:color="auto"/>
        <w:left w:val="none" w:sz="0" w:space="0" w:color="auto"/>
        <w:bottom w:val="none" w:sz="0" w:space="0" w:color="auto"/>
        <w:right w:val="none" w:sz="0" w:space="0" w:color="auto"/>
      </w:divBdr>
    </w:div>
    <w:div w:id="233667403">
      <w:bodyDiv w:val="1"/>
      <w:marLeft w:val="0"/>
      <w:marRight w:val="0"/>
      <w:marTop w:val="0"/>
      <w:marBottom w:val="0"/>
      <w:divBdr>
        <w:top w:val="none" w:sz="0" w:space="0" w:color="auto"/>
        <w:left w:val="none" w:sz="0" w:space="0" w:color="auto"/>
        <w:bottom w:val="none" w:sz="0" w:space="0" w:color="auto"/>
        <w:right w:val="none" w:sz="0" w:space="0" w:color="auto"/>
      </w:divBdr>
    </w:div>
    <w:div w:id="234946667">
      <w:bodyDiv w:val="1"/>
      <w:marLeft w:val="0"/>
      <w:marRight w:val="0"/>
      <w:marTop w:val="0"/>
      <w:marBottom w:val="0"/>
      <w:divBdr>
        <w:top w:val="none" w:sz="0" w:space="0" w:color="auto"/>
        <w:left w:val="none" w:sz="0" w:space="0" w:color="auto"/>
        <w:bottom w:val="none" w:sz="0" w:space="0" w:color="auto"/>
        <w:right w:val="none" w:sz="0" w:space="0" w:color="auto"/>
      </w:divBdr>
    </w:div>
    <w:div w:id="237786052">
      <w:bodyDiv w:val="1"/>
      <w:marLeft w:val="0"/>
      <w:marRight w:val="0"/>
      <w:marTop w:val="0"/>
      <w:marBottom w:val="0"/>
      <w:divBdr>
        <w:top w:val="none" w:sz="0" w:space="0" w:color="auto"/>
        <w:left w:val="none" w:sz="0" w:space="0" w:color="auto"/>
        <w:bottom w:val="none" w:sz="0" w:space="0" w:color="auto"/>
        <w:right w:val="none" w:sz="0" w:space="0" w:color="auto"/>
      </w:divBdr>
    </w:div>
    <w:div w:id="238364347">
      <w:bodyDiv w:val="1"/>
      <w:marLeft w:val="0"/>
      <w:marRight w:val="0"/>
      <w:marTop w:val="0"/>
      <w:marBottom w:val="0"/>
      <w:divBdr>
        <w:top w:val="none" w:sz="0" w:space="0" w:color="auto"/>
        <w:left w:val="none" w:sz="0" w:space="0" w:color="auto"/>
        <w:bottom w:val="none" w:sz="0" w:space="0" w:color="auto"/>
        <w:right w:val="none" w:sz="0" w:space="0" w:color="auto"/>
      </w:divBdr>
    </w:div>
    <w:div w:id="239558208">
      <w:bodyDiv w:val="1"/>
      <w:marLeft w:val="0"/>
      <w:marRight w:val="0"/>
      <w:marTop w:val="0"/>
      <w:marBottom w:val="0"/>
      <w:divBdr>
        <w:top w:val="none" w:sz="0" w:space="0" w:color="auto"/>
        <w:left w:val="none" w:sz="0" w:space="0" w:color="auto"/>
        <w:bottom w:val="none" w:sz="0" w:space="0" w:color="auto"/>
        <w:right w:val="none" w:sz="0" w:space="0" w:color="auto"/>
      </w:divBdr>
      <w:divsChild>
        <w:div w:id="665401168">
          <w:marLeft w:val="0"/>
          <w:marRight w:val="0"/>
          <w:marTop w:val="0"/>
          <w:marBottom w:val="0"/>
          <w:divBdr>
            <w:top w:val="none" w:sz="0" w:space="0" w:color="auto"/>
            <w:left w:val="none" w:sz="0" w:space="0" w:color="auto"/>
            <w:bottom w:val="none" w:sz="0" w:space="0" w:color="auto"/>
            <w:right w:val="none" w:sz="0" w:space="0" w:color="auto"/>
          </w:divBdr>
          <w:divsChild>
            <w:div w:id="1676422331">
              <w:marLeft w:val="0"/>
              <w:marRight w:val="0"/>
              <w:marTop w:val="0"/>
              <w:marBottom w:val="0"/>
              <w:divBdr>
                <w:top w:val="none" w:sz="0" w:space="0" w:color="auto"/>
                <w:left w:val="none" w:sz="0" w:space="0" w:color="auto"/>
                <w:bottom w:val="none" w:sz="0" w:space="0" w:color="auto"/>
                <w:right w:val="none" w:sz="0" w:space="0" w:color="auto"/>
              </w:divBdr>
              <w:divsChild>
                <w:div w:id="2144344942">
                  <w:marLeft w:val="0"/>
                  <w:marRight w:val="0"/>
                  <w:marTop w:val="0"/>
                  <w:marBottom w:val="0"/>
                  <w:divBdr>
                    <w:top w:val="none" w:sz="0" w:space="0" w:color="auto"/>
                    <w:left w:val="none" w:sz="0" w:space="0" w:color="auto"/>
                    <w:bottom w:val="none" w:sz="0" w:space="0" w:color="auto"/>
                    <w:right w:val="none" w:sz="0" w:space="0" w:color="auto"/>
                  </w:divBdr>
                  <w:divsChild>
                    <w:div w:id="612790740">
                      <w:marLeft w:val="0"/>
                      <w:marRight w:val="0"/>
                      <w:marTop w:val="0"/>
                      <w:marBottom w:val="0"/>
                      <w:divBdr>
                        <w:top w:val="none" w:sz="0" w:space="0" w:color="auto"/>
                        <w:left w:val="none" w:sz="0" w:space="0" w:color="auto"/>
                        <w:bottom w:val="none" w:sz="0" w:space="0" w:color="auto"/>
                        <w:right w:val="none" w:sz="0" w:space="0" w:color="auto"/>
                      </w:divBdr>
                      <w:divsChild>
                        <w:div w:id="122915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456068">
      <w:bodyDiv w:val="1"/>
      <w:marLeft w:val="0"/>
      <w:marRight w:val="0"/>
      <w:marTop w:val="0"/>
      <w:marBottom w:val="0"/>
      <w:divBdr>
        <w:top w:val="none" w:sz="0" w:space="0" w:color="auto"/>
        <w:left w:val="none" w:sz="0" w:space="0" w:color="auto"/>
        <w:bottom w:val="none" w:sz="0" w:space="0" w:color="auto"/>
        <w:right w:val="none" w:sz="0" w:space="0" w:color="auto"/>
      </w:divBdr>
    </w:div>
    <w:div w:id="242688041">
      <w:bodyDiv w:val="1"/>
      <w:marLeft w:val="0"/>
      <w:marRight w:val="0"/>
      <w:marTop w:val="0"/>
      <w:marBottom w:val="0"/>
      <w:divBdr>
        <w:top w:val="none" w:sz="0" w:space="0" w:color="auto"/>
        <w:left w:val="none" w:sz="0" w:space="0" w:color="auto"/>
        <w:bottom w:val="none" w:sz="0" w:space="0" w:color="auto"/>
        <w:right w:val="none" w:sz="0" w:space="0" w:color="auto"/>
      </w:divBdr>
    </w:div>
    <w:div w:id="243758626">
      <w:bodyDiv w:val="1"/>
      <w:marLeft w:val="0"/>
      <w:marRight w:val="0"/>
      <w:marTop w:val="0"/>
      <w:marBottom w:val="0"/>
      <w:divBdr>
        <w:top w:val="none" w:sz="0" w:space="0" w:color="auto"/>
        <w:left w:val="none" w:sz="0" w:space="0" w:color="auto"/>
        <w:bottom w:val="none" w:sz="0" w:space="0" w:color="auto"/>
        <w:right w:val="none" w:sz="0" w:space="0" w:color="auto"/>
      </w:divBdr>
    </w:div>
    <w:div w:id="244612318">
      <w:bodyDiv w:val="1"/>
      <w:marLeft w:val="0"/>
      <w:marRight w:val="0"/>
      <w:marTop w:val="0"/>
      <w:marBottom w:val="0"/>
      <w:divBdr>
        <w:top w:val="none" w:sz="0" w:space="0" w:color="auto"/>
        <w:left w:val="none" w:sz="0" w:space="0" w:color="auto"/>
        <w:bottom w:val="none" w:sz="0" w:space="0" w:color="auto"/>
        <w:right w:val="none" w:sz="0" w:space="0" w:color="auto"/>
      </w:divBdr>
    </w:div>
    <w:div w:id="245263631">
      <w:bodyDiv w:val="1"/>
      <w:marLeft w:val="0"/>
      <w:marRight w:val="0"/>
      <w:marTop w:val="0"/>
      <w:marBottom w:val="0"/>
      <w:divBdr>
        <w:top w:val="none" w:sz="0" w:space="0" w:color="auto"/>
        <w:left w:val="none" w:sz="0" w:space="0" w:color="auto"/>
        <w:bottom w:val="none" w:sz="0" w:space="0" w:color="auto"/>
        <w:right w:val="none" w:sz="0" w:space="0" w:color="auto"/>
      </w:divBdr>
    </w:div>
    <w:div w:id="246614486">
      <w:bodyDiv w:val="1"/>
      <w:marLeft w:val="0"/>
      <w:marRight w:val="0"/>
      <w:marTop w:val="0"/>
      <w:marBottom w:val="0"/>
      <w:divBdr>
        <w:top w:val="none" w:sz="0" w:space="0" w:color="auto"/>
        <w:left w:val="none" w:sz="0" w:space="0" w:color="auto"/>
        <w:bottom w:val="none" w:sz="0" w:space="0" w:color="auto"/>
        <w:right w:val="none" w:sz="0" w:space="0" w:color="auto"/>
      </w:divBdr>
    </w:div>
    <w:div w:id="248660931">
      <w:bodyDiv w:val="1"/>
      <w:marLeft w:val="0"/>
      <w:marRight w:val="0"/>
      <w:marTop w:val="0"/>
      <w:marBottom w:val="0"/>
      <w:divBdr>
        <w:top w:val="none" w:sz="0" w:space="0" w:color="auto"/>
        <w:left w:val="none" w:sz="0" w:space="0" w:color="auto"/>
        <w:bottom w:val="none" w:sz="0" w:space="0" w:color="auto"/>
        <w:right w:val="none" w:sz="0" w:space="0" w:color="auto"/>
      </w:divBdr>
    </w:div>
    <w:div w:id="249779924">
      <w:bodyDiv w:val="1"/>
      <w:marLeft w:val="0"/>
      <w:marRight w:val="0"/>
      <w:marTop w:val="0"/>
      <w:marBottom w:val="0"/>
      <w:divBdr>
        <w:top w:val="none" w:sz="0" w:space="0" w:color="auto"/>
        <w:left w:val="none" w:sz="0" w:space="0" w:color="auto"/>
        <w:bottom w:val="none" w:sz="0" w:space="0" w:color="auto"/>
        <w:right w:val="none" w:sz="0" w:space="0" w:color="auto"/>
      </w:divBdr>
    </w:div>
    <w:div w:id="251470415">
      <w:bodyDiv w:val="1"/>
      <w:marLeft w:val="0"/>
      <w:marRight w:val="0"/>
      <w:marTop w:val="0"/>
      <w:marBottom w:val="0"/>
      <w:divBdr>
        <w:top w:val="none" w:sz="0" w:space="0" w:color="auto"/>
        <w:left w:val="none" w:sz="0" w:space="0" w:color="auto"/>
        <w:bottom w:val="none" w:sz="0" w:space="0" w:color="auto"/>
        <w:right w:val="none" w:sz="0" w:space="0" w:color="auto"/>
      </w:divBdr>
      <w:divsChild>
        <w:div w:id="1704549710">
          <w:marLeft w:val="0"/>
          <w:marRight w:val="0"/>
          <w:marTop w:val="0"/>
          <w:marBottom w:val="0"/>
          <w:divBdr>
            <w:top w:val="none" w:sz="0" w:space="0" w:color="auto"/>
            <w:left w:val="none" w:sz="0" w:space="0" w:color="auto"/>
            <w:bottom w:val="none" w:sz="0" w:space="0" w:color="auto"/>
            <w:right w:val="none" w:sz="0" w:space="0" w:color="auto"/>
          </w:divBdr>
          <w:divsChild>
            <w:div w:id="391077389">
              <w:marLeft w:val="0"/>
              <w:marRight w:val="0"/>
              <w:marTop w:val="0"/>
              <w:marBottom w:val="0"/>
              <w:divBdr>
                <w:top w:val="none" w:sz="0" w:space="0" w:color="auto"/>
                <w:left w:val="none" w:sz="0" w:space="0" w:color="auto"/>
                <w:bottom w:val="none" w:sz="0" w:space="0" w:color="auto"/>
                <w:right w:val="none" w:sz="0" w:space="0" w:color="auto"/>
              </w:divBdr>
            </w:div>
            <w:div w:id="807863502">
              <w:marLeft w:val="0"/>
              <w:marRight w:val="0"/>
              <w:marTop w:val="0"/>
              <w:marBottom w:val="0"/>
              <w:divBdr>
                <w:top w:val="none" w:sz="0" w:space="0" w:color="auto"/>
                <w:left w:val="none" w:sz="0" w:space="0" w:color="auto"/>
                <w:bottom w:val="none" w:sz="0" w:space="0" w:color="auto"/>
                <w:right w:val="none" w:sz="0" w:space="0" w:color="auto"/>
              </w:divBdr>
            </w:div>
            <w:div w:id="830876141">
              <w:marLeft w:val="0"/>
              <w:marRight w:val="0"/>
              <w:marTop w:val="0"/>
              <w:marBottom w:val="0"/>
              <w:divBdr>
                <w:top w:val="none" w:sz="0" w:space="0" w:color="auto"/>
                <w:left w:val="none" w:sz="0" w:space="0" w:color="auto"/>
                <w:bottom w:val="none" w:sz="0" w:space="0" w:color="auto"/>
                <w:right w:val="none" w:sz="0" w:space="0" w:color="auto"/>
              </w:divBdr>
            </w:div>
            <w:div w:id="857626194">
              <w:marLeft w:val="0"/>
              <w:marRight w:val="0"/>
              <w:marTop w:val="0"/>
              <w:marBottom w:val="0"/>
              <w:divBdr>
                <w:top w:val="none" w:sz="0" w:space="0" w:color="auto"/>
                <w:left w:val="none" w:sz="0" w:space="0" w:color="auto"/>
                <w:bottom w:val="none" w:sz="0" w:space="0" w:color="auto"/>
                <w:right w:val="none" w:sz="0" w:space="0" w:color="auto"/>
              </w:divBdr>
            </w:div>
            <w:div w:id="907307821">
              <w:marLeft w:val="0"/>
              <w:marRight w:val="0"/>
              <w:marTop w:val="0"/>
              <w:marBottom w:val="0"/>
              <w:divBdr>
                <w:top w:val="none" w:sz="0" w:space="0" w:color="auto"/>
                <w:left w:val="none" w:sz="0" w:space="0" w:color="auto"/>
                <w:bottom w:val="none" w:sz="0" w:space="0" w:color="auto"/>
                <w:right w:val="none" w:sz="0" w:space="0" w:color="auto"/>
              </w:divBdr>
            </w:div>
            <w:div w:id="1266883173">
              <w:marLeft w:val="0"/>
              <w:marRight w:val="0"/>
              <w:marTop w:val="0"/>
              <w:marBottom w:val="0"/>
              <w:divBdr>
                <w:top w:val="none" w:sz="0" w:space="0" w:color="auto"/>
                <w:left w:val="none" w:sz="0" w:space="0" w:color="auto"/>
                <w:bottom w:val="none" w:sz="0" w:space="0" w:color="auto"/>
                <w:right w:val="none" w:sz="0" w:space="0" w:color="auto"/>
              </w:divBdr>
            </w:div>
            <w:div w:id="1747531227">
              <w:marLeft w:val="0"/>
              <w:marRight w:val="0"/>
              <w:marTop w:val="0"/>
              <w:marBottom w:val="0"/>
              <w:divBdr>
                <w:top w:val="none" w:sz="0" w:space="0" w:color="auto"/>
                <w:left w:val="none" w:sz="0" w:space="0" w:color="auto"/>
                <w:bottom w:val="none" w:sz="0" w:space="0" w:color="auto"/>
                <w:right w:val="none" w:sz="0" w:space="0" w:color="auto"/>
              </w:divBdr>
            </w:div>
            <w:div w:id="20163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89978">
      <w:bodyDiv w:val="1"/>
      <w:marLeft w:val="0"/>
      <w:marRight w:val="0"/>
      <w:marTop w:val="0"/>
      <w:marBottom w:val="0"/>
      <w:divBdr>
        <w:top w:val="none" w:sz="0" w:space="0" w:color="auto"/>
        <w:left w:val="none" w:sz="0" w:space="0" w:color="auto"/>
        <w:bottom w:val="none" w:sz="0" w:space="0" w:color="auto"/>
        <w:right w:val="none" w:sz="0" w:space="0" w:color="auto"/>
      </w:divBdr>
    </w:div>
    <w:div w:id="255792934">
      <w:bodyDiv w:val="1"/>
      <w:marLeft w:val="0"/>
      <w:marRight w:val="0"/>
      <w:marTop w:val="0"/>
      <w:marBottom w:val="0"/>
      <w:divBdr>
        <w:top w:val="none" w:sz="0" w:space="0" w:color="auto"/>
        <w:left w:val="none" w:sz="0" w:space="0" w:color="auto"/>
        <w:bottom w:val="none" w:sz="0" w:space="0" w:color="auto"/>
        <w:right w:val="none" w:sz="0" w:space="0" w:color="auto"/>
      </w:divBdr>
    </w:div>
    <w:div w:id="256603381">
      <w:bodyDiv w:val="1"/>
      <w:marLeft w:val="0"/>
      <w:marRight w:val="0"/>
      <w:marTop w:val="0"/>
      <w:marBottom w:val="0"/>
      <w:divBdr>
        <w:top w:val="none" w:sz="0" w:space="0" w:color="auto"/>
        <w:left w:val="none" w:sz="0" w:space="0" w:color="auto"/>
        <w:bottom w:val="none" w:sz="0" w:space="0" w:color="auto"/>
        <w:right w:val="none" w:sz="0" w:space="0" w:color="auto"/>
      </w:divBdr>
    </w:div>
    <w:div w:id="258370277">
      <w:bodyDiv w:val="1"/>
      <w:marLeft w:val="0"/>
      <w:marRight w:val="0"/>
      <w:marTop w:val="0"/>
      <w:marBottom w:val="0"/>
      <w:divBdr>
        <w:top w:val="none" w:sz="0" w:space="0" w:color="auto"/>
        <w:left w:val="none" w:sz="0" w:space="0" w:color="auto"/>
        <w:bottom w:val="none" w:sz="0" w:space="0" w:color="auto"/>
        <w:right w:val="none" w:sz="0" w:space="0" w:color="auto"/>
      </w:divBdr>
    </w:div>
    <w:div w:id="258611487">
      <w:bodyDiv w:val="1"/>
      <w:marLeft w:val="0"/>
      <w:marRight w:val="0"/>
      <w:marTop w:val="0"/>
      <w:marBottom w:val="0"/>
      <w:divBdr>
        <w:top w:val="none" w:sz="0" w:space="0" w:color="auto"/>
        <w:left w:val="none" w:sz="0" w:space="0" w:color="auto"/>
        <w:bottom w:val="none" w:sz="0" w:space="0" w:color="auto"/>
        <w:right w:val="none" w:sz="0" w:space="0" w:color="auto"/>
      </w:divBdr>
    </w:div>
    <w:div w:id="259486449">
      <w:bodyDiv w:val="1"/>
      <w:marLeft w:val="0"/>
      <w:marRight w:val="0"/>
      <w:marTop w:val="0"/>
      <w:marBottom w:val="0"/>
      <w:divBdr>
        <w:top w:val="none" w:sz="0" w:space="0" w:color="auto"/>
        <w:left w:val="none" w:sz="0" w:space="0" w:color="auto"/>
        <w:bottom w:val="none" w:sz="0" w:space="0" w:color="auto"/>
        <w:right w:val="none" w:sz="0" w:space="0" w:color="auto"/>
      </w:divBdr>
    </w:div>
    <w:div w:id="261227404">
      <w:bodyDiv w:val="1"/>
      <w:marLeft w:val="0"/>
      <w:marRight w:val="0"/>
      <w:marTop w:val="0"/>
      <w:marBottom w:val="0"/>
      <w:divBdr>
        <w:top w:val="none" w:sz="0" w:space="0" w:color="auto"/>
        <w:left w:val="none" w:sz="0" w:space="0" w:color="auto"/>
        <w:bottom w:val="none" w:sz="0" w:space="0" w:color="auto"/>
        <w:right w:val="none" w:sz="0" w:space="0" w:color="auto"/>
      </w:divBdr>
    </w:div>
    <w:div w:id="262568308">
      <w:bodyDiv w:val="1"/>
      <w:marLeft w:val="0"/>
      <w:marRight w:val="0"/>
      <w:marTop w:val="0"/>
      <w:marBottom w:val="0"/>
      <w:divBdr>
        <w:top w:val="none" w:sz="0" w:space="0" w:color="auto"/>
        <w:left w:val="none" w:sz="0" w:space="0" w:color="auto"/>
        <w:bottom w:val="none" w:sz="0" w:space="0" w:color="auto"/>
        <w:right w:val="none" w:sz="0" w:space="0" w:color="auto"/>
      </w:divBdr>
    </w:div>
    <w:div w:id="264116693">
      <w:bodyDiv w:val="1"/>
      <w:marLeft w:val="0"/>
      <w:marRight w:val="0"/>
      <w:marTop w:val="0"/>
      <w:marBottom w:val="0"/>
      <w:divBdr>
        <w:top w:val="none" w:sz="0" w:space="0" w:color="auto"/>
        <w:left w:val="none" w:sz="0" w:space="0" w:color="auto"/>
        <w:bottom w:val="none" w:sz="0" w:space="0" w:color="auto"/>
        <w:right w:val="none" w:sz="0" w:space="0" w:color="auto"/>
      </w:divBdr>
    </w:div>
    <w:div w:id="264505621">
      <w:bodyDiv w:val="1"/>
      <w:marLeft w:val="0"/>
      <w:marRight w:val="0"/>
      <w:marTop w:val="0"/>
      <w:marBottom w:val="0"/>
      <w:divBdr>
        <w:top w:val="none" w:sz="0" w:space="0" w:color="auto"/>
        <w:left w:val="none" w:sz="0" w:space="0" w:color="auto"/>
        <w:bottom w:val="none" w:sz="0" w:space="0" w:color="auto"/>
        <w:right w:val="none" w:sz="0" w:space="0" w:color="auto"/>
      </w:divBdr>
      <w:divsChild>
        <w:div w:id="74403579">
          <w:marLeft w:val="0"/>
          <w:marRight w:val="0"/>
          <w:marTop w:val="0"/>
          <w:marBottom w:val="0"/>
          <w:divBdr>
            <w:top w:val="none" w:sz="0" w:space="0" w:color="auto"/>
            <w:left w:val="none" w:sz="0" w:space="0" w:color="auto"/>
            <w:bottom w:val="none" w:sz="0" w:space="0" w:color="auto"/>
            <w:right w:val="none" w:sz="0" w:space="0" w:color="auto"/>
          </w:divBdr>
        </w:div>
      </w:divsChild>
    </w:div>
    <w:div w:id="266231972">
      <w:bodyDiv w:val="1"/>
      <w:marLeft w:val="0"/>
      <w:marRight w:val="0"/>
      <w:marTop w:val="0"/>
      <w:marBottom w:val="0"/>
      <w:divBdr>
        <w:top w:val="none" w:sz="0" w:space="0" w:color="auto"/>
        <w:left w:val="none" w:sz="0" w:space="0" w:color="auto"/>
        <w:bottom w:val="none" w:sz="0" w:space="0" w:color="auto"/>
        <w:right w:val="none" w:sz="0" w:space="0" w:color="auto"/>
      </w:divBdr>
    </w:div>
    <w:div w:id="266425920">
      <w:bodyDiv w:val="1"/>
      <w:marLeft w:val="0"/>
      <w:marRight w:val="0"/>
      <w:marTop w:val="0"/>
      <w:marBottom w:val="0"/>
      <w:divBdr>
        <w:top w:val="none" w:sz="0" w:space="0" w:color="auto"/>
        <w:left w:val="none" w:sz="0" w:space="0" w:color="auto"/>
        <w:bottom w:val="none" w:sz="0" w:space="0" w:color="auto"/>
        <w:right w:val="none" w:sz="0" w:space="0" w:color="auto"/>
      </w:divBdr>
    </w:div>
    <w:div w:id="267810293">
      <w:bodyDiv w:val="1"/>
      <w:marLeft w:val="0"/>
      <w:marRight w:val="0"/>
      <w:marTop w:val="0"/>
      <w:marBottom w:val="0"/>
      <w:divBdr>
        <w:top w:val="none" w:sz="0" w:space="0" w:color="auto"/>
        <w:left w:val="none" w:sz="0" w:space="0" w:color="auto"/>
        <w:bottom w:val="none" w:sz="0" w:space="0" w:color="auto"/>
        <w:right w:val="none" w:sz="0" w:space="0" w:color="auto"/>
      </w:divBdr>
    </w:div>
    <w:div w:id="269121762">
      <w:bodyDiv w:val="1"/>
      <w:marLeft w:val="0"/>
      <w:marRight w:val="0"/>
      <w:marTop w:val="0"/>
      <w:marBottom w:val="0"/>
      <w:divBdr>
        <w:top w:val="none" w:sz="0" w:space="0" w:color="auto"/>
        <w:left w:val="none" w:sz="0" w:space="0" w:color="auto"/>
        <w:bottom w:val="none" w:sz="0" w:space="0" w:color="auto"/>
        <w:right w:val="none" w:sz="0" w:space="0" w:color="auto"/>
      </w:divBdr>
    </w:div>
    <w:div w:id="272131812">
      <w:bodyDiv w:val="1"/>
      <w:marLeft w:val="0"/>
      <w:marRight w:val="0"/>
      <w:marTop w:val="0"/>
      <w:marBottom w:val="0"/>
      <w:divBdr>
        <w:top w:val="none" w:sz="0" w:space="0" w:color="auto"/>
        <w:left w:val="none" w:sz="0" w:space="0" w:color="auto"/>
        <w:bottom w:val="none" w:sz="0" w:space="0" w:color="auto"/>
        <w:right w:val="none" w:sz="0" w:space="0" w:color="auto"/>
      </w:divBdr>
    </w:div>
    <w:div w:id="273291015">
      <w:bodyDiv w:val="1"/>
      <w:marLeft w:val="0"/>
      <w:marRight w:val="0"/>
      <w:marTop w:val="0"/>
      <w:marBottom w:val="0"/>
      <w:divBdr>
        <w:top w:val="none" w:sz="0" w:space="0" w:color="auto"/>
        <w:left w:val="none" w:sz="0" w:space="0" w:color="auto"/>
        <w:bottom w:val="none" w:sz="0" w:space="0" w:color="auto"/>
        <w:right w:val="none" w:sz="0" w:space="0" w:color="auto"/>
      </w:divBdr>
    </w:div>
    <w:div w:id="273438432">
      <w:bodyDiv w:val="1"/>
      <w:marLeft w:val="0"/>
      <w:marRight w:val="0"/>
      <w:marTop w:val="0"/>
      <w:marBottom w:val="0"/>
      <w:divBdr>
        <w:top w:val="none" w:sz="0" w:space="0" w:color="auto"/>
        <w:left w:val="none" w:sz="0" w:space="0" w:color="auto"/>
        <w:bottom w:val="none" w:sz="0" w:space="0" w:color="auto"/>
        <w:right w:val="none" w:sz="0" w:space="0" w:color="auto"/>
      </w:divBdr>
    </w:div>
    <w:div w:id="273561557">
      <w:bodyDiv w:val="1"/>
      <w:marLeft w:val="0"/>
      <w:marRight w:val="0"/>
      <w:marTop w:val="0"/>
      <w:marBottom w:val="0"/>
      <w:divBdr>
        <w:top w:val="none" w:sz="0" w:space="0" w:color="auto"/>
        <w:left w:val="none" w:sz="0" w:space="0" w:color="auto"/>
        <w:bottom w:val="none" w:sz="0" w:space="0" w:color="auto"/>
        <w:right w:val="none" w:sz="0" w:space="0" w:color="auto"/>
      </w:divBdr>
    </w:div>
    <w:div w:id="273944390">
      <w:bodyDiv w:val="1"/>
      <w:marLeft w:val="0"/>
      <w:marRight w:val="0"/>
      <w:marTop w:val="0"/>
      <w:marBottom w:val="0"/>
      <w:divBdr>
        <w:top w:val="none" w:sz="0" w:space="0" w:color="auto"/>
        <w:left w:val="none" w:sz="0" w:space="0" w:color="auto"/>
        <w:bottom w:val="none" w:sz="0" w:space="0" w:color="auto"/>
        <w:right w:val="none" w:sz="0" w:space="0" w:color="auto"/>
      </w:divBdr>
    </w:div>
    <w:div w:id="279991710">
      <w:bodyDiv w:val="1"/>
      <w:marLeft w:val="0"/>
      <w:marRight w:val="0"/>
      <w:marTop w:val="0"/>
      <w:marBottom w:val="0"/>
      <w:divBdr>
        <w:top w:val="none" w:sz="0" w:space="0" w:color="auto"/>
        <w:left w:val="none" w:sz="0" w:space="0" w:color="auto"/>
        <w:bottom w:val="none" w:sz="0" w:space="0" w:color="auto"/>
        <w:right w:val="none" w:sz="0" w:space="0" w:color="auto"/>
      </w:divBdr>
    </w:div>
    <w:div w:id="280110819">
      <w:bodyDiv w:val="1"/>
      <w:marLeft w:val="0"/>
      <w:marRight w:val="0"/>
      <w:marTop w:val="0"/>
      <w:marBottom w:val="0"/>
      <w:divBdr>
        <w:top w:val="none" w:sz="0" w:space="0" w:color="auto"/>
        <w:left w:val="none" w:sz="0" w:space="0" w:color="auto"/>
        <w:bottom w:val="none" w:sz="0" w:space="0" w:color="auto"/>
        <w:right w:val="none" w:sz="0" w:space="0" w:color="auto"/>
      </w:divBdr>
    </w:div>
    <w:div w:id="282422344">
      <w:bodyDiv w:val="1"/>
      <w:marLeft w:val="0"/>
      <w:marRight w:val="0"/>
      <w:marTop w:val="0"/>
      <w:marBottom w:val="0"/>
      <w:divBdr>
        <w:top w:val="none" w:sz="0" w:space="0" w:color="auto"/>
        <w:left w:val="none" w:sz="0" w:space="0" w:color="auto"/>
        <w:bottom w:val="none" w:sz="0" w:space="0" w:color="auto"/>
        <w:right w:val="none" w:sz="0" w:space="0" w:color="auto"/>
      </w:divBdr>
    </w:div>
    <w:div w:id="283318592">
      <w:bodyDiv w:val="1"/>
      <w:marLeft w:val="0"/>
      <w:marRight w:val="0"/>
      <w:marTop w:val="0"/>
      <w:marBottom w:val="0"/>
      <w:divBdr>
        <w:top w:val="none" w:sz="0" w:space="0" w:color="auto"/>
        <w:left w:val="none" w:sz="0" w:space="0" w:color="auto"/>
        <w:bottom w:val="none" w:sz="0" w:space="0" w:color="auto"/>
        <w:right w:val="none" w:sz="0" w:space="0" w:color="auto"/>
      </w:divBdr>
    </w:div>
    <w:div w:id="283971017">
      <w:bodyDiv w:val="1"/>
      <w:marLeft w:val="0"/>
      <w:marRight w:val="0"/>
      <w:marTop w:val="0"/>
      <w:marBottom w:val="0"/>
      <w:divBdr>
        <w:top w:val="none" w:sz="0" w:space="0" w:color="auto"/>
        <w:left w:val="none" w:sz="0" w:space="0" w:color="auto"/>
        <w:bottom w:val="none" w:sz="0" w:space="0" w:color="auto"/>
        <w:right w:val="none" w:sz="0" w:space="0" w:color="auto"/>
      </w:divBdr>
    </w:div>
    <w:div w:id="284196007">
      <w:bodyDiv w:val="1"/>
      <w:marLeft w:val="0"/>
      <w:marRight w:val="0"/>
      <w:marTop w:val="0"/>
      <w:marBottom w:val="0"/>
      <w:divBdr>
        <w:top w:val="none" w:sz="0" w:space="0" w:color="auto"/>
        <w:left w:val="none" w:sz="0" w:space="0" w:color="auto"/>
        <w:bottom w:val="none" w:sz="0" w:space="0" w:color="auto"/>
        <w:right w:val="none" w:sz="0" w:space="0" w:color="auto"/>
      </w:divBdr>
    </w:div>
    <w:div w:id="285697494">
      <w:bodyDiv w:val="1"/>
      <w:marLeft w:val="0"/>
      <w:marRight w:val="0"/>
      <w:marTop w:val="0"/>
      <w:marBottom w:val="0"/>
      <w:divBdr>
        <w:top w:val="none" w:sz="0" w:space="0" w:color="auto"/>
        <w:left w:val="none" w:sz="0" w:space="0" w:color="auto"/>
        <w:bottom w:val="none" w:sz="0" w:space="0" w:color="auto"/>
        <w:right w:val="none" w:sz="0" w:space="0" w:color="auto"/>
      </w:divBdr>
    </w:div>
    <w:div w:id="286276055">
      <w:bodyDiv w:val="1"/>
      <w:marLeft w:val="0"/>
      <w:marRight w:val="0"/>
      <w:marTop w:val="0"/>
      <w:marBottom w:val="0"/>
      <w:divBdr>
        <w:top w:val="none" w:sz="0" w:space="0" w:color="auto"/>
        <w:left w:val="none" w:sz="0" w:space="0" w:color="auto"/>
        <w:bottom w:val="none" w:sz="0" w:space="0" w:color="auto"/>
        <w:right w:val="none" w:sz="0" w:space="0" w:color="auto"/>
      </w:divBdr>
    </w:div>
    <w:div w:id="289022919">
      <w:bodyDiv w:val="1"/>
      <w:marLeft w:val="0"/>
      <w:marRight w:val="0"/>
      <w:marTop w:val="0"/>
      <w:marBottom w:val="0"/>
      <w:divBdr>
        <w:top w:val="none" w:sz="0" w:space="0" w:color="auto"/>
        <w:left w:val="none" w:sz="0" w:space="0" w:color="auto"/>
        <w:bottom w:val="none" w:sz="0" w:space="0" w:color="auto"/>
        <w:right w:val="none" w:sz="0" w:space="0" w:color="auto"/>
      </w:divBdr>
      <w:divsChild>
        <w:div w:id="562059287">
          <w:marLeft w:val="0"/>
          <w:marRight w:val="0"/>
          <w:marTop w:val="0"/>
          <w:marBottom w:val="0"/>
          <w:divBdr>
            <w:top w:val="none" w:sz="0" w:space="0" w:color="auto"/>
            <w:left w:val="none" w:sz="0" w:space="0" w:color="auto"/>
            <w:bottom w:val="none" w:sz="0" w:space="0" w:color="auto"/>
            <w:right w:val="none" w:sz="0" w:space="0" w:color="auto"/>
          </w:divBdr>
        </w:div>
      </w:divsChild>
    </w:div>
    <w:div w:id="289290348">
      <w:bodyDiv w:val="1"/>
      <w:marLeft w:val="0"/>
      <w:marRight w:val="0"/>
      <w:marTop w:val="0"/>
      <w:marBottom w:val="0"/>
      <w:divBdr>
        <w:top w:val="none" w:sz="0" w:space="0" w:color="auto"/>
        <w:left w:val="none" w:sz="0" w:space="0" w:color="auto"/>
        <w:bottom w:val="none" w:sz="0" w:space="0" w:color="auto"/>
        <w:right w:val="none" w:sz="0" w:space="0" w:color="auto"/>
      </w:divBdr>
      <w:divsChild>
        <w:div w:id="879364557">
          <w:marLeft w:val="0"/>
          <w:marRight w:val="0"/>
          <w:marTop w:val="0"/>
          <w:marBottom w:val="0"/>
          <w:divBdr>
            <w:top w:val="none" w:sz="0" w:space="0" w:color="auto"/>
            <w:left w:val="none" w:sz="0" w:space="0" w:color="auto"/>
            <w:bottom w:val="none" w:sz="0" w:space="0" w:color="auto"/>
            <w:right w:val="none" w:sz="0" w:space="0" w:color="auto"/>
          </w:divBdr>
        </w:div>
      </w:divsChild>
    </w:div>
    <w:div w:id="290399834">
      <w:bodyDiv w:val="1"/>
      <w:marLeft w:val="0"/>
      <w:marRight w:val="0"/>
      <w:marTop w:val="0"/>
      <w:marBottom w:val="0"/>
      <w:divBdr>
        <w:top w:val="none" w:sz="0" w:space="0" w:color="auto"/>
        <w:left w:val="none" w:sz="0" w:space="0" w:color="auto"/>
        <w:bottom w:val="none" w:sz="0" w:space="0" w:color="auto"/>
        <w:right w:val="none" w:sz="0" w:space="0" w:color="auto"/>
      </w:divBdr>
      <w:divsChild>
        <w:div w:id="1475759413">
          <w:marLeft w:val="0"/>
          <w:marRight w:val="0"/>
          <w:marTop w:val="0"/>
          <w:marBottom w:val="0"/>
          <w:divBdr>
            <w:top w:val="none" w:sz="0" w:space="0" w:color="auto"/>
            <w:left w:val="none" w:sz="0" w:space="0" w:color="auto"/>
            <w:bottom w:val="none" w:sz="0" w:space="0" w:color="auto"/>
            <w:right w:val="none" w:sz="0" w:space="0" w:color="auto"/>
          </w:divBdr>
        </w:div>
      </w:divsChild>
    </w:div>
    <w:div w:id="290670509">
      <w:bodyDiv w:val="1"/>
      <w:marLeft w:val="0"/>
      <w:marRight w:val="0"/>
      <w:marTop w:val="0"/>
      <w:marBottom w:val="0"/>
      <w:divBdr>
        <w:top w:val="none" w:sz="0" w:space="0" w:color="auto"/>
        <w:left w:val="none" w:sz="0" w:space="0" w:color="auto"/>
        <w:bottom w:val="none" w:sz="0" w:space="0" w:color="auto"/>
        <w:right w:val="none" w:sz="0" w:space="0" w:color="auto"/>
      </w:divBdr>
    </w:div>
    <w:div w:id="291060109">
      <w:bodyDiv w:val="1"/>
      <w:marLeft w:val="0"/>
      <w:marRight w:val="0"/>
      <w:marTop w:val="0"/>
      <w:marBottom w:val="0"/>
      <w:divBdr>
        <w:top w:val="none" w:sz="0" w:space="0" w:color="auto"/>
        <w:left w:val="none" w:sz="0" w:space="0" w:color="auto"/>
        <w:bottom w:val="none" w:sz="0" w:space="0" w:color="auto"/>
        <w:right w:val="none" w:sz="0" w:space="0" w:color="auto"/>
      </w:divBdr>
    </w:div>
    <w:div w:id="300308361">
      <w:bodyDiv w:val="1"/>
      <w:marLeft w:val="0"/>
      <w:marRight w:val="0"/>
      <w:marTop w:val="0"/>
      <w:marBottom w:val="0"/>
      <w:divBdr>
        <w:top w:val="none" w:sz="0" w:space="0" w:color="auto"/>
        <w:left w:val="none" w:sz="0" w:space="0" w:color="auto"/>
        <w:bottom w:val="none" w:sz="0" w:space="0" w:color="auto"/>
        <w:right w:val="none" w:sz="0" w:space="0" w:color="auto"/>
      </w:divBdr>
    </w:div>
    <w:div w:id="300549202">
      <w:bodyDiv w:val="1"/>
      <w:marLeft w:val="0"/>
      <w:marRight w:val="0"/>
      <w:marTop w:val="0"/>
      <w:marBottom w:val="0"/>
      <w:divBdr>
        <w:top w:val="none" w:sz="0" w:space="0" w:color="auto"/>
        <w:left w:val="none" w:sz="0" w:space="0" w:color="auto"/>
        <w:bottom w:val="none" w:sz="0" w:space="0" w:color="auto"/>
        <w:right w:val="none" w:sz="0" w:space="0" w:color="auto"/>
      </w:divBdr>
    </w:div>
    <w:div w:id="300623885">
      <w:bodyDiv w:val="1"/>
      <w:marLeft w:val="0"/>
      <w:marRight w:val="0"/>
      <w:marTop w:val="0"/>
      <w:marBottom w:val="0"/>
      <w:divBdr>
        <w:top w:val="none" w:sz="0" w:space="0" w:color="auto"/>
        <w:left w:val="none" w:sz="0" w:space="0" w:color="auto"/>
        <w:bottom w:val="none" w:sz="0" w:space="0" w:color="auto"/>
        <w:right w:val="none" w:sz="0" w:space="0" w:color="auto"/>
      </w:divBdr>
    </w:div>
    <w:div w:id="301086066">
      <w:bodyDiv w:val="1"/>
      <w:marLeft w:val="0"/>
      <w:marRight w:val="0"/>
      <w:marTop w:val="0"/>
      <w:marBottom w:val="0"/>
      <w:divBdr>
        <w:top w:val="none" w:sz="0" w:space="0" w:color="auto"/>
        <w:left w:val="none" w:sz="0" w:space="0" w:color="auto"/>
        <w:bottom w:val="none" w:sz="0" w:space="0" w:color="auto"/>
        <w:right w:val="none" w:sz="0" w:space="0" w:color="auto"/>
      </w:divBdr>
    </w:div>
    <w:div w:id="301156083">
      <w:bodyDiv w:val="1"/>
      <w:marLeft w:val="0"/>
      <w:marRight w:val="0"/>
      <w:marTop w:val="0"/>
      <w:marBottom w:val="0"/>
      <w:divBdr>
        <w:top w:val="none" w:sz="0" w:space="0" w:color="auto"/>
        <w:left w:val="none" w:sz="0" w:space="0" w:color="auto"/>
        <w:bottom w:val="none" w:sz="0" w:space="0" w:color="auto"/>
        <w:right w:val="none" w:sz="0" w:space="0" w:color="auto"/>
      </w:divBdr>
    </w:div>
    <w:div w:id="301422097">
      <w:bodyDiv w:val="1"/>
      <w:marLeft w:val="0"/>
      <w:marRight w:val="0"/>
      <w:marTop w:val="0"/>
      <w:marBottom w:val="0"/>
      <w:divBdr>
        <w:top w:val="none" w:sz="0" w:space="0" w:color="auto"/>
        <w:left w:val="none" w:sz="0" w:space="0" w:color="auto"/>
        <w:bottom w:val="none" w:sz="0" w:space="0" w:color="auto"/>
        <w:right w:val="none" w:sz="0" w:space="0" w:color="auto"/>
      </w:divBdr>
    </w:div>
    <w:div w:id="305354655">
      <w:bodyDiv w:val="1"/>
      <w:marLeft w:val="0"/>
      <w:marRight w:val="0"/>
      <w:marTop w:val="0"/>
      <w:marBottom w:val="0"/>
      <w:divBdr>
        <w:top w:val="none" w:sz="0" w:space="0" w:color="auto"/>
        <w:left w:val="none" w:sz="0" w:space="0" w:color="auto"/>
        <w:bottom w:val="none" w:sz="0" w:space="0" w:color="auto"/>
        <w:right w:val="none" w:sz="0" w:space="0" w:color="auto"/>
      </w:divBdr>
    </w:div>
    <w:div w:id="305475562">
      <w:bodyDiv w:val="1"/>
      <w:marLeft w:val="0"/>
      <w:marRight w:val="0"/>
      <w:marTop w:val="0"/>
      <w:marBottom w:val="0"/>
      <w:divBdr>
        <w:top w:val="none" w:sz="0" w:space="0" w:color="auto"/>
        <w:left w:val="none" w:sz="0" w:space="0" w:color="auto"/>
        <w:bottom w:val="none" w:sz="0" w:space="0" w:color="auto"/>
        <w:right w:val="none" w:sz="0" w:space="0" w:color="auto"/>
      </w:divBdr>
    </w:div>
    <w:div w:id="307128536">
      <w:bodyDiv w:val="1"/>
      <w:marLeft w:val="0"/>
      <w:marRight w:val="0"/>
      <w:marTop w:val="0"/>
      <w:marBottom w:val="0"/>
      <w:divBdr>
        <w:top w:val="none" w:sz="0" w:space="0" w:color="auto"/>
        <w:left w:val="none" w:sz="0" w:space="0" w:color="auto"/>
        <w:bottom w:val="none" w:sz="0" w:space="0" w:color="auto"/>
        <w:right w:val="none" w:sz="0" w:space="0" w:color="auto"/>
      </w:divBdr>
    </w:div>
    <w:div w:id="309410699">
      <w:bodyDiv w:val="1"/>
      <w:marLeft w:val="0"/>
      <w:marRight w:val="0"/>
      <w:marTop w:val="0"/>
      <w:marBottom w:val="0"/>
      <w:divBdr>
        <w:top w:val="none" w:sz="0" w:space="0" w:color="auto"/>
        <w:left w:val="none" w:sz="0" w:space="0" w:color="auto"/>
        <w:bottom w:val="none" w:sz="0" w:space="0" w:color="auto"/>
        <w:right w:val="none" w:sz="0" w:space="0" w:color="auto"/>
      </w:divBdr>
    </w:div>
    <w:div w:id="310258515">
      <w:bodyDiv w:val="1"/>
      <w:marLeft w:val="0"/>
      <w:marRight w:val="0"/>
      <w:marTop w:val="0"/>
      <w:marBottom w:val="0"/>
      <w:divBdr>
        <w:top w:val="none" w:sz="0" w:space="0" w:color="auto"/>
        <w:left w:val="none" w:sz="0" w:space="0" w:color="auto"/>
        <w:bottom w:val="none" w:sz="0" w:space="0" w:color="auto"/>
        <w:right w:val="none" w:sz="0" w:space="0" w:color="auto"/>
      </w:divBdr>
    </w:div>
    <w:div w:id="310792018">
      <w:bodyDiv w:val="1"/>
      <w:marLeft w:val="0"/>
      <w:marRight w:val="0"/>
      <w:marTop w:val="0"/>
      <w:marBottom w:val="0"/>
      <w:divBdr>
        <w:top w:val="none" w:sz="0" w:space="0" w:color="auto"/>
        <w:left w:val="none" w:sz="0" w:space="0" w:color="auto"/>
        <w:bottom w:val="none" w:sz="0" w:space="0" w:color="auto"/>
        <w:right w:val="none" w:sz="0" w:space="0" w:color="auto"/>
      </w:divBdr>
      <w:divsChild>
        <w:div w:id="1933665004">
          <w:marLeft w:val="0"/>
          <w:marRight w:val="0"/>
          <w:marTop w:val="0"/>
          <w:marBottom w:val="0"/>
          <w:divBdr>
            <w:top w:val="none" w:sz="0" w:space="0" w:color="auto"/>
            <w:left w:val="none" w:sz="0" w:space="0" w:color="auto"/>
            <w:bottom w:val="none" w:sz="0" w:space="0" w:color="auto"/>
            <w:right w:val="none" w:sz="0" w:space="0" w:color="auto"/>
          </w:divBdr>
        </w:div>
      </w:divsChild>
    </w:div>
    <w:div w:id="311179601">
      <w:bodyDiv w:val="1"/>
      <w:marLeft w:val="0"/>
      <w:marRight w:val="0"/>
      <w:marTop w:val="0"/>
      <w:marBottom w:val="0"/>
      <w:divBdr>
        <w:top w:val="none" w:sz="0" w:space="0" w:color="auto"/>
        <w:left w:val="none" w:sz="0" w:space="0" w:color="auto"/>
        <w:bottom w:val="none" w:sz="0" w:space="0" w:color="auto"/>
        <w:right w:val="none" w:sz="0" w:space="0" w:color="auto"/>
      </w:divBdr>
    </w:div>
    <w:div w:id="311754955">
      <w:bodyDiv w:val="1"/>
      <w:marLeft w:val="0"/>
      <w:marRight w:val="0"/>
      <w:marTop w:val="0"/>
      <w:marBottom w:val="0"/>
      <w:divBdr>
        <w:top w:val="none" w:sz="0" w:space="0" w:color="auto"/>
        <w:left w:val="none" w:sz="0" w:space="0" w:color="auto"/>
        <w:bottom w:val="none" w:sz="0" w:space="0" w:color="auto"/>
        <w:right w:val="none" w:sz="0" w:space="0" w:color="auto"/>
      </w:divBdr>
    </w:div>
    <w:div w:id="312026522">
      <w:bodyDiv w:val="1"/>
      <w:marLeft w:val="0"/>
      <w:marRight w:val="0"/>
      <w:marTop w:val="0"/>
      <w:marBottom w:val="0"/>
      <w:divBdr>
        <w:top w:val="none" w:sz="0" w:space="0" w:color="auto"/>
        <w:left w:val="none" w:sz="0" w:space="0" w:color="auto"/>
        <w:bottom w:val="none" w:sz="0" w:space="0" w:color="auto"/>
        <w:right w:val="none" w:sz="0" w:space="0" w:color="auto"/>
      </w:divBdr>
    </w:div>
    <w:div w:id="312488256">
      <w:bodyDiv w:val="1"/>
      <w:marLeft w:val="0"/>
      <w:marRight w:val="0"/>
      <w:marTop w:val="0"/>
      <w:marBottom w:val="0"/>
      <w:divBdr>
        <w:top w:val="none" w:sz="0" w:space="0" w:color="auto"/>
        <w:left w:val="none" w:sz="0" w:space="0" w:color="auto"/>
        <w:bottom w:val="none" w:sz="0" w:space="0" w:color="auto"/>
        <w:right w:val="none" w:sz="0" w:space="0" w:color="auto"/>
      </w:divBdr>
    </w:div>
    <w:div w:id="312831172">
      <w:bodyDiv w:val="1"/>
      <w:marLeft w:val="0"/>
      <w:marRight w:val="0"/>
      <w:marTop w:val="0"/>
      <w:marBottom w:val="0"/>
      <w:divBdr>
        <w:top w:val="none" w:sz="0" w:space="0" w:color="auto"/>
        <w:left w:val="none" w:sz="0" w:space="0" w:color="auto"/>
        <w:bottom w:val="none" w:sz="0" w:space="0" w:color="auto"/>
        <w:right w:val="none" w:sz="0" w:space="0" w:color="auto"/>
      </w:divBdr>
    </w:div>
    <w:div w:id="313073638">
      <w:bodyDiv w:val="1"/>
      <w:marLeft w:val="0"/>
      <w:marRight w:val="0"/>
      <w:marTop w:val="0"/>
      <w:marBottom w:val="0"/>
      <w:divBdr>
        <w:top w:val="none" w:sz="0" w:space="0" w:color="auto"/>
        <w:left w:val="none" w:sz="0" w:space="0" w:color="auto"/>
        <w:bottom w:val="none" w:sz="0" w:space="0" w:color="auto"/>
        <w:right w:val="none" w:sz="0" w:space="0" w:color="auto"/>
      </w:divBdr>
    </w:div>
    <w:div w:id="314143483">
      <w:bodyDiv w:val="1"/>
      <w:marLeft w:val="0"/>
      <w:marRight w:val="0"/>
      <w:marTop w:val="0"/>
      <w:marBottom w:val="0"/>
      <w:divBdr>
        <w:top w:val="none" w:sz="0" w:space="0" w:color="auto"/>
        <w:left w:val="none" w:sz="0" w:space="0" w:color="auto"/>
        <w:bottom w:val="none" w:sz="0" w:space="0" w:color="auto"/>
        <w:right w:val="none" w:sz="0" w:space="0" w:color="auto"/>
      </w:divBdr>
    </w:div>
    <w:div w:id="314338767">
      <w:bodyDiv w:val="1"/>
      <w:marLeft w:val="0"/>
      <w:marRight w:val="0"/>
      <w:marTop w:val="0"/>
      <w:marBottom w:val="0"/>
      <w:divBdr>
        <w:top w:val="none" w:sz="0" w:space="0" w:color="auto"/>
        <w:left w:val="none" w:sz="0" w:space="0" w:color="auto"/>
        <w:bottom w:val="none" w:sz="0" w:space="0" w:color="auto"/>
        <w:right w:val="none" w:sz="0" w:space="0" w:color="auto"/>
      </w:divBdr>
    </w:div>
    <w:div w:id="314459414">
      <w:bodyDiv w:val="1"/>
      <w:marLeft w:val="0"/>
      <w:marRight w:val="0"/>
      <w:marTop w:val="0"/>
      <w:marBottom w:val="0"/>
      <w:divBdr>
        <w:top w:val="none" w:sz="0" w:space="0" w:color="auto"/>
        <w:left w:val="none" w:sz="0" w:space="0" w:color="auto"/>
        <w:bottom w:val="none" w:sz="0" w:space="0" w:color="auto"/>
        <w:right w:val="none" w:sz="0" w:space="0" w:color="auto"/>
      </w:divBdr>
      <w:divsChild>
        <w:div w:id="2067219201">
          <w:marLeft w:val="0"/>
          <w:marRight w:val="0"/>
          <w:marTop w:val="0"/>
          <w:marBottom w:val="0"/>
          <w:divBdr>
            <w:top w:val="none" w:sz="0" w:space="0" w:color="auto"/>
            <w:left w:val="none" w:sz="0" w:space="0" w:color="auto"/>
            <w:bottom w:val="none" w:sz="0" w:space="0" w:color="auto"/>
            <w:right w:val="none" w:sz="0" w:space="0" w:color="auto"/>
          </w:divBdr>
          <w:divsChild>
            <w:div w:id="1211070809">
              <w:marLeft w:val="0"/>
              <w:marRight w:val="0"/>
              <w:marTop w:val="0"/>
              <w:marBottom w:val="0"/>
              <w:divBdr>
                <w:top w:val="none" w:sz="0" w:space="0" w:color="auto"/>
                <w:left w:val="none" w:sz="0" w:space="0" w:color="auto"/>
                <w:bottom w:val="none" w:sz="0" w:space="0" w:color="auto"/>
                <w:right w:val="none" w:sz="0" w:space="0" w:color="auto"/>
              </w:divBdr>
              <w:divsChild>
                <w:div w:id="836728652">
                  <w:marLeft w:val="0"/>
                  <w:marRight w:val="0"/>
                  <w:marTop w:val="0"/>
                  <w:marBottom w:val="0"/>
                  <w:divBdr>
                    <w:top w:val="none" w:sz="0" w:space="0" w:color="auto"/>
                    <w:left w:val="none" w:sz="0" w:space="0" w:color="auto"/>
                    <w:bottom w:val="none" w:sz="0" w:space="0" w:color="auto"/>
                    <w:right w:val="none" w:sz="0" w:space="0" w:color="auto"/>
                  </w:divBdr>
                  <w:divsChild>
                    <w:div w:id="1515875063">
                      <w:marLeft w:val="0"/>
                      <w:marRight w:val="0"/>
                      <w:marTop w:val="0"/>
                      <w:marBottom w:val="0"/>
                      <w:divBdr>
                        <w:top w:val="none" w:sz="0" w:space="0" w:color="auto"/>
                        <w:left w:val="none" w:sz="0" w:space="0" w:color="auto"/>
                        <w:bottom w:val="none" w:sz="0" w:space="0" w:color="auto"/>
                        <w:right w:val="none" w:sz="0" w:space="0" w:color="auto"/>
                      </w:divBdr>
                      <w:divsChild>
                        <w:div w:id="1621689096">
                          <w:marLeft w:val="0"/>
                          <w:marRight w:val="0"/>
                          <w:marTop w:val="0"/>
                          <w:marBottom w:val="0"/>
                          <w:divBdr>
                            <w:top w:val="none" w:sz="0" w:space="0" w:color="auto"/>
                            <w:left w:val="none" w:sz="0" w:space="0" w:color="auto"/>
                            <w:bottom w:val="none" w:sz="0" w:space="0" w:color="auto"/>
                            <w:right w:val="none" w:sz="0" w:space="0" w:color="auto"/>
                          </w:divBdr>
                          <w:divsChild>
                            <w:div w:id="1860968619">
                              <w:marLeft w:val="0"/>
                              <w:marRight w:val="0"/>
                              <w:marTop w:val="0"/>
                              <w:marBottom w:val="0"/>
                              <w:divBdr>
                                <w:top w:val="none" w:sz="0" w:space="0" w:color="auto"/>
                                <w:left w:val="none" w:sz="0" w:space="0" w:color="auto"/>
                                <w:bottom w:val="none" w:sz="0" w:space="0" w:color="auto"/>
                                <w:right w:val="none" w:sz="0" w:space="0" w:color="auto"/>
                              </w:divBdr>
                              <w:divsChild>
                                <w:div w:id="1657537349">
                                  <w:marLeft w:val="0"/>
                                  <w:marRight w:val="0"/>
                                  <w:marTop w:val="0"/>
                                  <w:marBottom w:val="0"/>
                                  <w:divBdr>
                                    <w:top w:val="single" w:sz="6" w:space="0" w:color="F5F5F5"/>
                                    <w:left w:val="single" w:sz="6" w:space="0" w:color="F5F5F5"/>
                                    <w:bottom w:val="single" w:sz="6" w:space="0" w:color="F5F5F5"/>
                                    <w:right w:val="single" w:sz="6" w:space="0" w:color="F5F5F5"/>
                                  </w:divBdr>
                                  <w:divsChild>
                                    <w:div w:id="561061084">
                                      <w:marLeft w:val="0"/>
                                      <w:marRight w:val="0"/>
                                      <w:marTop w:val="0"/>
                                      <w:marBottom w:val="0"/>
                                      <w:divBdr>
                                        <w:top w:val="none" w:sz="0" w:space="0" w:color="auto"/>
                                        <w:left w:val="none" w:sz="0" w:space="0" w:color="auto"/>
                                        <w:bottom w:val="none" w:sz="0" w:space="0" w:color="auto"/>
                                        <w:right w:val="none" w:sz="0" w:space="0" w:color="auto"/>
                                      </w:divBdr>
                                      <w:divsChild>
                                        <w:div w:id="1372681138">
                                          <w:marLeft w:val="0"/>
                                          <w:marRight w:val="0"/>
                                          <w:marTop w:val="0"/>
                                          <w:marBottom w:val="0"/>
                                          <w:divBdr>
                                            <w:top w:val="none" w:sz="0" w:space="0" w:color="auto"/>
                                            <w:left w:val="none" w:sz="0" w:space="0" w:color="auto"/>
                                            <w:bottom w:val="none" w:sz="0" w:space="0" w:color="auto"/>
                                            <w:right w:val="none" w:sz="0" w:space="0" w:color="auto"/>
                                          </w:divBdr>
                                        </w:div>
                                      </w:divsChild>
                                    </w:div>
                                    <w:div w:id="1916090174">
                                      <w:marLeft w:val="0"/>
                                      <w:marRight w:val="0"/>
                                      <w:marTop w:val="0"/>
                                      <w:marBottom w:val="0"/>
                                      <w:divBdr>
                                        <w:top w:val="none" w:sz="0" w:space="0" w:color="auto"/>
                                        <w:left w:val="none" w:sz="0" w:space="0" w:color="auto"/>
                                        <w:bottom w:val="none" w:sz="0" w:space="0" w:color="auto"/>
                                        <w:right w:val="none" w:sz="0" w:space="0" w:color="auto"/>
                                      </w:divBdr>
                                      <w:divsChild>
                                        <w:div w:id="790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497398">
      <w:bodyDiv w:val="1"/>
      <w:marLeft w:val="0"/>
      <w:marRight w:val="0"/>
      <w:marTop w:val="0"/>
      <w:marBottom w:val="0"/>
      <w:divBdr>
        <w:top w:val="none" w:sz="0" w:space="0" w:color="auto"/>
        <w:left w:val="none" w:sz="0" w:space="0" w:color="auto"/>
        <w:bottom w:val="none" w:sz="0" w:space="0" w:color="auto"/>
        <w:right w:val="none" w:sz="0" w:space="0" w:color="auto"/>
      </w:divBdr>
    </w:div>
    <w:div w:id="319499792">
      <w:bodyDiv w:val="1"/>
      <w:marLeft w:val="0"/>
      <w:marRight w:val="0"/>
      <w:marTop w:val="0"/>
      <w:marBottom w:val="0"/>
      <w:divBdr>
        <w:top w:val="none" w:sz="0" w:space="0" w:color="auto"/>
        <w:left w:val="none" w:sz="0" w:space="0" w:color="auto"/>
        <w:bottom w:val="none" w:sz="0" w:space="0" w:color="auto"/>
        <w:right w:val="none" w:sz="0" w:space="0" w:color="auto"/>
      </w:divBdr>
    </w:div>
    <w:div w:id="320357378">
      <w:bodyDiv w:val="1"/>
      <w:marLeft w:val="0"/>
      <w:marRight w:val="0"/>
      <w:marTop w:val="0"/>
      <w:marBottom w:val="0"/>
      <w:divBdr>
        <w:top w:val="none" w:sz="0" w:space="0" w:color="auto"/>
        <w:left w:val="none" w:sz="0" w:space="0" w:color="auto"/>
        <w:bottom w:val="none" w:sz="0" w:space="0" w:color="auto"/>
        <w:right w:val="none" w:sz="0" w:space="0" w:color="auto"/>
      </w:divBdr>
    </w:div>
    <w:div w:id="322898311">
      <w:bodyDiv w:val="1"/>
      <w:marLeft w:val="0"/>
      <w:marRight w:val="0"/>
      <w:marTop w:val="0"/>
      <w:marBottom w:val="0"/>
      <w:divBdr>
        <w:top w:val="none" w:sz="0" w:space="0" w:color="auto"/>
        <w:left w:val="none" w:sz="0" w:space="0" w:color="auto"/>
        <w:bottom w:val="none" w:sz="0" w:space="0" w:color="auto"/>
        <w:right w:val="none" w:sz="0" w:space="0" w:color="auto"/>
      </w:divBdr>
    </w:div>
    <w:div w:id="322898760">
      <w:bodyDiv w:val="1"/>
      <w:marLeft w:val="0"/>
      <w:marRight w:val="0"/>
      <w:marTop w:val="0"/>
      <w:marBottom w:val="0"/>
      <w:divBdr>
        <w:top w:val="none" w:sz="0" w:space="0" w:color="auto"/>
        <w:left w:val="none" w:sz="0" w:space="0" w:color="auto"/>
        <w:bottom w:val="none" w:sz="0" w:space="0" w:color="auto"/>
        <w:right w:val="none" w:sz="0" w:space="0" w:color="auto"/>
      </w:divBdr>
      <w:divsChild>
        <w:div w:id="1675646852">
          <w:marLeft w:val="0"/>
          <w:marRight w:val="0"/>
          <w:marTop w:val="0"/>
          <w:marBottom w:val="0"/>
          <w:divBdr>
            <w:top w:val="none" w:sz="0" w:space="0" w:color="auto"/>
            <w:left w:val="none" w:sz="0" w:space="0" w:color="auto"/>
            <w:bottom w:val="none" w:sz="0" w:space="0" w:color="auto"/>
            <w:right w:val="none" w:sz="0" w:space="0" w:color="auto"/>
          </w:divBdr>
        </w:div>
      </w:divsChild>
    </w:div>
    <w:div w:id="323172365">
      <w:bodyDiv w:val="1"/>
      <w:marLeft w:val="0"/>
      <w:marRight w:val="0"/>
      <w:marTop w:val="0"/>
      <w:marBottom w:val="0"/>
      <w:divBdr>
        <w:top w:val="none" w:sz="0" w:space="0" w:color="auto"/>
        <w:left w:val="none" w:sz="0" w:space="0" w:color="auto"/>
        <w:bottom w:val="none" w:sz="0" w:space="0" w:color="auto"/>
        <w:right w:val="none" w:sz="0" w:space="0" w:color="auto"/>
      </w:divBdr>
    </w:div>
    <w:div w:id="328410349">
      <w:bodyDiv w:val="1"/>
      <w:marLeft w:val="0"/>
      <w:marRight w:val="0"/>
      <w:marTop w:val="0"/>
      <w:marBottom w:val="0"/>
      <w:divBdr>
        <w:top w:val="none" w:sz="0" w:space="0" w:color="auto"/>
        <w:left w:val="none" w:sz="0" w:space="0" w:color="auto"/>
        <w:bottom w:val="none" w:sz="0" w:space="0" w:color="auto"/>
        <w:right w:val="none" w:sz="0" w:space="0" w:color="auto"/>
      </w:divBdr>
    </w:div>
    <w:div w:id="332415847">
      <w:bodyDiv w:val="1"/>
      <w:marLeft w:val="0"/>
      <w:marRight w:val="0"/>
      <w:marTop w:val="0"/>
      <w:marBottom w:val="0"/>
      <w:divBdr>
        <w:top w:val="none" w:sz="0" w:space="0" w:color="auto"/>
        <w:left w:val="none" w:sz="0" w:space="0" w:color="auto"/>
        <w:bottom w:val="none" w:sz="0" w:space="0" w:color="auto"/>
        <w:right w:val="none" w:sz="0" w:space="0" w:color="auto"/>
      </w:divBdr>
    </w:div>
    <w:div w:id="335763544">
      <w:bodyDiv w:val="1"/>
      <w:marLeft w:val="0"/>
      <w:marRight w:val="0"/>
      <w:marTop w:val="0"/>
      <w:marBottom w:val="0"/>
      <w:divBdr>
        <w:top w:val="none" w:sz="0" w:space="0" w:color="auto"/>
        <w:left w:val="none" w:sz="0" w:space="0" w:color="auto"/>
        <w:bottom w:val="none" w:sz="0" w:space="0" w:color="auto"/>
        <w:right w:val="none" w:sz="0" w:space="0" w:color="auto"/>
      </w:divBdr>
    </w:div>
    <w:div w:id="337580313">
      <w:bodyDiv w:val="1"/>
      <w:marLeft w:val="0"/>
      <w:marRight w:val="0"/>
      <w:marTop w:val="0"/>
      <w:marBottom w:val="0"/>
      <w:divBdr>
        <w:top w:val="none" w:sz="0" w:space="0" w:color="auto"/>
        <w:left w:val="none" w:sz="0" w:space="0" w:color="auto"/>
        <w:bottom w:val="none" w:sz="0" w:space="0" w:color="auto"/>
        <w:right w:val="none" w:sz="0" w:space="0" w:color="auto"/>
      </w:divBdr>
    </w:div>
    <w:div w:id="337924946">
      <w:bodyDiv w:val="1"/>
      <w:marLeft w:val="0"/>
      <w:marRight w:val="0"/>
      <w:marTop w:val="0"/>
      <w:marBottom w:val="0"/>
      <w:divBdr>
        <w:top w:val="none" w:sz="0" w:space="0" w:color="auto"/>
        <w:left w:val="none" w:sz="0" w:space="0" w:color="auto"/>
        <w:bottom w:val="none" w:sz="0" w:space="0" w:color="auto"/>
        <w:right w:val="none" w:sz="0" w:space="0" w:color="auto"/>
      </w:divBdr>
    </w:div>
    <w:div w:id="339434770">
      <w:bodyDiv w:val="1"/>
      <w:marLeft w:val="0"/>
      <w:marRight w:val="0"/>
      <w:marTop w:val="0"/>
      <w:marBottom w:val="0"/>
      <w:divBdr>
        <w:top w:val="none" w:sz="0" w:space="0" w:color="auto"/>
        <w:left w:val="none" w:sz="0" w:space="0" w:color="auto"/>
        <w:bottom w:val="none" w:sz="0" w:space="0" w:color="auto"/>
        <w:right w:val="none" w:sz="0" w:space="0" w:color="auto"/>
      </w:divBdr>
      <w:divsChild>
        <w:div w:id="1397169792">
          <w:marLeft w:val="0"/>
          <w:marRight w:val="0"/>
          <w:marTop w:val="0"/>
          <w:marBottom w:val="0"/>
          <w:divBdr>
            <w:top w:val="none" w:sz="0" w:space="0" w:color="auto"/>
            <w:left w:val="none" w:sz="0" w:space="0" w:color="auto"/>
            <w:bottom w:val="none" w:sz="0" w:space="0" w:color="auto"/>
            <w:right w:val="none" w:sz="0" w:space="0" w:color="auto"/>
          </w:divBdr>
        </w:div>
      </w:divsChild>
    </w:div>
    <w:div w:id="342781544">
      <w:bodyDiv w:val="1"/>
      <w:marLeft w:val="0"/>
      <w:marRight w:val="0"/>
      <w:marTop w:val="0"/>
      <w:marBottom w:val="0"/>
      <w:divBdr>
        <w:top w:val="none" w:sz="0" w:space="0" w:color="auto"/>
        <w:left w:val="none" w:sz="0" w:space="0" w:color="auto"/>
        <w:bottom w:val="none" w:sz="0" w:space="0" w:color="auto"/>
        <w:right w:val="none" w:sz="0" w:space="0" w:color="auto"/>
      </w:divBdr>
    </w:div>
    <w:div w:id="343171008">
      <w:bodyDiv w:val="1"/>
      <w:marLeft w:val="0"/>
      <w:marRight w:val="0"/>
      <w:marTop w:val="0"/>
      <w:marBottom w:val="0"/>
      <w:divBdr>
        <w:top w:val="none" w:sz="0" w:space="0" w:color="auto"/>
        <w:left w:val="none" w:sz="0" w:space="0" w:color="auto"/>
        <w:bottom w:val="none" w:sz="0" w:space="0" w:color="auto"/>
        <w:right w:val="none" w:sz="0" w:space="0" w:color="auto"/>
      </w:divBdr>
    </w:div>
    <w:div w:id="343215671">
      <w:bodyDiv w:val="1"/>
      <w:marLeft w:val="0"/>
      <w:marRight w:val="0"/>
      <w:marTop w:val="0"/>
      <w:marBottom w:val="0"/>
      <w:divBdr>
        <w:top w:val="none" w:sz="0" w:space="0" w:color="auto"/>
        <w:left w:val="none" w:sz="0" w:space="0" w:color="auto"/>
        <w:bottom w:val="none" w:sz="0" w:space="0" w:color="auto"/>
        <w:right w:val="none" w:sz="0" w:space="0" w:color="auto"/>
      </w:divBdr>
    </w:div>
    <w:div w:id="344283568">
      <w:bodyDiv w:val="1"/>
      <w:marLeft w:val="0"/>
      <w:marRight w:val="0"/>
      <w:marTop w:val="0"/>
      <w:marBottom w:val="0"/>
      <w:divBdr>
        <w:top w:val="none" w:sz="0" w:space="0" w:color="auto"/>
        <w:left w:val="none" w:sz="0" w:space="0" w:color="auto"/>
        <w:bottom w:val="none" w:sz="0" w:space="0" w:color="auto"/>
        <w:right w:val="none" w:sz="0" w:space="0" w:color="auto"/>
      </w:divBdr>
    </w:div>
    <w:div w:id="344406995">
      <w:bodyDiv w:val="1"/>
      <w:marLeft w:val="0"/>
      <w:marRight w:val="0"/>
      <w:marTop w:val="0"/>
      <w:marBottom w:val="0"/>
      <w:divBdr>
        <w:top w:val="none" w:sz="0" w:space="0" w:color="auto"/>
        <w:left w:val="none" w:sz="0" w:space="0" w:color="auto"/>
        <w:bottom w:val="none" w:sz="0" w:space="0" w:color="auto"/>
        <w:right w:val="none" w:sz="0" w:space="0" w:color="auto"/>
      </w:divBdr>
    </w:div>
    <w:div w:id="345059448">
      <w:bodyDiv w:val="1"/>
      <w:marLeft w:val="0"/>
      <w:marRight w:val="0"/>
      <w:marTop w:val="0"/>
      <w:marBottom w:val="0"/>
      <w:divBdr>
        <w:top w:val="none" w:sz="0" w:space="0" w:color="auto"/>
        <w:left w:val="none" w:sz="0" w:space="0" w:color="auto"/>
        <w:bottom w:val="none" w:sz="0" w:space="0" w:color="auto"/>
        <w:right w:val="none" w:sz="0" w:space="0" w:color="auto"/>
      </w:divBdr>
    </w:div>
    <w:div w:id="345447468">
      <w:bodyDiv w:val="1"/>
      <w:marLeft w:val="0"/>
      <w:marRight w:val="0"/>
      <w:marTop w:val="0"/>
      <w:marBottom w:val="0"/>
      <w:divBdr>
        <w:top w:val="none" w:sz="0" w:space="0" w:color="auto"/>
        <w:left w:val="none" w:sz="0" w:space="0" w:color="auto"/>
        <w:bottom w:val="none" w:sz="0" w:space="0" w:color="auto"/>
        <w:right w:val="none" w:sz="0" w:space="0" w:color="auto"/>
      </w:divBdr>
    </w:div>
    <w:div w:id="346756794">
      <w:bodyDiv w:val="1"/>
      <w:marLeft w:val="0"/>
      <w:marRight w:val="0"/>
      <w:marTop w:val="0"/>
      <w:marBottom w:val="0"/>
      <w:divBdr>
        <w:top w:val="none" w:sz="0" w:space="0" w:color="auto"/>
        <w:left w:val="none" w:sz="0" w:space="0" w:color="auto"/>
        <w:bottom w:val="none" w:sz="0" w:space="0" w:color="auto"/>
        <w:right w:val="none" w:sz="0" w:space="0" w:color="auto"/>
      </w:divBdr>
    </w:div>
    <w:div w:id="347103698">
      <w:bodyDiv w:val="1"/>
      <w:marLeft w:val="0"/>
      <w:marRight w:val="0"/>
      <w:marTop w:val="0"/>
      <w:marBottom w:val="0"/>
      <w:divBdr>
        <w:top w:val="none" w:sz="0" w:space="0" w:color="auto"/>
        <w:left w:val="none" w:sz="0" w:space="0" w:color="auto"/>
        <w:bottom w:val="none" w:sz="0" w:space="0" w:color="auto"/>
        <w:right w:val="none" w:sz="0" w:space="0" w:color="auto"/>
      </w:divBdr>
    </w:div>
    <w:div w:id="347408417">
      <w:bodyDiv w:val="1"/>
      <w:marLeft w:val="0"/>
      <w:marRight w:val="0"/>
      <w:marTop w:val="0"/>
      <w:marBottom w:val="0"/>
      <w:divBdr>
        <w:top w:val="none" w:sz="0" w:space="0" w:color="auto"/>
        <w:left w:val="none" w:sz="0" w:space="0" w:color="auto"/>
        <w:bottom w:val="none" w:sz="0" w:space="0" w:color="auto"/>
        <w:right w:val="none" w:sz="0" w:space="0" w:color="auto"/>
      </w:divBdr>
    </w:div>
    <w:div w:id="348801637">
      <w:bodyDiv w:val="1"/>
      <w:marLeft w:val="0"/>
      <w:marRight w:val="0"/>
      <w:marTop w:val="0"/>
      <w:marBottom w:val="0"/>
      <w:divBdr>
        <w:top w:val="none" w:sz="0" w:space="0" w:color="auto"/>
        <w:left w:val="none" w:sz="0" w:space="0" w:color="auto"/>
        <w:bottom w:val="none" w:sz="0" w:space="0" w:color="auto"/>
        <w:right w:val="none" w:sz="0" w:space="0" w:color="auto"/>
      </w:divBdr>
    </w:div>
    <w:div w:id="350493725">
      <w:bodyDiv w:val="1"/>
      <w:marLeft w:val="0"/>
      <w:marRight w:val="0"/>
      <w:marTop w:val="0"/>
      <w:marBottom w:val="0"/>
      <w:divBdr>
        <w:top w:val="none" w:sz="0" w:space="0" w:color="auto"/>
        <w:left w:val="none" w:sz="0" w:space="0" w:color="auto"/>
        <w:bottom w:val="none" w:sz="0" w:space="0" w:color="auto"/>
        <w:right w:val="none" w:sz="0" w:space="0" w:color="auto"/>
      </w:divBdr>
      <w:divsChild>
        <w:div w:id="596787625">
          <w:marLeft w:val="0"/>
          <w:marRight w:val="0"/>
          <w:marTop w:val="0"/>
          <w:marBottom w:val="0"/>
          <w:divBdr>
            <w:top w:val="none" w:sz="0" w:space="0" w:color="auto"/>
            <w:left w:val="none" w:sz="0" w:space="0" w:color="auto"/>
            <w:bottom w:val="none" w:sz="0" w:space="0" w:color="auto"/>
            <w:right w:val="none" w:sz="0" w:space="0" w:color="auto"/>
          </w:divBdr>
        </w:div>
      </w:divsChild>
    </w:div>
    <w:div w:id="353846918">
      <w:bodyDiv w:val="1"/>
      <w:marLeft w:val="0"/>
      <w:marRight w:val="0"/>
      <w:marTop w:val="0"/>
      <w:marBottom w:val="0"/>
      <w:divBdr>
        <w:top w:val="none" w:sz="0" w:space="0" w:color="auto"/>
        <w:left w:val="none" w:sz="0" w:space="0" w:color="auto"/>
        <w:bottom w:val="none" w:sz="0" w:space="0" w:color="auto"/>
        <w:right w:val="none" w:sz="0" w:space="0" w:color="auto"/>
      </w:divBdr>
    </w:div>
    <w:div w:id="354968833">
      <w:bodyDiv w:val="1"/>
      <w:marLeft w:val="0"/>
      <w:marRight w:val="0"/>
      <w:marTop w:val="0"/>
      <w:marBottom w:val="0"/>
      <w:divBdr>
        <w:top w:val="none" w:sz="0" w:space="0" w:color="auto"/>
        <w:left w:val="none" w:sz="0" w:space="0" w:color="auto"/>
        <w:bottom w:val="none" w:sz="0" w:space="0" w:color="auto"/>
        <w:right w:val="none" w:sz="0" w:space="0" w:color="auto"/>
      </w:divBdr>
    </w:div>
    <w:div w:id="355427751">
      <w:bodyDiv w:val="1"/>
      <w:marLeft w:val="0"/>
      <w:marRight w:val="0"/>
      <w:marTop w:val="0"/>
      <w:marBottom w:val="0"/>
      <w:divBdr>
        <w:top w:val="none" w:sz="0" w:space="0" w:color="auto"/>
        <w:left w:val="none" w:sz="0" w:space="0" w:color="auto"/>
        <w:bottom w:val="none" w:sz="0" w:space="0" w:color="auto"/>
        <w:right w:val="none" w:sz="0" w:space="0" w:color="auto"/>
      </w:divBdr>
    </w:div>
    <w:div w:id="358749860">
      <w:bodyDiv w:val="1"/>
      <w:marLeft w:val="0"/>
      <w:marRight w:val="0"/>
      <w:marTop w:val="0"/>
      <w:marBottom w:val="0"/>
      <w:divBdr>
        <w:top w:val="none" w:sz="0" w:space="0" w:color="auto"/>
        <w:left w:val="none" w:sz="0" w:space="0" w:color="auto"/>
        <w:bottom w:val="none" w:sz="0" w:space="0" w:color="auto"/>
        <w:right w:val="none" w:sz="0" w:space="0" w:color="auto"/>
      </w:divBdr>
    </w:div>
    <w:div w:id="360399629">
      <w:bodyDiv w:val="1"/>
      <w:marLeft w:val="0"/>
      <w:marRight w:val="0"/>
      <w:marTop w:val="0"/>
      <w:marBottom w:val="0"/>
      <w:divBdr>
        <w:top w:val="none" w:sz="0" w:space="0" w:color="auto"/>
        <w:left w:val="none" w:sz="0" w:space="0" w:color="auto"/>
        <w:bottom w:val="none" w:sz="0" w:space="0" w:color="auto"/>
        <w:right w:val="none" w:sz="0" w:space="0" w:color="auto"/>
      </w:divBdr>
    </w:div>
    <w:div w:id="360711439">
      <w:bodyDiv w:val="1"/>
      <w:marLeft w:val="0"/>
      <w:marRight w:val="0"/>
      <w:marTop w:val="0"/>
      <w:marBottom w:val="0"/>
      <w:divBdr>
        <w:top w:val="none" w:sz="0" w:space="0" w:color="auto"/>
        <w:left w:val="none" w:sz="0" w:space="0" w:color="auto"/>
        <w:bottom w:val="none" w:sz="0" w:space="0" w:color="auto"/>
        <w:right w:val="none" w:sz="0" w:space="0" w:color="auto"/>
      </w:divBdr>
    </w:div>
    <w:div w:id="361908649">
      <w:bodyDiv w:val="1"/>
      <w:marLeft w:val="0"/>
      <w:marRight w:val="0"/>
      <w:marTop w:val="0"/>
      <w:marBottom w:val="0"/>
      <w:divBdr>
        <w:top w:val="none" w:sz="0" w:space="0" w:color="auto"/>
        <w:left w:val="none" w:sz="0" w:space="0" w:color="auto"/>
        <w:bottom w:val="none" w:sz="0" w:space="0" w:color="auto"/>
        <w:right w:val="none" w:sz="0" w:space="0" w:color="auto"/>
      </w:divBdr>
    </w:div>
    <w:div w:id="363292202">
      <w:bodyDiv w:val="1"/>
      <w:marLeft w:val="0"/>
      <w:marRight w:val="0"/>
      <w:marTop w:val="0"/>
      <w:marBottom w:val="0"/>
      <w:divBdr>
        <w:top w:val="none" w:sz="0" w:space="0" w:color="auto"/>
        <w:left w:val="none" w:sz="0" w:space="0" w:color="auto"/>
        <w:bottom w:val="none" w:sz="0" w:space="0" w:color="auto"/>
        <w:right w:val="none" w:sz="0" w:space="0" w:color="auto"/>
      </w:divBdr>
    </w:div>
    <w:div w:id="366757284">
      <w:bodyDiv w:val="1"/>
      <w:marLeft w:val="0"/>
      <w:marRight w:val="0"/>
      <w:marTop w:val="0"/>
      <w:marBottom w:val="0"/>
      <w:divBdr>
        <w:top w:val="none" w:sz="0" w:space="0" w:color="auto"/>
        <w:left w:val="none" w:sz="0" w:space="0" w:color="auto"/>
        <w:bottom w:val="none" w:sz="0" w:space="0" w:color="auto"/>
        <w:right w:val="none" w:sz="0" w:space="0" w:color="auto"/>
      </w:divBdr>
    </w:div>
    <w:div w:id="367338961">
      <w:bodyDiv w:val="1"/>
      <w:marLeft w:val="0"/>
      <w:marRight w:val="0"/>
      <w:marTop w:val="0"/>
      <w:marBottom w:val="0"/>
      <w:divBdr>
        <w:top w:val="none" w:sz="0" w:space="0" w:color="auto"/>
        <w:left w:val="none" w:sz="0" w:space="0" w:color="auto"/>
        <w:bottom w:val="none" w:sz="0" w:space="0" w:color="auto"/>
        <w:right w:val="none" w:sz="0" w:space="0" w:color="auto"/>
      </w:divBdr>
    </w:div>
    <w:div w:id="368843730">
      <w:bodyDiv w:val="1"/>
      <w:marLeft w:val="0"/>
      <w:marRight w:val="0"/>
      <w:marTop w:val="0"/>
      <w:marBottom w:val="0"/>
      <w:divBdr>
        <w:top w:val="none" w:sz="0" w:space="0" w:color="auto"/>
        <w:left w:val="none" w:sz="0" w:space="0" w:color="auto"/>
        <w:bottom w:val="none" w:sz="0" w:space="0" w:color="auto"/>
        <w:right w:val="none" w:sz="0" w:space="0" w:color="auto"/>
      </w:divBdr>
    </w:div>
    <w:div w:id="368846994">
      <w:bodyDiv w:val="1"/>
      <w:marLeft w:val="0"/>
      <w:marRight w:val="0"/>
      <w:marTop w:val="0"/>
      <w:marBottom w:val="0"/>
      <w:divBdr>
        <w:top w:val="none" w:sz="0" w:space="0" w:color="auto"/>
        <w:left w:val="none" w:sz="0" w:space="0" w:color="auto"/>
        <w:bottom w:val="none" w:sz="0" w:space="0" w:color="auto"/>
        <w:right w:val="none" w:sz="0" w:space="0" w:color="auto"/>
      </w:divBdr>
    </w:div>
    <w:div w:id="369182965">
      <w:bodyDiv w:val="1"/>
      <w:marLeft w:val="0"/>
      <w:marRight w:val="0"/>
      <w:marTop w:val="0"/>
      <w:marBottom w:val="0"/>
      <w:divBdr>
        <w:top w:val="none" w:sz="0" w:space="0" w:color="auto"/>
        <w:left w:val="none" w:sz="0" w:space="0" w:color="auto"/>
        <w:bottom w:val="none" w:sz="0" w:space="0" w:color="auto"/>
        <w:right w:val="none" w:sz="0" w:space="0" w:color="auto"/>
      </w:divBdr>
    </w:div>
    <w:div w:id="372845841">
      <w:bodyDiv w:val="1"/>
      <w:marLeft w:val="0"/>
      <w:marRight w:val="0"/>
      <w:marTop w:val="0"/>
      <w:marBottom w:val="0"/>
      <w:divBdr>
        <w:top w:val="none" w:sz="0" w:space="0" w:color="auto"/>
        <w:left w:val="none" w:sz="0" w:space="0" w:color="auto"/>
        <w:bottom w:val="none" w:sz="0" w:space="0" w:color="auto"/>
        <w:right w:val="none" w:sz="0" w:space="0" w:color="auto"/>
      </w:divBdr>
    </w:div>
    <w:div w:id="374280368">
      <w:bodyDiv w:val="1"/>
      <w:marLeft w:val="0"/>
      <w:marRight w:val="0"/>
      <w:marTop w:val="0"/>
      <w:marBottom w:val="0"/>
      <w:divBdr>
        <w:top w:val="none" w:sz="0" w:space="0" w:color="auto"/>
        <w:left w:val="none" w:sz="0" w:space="0" w:color="auto"/>
        <w:bottom w:val="none" w:sz="0" w:space="0" w:color="auto"/>
        <w:right w:val="none" w:sz="0" w:space="0" w:color="auto"/>
      </w:divBdr>
    </w:div>
    <w:div w:id="374431805">
      <w:bodyDiv w:val="1"/>
      <w:marLeft w:val="0"/>
      <w:marRight w:val="0"/>
      <w:marTop w:val="0"/>
      <w:marBottom w:val="0"/>
      <w:divBdr>
        <w:top w:val="none" w:sz="0" w:space="0" w:color="auto"/>
        <w:left w:val="none" w:sz="0" w:space="0" w:color="auto"/>
        <w:bottom w:val="none" w:sz="0" w:space="0" w:color="auto"/>
        <w:right w:val="none" w:sz="0" w:space="0" w:color="auto"/>
      </w:divBdr>
    </w:div>
    <w:div w:id="374693082">
      <w:bodyDiv w:val="1"/>
      <w:marLeft w:val="0"/>
      <w:marRight w:val="0"/>
      <w:marTop w:val="0"/>
      <w:marBottom w:val="0"/>
      <w:divBdr>
        <w:top w:val="none" w:sz="0" w:space="0" w:color="auto"/>
        <w:left w:val="none" w:sz="0" w:space="0" w:color="auto"/>
        <w:bottom w:val="none" w:sz="0" w:space="0" w:color="auto"/>
        <w:right w:val="none" w:sz="0" w:space="0" w:color="auto"/>
      </w:divBdr>
    </w:div>
    <w:div w:id="376273691">
      <w:bodyDiv w:val="1"/>
      <w:marLeft w:val="0"/>
      <w:marRight w:val="0"/>
      <w:marTop w:val="0"/>
      <w:marBottom w:val="0"/>
      <w:divBdr>
        <w:top w:val="none" w:sz="0" w:space="0" w:color="auto"/>
        <w:left w:val="none" w:sz="0" w:space="0" w:color="auto"/>
        <w:bottom w:val="none" w:sz="0" w:space="0" w:color="auto"/>
        <w:right w:val="none" w:sz="0" w:space="0" w:color="auto"/>
      </w:divBdr>
    </w:div>
    <w:div w:id="377048202">
      <w:bodyDiv w:val="1"/>
      <w:marLeft w:val="0"/>
      <w:marRight w:val="0"/>
      <w:marTop w:val="0"/>
      <w:marBottom w:val="0"/>
      <w:divBdr>
        <w:top w:val="none" w:sz="0" w:space="0" w:color="auto"/>
        <w:left w:val="none" w:sz="0" w:space="0" w:color="auto"/>
        <w:bottom w:val="none" w:sz="0" w:space="0" w:color="auto"/>
        <w:right w:val="none" w:sz="0" w:space="0" w:color="auto"/>
      </w:divBdr>
    </w:div>
    <w:div w:id="377315949">
      <w:bodyDiv w:val="1"/>
      <w:marLeft w:val="0"/>
      <w:marRight w:val="0"/>
      <w:marTop w:val="0"/>
      <w:marBottom w:val="0"/>
      <w:divBdr>
        <w:top w:val="none" w:sz="0" w:space="0" w:color="auto"/>
        <w:left w:val="none" w:sz="0" w:space="0" w:color="auto"/>
        <w:bottom w:val="none" w:sz="0" w:space="0" w:color="auto"/>
        <w:right w:val="none" w:sz="0" w:space="0" w:color="auto"/>
      </w:divBdr>
    </w:div>
    <w:div w:id="377320372">
      <w:bodyDiv w:val="1"/>
      <w:marLeft w:val="0"/>
      <w:marRight w:val="0"/>
      <w:marTop w:val="0"/>
      <w:marBottom w:val="0"/>
      <w:divBdr>
        <w:top w:val="none" w:sz="0" w:space="0" w:color="auto"/>
        <w:left w:val="none" w:sz="0" w:space="0" w:color="auto"/>
        <w:bottom w:val="none" w:sz="0" w:space="0" w:color="auto"/>
        <w:right w:val="none" w:sz="0" w:space="0" w:color="auto"/>
      </w:divBdr>
    </w:div>
    <w:div w:id="379323450">
      <w:bodyDiv w:val="1"/>
      <w:marLeft w:val="0"/>
      <w:marRight w:val="0"/>
      <w:marTop w:val="0"/>
      <w:marBottom w:val="0"/>
      <w:divBdr>
        <w:top w:val="none" w:sz="0" w:space="0" w:color="auto"/>
        <w:left w:val="none" w:sz="0" w:space="0" w:color="auto"/>
        <w:bottom w:val="none" w:sz="0" w:space="0" w:color="auto"/>
        <w:right w:val="none" w:sz="0" w:space="0" w:color="auto"/>
      </w:divBdr>
    </w:div>
    <w:div w:id="379328505">
      <w:bodyDiv w:val="1"/>
      <w:marLeft w:val="0"/>
      <w:marRight w:val="0"/>
      <w:marTop w:val="0"/>
      <w:marBottom w:val="0"/>
      <w:divBdr>
        <w:top w:val="none" w:sz="0" w:space="0" w:color="auto"/>
        <w:left w:val="none" w:sz="0" w:space="0" w:color="auto"/>
        <w:bottom w:val="none" w:sz="0" w:space="0" w:color="auto"/>
        <w:right w:val="none" w:sz="0" w:space="0" w:color="auto"/>
      </w:divBdr>
    </w:div>
    <w:div w:id="379548883">
      <w:bodyDiv w:val="1"/>
      <w:marLeft w:val="0"/>
      <w:marRight w:val="0"/>
      <w:marTop w:val="0"/>
      <w:marBottom w:val="0"/>
      <w:divBdr>
        <w:top w:val="none" w:sz="0" w:space="0" w:color="auto"/>
        <w:left w:val="none" w:sz="0" w:space="0" w:color="auto"/>
        <w:bottom w:val="none" w:sz="0" w:space="0" w:color="auto"/>
        <w:right w:val="none" w:sz="0" w:space="0" w:color="auto"/>
      </w:divBdr>
    </w:div>
    <w:div w:id="380054155">
      <w:bodyDiv w:val="1"/>
      <w:marLeft w:val="0"/>
      <w:marRight w:val="0"/>
      <w:marTop w:val="0"/>
      <w:marBottom w:val="0"/>
      <w:divBdr>
        <w:top w:val="none" w:sz="0" w:space="0" w:color="auto"/>
        <w:left w:val="none" w:sz="0" w:space="0" w:color="auto"/>
        <w:bottom w:val="none" w:sz="0" w:space="0" w:color="auto"/>
        <w:right w:val="none" w:sz="0" w:space="0" w:color="auto"/>
      </w:divBdr>
    </w:div>
    <w:div w:id="381560571">
      <w:bodyDiv w:val="1"/>
      <w:marLeft w:val="0"/>
      <w:marRight w:val="0"/>
      <w:marTop w:val="0"/>
      <w:marBottom w:val="0"/>
      <w:divBdr>
        <w:top w:val="none" w:sz="0" w:space="0" w:color="auto"/>
        <w:left w:val="none" w:sz="0" w:space="0" w:color="auto"/>
        <w:bottom w:val="none" w:sz="0" w:space="0" w:color="auto"/>
        <w:right w:val="none" w:sz="0" w:space="0" w:color="auto"/>
      </w:divBdr>
    </w:div>
    <w:div w:id="381952611">
      <w:bodyDiv w:val="1"/>
      <w:marLeft w:val="0"/>
      <w:marRight w:val="0"/>
      <w:marTop w:val="0"/>
      <w:marBottom w:val="0"/>
      <w:divBdr>
        <w:top w:val="none" w:sz="0" w:space="0" w:color="auto"/>
        <w:left w:val="none" w:sz="0" w:space="0" w:color="auto"/>
        <w:bottom w:val="none" w:sz="0" w:space="0" w:color="auto"/>
        <w:right w:val="none" w:sz="0" w:space="0" w:color="auto"/>
      </w:divBdr>
    </w:div>
    <w:div w:id="382019383">
      <w:bodyDiv w:val="1"/>
      <w:marLeft w:val="0"/>
      <w:marRight w:val="0"/>
      <w:marTop w:val="0"/>
      <w:marBottom w:val="0"/>
      <w:divBdr>
        <w:top w:val="none" w:sz="0" w:space="0" w:color="auto"/>
        <w:left w:val="none" w:sz="0" w:space="0" w:color="auto"/>
        <w:bottom w:val="none" w:sz="0" w:space="0" w:color="auto"/>
        <w:right w:val="none" w:sz="0" w:space="0" w:color="auto"/>
      </w:divBdr>
      <w:divsChild>
        <w:div w:id="206190513">
          <w:marLeft w:val="0"/>
          <w:marRight w:val="0"/>
          <w:marTop w:val="0"/>
          <w:marBottom w:val="0"/>
          <w:divBdr>
            <w:top w:val="none" w:sz="0" w:space="0" w:color="auto"/>
            <w:left w:val="none" w:sz="0" w:space="0" w:color="auto"/>
            <w:bottom w:val="none" w:sz="0" w:space="0" w:color="auto"/>
            <w:right w:val="none" w:sz="0" w:space="0" w:color="auto"/>
          </w:divBdr>
        </w:div>
      </w:divsChild>
    </w:div>
    <w:div w:id="383407686">
      <w:bodyDiv w:val="1"/>
      <w:marLeft w:val="0"/>
      <w:marRight w:val="0"/>
      <w:marTop w:val="0"/>
      <w:marBottom w:val="0"/>
      <w:divBdr>
        <w:top w:val="none" w:sz="0" w:space="0" w:color="auto"/>
        <w:left w:val="none" w:sz="0" w:space="0" w:color="auto"/>
        <w:bottom w:val="none" w:sz="0" w:space="0" w:color="auto"/>
        <w:right w:val="none" w:sz="0" w:space="0" w:color="auto"/>
      </w:divBdr>
    </w:div>
    <w:div w:id="387192775">
      <w:bodyDiv w:val="1"/>
      <w:marLeft w:val="0"/>
      <w:marRight w:val="0"/>
      <w:marTop w:val="0"/>
      <w:marBottom w:val="0"/>
      <w:divBdr>
        <w:top w:val="none" w:sz="0" w:space="0" w:color="auto"/>
        <w:left w:val="none" w:sz="0" w:space="0" w:color="auto"/>
        <w:bottom w:val="none" w:sz="0" w:space="0" w:color="auto"/>
        <w:right w:val="none" w:sz="0" w:space="0" w:color="auto"/>
      </w:divBdr>
    </w:div>
    <w:div w:id="390887565">
      <w:bodyDiv w:val="1"/>
      <w:marLeft w:val="0"/>
      <w:marRight w:val="0"/>
      <w:marTop w:val="0"/>
      <w:marBottom w:val="0"/>
      <w:divBdr>
        <w:top w:val="none" w:sz="0" w:space="0" w:color="auto"/>
        <w:left w:val="none" w:sz="0" w:space="0" w:color="auto"/>
        <w:bottom w:val="none" w:sz="0" w:space="0" w:color="auto"/>
        <w:right w:val="none" w:sz="0" w:space="0" w:color="auto"/>
      </w:divBdr>
    </w:div>
    <w:div w:id="391271516">
      <w:bodyDiv w:val="1"/>
      <w:marLeft w:val="0"/>
      <w:marRight w:val="0"/>
      <w:marTop w:val="0"/>
      <w:marBottom w:val="0"/>
      <w:divBdr>
        <w:top w:val="none" w:sz="0" w:space="0" w:color="auto"/>
        <w:left w:val="none" w:sz="0" w:space="0" w:color="auto"/>
        <w:bottom w:val="none" w:sz="0" w:space="0" w:color="auto"/>
        <w:right w:val="none" w:sz="0" w:space="0" w:color="auto"/>
      </w:divBdr>
    </w:div>
    <w:div w:id="391388027">
      <w:bodyDiv w:val="1"/>
      <w:marLeft w:val="0"/>
      <w:marRight w:val="0"/>
      <w:marTop w:val="0"/>
      <w:marBottom w:val="0"/>
      <w:divBdr>
        <w:top w:val="none" w:sz="0" w:space="0" w:color="auto"/>
        <w:left w:val="none" w:sz="0" w:space="0" w:color="auto"/>
        <w:bottom w:val="none" w:sz="0" w:space="0" w:color="auto"/>
        <w:right w:val="none" w:sz="0" w:space="0" w:color="auto"/>
      </w:divBdr>
    </w:div>
    <w:div w:id="392315391">
      <w:bodyDiv w:val="1"/>
      <w:marLeft w:val="0"/>
      <w:marRight w:val="0"/>
      <w:marTop w:val="0"/>
      <w:marBottom w:val="0"/>
      <w:divBdr>
        <w:top w:val="none" w:sz="0" w:space="0" w:color="auto"/>
        <w:left w:val="none" w:sz="0" w:space="0" w:color="auto"/>
        <w:bottom w:val="none" w:sz="0" w:space="0" w:color="auto"/>
        <w:right w:val="none" w:sz="0" w:space="0" w:color="auto"/>
      </w:divBdr>
    </w:div>
    <w:div w:id="392700251">
      <w:bodyDiv w:val="1"/>
      <w:marLeft w:val="0"/>
      <w:marRight w:val="0"/>
      <w:marTop w:val="0"/>
      <w:marBottom w:val="0"/>
      <w:divBdr>
        <w:top w:val="none" w:sz="0" w:space="0" w:color="auto"/>
        <w:left w:val="none" w:sz="0" w:space="0" w:color="auto"/>
        <w:bottom w:val="none" w:sz="0" w:space="0" w:color="auto"/>
        <w:right w:val="none" w:sz="0" w:space="0" w:color="auto"/>
      </w:divBdr>
    </w:div>
    <w:div w:id="394546327">
      <w:bodyDiv w:val="1"/>
      <w:marLeft w:val="0"/>
      <w:marRight w:val="0"/>
      <w:marTop w:val="0"/>
      <w:marBottom w:val="0"/>
      <w:divBdr>
        <w:top w:val="none" w:sz="0" w:space="0" w:color="auto"/>
        <w:left w:val="none" w:sz="0" w:space="0" w:color="auto"/>
        <w:bottom w:val="none" w:sz="0" w:space="0" w:color="auto"/>
        <w:right w:val="none" w:sz="0" w:space="0" w:color="auto"/>
      </w:divBdr>
    </w:div>
    <w:div w:id="394815294">
      <w:bodyDiv w:val="1"/>
      <w:marLeft w:val="0"/>
      <w:marRight w:val="0"/>
      <w:marTop w:val="0"/>
      <w:marBottom w:val="0"/>
      <w:divBdr>
        <w:top w:val="none" w:sz="0" w:space="0" w:color="auto"/>
        <w:left w:val="none" w:sz="0" w:space="0" w:color="auto"/>
        <w:bottom w:val="none" w:sz="0" w:space="0" w:color="auto"/>
        <w:right w:val="none" w:sz="0" w:space="0" w:color="auto"/>
      </w:divBdr>
    </w:div>
    <w:div w:id="395669532">
      <w:bodyDiv w:val="1"/>
      <w:marLeft w:val="0"/>
      <w:marRight w:val="0"/>
      <w:marTop w:val="0"/>
      <w:marBottom w:val="0"/>
      <w:divBdr>
        <w:top w:val="none" w:sz="0" w:space="0" w:color="auto"/>
        <w:left w:val="none" w:sz="0" w:space="0" w:color="auto"/>
        <w:bottom w:val="none" w:sz="0" w:space="0" w:color="auto"/>
        <w:right w:val="none" w:sz="0" w:space="0" w:color="auto"/>
      </w:divBdr>
    </w:div>
    <w:div w:id="395783788">
      <w:bodyDiv w:val="1"/>
      <w:marLeft w:val="0"/>
      <w:marRight w:val="0"/>
      <w:marTop w:val="0"/>
      <w:marBottom w:val="0"/>
      <w:divBdr>
        <w:top w:val="none" w:sz="0" w:space="0" w:color="auto"/>
        <w:left w:val="none" w:sz="0" w:space="0" w:color="auto"/>
        <w:bottom w:val="none" w:sz="0" w:space="0" w:color="auto"/>
        <w:right w:val="none" w:sz="0" w:space="0" w:color="auto"/>
      </w:divBdr>
    </w:div>
    <w:div w:id="397019495">
      <w:bodyDiv w:val="1"/>
      <w:marLeft w:val="0"/>
      <w:marRight w:val="0"/>
      <w:marTop w:val="0"/>
      <w:marBottom w:val="0"/>
      <w:divBdr>
        <w:top w:val="none" w:sz="0" w:space="0" w:color="auto"/>
        <w:left w:val="none" w:sz="0" w:space="0" w:color="auto"/>
        <w:bottom w:val="none" w:sz="0" w:space="0" w:color="auto"/>
        <w:right w:val="none" w:sz="0" w:space="0" w:color="auto"/>
      </w:divBdr>
    </w:div>
    <w:div w:id="397678161">
      <w:bodyDiv w:val="1"/>
      <w:marLeft w:val="0"/>
      <w:marRight w:val="0"/>
      <w:marTop w:val="0"/>
      <w:marBottom w:val="0"/>
      <w:divBdr>
        <w:top w:val="none" w:sz="0" w:space="0" w:color="auto"/>
        <w:left w:val="none" w:sz="0" w:space="0" w:color="auto"/>
        <w:bottom w:val="none" w:sz="0" w:space="0" w:color="auto"/>
        <w:right w:val="none" w:sz="0" w:space="0" w:color="auto"/>
      </w:divBdr>
    </w:div>
    <w:div w:id="397750915">
      <w:bodyDiv w:val="1"/>
      <w:marLeft w:val="0"/>
      <w:marRight w:val="0"/>
      <w:marTop w:val="0"/>
      <w:marBottom w:val="0"/>
      <w:divBdr>
        <w:top w:val="none" w:sz="0" w:space="0" w:color="auto"/>
        <w:left w:val="none" w:sz="0" w:space="0" w:color="auto"/>
        <w:bottom w:val="none" w:sz="0" w:space="0" w:color="auto"/>
        <w:right w:val="none" w:sz="0" w:space="0" w:color="auto"/>
      </w:divBdr>
    </w:div>
    <w:div w:id="398988566">
      <w:bodyDiv w:val="1"/>
      <w:marLeft w:val="0"/>
      <w:marRight w:val="0"/>
      <w:marTop w:val="0"/>
      <w:marBottom w:val="0"/>
      <w:divBdr>
        <w:top w:val="none" w:sz="0" w:space="0" w:color="auto"/>
        <w:left w:val="none" w:sz="0" w:space="0" w:color="auto"/>
        <w:bottom w:val="none" w:sz="0" w:space="0" w:color="auto"/>
        <w:right w:val="none" w:sz="0" w:space="0" w:color="auto"/>
      </w:divBdr>
    </w:div>
    <w:div w:id="399445516">
      <w:bodyDiv w:val="1"/>
      <w:marLeft w:val="0"/>
      <w:marRight w:val="0"/>
      <w:marTop w:val="0"/>
      <w:marBottom w:val="0"/>
      <w:divBdr>
        <w:top w:val="none" w:sz="0" w:space="0" w:color="auto"/>
        <w:left w:val="none" w:sz="0" w:space="0" w:color="auto"/>
        <w:bottom w:val="none" w:sz="0" w:space="0" w:color="auto"/>
        <w:right w:val="none" w:sz="0" w:space="0" w:color="auto"/>
      </w:divBdr>
    </w:div>
    <w:div w:id="399520052">
      <w:bodyDiv w:val="1"/>
      <w:marLeft w:val="0"/>
      <w:marRight w:val="0"/>
      <w:marTop w:val="0"/>
      <w:marBottom w:val="0"/>
      <w:divBdr>
        <w:top w:val="none" w:sz="0" w:space="0" w:color="auto"/>
        <w:left w:val="none" w:sz="0" w:space="0" w:color="auto"/>
        <w:bottom w:val="none" w:sz="0" w:space="0" w:color="auto"/>
        <w:right w:val="none" w:sz="0" w:space="0" w:color="auto"/>
      </w:divBdr>
    </w:div>
    <w:div w:id="401221806">
      <w:bodyDiv w:val="1"/>
      <w:marLeft w:val="0"/>
      <w:marRight w:val="0"/>
      <w:marTop w:val="0"/>
      <w:marBottom w:val="0"/>
      <w:divBdr>
        <w:top w:val="none" w:sz="0" w:space="0" w:color="auto"/>
        <w:left w:val="none" w:sz="0" w:space="0" w:color="auto"/>
        <w:bottom w:val="none" w:sz="0" w:space="0" w:color="auto"/>
        <w:right w:val="none" w:sz="0" w:space="0" w:color="auto"/>
      </w:divBdr>
    </w:div>
    <w:div w:id="401636986">
      <w:bodyDiv w:val="1"/>
      <w:marLeft w:val="0"/>
      <w:marRight w:val="0"/>
      <w:marTop w:val="0"/>
      <w:marBottom w:val="0"/>
      <w:divBdr>
        <w:top w:val="none" w:sz="0" w:space="0" w:color="auto"/>
        <w:left w:val="none" w:sz="0" w:space="0" w:color="auto"/>
        <w:bottom w:val="none" w:sz="0" w:space="0" w:color="auto"/>
        <w:right w:val="none" w:sz="0" w:space="0" w:color="auto"/>
      </w:divBdr>
    </w:div>
    <w:div w:id="402332935">
      <w:bodyDiv w:val="1"/>
      <w:marLeft w:val="0"/>
      <w:marRight w:val="0"/>
      <w:marTop w:val="0"/>
      <w:marBottom w:val="0"/>
      <w:divBdr>
        <w:top w:val="none" w:sz="0" w:space="0" w:color="auto"/>
        <w:left w:val="none" w:sz="0" w:space="0" w:color="auto"/>
        <w:bottom w:val="none" w:sz="0" w:space="0" w:color="auto"/>
        <w:right w:val="none" w:sz="0" w:space="0" w:color="auto"/>
      </w:divBdr>
    </w:div>
    <w:div w:id="402876594">
      <w:bodyDiv w:val="1"/>
      <w:marLeft w:val="0"/>
      <w:marRight w:val="0"/>
      <w:marTop w:val="0"/>
      <w:marBottom w:val="0"/>
      <w:divBdr>
        <w:top w:val="none" w:sz="0" w:space="0" w:color="auto"/>
        <w:left w:val="none" w:sz="0" w:space="0" w:color="auto"/>
        <w:bottom w:val="none" w:sz="0" w:space="0" w:color="auto"/>
        <w:right w:val="none" w:sz="0" w:space="0" w:color="auto"/>
      </w:divBdr>
    </w:div>
    <w:div w:id="403837798">
      <w:bodyDiv w:val="1"/>
      <w:marLeft w:val="0"/>
      <w:marRight w:val="0"/>
      <w:marTop w:val="0"/>
      <w:marBottom w:val="0"/>
      <w:divBdr>
        <w:top w:val="none" w:sz="0" w:space="0" w:color="auto"/>
        <w:left w:val="none" w:sz="0" w:space="0" w:color="auto"/>
        <w:bottom w:val="none" w:sz="0" w:space="0" w:color="auto"/>
        <w:right w:val="none" w:sz="0" w:space="0" w:color="auto"/>
      </w:divBdr>
    </w:div>
    <w:div w:id="405686696">
      <w:bodyDiv w:val="1"/>
      <w:marLeft w:val="0"/>
      <w:marRight w:val="0"/>
      <w:marTop w:val="0"/>
      <w:marBottom w:val="0"/>
      <w:divBdr>
        <w:top w:val="none" w:sz="0" w:space="0" w:color="auto"/>
        <w:left w:val="none" w:sz="0" w:space="0" w:color="auto"/>
        <w:bottom w:val="none" w:sz="0" w:space="0" w:color="auto"/>
        <w:right w:val="none" w:sz="0" w:space="0" w:color="auto"/>
      </w:divBdr>
    </w:div>
    <w:div w:id="406343118">
      <w:bodyDiv w:val="1"/>
      <w:marLeft w:val="0"/>
      <w:marRight w:val="0"/>
      <w:marTop w:val="0"/>
      <w:marBottom w:val="0"/>
      <w:divBdr>
        <w:top w:val="none" w:sz="0" w:space="0" w:color="auto"/>
        <w:left w:val="none" w:sz="0" w:space="0" w:color="auto"/>
        <w:bottom w:val="none" w:sz="0" w:space="0" w:color="auto"/>
        <w:right w:val="none" w:sz="0" w:space="0" w:color="auto"/>
      </w:divBdr>
    </w:div>
    <w:div w:id="409012011">
      <w:bodyDiv w:val="1"/>
      <w:marLeft w:val="0"/>
      <w:marRight w:val="0"/>
      <w:marTop w:val="0"/>
      <w:marBottom w:val="0"/>
      <w:divBdr>
        <w:top w:val="none" w:sz="0" w:space="0" w:color="auto"/>
        <w:left w:val="none" w:sz="0" w:space="0" w:color="auto"/>
        <w:bottom w:val="none" w:sz="0" w:space="0" w:color="auto"/>
        <w:right w:val="none" w:sz="0" w:space="0" w:color="auto"/>
      </w:divBdr>
    </w:div>
    <w:div w:id="409693429">
      <w:bodyDiv w:val="1"/>
      <w:marLeft w:val="0"/>
      <w:marRight w:val="0"/>
      <w:marTop w:val="0"/>
      <w:marBottom w:val="0"/>
      <w:divBdr>
        <w:top w:val="none" w:sz="0" w:space="0" w:color="auto"/>
        <w:left w:val="none" w:sz="0" w:space="0" w:color="auto"/>
        <w:bottom w:val="none" w:sz="0" w:space="0" w:color="auto"/>
        <w:right w:val="none" w:sz="0" w:space="0" w:color="auto"/>
      </w:divBdr>
    </w:div>
    <w:div w:id="413864587">
      <w:bodyDiv w:val="1"/>
      <w:marLeft w:val="0"/>
      <w:marRight w:val="0"/>
      <w:marTop w:val="0"/>
      <w:marBottom w:val="0"/>
      <w:divBdr>
        <w:top w:val="none" w:sz="0" w:space="0" w:color="auto"/>
        <w:left w:val="none" w:sz="0" w:space="0" w:color="auto"/>
        <w:bottom w:val="none" w:sz="0" w:space="0" w:color="auto"/>
        <w:right w:val="none" w:sz="0" w:space="0" w:color="auto"/>
      </w:divBdr>
    </w:div>
    <w:div w:id="415900007">
      <w:bodyDiv w:val="1"/>
      <w:marLeft w:val="0"/>
      <w:marRight w:val="0"/>
      <w:marTop w:val="0"/>
      <w:marBottom w:val="0"/>
      <w:divBdr>
        <w:top w:val="none" w:sz="0" w:space="0" w:color="auto"/>
        <w:left w:val="none" w:sz="0" w:space="0" w:color="auto"/>
        <w:bottom w:val="none" w:sz="0" w:space="0" w:color="auto"/>
        <w:right w:val="none" w:sz="0" w:space="0" w:color="auto"/>
      </w:divBdr>
    </w:div>
    <w:div w:id="415975268">
      <w:bodyDiv w:val="1"/>
      <w:marLeft w:val="0"/>
      <w:marRight w:val="0"/>
      <w:marTop w:val="0"/>
      <w:marBottom w:val="0"/>
      <w:divBdr>
        <w:top w:val="none" w:sz="0" w:space="0" w:color="auto"/>
        <w:left w:val="none" w:sz="0" w:space="0" w:color="auto"/>
        <w:bottom w:val="none" w:sz="0" w:space="0" w:color="auto"/>
        <w:right w:val="none" w:sz="0" w:space="0" w:color="auto"/>
      </w:divBdr>
    </w:div>
    <w:div w:id="418259531">
      <w:bodyDiv w:val="1"/>
      <w:marLeft w:val="0"/>
      <w:marRight w:val="0"/>
      <w:marTop w:val="0"/>
      <w:marBottom w:val="0"/>
      <w:divBdr>
        <w:top w:val="none" w:sz="0" w:space="0" w:color="auto"/>
        <w:left w:val="none" w:sz="0" w:space="0" w:color="auto"/>
        <w:bottom w:val="none" w:sz="0" w:space="0" w:color="auto"/>
        <w:right w:val="none" w:sz="0" w:space="0" w:color="auto"/>
      </w:divBdr>
    </w:div>
    <w:div w:id="418448445">
      <w:bodyDiv w:val="1"/>
      <w:marLeft w:val="0"/>
      <w:marRight w:val="0"/>
      <w:marTop w:val="0"/>
      <w:marBottom w:val="0"/>
      <w:divBdr>
        <w:top w:val="none" w:sz="0" w:space="0" w:color="auto"/>
        <w:left w:val="none" w:sz="0" w:space="0" w:color="auto"/>
        <w:bottom w:val="none" w:sz="0" w:space="0" w:color="auto"/>
        <w:right w:val="none" w:sz="0" w:space="0" w:color="auto"/>
      </w:divBdr>
    </w:div>
    <w:div w:id="422921044">
      <w:bodyDiv w:val="1"/>
      <w:marLeft w:val="0"/>
      <w:marRight w:val="0"/>
      <w:marTop w:val="0"/>
      <w:marBottom w:val="0"/>
      <w:divBdr>
        <w:top w:val="none" w:sz="0" w:space="0" w:color="auto"/>
        <w:left w:val="none" w:sz="0" w:space="0" w:color="auto"/>
        <w:bottom w:val="none" w:sz="0" w:space="0" w:color="auto"/>
        <w:right w:val="none" w:sz="0" w:space="0" w:color="auto"/>
      </w:divBdr>
    </w:div>
    <w:div w:id="425151147">
      <w:bodyDiv w:val="1"/>
      <w:marLeft w:val="0"/>
      <w:marRight w:val="0"/>
      <w:marTop w:val="0"/>
      <w:marBottom w:val="0"/>
      <w:divBdr>
        <w:top w:val="none" w:sz="0" w:space="0" w:color="auto"/>
        <w:left w:val="none" w:sz="0" w:space="0" w:color="auto"/>
        <w:bottom w:val="none" w:sz="0" w:space="0" w:color="auto"/>
        <w:right w:val="none" w:sz="0" w:space="0" w:color="auto"/>
      </w:divBdr>
    </w:div>
    <w:div w:id="426535073">
      <w:bodyDiv w:val="1"/>
      <w:marLeft w:val="0"/>
      <w:marRight w:val="0"/>
      <w:marTop w:val="0"/>
      <w:marBottom w:val="0"/>
      <w:divBdr>
        <w:top w:val="none" w:sz="0" w:space="0" w:color="auto"/>
        <w:left w:val="none" w:sz="0" w:space="0" w:color="auto"/>
        <w:bottom w:val="none" w:sz="0" w:space="0" w:color="auto"/>
        <w:right w:val="none" w:sz="0" w:space="0" w:color="auto"/>
      </w:divBdr>
    </w:div>
    <w:div w:id="429473932">
      <w:bodyDiv w:val="1"/>
      <w:marLeft w:val="0"/>
      <w:marRight w:val="0"/>
      <w:marTop w:val="0"/>
      <w:marBottom w:val="0"/>
      <w:divBdr>
        <w:top w:val="none" w:sz="0" w:space="0" w:color="auto"/>
        <w:left w:val="none" w:sz="0" w:space="0" w:color="auto"/>
        <w:bottom w:val="none" w:sz="0" w:space="0" w:color="auto"/>
        <w:right w:val="none" w:sz="0" w:space="0" w:color="auto"/>
      </w:divBdr>
    </w:div>
    <w:div w:id="429738497">
      <w:bodyDiv w:val="1"/>
      <w:marLeft w:val="0"/>
      <w:marRight w:val="0"/>
      <w:marTop w:val="0"/>
      <w:marBottom w:val="0"/>
      <w:divBdr>
        <w:top w:val="none" w:sz="0" w:space="0" w:color="auto"/>
        <w:left w:val="none" w:sz="0" w:space="0" w:color="auto"/>
        <w:bottom w:val="none" w:sz="0" w:space="0" w:color="auto"/>
        <w:right w:val="none" w:sz="0" w:space="0" w:color="auto"/>
      </w:divBdr>
    </w:div>
    <w:div w:id="430245568">
      <w:bodyDiv w:val="1"/>
      <w:marLeft w:val="0"/>
      <w:marRight w:val="0"/>
      <w:marTop w:val="0"/>
      <w:marBottom w:val="0"/>
      <w:divBdr>
        <w:top w:val="none" w:sz="0" w:space="0" w:color="auto"/>
        <w:left w:val="none" w:sz="0" w:space="0" w:color="auto"/>
        <w:bottom w:val="none" w:sz="0" w:space="0" w:color="auto"/>
        <w:right w:val="none" w:sz="0" w:space="0" w:color="auto"/>
      </w:divBdr>
    </w:div>
    <w:div w:id="431122384">
      <w:bodyDiv w:val="1"/>
      <w:marLeft w:val="0"/>
      <w:marRight w:val="0"/>
      <w:marTop w:val="0"/>
      <w:marBottom w:val="0"/>
      <w:divBdr>
        <w:top w:val="none" w:sz="0" w:space="0" w:color="auto"/>
        <w:left w:val="none" w:sz="0" w:space="0" w:color="auto"/>
        <w:bottom w:val="none" w:sz="0" w:space="0" w:color="auto"/>
        <w:right w:val="none" w:sz="0" w:space="0" w:color="auto"/>
      </w:divBdr>
    </w:div>
    <w:div w:id="432822559">
      <w:bodyDiv w:val="1"/>
      <w:marLeft w:val="0"/>
      <w:marRight w:val="0"/>
      <w:marTop w:val="0"/>
      <w:marBottom w:val="0"/>
      <w:divBdr>
        <w:top w:val="none" w:sz="0" w:space="0" w:color="auto"/>
        <w:left w:val="none" w:sz="0" w:space="0" w:color="auto"/>
        <w:bottom w:val="none" w:sz="0" w:space="0" w:color="auto"/>
        <w:right w:val="none" w:sz="0" w:space="0" w:color="auto"/>
      </w:divBdr>
    </w:div>
    <w:div w:id="433600595">
      <w:bodyDiv w:val="1"/>
      <w:marLeft w:val="0"/>
      <w:marRight w:val="0"/>
      <w:marTop w:val="0"/>
      <w:marBottom w:val="0"/>
      <w:divBdr>
        <w:top w:val="none" w:sz="0" w:space="0" w:color="auto"/>
        <w:left w:val="none" w:sz="0" w:space="0" w:color="auto"/>
        <w:bottom w:val="none" w:sz="0" w:space="0" w:color="auto"/>
        <w:right w:val="none" w:sz="0" w:space="0" w:color="auto"/>
      </w:divBdr>
    </w:div>
    <w:div w:id="434446019">
      <w:bodyDiv w:val="1"/>
      <w:marLeft w:val="0"/>
      <w:marRight w:val="0"/>
      <w:marTop w:val="0"/>
      <w:marBottom w:val="0"/>
      <w:divBdr>
        <w:top w:val="none" w:sz="0" w:space="0" w:color="auto"/>
        <w:left w:val="none" w:sz="0" w:space="0" w:color="auto"/>
        <w:bottom w:val="none" w:sz="0" w:space="0" w:color="auto"/>
        <w:right w:val="none" w:sz="0" w:space="0" w:color="auto"/>
      </w:divBdr>
      <w:divsChild>
        <w:div w:id="1726104444">
          <w:marLeft w:val="0"/>
          <w:marRight w:val="0"/>
          <w:marTop w:val="0"/>
          <w:marBottom w:val="0"/>
          <w:divBdr>
            <w:top w:val="none" w:sz="0" w:space="0" w:color="auto"/>
            <w:left w:val="none" w:sz="0" w:space="0" w:color="auto"/>
            <w:bottom w:val="none" w:sz="0" w:space="0" w:color="auto"/>
            <w:right w:val="none" w:sz="0" w:space="0" w:color="auto"/>
          </w:divBdr>
        </w:div>
      </w:divsChild>
    </w:div>
    <w:div w:id="434642565">
      <w:bodyDiv w:val="1"/>
      <w:marLeft w:val="0"/>
      <w:marRight w:val="0"/>
      <w:marTop w:val="0"/>
      <w:marBottom w:val="0"/>
      <w:divBdr>
        <w:top w:val="none" w:sz="0" w:space="0" w:color="auto"/>
        <w:left w:val="none" w:sz="0" w:space="0" w:color="auto"/>
        <w:bottom w:val="none" w:sz="0" w:space="0" w:color="auto"/>
        <w:right w:val="none" w:sz="0" w:space="0" w:color="auto"/>
      </w:divBdr>
    </w:div>
    <w:div w:id="435056951">
      <w:bodyDiv w:val="1"/>
      <w:marLeft w:val="0"/>
      <w:marRight w:val="0"/>
      <w:marTop w:val="0"/>
      <w:marBottom w:val="0"/>
      <w:divBdr>
        <w:top w:val="none" w:sz="0" w:space="0" w:color="auto"/>
        <w:left w:val="none" w:sz="0" w:space="0" w:color="auto"/>
        <w:bottom w:val="none" w:sz="0" w:space="0" w:color="auto"/>
        <w:right w:val="none" w:sz="0" w:space="0" w:color="auto"/>
      </w:divBdr>
    </w:div>
    <w:div w:id="436680255">
      <w:bodyDiv w:val="1"/>
      <w:marLeft w:val="0"/>
      <w:marRight w:val="0"/>
      <w:marTop w:val="0"/>
      <w:marBottom w:val="0"/>
      <w:divBdr>
        <w:top w:val="none" w:sz="0" w:space="0" w:color="auto"/>
        <w:left w:val="none" w:sz="0" w:space="0" w:color="auto"/>
        <w:bottom w:val="none" w:sz="0" w:space="0" w:color="auto"/>
        <w:right w:val="none" w:sz="0" w:space="0" w:color="auto"/>
      </w:divBdr>
    </w:div>
    <w:div w:id="437680301">
      <w:bodyDiv w:val="1"/>
      <w:marLeft w:val="0"/>
      <w:marRight w:val="0"/>
      <w:marTop w:val="0"/>
      <w:marBottom w:val="0"/>
      <w:divBdr>
        <w:top w:val="none" w:sz="0" w:space="0" w:color="auto"/>
        <w:left w:val="none" w:sz="0" w:space="0" w:color="auto"/>
        <w:bottom w:val="none" w:sz="0" w:space="0" w:color="auto"/>
        <w:right w:val="none" w:sz="0" w:space="0" w:color="auto"/>
      </w:divBdr>
    </w:div>
    <w:div w:id="438376784">
      <w:bodyDiv w:val="1"/>
      <w:marLeft w:val="0"/>
      <w:marRight w:val="0"/>
      <w:marTop w:val="0"/>
      <w:marBottom w:val="0"/>
      <w:divBdr>
        <w:top w:val="none" w:sz="0" w:space="0" w:color="auto"/>
        <w:left w:val="none" w:sz="0" w:space="0" w:color="auto"/>
        <w:bottom w:val="none" w:sz="0" w:space="0" w:color="auto"/>
        <w:right w:val="none" w:sz="0" w:space="0" w:color="auto"/>
      </w:divBdr>
    </w:div>
    <w:div w:id="438839556">
      <w:bodyDiv w:val="1"/>
      <w:marLeft w:val="0"/>
      <w:marRight w:val="0"/>
      <w:marTop w:val="0"/>
      <w:marBottom w:val="0"/>
      <w:divBdr>
        <w:top w:val="none" w:sz="0" w:space="0" w:color="auto"/>
        <w:left w:val="none" w:sz="0" w:space="0" w:color="auto"/>
        <w:bottom w:val="none" w:sz="0" w:space="0" w:color="auto"/>
        <w:right w:val="none" w:sz="0" w:space="0" w:color="auto"/>
      </w:divBdr>
    </w:div>
    <w:div w:id="439615802">
      <w:bodyDiv w:val="1"/>
      <w:marLeft w:val="0"/>
      <w:marRight w:val="0"/>
      <w:marTop w:val="0"/>
      <w:marBottom w:val="0"/>
      <w:divBdr>
        <w:top w:val="none" w:sz="0" w:space="0" w:color="auto"/>
        <w:left w:val="none" w:sz="0" w:space="0" w:color="auto"/>
        <w:bottom w:val="none" w:sz="0" w:space="0" w:color="auto"/>
        <w:right w:val="none" w:sz="0" w:space="0" w:color="auto"/>
      </w:divBdr>
    </w:div>
    <w:div w:id="440149007">
      <w:bodyDiv w:val="1"/>
      <w:marLeft w:val="0"/>
      <w:marRight w:val="0"/>
      <w:marTop w:val="0"/>
      <w:marBottom w:val="0"/>
      <w:divBdr>
        <w:top w:val="none" w:sz="0" w:space="0" w:color="auto"/>
        <w:left w:val="none" w:sz="0" w:space="0" w:color="auto"/>
        <w:bottom w:val="none" w:sz="0" w:space="0" w:color="auto"/>
        <w:right w:val="none" w:sz="0" w:space="0" w:color="auto"/>
      </w:divBdr>
    </w:div>
    <w:div w:id="440495541">
      <w:bodyDiv w:val="1"/>
      <w:marLeft w:val="0"/>
      <w:marRight w:val="0"/>
      <w:marTop w:val="0"/>
      <w:marBottom w:val="0"/>
      <w:divBdr>
        <w:top w:val="none" w:sz="0" w:space="0" w:color="auto"/>
        <w:left w:val="none" w:sz="0" w:space="0" w:color="auto"/>
        <w:bottom w:val="none" w:sz="0" w:space="0" w:color="auto"/>
        <w:right w:val="none" w:sz="0" w:space="0" w:color="auto"/>
      </w:divBdr>
    </w:div>
    <w:div w:id="441605924">
      <w:bodyDiv w:val="1"/>
      <w:marLeft w:val="0"/>
      <w:marRight w:val="0"/>
      <w:marTop w:val="0"/>
      <w:marBottom w:val="0"/>
      <w:divBdr>
        <w:top w:val="none" w:sz="0" w:space="0" w:color="auto"/>
        <w:left w:val="none" w:sz="0" w:space="0" w:color="auto"/>
        <w:bottom w:val="none" w:sz="0" w:space="0" w:color="auto"/>
        <w:right w:val="none" w:sz="0" w:space="0" w:color="auto"/>
      </w:divBdr>
    </w:div>
    <w:div w:id="445465239">
      <w:bodyDiv w:val="1"/>
      <w:marLeft w:val="0"/>
      <w:marRight w:val="0"/>
      <w:marTop w:val="0"/>
      <w:marBottom w:val="0"/>
      <w:divBdr>
        <w:top w:val="none" w:sz="0" w:space="0" w:color="auto"/>
        <w:left w:val="none" w:sz="0" w:space="0" w:color="auto"/>
        <w:bottom w:val="none" w:sz="0" w:space="0" w:color="auto"/>
        <w:right w:val="none" w:sz="0" w:space="0" w:color="auto"/>
      </w:divBdr>
    </w:div>
    <w:div w:id="447088724">
      <w:bodyDiv w:val="1"/>
      <w:marLeft w:val="0"/>
      <w:marRight w:val="0"/>
      <w:marTop w:val="0"/>
      <w:marBottom w:val="0"/>
      <w:divBdr>
        <w:top w:val="none" w:sz="0" w:space="0" w:color="auto"/>
        <w:left w:val="none" w:sz="0" w:space="0" w:color="auto"/>
        <w:bottom w:val="none" w:sz="0" w:space="0" w:color="auto"/>
        <w:right w:val="none" w:sz="0" w:space="0" w:color="auto"/>
      </w:divBdr>
    </w:div>
    <w:div w:id="448857074">
      <w:bodyDiv w:val="1"/>
      <w:marLeft w:val="0"/>
      <w:marRight w:val="0"/>
      <w:marTop w:val="0"/>
      <w:marBottom w:val="0"/>
      <w:divBdr>
        <w:top w:val="none" w:sz="0" w:space="0" w:color="auto"/>
        <w:left w:val="none" w:sz="0" w:space="0" w:color="auto"/>
        <w:bottom w:val="none" w:sz="0" w:space="0" w:color="auto"/>
        <w:right w:val="none" w:sz="0" w:space="0" w:color="auto"/>
      </w:divBdr>
    </w:div>
    <w:div w:id="450172195">
      <w:bodyDiv w:val="1"/>
      <w:marLeft w:val="0"/>
      <w:marRight w:val="0"/>
      <w:marTop w:val="0"/>
      <w:marBottom w:val="0"/>
      <w:divBdr>
        <w:top w:val="none" w:sz="0" w:space="0" w:color="auto"/>
        <w:left w:val="none" w:sz="0" w:space="0" w:color="auto"/>
        <w:bottom w:val="none" w:sz="0" w:space="0" w:color="auto"/>
        <w:right w:val="none" w:sz="0" w:space="0" w:color="auto"/>
      </w:divBdr>
    </w:div>
    <w:div w:id="450245999">
      <w:bodyDiv w:val="1"/>
      <w:marLeft w:val="0"/>
      <w:marRight w:val="0"/>
      <w:marTop w:val="0"/>
      <w:marBottom w:val="0"/>
      <w:divBdr>
        <w:top w:val="none" w:sz="0" w:space="0" w:color="auto"/>
        <w:left w:val="none" w:sz="0" w:space="0" w:color="auto"/>
        <w:bottom w:val="none" w:sz="0" w:space="0" w:color="auto"/>
        <w:right w:val="none" w:sz="0" w:space="0" w:color="auto"/>
      </w:divBdr>
    </w:div>
    <w:div w:id="450444208">
      <w:bodyDiv w:val="1"/>
      <w:marLeft w:val="0"/>
      <w:marRight w:val="0"/>
      <w:marTop w:val="0"/>
      <w:marBottom w:val="0"/>
      <w:divBdr>
        <w:top w:val="none" w:sz="0" w:space="0" w:color="auto"/>
        <w:left w:val="none" w:sz="0" w:space="0" w:color="auto"/>
        <w:bottom w:val="none" w:sz="0" w:space="0" w:color="auto"/>
        <w:right w:val="none" w:sz="0" w:space="0" w:color="auto"/>
      </w:divBdr>
    </w:div>
    <w:div w:id="450563004">
      <w:bodyDiv w:val="1"/>
      <w:marLeft w:val="0"/>
      <w:marRight w:val="0"/>
      <w:marTop w:val="0"/>
      <w:marBottom w:val="0"/>
      <w:divBdr>
        <w:top w:val="none" w:sz="0" w:space="0" w:color="auto"/>
        <w:left w:val="none" w:sz="0" w:space="0" w:color="auto"/>
        <w:bottom w:val="none" w:sz="0" w:space="0" w:color="auto"/>
        <w:right w:val="none" w:sz="0" w:space="0" w:color="auto"/>
      </w:divBdr>
    </w:div>
    <w:div w:id="450707804">
      <w:bodyDiv w:val="1"/>
      <w:marLeft w:val="0"/>
      <w:marRight w:val="0"/>
      <w:marTop w:val="0"/>
      <w:marBottom w:val="0"/>
      <w:divBdr>
        <w:top w:val="none" w:sz="0" w:space="0" w:color="auto"/>
        <w:left w:val="none" w:sz="0" w:space="0" w:color="auto"/>
        <w:bottom w:val="none" w:sz="0" w:space="0" w:color="auto"/>
        <w:right w:val="none" w:sz="0" w:space="0" w:color="auto"/>
      </w:divBdr>
    </w:div>
    <w:div w:id="451362476">
      <w:bodyDiv w:val="1"/>
      <w:marLeft w:val="0"/>
      <w:marRight w:val="0"/>
      <w:marTop w:val="0"/>
      <w:marBottom w:val="0"/>
      <w:divBdr>
        <w:top w:val="none" w:sz="0" w:space="0" w:color="auto"/>
        <w:left w:val="none" w:sz="0" w:space="0" w:color="auto"/>
        <w:bottom w:val="none" w:sz="0" w:space="0" w:color="auto"/>
        <w:right w:val="none" w:sz="0" w:space="0" w:color="auto"/>
      </w:divBdr>
    </w:div>
    <w:div w:id="452943010">
      <w:bodyDiv w:val="1"/>
      <w:marLeft w:val="0"/>
      <w:marRight w:val="0"/>
      <w:marTop w:val="0"/>
      <w:marBottom w:val="0"/>
      <w:divBdr>
        <w:top w:val="none" w:sz="0" w:space="0" w:color="auto"/>
        <w:left w:val="none" w:sz="0" w:space="0" w:color="auto"/>
        <w:bottom w:val="none" w:sz="0" w:space="0" w:color="auto"/>
        <w:right w:val="none" w:sz="0" w:space="0" w:color="auto"/>
      </w:divBdr>
    </w:div>
    <w:div w:id="455683807">
      <w:bodyDiv w:val="1"/>
      <w:marLeft w:val="0"/>
      <w:marRight w:val="0"/>
      <w:marTop w:val="0"/>
      <w:marBottom w:val="0"/>
      <w:divBdr>
        <w:top w:val="none" w:sz="0" w:space="0" w:color="auto"/>
        <w:left w:val="none" w:sz="0" w:space="0" w:color="auto"/>
        <w:bottom w:val="none" w:sz="0" w:space="0" w:color="auto"/>
        <w:right w:val="none" w:sz="0" w:space="0" w:color="auto"/>
      </w:divBdr>
    </w:div>
    <w:div w:id="457720244">
      <w:bodyDiv w:val="1"/>
      <w:marLeft w:val="0"/>
      <w:marRight w:val="0"/>
      <w:marTop w:val="0"/>
      <w:marBottom w:val="0"/>
      <w:divBdr>
        <w:top w:val="none" w:sz="0" w:space="0" w:color="auto"/>
        <w:left w:val="none" w:sz="0" w:space="0" w:color="auto"/>
        <w:bottom w:val="none" w:sz="0" w:space="0" w:color="auto"/>
        <w:right w:val="none" w:sz="0" w:space="0" w:color="auto"/>
      </w:divBdr>
    </w:div>
    <w:div w:id="459300095">
      <w:bodyDiv w:val="1"/>
      <w:marLeft w:val="0"/>
      <w:marRight w:val="0"/>
      <w:marTop w:val="0"/>
      <w:marBottom w:val="0"/>
      <w:divBdr>
        <w:top w:val="none" w:sz="0" w:space="0" w:color="auto"/>
        <w:left w:val="none" w:sz="0" w:space="0" w:color="auto"/>
        <w:bottom w:val="none" w:sz="0" w:space="0" w:color="auto"/>
        <w:right w:val="none" w:sz="0" w:space="0" w:color="auto"/>
      </w:divBdr>
    </w:div>
    <w:div w:id="459307246">
      <w:bodyDiv w:val="1"/>
      <w:marLeft w:val="0"/>
      <w:marRight w:val="0"/>
      <w:marTop w:val="0"/>
      <w:marBottom w:val="0"/>
      <w:divBdr>
        <w:top w:val="none" w:sz="0" w:space="0" w:color="auto"/>
        <w:left w:val="none" w:sz="0" w:space="0" w:color="auto"/>
        <w:bottom w:val="none" w:sz="0" w:space="0" w:color="auto"/>
        <w:right w:val="none" w:sz="0" w:space="0" w:color="auto"/>
      </w:divBdr>
    </w:div>
    <w:div w:id="461198230">
      <w:bodyDiv w:val="1"/>
      <w:marLeft w:val="0"/>
      <w:marRight w:val="0"/>
      <w:marTop w:val="0"/>
      <w:marBottom w:val="0"/>
      <w:divBdr>
        <w:top w:val="none" w:sz="0" w:space="0" w:color="auto"/>
        <w:left w:val="none" w:sz="0" w:space="0" w:color="auto"/>
        <w:bottom w:val="none" w:sz="0" w:space="0" w:color="auto"/>
        <w:right w:val="none" w:sz="0" w:space="0" w:color="auto"/>
      </w:divBdr>
    </w:div>
    <w:div w:id="462310029">
      <w:bodyDiv w:val="1"/>
      <w:marLeft w:val="0"/>
      <w:marRight w:val="0"/>
      <w:marTop w:val="0"/>
      <w:marBottom w:val="0"/>
      <w:divBdr>
        <w:top w:val="none" w:sz="0" w:space="0" w:color="auto"/>
        <w:left w:val="none" w:sz="0" w:space="0" w:color="auto"/>
        <w:bottom w:val="none" w:sz="0" w:space="0" w:color="auto"/>
        <w:right w:val="none" w:sz="0" w:space="0" w:color="auto"/>
      </w:divBdr>
    </w:div>
    <w:div w:id="466439476">
      <w:bodyDiv w:val="1"/>
      <w:marLeft w:val="0"/>
      <w:marRight w:val="0"/>
      <w:marTop w:val="0"/>
      <w:marBottom w:val="0"/>
      <w:divBdr>
        <w:top w:val="none" w:sz="0" w:space="0" w:color="auto"/>
        <w:left w:val="none" w:sz="0" w:space="0" w:color="auto"/>
        <w:bottom w:val="none" w:sz="0" w:space="0" w:color="auto"/>
        <w:right w:val="none" w:sz="0" w:space="0" w:color="auto"/>
      </w:divBdr>
    </w:div>
    <w:div w:id="467170505">
      <w:bodyDiv w:val="1"/>
      <w:marLeft w:val="0"/>
      <w:marRight w:val="0"/>
      <w:marTop w:val="0"/>
      <w:marBottom w:val="0"/>
      <w:divBdr>
        <w:top w:val="none" w:sz="0" w:space="0" w:color="auto"/>
        <w:left w:val="none" w:sz="0" w:space="0" w:color="auto"/>
        <w:bottom w:val="none" w:sz="0" w:space="0" w:color="auto"/>
        <w:right w:val="none" w:sz="0" w:space="0" w:color="auto"/>
      </w:divBdr>
    </w:div>
    <w:div w:id="468983480">
      <w:bodyDiv w:val="1"/>
      <w:marLeft w:val="0"/>
      <w:marRight w:val="0"/>
      <w:marTop w:val="0"/>
      <w:marBottom w:val="0"/>
      <w:divBdr>
        <w:top w:val="none" w:sz="0" w:space="0" w:color="auto"/>
        <w:left w:val="none" w:sz="0" w:space="0" w:color="auto"/>
        <w:bottom w:val="none" w:sz="0" w:space="0" w:color="auto"/>
        <w:right w:val="none" w:sz="0" w:space="0" w:color="auto"/>
      </w:divBdr>
    </w:div>
    <w:div w:id="470483356">
      <w:bodyDiv w:val="1"/>
      <w:marLeft w:val="0"/>
      <w:marRight w:val="0"/>
      <w:marTop w:val="0"/>
      <w:marBottom w:val="0"/>
      <w:divBdr>
        <w:top w:val="none" w:sz="0" w:space="0" w:color="auto"/>
        <w:left w:val="none" w:sz="0" w:space="0" w:color="auto"/>
        <w:bottom w:val="none" w:sz="0" w:space="0" w:color="auto"/>
        <w:right w:val="none" w:sz="0" w:space="0" w:color="auto"/>
      </w:divBdr>
    </w:div>
    <w:div w:id="470683342">
      <w:bodyDiv w:val="1"/>
      <w:marLeft w:val="0"/>
      <w:marRight w:val="0"/>
      <w:marTop w:val="0"/>
      <w:marBottom w:val="0"/>
      <w:divBdr>
        <w:top w:val="none" w:sz="0" w:space="0" w:color="auto"/>
        <w:left w:val="none" w:sz="0" w:space="0" w:color="auto"/>
        <w:bottom w:val="none" w:sz="0" w:space="0" w:color="auto"/>
        <w:right w:val="none" w:sz="0" w:space="0" w:color="auto"/>
      </w:divBdr>
    </w:div>
    <w:div w:id="471096629">
      <w:bodyDiv w:val="1"/>
      <w:marLeft w:val="0"/>
      <w:marRight w:val="0"/>
      <w:marTop w:val="0"/>
      <w:marBottom w:val="0"/>
      <w:divBdr>
        <w:top w:val="none" w:sz="0" w:space="0" w:color="auto"/>
        <w:left w:val="none" w:sz="0" w:space="0" w:color="auto"/>
        <w:bottom w:val="none" w:sz="0" w:space="0" w:color="auto"/>
        <w:right w:val="none" w:sz="0" w:space="0" w:color="auto"/>
      </w:divBdr>
    </w:div>
    <w:div w:id="472988587">
      <w:bodyDiv w:val="1"/>
      <w:marLeft w:val="0"/>
      <w:marRight w:val="0"/>
      <w:marTop w:val="0"/>
      <w:marBottom w:val="0"/>
      <w:divBdr>
        <w:top w:val="none" w:sz="0" w:space="0" w:color="auto"/>
        <w:left w:val="none" w:sz="0" w:space="0" w:color="auto"/>
        <w:bottom w:val="none" w:sz="0" w:space="0" w:color="auto"/>
        <w:right w:val="none" w:sz="0" w:space="0" w:color="auto"/>
      </w:divBdr>
    </w:div>
    <w:div w:id="473375728">
      <w:bodyDiv w:val="1"/>
      <w:marLeft w:val="0"/>
      <w:marRight w:val="0"/>
      <w:marTop w:val="0"/>
      <w:marBottom w:val="0"/>
      <w:divBdr>
        <w:top w:val="none" w:sz="0" w:space="0" w:color="auto"/>
        <w:left w:val="none" w:sz="0" w:space="0" w:color="auto"/>
        <w:bottom w:val="none" w:sz="0" w:space="0" w:color="auto"/>
        <w:right w:val="none" w:sz="0" w:space="0" w:color="auto"/>
      </w:divBdr>
    </w:div>
    <w:div w:id="475532274">
      <w:bodyDiv w:val="1"/>
      <w:marLeft w:val="0"/>
      <w:marRight w:val="0"/>
      <w:marTop w:val="0"/>
      <w:marBottom w:val="0"/>
      <w:divBdr>
        <w:top w:val="none" w:sz="0" w:space="0" w:color="auto"/>
        <w:left w:val="none" w:sz="0" w:space="0" w:color="auto"/>
        <w:bottom w:val="none" w:sz="0" w:space="0" w:color="auto"/>
        <w:right w:val="none" w:sz="0" w:space="0" w:color="auto"/>
      </w:divBdr>
    </w:div>
    <w:div w:id="476268341">
      <w:bodyDiv w:val="1"/>
      <w:marLeft w:val="0"/>
      <w:marRight w:val="0"/>
      <w:marTop w:val="0"/>
      <w:marBottom w:val="0"/>
      <w:divBdr>
        <w:top w:val="none" w:sz="0" w:space="0" w:color="auto"/>
        <w:left w:val="none" w:sz="0" w:space="0" w:color="auto"/>
        <w:bottom w:val="none" w:sz="0" w:space="0" w:color="auto"/>
        <w:right w:val="none" w:sz="0" w:space="0" w:color="auto"/>
      </w:divBdr>
    </w:div>
    <w:div w:id="477578029">
      <w:bodyDiv w:val="1"/>
      <w:marLeft w:val="0"/>
      <w:marRight w:val="0"/>
      <w:marTop w:val="0"/>
      <w:marBottom w:val="0"/>
      <w:divBdr>
        <w:top w:val="none" w:sz="0" w:space="0" w:color="auto"/>
        <w:left w:val="none" w:sz="0" w:space="0" w:color="auto"/>
        <w:bottom w:val="none" w:sz="0" w:space="0" w:color="auto"/>
        <w:right w:val="none" w:sz="0" w:space="0" w:color="auto"/>
      </w:divBdr>
    </w:div>
    <w:div w:id="478114289">
      <w:bodyDiv w:val="1"/>
      <w:marLeft w:val="0"/>
      <w:marRight w:val="0"/>
      <w:marTop w:val="0"/>
      <w:marBottom w:val="0"/>
      <w:divBdr>
        <w:top w:val="none" w:sz="0" w:space="0" w:color="auto"/>
        <w:left w:val="none" w:sz="0" w:space="0" w:color="auto"/>
        <w:bottom w:val="none" w:sz="0" w:space="0" w:color="auto"/>
        <w:right w:val="none" w:sz="0" w:space="0" w:color="auto"/>
      </w:divBdr>
    </w:div>
    <w:div w:id="478960431">
      <w:bodyDiv w:val="1"/>
      <w:marLeft w:val="0"/>
      <w:marRight w:val="0"/>
      <w:marTop w:val="0"/>
      <w:marBottom w:val="0"/>
      <w:divBdr>
        <w:top w:val="none" w:sz="0" w:space="0" w:color="auto"/>
        <w:left w:val="none" w:sz="0" w:space="0" w:color="auto"/>
        <w:bottom w:val="none" w:sz="0" w:space="0" w:color="auto"/>
        <w:right w:val="none" w:sz="0" w:space="0" w:color="auto"/>
      </w:divBdr>
    </w:div>
    <w:div w:id="479539825">
      <w:bodyDiv w:val="1"/>
      <w:marLeft w:val="0"/>
      <w:marRight w:val="0"/>
      <w:marTop w:val="0"/>
      <w:marBottom w:val="0"/>
      <w:divBdr>
        <w:top w:val="none" w:sz="0" w:space="0" w:color="auto"/>
        <w:left w:val="none" w:sz="0" w:space="0" w:color="auto"/>
        <w:bottom w:val="none" w:sz="0" w:space="0" w:color="auto"/>
        <w:right w:val="none" w:sz="0" w:space="0" w:color="auto"/>
      </w:divBdr>
    </w:div>
    <w:div w:id="480730932">
      <w:bodyDiv w:val="1"/>
      <w:marLeft w:val="0"/>
      <w:marRight w:val="0"/>
      <w:marTop w:val="0"/>
      <w:marBottom w:val="0"/>
      <w:divBdr>
        <w:top w:val="none" w:sz="0" w:space="0" w:color="auto"/>
        <w:left w:val="none" w:sz="0" w:space="0" w:color="auto"/>
        <w:bottom w:val="none" w:sz="0" w:space="0" w:color="auto"/>
        <w:right w:val="none" w:sz="0" w:space="0" w:color="auto"/>
      </w:divBdr>
    </w:div>
    <w:div w:id="483592743">
      <w:bodyDiv w:val="1"/>
      <w:marLeft w:val="0"/>
      <w:marRight w:val="0"/>
      <w:marTop w:val="0"/>
      <w:marBottom w:val="0"/>
      <w:divBdr>
        <w:top w:val="none" w:sz="0" w:space="0" w:color="auto"/>
        <w:left w:val="none" w:sz="0" w:space="0" w:color="auto"/>
        <w:bottom w:val="none" w:sz="0" w:space="0" w:color="auto"/>
        <w:right w:val="none" w:sz="0" w:space="0" w:color="auto"/>
      </w:divBdr>
    </w:div>
    <w:div w:id="484081025">
      <w:bodyDiv w:val="1"/>
      <w:marLeft w:val="0"/>
      <w:marRight w:val="0"/>
      <w:marTop w:val="0"/>
      <w:marBottom w:val="0"/>
      <w:divBdr>
        <w:top w:val="none" w:sz="0" w:space="0" w:color="auto"/>
        <w:left w:val="none" w:sz="0" w:space="0" w:color="auto"/>
        <w:bottom w:val="none" w:sz="0" w:space="0" w:color="auto"/>
        <w:right w:val="none" w:sz="0" w:space="0" w:color="auto"/>
      </w:divBdr>
    </w:div>
    <w:div w:id="487281741">
      <w:bodyDiv w:val="1"/>
      <w:marLeft w:val="0"/>
      <w:marRight w:val="0"/>
      <w:marTop w:val="0"/>
      <w:marBottom w:val="0"/>
      <w:divBdr>
        <w:top w:val="none" w:sz="0" w:space="0" w:color="auto"/>
        <w:left w:val="none" w:sz="0" w:space="0" w:color="auto"/>
        <w:bottom w:val="none" w:sz="0" w:space="0" w:color="auto"/>
        <w:right w:val="none" w:sz="0" w:space="0" w:color="auto"/>
      </w:divBdr>
    </w:div>
    <w:div w:id="490217332">
      <w:bodyDiv w:val="1"/>
      <w:marLeft w:val="0"/>
      <w:marRight w:val="0"/>
      <w:marTop w:val="0"/>
      <w:marBottom w:val="0"/>
      <w:divBdr>
        <w:top w:val="none" w:sz="0" w:space="0" w:color="auto"/>
        <w:left w:val="none" w:sz="0" w:space="0" w:color="auto"/>
        <w:bottom w:val="none" w:sz="0" w:space="0" w:color="auto"/>
        <w:right w:val="none" w:sz="0" w:space="0" w:color="auto"/>
      </w:divBdr>
    </w:div>
    <w:div w:id="490217999">
      <w:bodyDiv w:val="1"/>
      <w:marLeft w:val="0"/>
      <w:marRight w:val="0"/>
      <w:marTop w:val="0"/>
      <w:marBottom w:val="0"/>
      <w:divBdr>
        <w:top w:val="none" w:sz="0" w:space="0" w:color="auto"/>
        <w:left w:val="none" w:sz="0" w:space="0" w:color="auto"/>
        <w:bottom w:val="none" w:sz="0" w:space="0" w:color="auto"/>
        <w:right w:val="none" w:sz="0" w:space="0" w:color="auto"/>
      </w:divBdr>
    </w:div>
    <w:div w:id="490945483">
      <w:bodyDiv w:val="1"/>
      <w:marLeft w:val="0"/>
      <w:marRight w:val="0"/>
      <w:marTop w:val="0"/>
      <w:marBottom w:val="0"/>
      <w:divBdr>
        <w:top w:val="none" w:sz="0" w:space="0" w:color="auto"/>
        <w:left w:val="none" w:sz="0" w:space="0" w:color="auto"/>
        <w:bottom w:val="none" w:sz="0" w:space="0" w:color="auto"/>
        <w:right w:val="none" w:sz="0" w:space="0" w:color="auto"/>
      </w:divBdr>
    </w:div>
    <w:div w:id="490949575">
      <w:bodyDiv w:val="1"/>
      <w:marLeft w:val="0"/>
      <w:marRight w:val="0"/>
      <w:marTop w:val="0"/>
      <w:marBottom w:val="0"/>
      <w:divBdr>
        <w:top w:val="none" w:sz="0" w:space="0" w:color="auto"/>
        <w:left w:val="none" w:sz="0" w:space="0" w:color="auto"/>
        <w:bottom w:val="none" w:sz="0" w:space="0" w:color="auto"/>
        <w:right w:val="none" w:sz="0" w:space="0" w:color="auto"/>
      </w:divBdr>
    </w:div>
    <w:div w:id="491213875">
      <w:bodyDiv w:val="1"/>
      <w:marLeft w:val="0"/>
      <w:marRight w:val="0"/>
      <w:marTop w:val="0"/>
      <w:marBottom w:val="0"/>
      <w:divBdr>
        <w:top w:val="none" w:sz="0" w:space="0" w:color="auto"/>
        <w:left w:val="none" w:sz="0" w:space="0" w:color="auto"/>
        <w:bottom w:val="none" w:sz="0" w:space="0" w:color="auto"/>
        <w:right w:val="none" w:sz="0" w:space="0" w:color="auto"/>
      </w:divBdr>
    </w:div>
    <w:div w:id="491679828">
      <w:bodyDiv w:val="1"/>
      <w:marLeft w:val="0"/>
      <w:marRight w:val="0"/>
      <w:marTop w:val="0"/>
      <w:marBottom w:val="0"/>
      <w:divBdr>
        <w:top w:val="none" w:sz="0" w:space="0" w:color="auto"/>
        <w:left w:val="none" w:sz="0" w:space="0" w:color="auto"/>
        <w:bottom w:val="none" w:sz="0" w:space="0" w:color="auto"/>
        <w:right w:val="none" w:sz="0" w:space="0" w:color="auto"/>
      </w:divBdr>
    </w:div>
    <w:div w:id="491792883">
      <w:bodyDiv w:val="1"/>
      <w:marLeft w:val="0"/>
      <w:marRight w:val="0"/>
      <w:marTop w:val="0"/>
      <w:marBottom w:val="0"/>
      <w:divBdr>
        <w:top w:val="none" w:sz="0" w:space="0" w:color="auto"/>
        <w:left w:val="none" w:sz="0" w:space="0" w:color="auto"/>
        <w:bottom w:val="none" w:sz="0" w:space="0" w:color="auto"/>
        <w:right w:val="none" w:sz="0" w:space="0" w:color="auto"/>
      </w:divBdr>
      <w:divsChild>
        <w:div w:id="394395792">
          <w:marLeft w:val="0"/>
          <w:marRight w:val="0"/>
          <w:marTop w:val="0"/>
          <w:marBottom w:val="0"/>
          <w:divBdr>
            <w:top w:val="none" w:sz="0" w:space="0" w:color="auto"/>
            <w:left w:val="none" w:sz="0" w:space="0" w:color="auto"/>
            <w:bottom w:val="none" w:sz="0" w:space="0" w:color="auto"/>
            <w:right w:val="none" w:sz="0" w:space="0" w:color="auto"/>
          </w:divBdr>
          <w:divsChild>
            <w:div w:id="354814173">
              <w:marLeft w:val="0"/>
              <w:marRight w:val="0"/>
              <w:marTop w:val="0"/>
              <w:marBottom w:val="0"/>
              <w:divBdr>
                <w:top w:val="none" w:sz="0" w:space="0" w:color="auto"/>
                <w:left w:val="none" w:sz="0" w:space="0" w:color="auto"/>
                <w:bottom w:val="none" w:sz="0" w:space="0" w:color="auto"/>
                <w:right w:val="none" w:sz="0" w:space="0" w:color="auto"/>
              </w:divBdr>
              <w:divsChild>
                <w:div w:id="1072386084">
                  <w:marLeft w:val="0"/>
                  <w:marRight w:val="0"/>
                  <w:marTop w:val="0"/>
                  <w:marBottom w:val="0"/>
                  <w:divBdr>
                    <w:top w:val="none" w:sz="0" w:space="0" w:color="auto"/>
                    <w:left w:val="none" w:sz="0" w:space="0" w:color="auto"/>
                    <w:bottom w:val="none" w:sz="0" w:space="0" w:color="auto"/>
                    <w:right w:val="none" w:sz="0" w:space="0" w:color="auto"/>
                  </w:divBdr>
                  <w:divsChild>
                    <w:div w:id="1443841227">
                      <w:marLeft w:val="0"/>
                      <w:marRight w:val="0"/>
                      <w:marTop w:val="0"/>
                      <w:marBottom w:val="0"/>
                      <w:divBdr>
                        <w:top w:val="none" w:sz="0" w:space="0" w:color="auto"/>
                        <w:left w:val="none" w:sz="0" w:space="0" w:color="auto"/>
                        <w:bottom w:val="none" w:sz="0" w:space="0" w:color="auto"/>
                        <w:right w:val="none" w:sz="0" w:space="0" w:color="auto"/>
                      </w:divBdr>
                      <w:divsChild>
                        <w:div w:id="1963151965">
                          <w:marLeft w:val="0"/>
                          <w:marRight w:val="0"/>
                          <w:marTop w:val="0"/>
                          <w:marBottom w:val="0"/>
                          <w:divBdr>
                            <w:top w:val="none" w:sz="0" w:space="0" w:color="auto"/>
                            <w:left w:val="none" w:sz="0" w:space="0" w:color="auto"/>
                            <w:bottom w:val="none" w:sz="0" w:space="0" w:color="auto"/>
                            <w:right w:val="none" w:sz="0" w:space="0" w:color="auto"/>
                          </w:divBdr>
                          <w:divsChild>
                            <w:div w:id="617835641">
                              <w:marLeft w:val="0"/>
                              <w:marRight w:val="0"/>
                              <w:marTop w:val="0"/>
                              <w:marBottom w:val="0"/>
                              <w:divBdr>
                                <w:top w:val="none" w:sz="0" w:space="0" w:color="auto"/>
                                <w:left w:val="none" w:sz="0" w:space="0" w:color="auto"/>
                                <w:bottom w:val="none" w:sz="0" w:space="0" w:color="auto"/>
                                <w:right w:val="none" w:sz="0" w:space="0" w:color="auto"/>
                              </w:divBdr>
                              <w:divsChild>
                                <w:div w:id="360862883">
                                  <w:marLeft w:val="0"/>
                                  <w:marRight w:val="0"/>
                                  <w:marTop w:val="0"/>
                                  <w:marBottom w:val="0"/>
                                  <w:divBdr>
                                    <w:top w:val="single" w:sz="6" w:space="0" w:color="F5F5F5"/>
                                    <w:left w:val="single" w:sz="6" w:space="0" w:color="F5F5F5"/>
                                    <w:bottom w:val="single" w:sz="6" w:space="0" w:color="F5F5F5"/>
                                    <w:right w:val="single" w:sz="6" w:space="0" w:color="F5F5F5"/>
                                  </w:divBdr>
                                  <w:divsChild>
                                    <w:div w:id="652759975">
                                      <w:marLeft w:val="0"/>
                                      <w:marRight w:val="0"/>
                                      <w:marTop w:val="0"/>
                                      <w:marBottom w:val="0"/>
                                      <w:divBdr>
                                        <w:top w:val="none" w:sz="0" w:space="0" w:color="auto"/>
                                        <w:left w:val="none" w:sz="0" w:space="0" w:color="auto"/>
                                        <w:bottom w:val="none" w:sz="0" w:space="0" w:color="auto"/>
                                        <w:right w:val="none" w:sz="0" w:space="0" w:color="auto"/>
                                      </w:divBdr>
                                      <w:divsChild>
                                        <w:div w:id="1720783744">
                                          <w:marLeft w:val="0"/>
                                          <w:marRight w:val="0"/>
                                          <w:marTop w:val="0"/>
                                          <w:marBottom w:val="0"/>
                                          <w:divBdr>
                                            <w:top w:val="none" w:sz="0" w:space="0" w:color="auto"/>
                                            <w:left w:val="none" w:sz="0" w:space="0" w:color="auto"/>
                                            <w:bottom w:val="none" w:sz="0" w:space="0" w:color="auto"/>
                                            <w:right w:val="none" w:sz="0" w:space="0" w:color="auto"/>
                                          </w:divBdr>
                                        </w:div>
                                      </w:divsChild>
                                    </w:div>
                                    <w:div w:id="1117602754">
                                      <w:marLeft w:val="0"/>
                                      <w:marRight w:val="0"/>
                                      <w:marTop w:val="0"/>
                                      <w:marBottom w:val="0"/>
                                      <w:divBdr>
                                        <w:top w:val="none" w:sz="0" w:space="0" w:color="auto"/>
                                        <w:left w:val="none" w:sz="0" w:space="0" w:color="auto"/>
                                        <w:bottom w:val="none" w:sz="0" w:space="0" w:color="auto"/>
                                        <w:right w:val="none" w:sz="0" w:space="0" w:color="auto"/>
                                      </w:divBdr>
                                      <w:divsChild>
                                        <w:div w:id="14588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3642634">
      <w:bodyDiv w:val="1"/>
      <w:marLeft w:val="0"/>
      <w:marRight w:val="0"/>
      <w:marTop w:val="0"/>
      <w:marBottom w:val="0"/>
      <w:divBdr>
        <w:top w:val="none" w:sz="0" w:space="0" w:color="auto"/>
        <w:left w:val="none" w:sz="0" w:space="0" w:color="auto"/>
        <w:bottom w:val="none" w:sz="0" w:space="0" w:color="auto"/>
        <w:right w:val="none" w:sz="0" w:space="0" w:color="auto"/>
      </w:divBdr>
    </w:div>
    <w:div w:id="494491545">
      <w:bodyDiv w:val="1"/>
      <w:marLeft w:val="0"/>
      <w:marRight w:val="0"/>
      <w:marTop w:val="0"/>
      <w:marBottom w:val="0"/>
      <w:divBdr>
        <w:top w:val="none" w:sz="0" w:space="0" w:color="auto"/>
        <w:left w:val="none" w:sz="0" w:space="0" w:color="auto"/>
        <w:bottom w:val="none" w:sz="0" w:space="0" w:color="auto"/>
        <w:right w:val="none" w:sz="0" w:space="0" w:color="auto"/>
      </w:divBdr>
    </w:div>
    <w:div w:id="494609779">
      <w:bodyDiv w:val="1"/>
      <w:marLeft w:val="0"/>
      <w:marRight w:val="0"/>
      <w:marTop w:val="0"/>
      <w:marBottom w:val="0"/>
      <w:divBdr>
        <w:top w:val="none" w:sz="0" w:space="0" w:color="auto"/>
        <w:left w:val="none" w:sz="0" w:space="0" w:color="auto"/>
        <w:bottom w:val="none" w:sz="0" w:space="0" w:color="auto"/>
        <w:right w:val="none" w:sz="0" w:space="0" w:color="auto"/>
      </w:divBdr>
    </w:div>
    <w:div w:id="494884231">
      <w:bodyDiv w:val="1"/>
      <w:marLeft w:val="0"/>
      <w:marRight w:val="0"/>
      <w:marTop w:val="0"/>
      <w:marBottom w:val="0"/>
      <w:divBdr>
        <w:top w:val="none" w:sz="0" w:space="0" w:color="auto"/>
        <w:left w:val="none" w:sz="0" w:space="0" w:color="auto"/>
        <w:bottom w:val="none" w:sz="0" w:space="0" w:color="auto"/>
        <w:right w:val="none" w:sz="0" w:space="0" w:color="auto"/>
      </w:divBdr>
      <w:divsChild>
        <w:div w:id="1245727636">
          <w:marLeft w:val="0"/>
          <w:marRight w:val="0"/>
          <w:marTop w:val="0"/>
          <w:marBottom w:val="0"/>
          <w:divBdr>
            <w:top w:val="none" w:sz="0" w:space="0" w:color="auto"/>
            <w:left w:val="none" w:sz="0" w:space="0" w:color="auto"/>
            <w:bottom w:val="none" w:sz="0" w:space="0" w:color="auto"/>
            <w:right w:val="none" w:sz="0" w:space="0" w:color="auto"/>
          </w:divBdr>
        </w:div>
      </w:divsChild>
    </w:div>
    <w:div w:id="496266512">
      <w:bodyDiv w:val="1"/>
      <w:marLeft w:val="0"/>
      <w:marRight w:val="0"/>
      <w:marTop w:val="0"/>
      <w:marBottom w:val="0"/>
      <w:divBdr>
        <w:top w:val="none" w:sz="0" w:space="0" w:color="auto"/>
        <w:left w:val="none" w:sz="0" w:space="0" w:color="auto"/>
        <w:bottom w:val="none" w:sz="0" w:space="0" w:color="auto"/>
        <w:right w:val="none" w:sz="0" w:space="0" w:color="auto"/>
      </w:divBdr>
    </w:div>
    <w:div w:id="496966831">
      <w:bodyDiv w:val="1"/>
      <w:marLeft w:val="0"/>
      <w:marRight w:val="0"/>
      <w:marTop w:val="0"/>
      <w:marBottom w:val="0"/>
      <w:divBdr>
        <w:top w:val="none" w:sz="0" w:space="0" w:color="auto"/>
        <w:left w:val="none" w:sz="0" w:space="0" w:color="auto"/>
        <w:bottom w:val="none" w:sz="0" w:space="0" w:color="auto"/>
        <w:right w:val="none" w:sz="0" w:space="0" w:color="auto"/>
      </w:divBdr>
      <w:divsChild>
        <w:div w:id="81338344">
          <w:marLeft w:val="0"/>
          <w:marRight w:val="0"/>
          <w:marTop w:val="0"/>
          <w:marBottom w:val="0"/>
          <w:divBdr>
            <w:top w:val="none" w:sz="0" w:space="0" w:color="auto"/>
            <w:left w:val="none" w:sz="0" w:space="0" w:color="auto"/>
            <w:bottom w:val="none" w:sz="0" w:space="0" w:color="auto"/>
            <w:right w:val="none" w:sz="0" w:space="0" w:color="auto"/>
          </w:divBdr>
        </w:div>
      </w:divsChild>
    </w:div>
    <w:div w:id="498084513">
      <w:bodyDiv w:val="1"/>
      <w:marLeft w:val="0"/>
      <w:marRight w:val="0"/>
      <w:marTop w:val="0"/>
      <w:marBottom w:val="0"/>
      <w:divBdr>
        <w:top w:val="none" w:sz="0" w:space="0" w:color="auto"/>
        <w:left w:val="none" w:sz="0" w:space="0" w:color="auto"/>
        <w:bottom w:val="none" w:sz="0" w:space="0" w:color="auto"/>
        <w:right w:val="none" w:sz="0" w:space="0" w:color="auto"/>
      </w:divBdr>
    </w:div>
    <w:div w:id="498621579">
      <w:bodyDiv w:val="1"/>
      <w:marLeft w:val="0"/>
      <w:marRight w:val="0"/>
      <w:marTop w:val="0"/>
      <w:marBottom w:val="0"/>
      <w:divBdr>
        <w:top w:val="none" w:sz="0" w:space="0" w:color="auto"/>
        <w:left w:val="none" w:sz="0" w:space="0" w:color="auto"/>
        <w:bottom w:val="none" w:sz="0" w:space="0" w:color="auto"/>
        <w:right w:val="none" w:sz="0" w:space="0" w:color="auto"/>
      </w:divBdr>
    </w:div>
    <w:div w:id="499469220">
      <w:bodyDiv w:val="1"/>
      <w:marLeft w:val="0"/>
      <w:marRight w:val="0"/>
      <w:marTop w:val="0"/>
      <w:marBottom w:val="0"/>
      <w:divBdr>
        <w:top w:val="none" w:sz="0" w:space="0" w:color="auto"/>
        <w:left w:val="none" w:sz="0" w:space="0" w:color="auto"/>
        <w:bottom w:val="none" w:sz="0" w:space="0" w:color="auto"/>
        <w:right w:val="none" w:sz="0" w:space="0" w:color="auto"/>
      </w:divBdr>
    </w:div>
    <w:div w:id="500775157">
      <w:bodyDiv w:val="1"/>
      <w:marLeft w:val="0"/>
      <w:marRight w:val="0"/>
      <w:marTop w:val="0"/>
      <w:marBottom w:val="0"/>
      <w:divBdr>
        <w:top w:val="none" w:sz="0" w:space="0" w:color="auto"/>
        <w:left w:val="none" w:sz="0" w:space="0" w:color="auto"/>
        <w:bottom w:val="none" w:sz="0" w:space="0" w:color="auto"/>
        <w:right w:val="none" w:sz="0" w:space="0" w:color="auto"/>
      </w:divBdr>
    </w:div>
    <w:div w:id="501089511">
      <w:bodyDiv w:val="1"/>
      <w:marLeft w:val="0"/>
      <w:marRight w:val="0"/>
      <w:marTop w:val="0"/>
      <w:marBottom w:val="0"/>
      <w:divBdr>
        <w:top w:val="none" w:sz="0" w:space="0" w:color="auto"/>
        <w:left w:val="none" w:sz="0" w:space="0" w:color="auto"/>
        <w:bottom w:val="none" w:sz="0" w:space="0" w:color="auto"/>
        <w:right w:val="none" w:sz="0" w:space="0" w:color="auto"/>
      </w:divBdr>
    </w:div>
    <w:div w:id="501547094">
      <w:bodyDiv w:val="1"/>
      <w:marLeft w:val="0"/>
      <w:marRight w:val="0"/>
      <w:marTop w:val="0"/>
      <w:marBottom w:val="0"/>
      <w:divBdr>
        <w:top w:val="none" w:sz="0" w:space="0" w:color="auto"/>
        <w:left w:val="none" w:sz="0" w:space="0" w:color="auto"/>
        <w:bottom w:val="none" w:sz="0" w:space="0" w:color="auto"/>
        <w:right w:val="none" w:sz="0" w:space="0" w:color="auto"/>
      </w:divBdr>
    </w:div>
    <w:div w:id="501553443">
      <w:bodyDiv w:val="1"/>
      <w:marLeft w:val="0"/>
      <w:marRight w:val="0"/>
      <w:marTop w:val="0"/>
      <w:marBottom w:val="0"/>
      <w:divBdr>
        <w:top w:val="none" w:sz="0" w:space="0" w:color="auto"/>
        <w:left w:val="none" w:sz="0" w:space="0" w:color="auto"/>
        <w:bottom w:val="none" w:sz="0" w:space="0" w:color="auto"/>
        <w:right w:val="none" w:sz="0" w:space="0" w:color="auto"/>
      </w:divBdr>
      <w:divsChild>
        <w:div w:id="1745255500">
          <w:marLeft w:val="0"/>
          <w:marRight w:val="0"/>
          <w:marTop w:val="0"/>
          <w:marBottom w:val="0"/>
          <w:divBdr>
            <w:top w:val="none" w:sz="0" w:space="0" w:color="auto"/>
            <w:left w:val="none" w:sz="0" w:space="0" w:color="auto"/>
            <w:bottom w:val="none" w:sz="0" w:space="0" w:color="auto"/>
            <w:right w:val="none" w:sz="0" w:space="0" w:color="auto"/>
          </w:divBdr>
        </w:div>
        <w:div w:id="1918392859">
          <w:marLeft w:val="0"/>
          <w:marRight w:val="0"/>
          <w:marTop w:val="0"/>
          <w:marBottom w:val="0"/>
          <w:divBdr>
            <w:top w:val="none" w:sz="0" w:space="0" w:color="auto"/>
            <w:left w:val="none" w:sz="0" w:space="0" w:color="auto"/>
            <w:bottom w:val="none" w:sz="0" w:space="0" w:color="auto"/>
            <w:right w:val="none" w:sz="0" w:space="0" w:color="auto"/>
          </w:divBdr>
        </w:div>
      </w:divsChild>
    </w:div>
    <w:div w:id="502862764">
      <w:bodyDiv w:val="1"/>
      <w:marLeft w:val="0"/>
      <w:marRight w:val="0"/>
      <w:marTop w:val="0"/>
      <w:marBottom w:val="0"/>
      <w:divBdr>
        <w:top w:val="none" w:sz="0" w:space="0" w:color="auto"/>
        <w:left w:val="none" w:sz="0" w:space="0" w:color="auto"/>
        <w:bottom w:val="none" w:sz="0" w:space="0" w:color="auto"/>
        <w:right w:val="none" w:sz="0" w:space="0" w:color="auto"/>
      </w:divBdr>
    </w:div>
    <w:div w:id="504396920">
      <w:bodyDiv w:val="1"/>
      <w:marLeft w:val="0"/>
      <w:marRight w:val="0"/>
      <w:marTop w:val="0"/>
      <w:marBottom w:val="0"/>
      <w:divBdr>
        <w:top w:val="none" w:sz="0" w:space="0" w:color="auto"/>
        <w:left w:val="none" w:sz="0" w:space="0" w:color="auto"/>
        <w:bottom w:val="none" w:sz="0" w:space="0" w:color="auto"/>
        <w:right w:val="none" w:sz="0" w:space="0" w:color="auto"/>
      </w:divBdr>
    </w:div>
    <w:div w:id="504709813">
      <w:bodyDiv w:val="1"/>
      <w:marLeft w:val="0"/>
      <w:marRight w:val="0"/>
      <w:marTop w:val="0"/>
      <w:marBottom w:val="0"/>
      <w:divBdr>
        <w:top w:val="none" w:sz="0" w:space="0" w:color="auto"/>
        <w:left w:val="none" w:sz="0" w:space="0" w:color="auto"/>
        <w:bottom w:val="none" w:sz="0" w:space="0" w:color="auto"/>
        <w:right w:val="none" w:sz="0" w:space="0" w:color="auto"/>
      </w:divBdr>
    </w:div>
    <w:div w:id="506948421">
      <w:bodyDiv w:val="1"/>
      <w:marLeft w:val="0"/>
      <w:marRight w:val="0"/>
      <w:marTop w:val="0"/>
      <w:marBottom w:val="0"/>
      <w:divBdr>
        <w:top w:val="none" w:sz="0" w:space="0" w:color="auto"/>
        <w:left w:val="none" w:sz="0" w:space="0" w:color="auto"/>
        <w:bottom w:val="none" w:sz="0" w:space="0" w:color="auto"/>
        <w:right w:val="none" w:sz="0" w:space="0" w:color="auto"/>
      </w:divBdr>
    </w:div>
    <w:div w:id="508562560">
      <w:bodyDiv w:val="1"/>
      <w:marLeft w:val="0"/>
      <w:marRight w:val="0"/>
      <w:marTop w:val="0"/>
      <w:marBottom w:val="0"/>
      <w:divBdr>
        <w:top w:val="none" w:sz="0" w:space="0" w:color="auto"/>
        <w:left w:val="none" w:sz="0" w:space="0" w:color="auto"/>
        <w:bottom w:val="none" w:sz="0" w:space="0" w:color="auto"/>
        <w:right w:val="none" w:sz="0" w:space="0" w:color="auto"/>
      </w:divBdr>
      <w:divsChild>
        <w:div w:id="120272076">
          <w:marLeft w:val="0"/>
          <w:marRight w:val="0"/>
          <w:marTop w:val="0"/>
          <w:marBottom w:val="0"/>
          <w:divBdr>
            <w:top w:val="none" w:sz="0" w:space="0" w:color="auto"/>
            <w:left w:val="none" w:sz="0" w:space="0" w:color="auto"/>
            <w:bottom w:val="none" w:sz="0" w:space="0" w:color="auto"/>
            <w:right w:val="none" w:sz="0" w:space="0" w:color="auto"/>
          </w:divBdr>
        </w:div>
      </w:divsChild>
    </w:div>
    <w:div w:id="509954339">
      <w:bodyDiv w:val="1"/>
      <w:marLeft w:val="0"/>
      <w:marRight w:val="0"/>
      <w:marTop w:val="0"/>
      <w:marBottom w:val="0"/>
      <w:divBdr>
        <w:top w:val="none" w:sz="0" w:space="0" w:color="auto"/>
        <w:left w:val="none" w:sz="0" w:space="0" w:color="auto"/>
        <w:bottom w:val="none" w:sz="0" w:space="0" w:color="auto"/>
        <w:right w:val="none" w:sz="0" w:space="0" w:color="auto"/>
      </w:divBdr>
    </w:div>
    <w:div w:id="512109368">
      <w:bodyDiv w:val="1"/>
      <w:marLeft w:val="0"/>
      <w:marRight w:val="0"/>
      <w:marTop w:val="0"/>
      <w:marBottom w:val="0"/>
      <w:divBdr>
        <w:top w:val="none" w:sz="0" w:space="0" w:color="auto"/>
        <w:left w:val="none" w:sz="0" w:space="0" w:color="auto"/>
        <w:bottom w:val="none" w:sz="0" w:space="0" w:color="auto"/>
        <w:right w:val="none" w:sz="0" w:space="0" w:color="auto"/>
      </w:divBdr>
    </w:div>
    <w:div w:id="512917301">
      <w:bodyDiv w:val="1"/>
      <w:marLeft w:val="0"/>
      <w:marRight w:val="0"/>
      <w:marTop w:val="0"/>
      <w:marBottom w:val="0"/>
      <w:divBdr>
        <w:top w:val="none" w:sz="0" w:space="0" w:color="auto"/>
        <w:left w:val="none" w:sz="0" w:space="0" w:color="auto"/>
        <w:bottom w:val="none" w:sz="0" w:space="0" w:color="auto"/>
        <w:right w:val="none" w:sz="0" w:space="0" w:color="auto"/>
      </w:divBdr>
    </w:div>
    <w:div w:id="513810755">
      <w:bodyDiv w:val="1"/>
      <w:marLeft w:val="0"/>
      <w:marRight w:val="0"/>
      <w:marTop w:val="0"/>
      <w:marBottom w:val="0"/>
      <w:divBdr>
        <w:top w:val="none" w:sz="0" w:space="0" w:color="auto"/>
        <w:left w:val="none" w:sz="0" w:space="0" w:color="auto"/>
        <w:bottom w:val="none" w:sz="0" w:space="0" w:color="auto"/>
        <w:right w:val="none" w:sz="0" w:space="0" w:color="auto"/>
      </w:divBdr>
    </w:div>
    <w:div w:id="515123438">
      <w:bodyDiv w:val="1"/>
      <w:marLeft w:val="0"/>
      <w:marRight w:val="0"/>
      <w:marTop w:val="0"/>
      <w:marBottom w:val="0"/>
      <w:divBdr>
        <w:top w:val="none" w:sz="0" w:space="0" w:color="auto"/>
        <w:left w:val="none" w:sz="0" w:space="0" w:color="auto"/>
        <w:bottom w:val="none" w:sz="0" w:space="0" w:color="auto"/>
        <w:right w:val="none" w:sz="0" w:space="0" w:color="auto"/>
      </w:divBdr>
    </w:div>
    <w:div w:id="518204028">
      <w:bodyDiv w:val="1"/>
      <w:marLeft w:val="0"/>
      <w:marRight w:val="0"/>
      <w:marTop w:val="0"/>
      <w:marBottom w:val="0"/>
      <w:divBdr>
        <w:top w:val="none" w:sz="0" w:space="0" w:color="auto"/>
        <w:left w:val="none" w:sz="0" w:space="0" w:color="auto"/>
        <w:bottom w:val="none" w:sz="0" w:space="0" w:color="auto"/>
        <w:right w:val="none" w:sz="0" w:space="0" w:color="auto"/>
      </w:divBdr>
    </w:div>
    <w:div w:id="518205073">
      <w:bodyDiv w:val="1"/>
      <w:marLeft w:val="0"/>
      <w:marRight w:val="0"/>
      <w:marTop w:val="0"/>
      <w:marBottom w:val="0"/>
      <w:divBdr>
        <w:top w:val="none" w:sz="0" w:space="0" w:color="auto"/>
        <w:left w:val="none" w:sz="0" w:space="0" w:color="auto"/>
        <w:bottom w:val="none" w:sz="0" w:space="0" w:color="auto"/>
        <w:right w:val="none" w:sz="0" w:space="0" w:color="auto"/>
      </w:divBdr>
    </w:div>
    <w:div w:id="520752198">
      <w:bodyDiv w:val="1"/>
      <w:marLeft w:val="0"/>
      <w:marRight w:val="0"/>
      <w:marTop w:val="0"/>
      <w:marBottom w:val="0"/>
      <w:divBdr>
        <w:top w:val="none" w:sz="0" w:space="0" w:color="auto"/>
        <w:left w:val="none" w:sz="0" w:space="0" w:color="auto"/>
        <w:bottom w:val="none" w:sz="0" w:space="0" w:color="auto"/>
        <w:right w:val="none" w:sz="0" w:space="0" w:color="auto"/>
      </w:divBdr>
    </w:div>
    <w:div w:id="522596427">
      <w:bodyDiv w:val="1"/>
      <w:marLeft w:val="0"/>
      <w:marRight w:val="0"/>
      <w:marTop w:val="0"/>
      <w:marBottom w:val="0"/>
      <w:divBdr>
        <w:top w:val="none" w:sz="0" w:space="0" w:color="auto"/>
        <w:left w:val="none" w:sz="0" w:space="0" w:color="auto"/>
        <w:bottom w:val="none" w:sz="0" w:space="0" w:color="auto"/>
        <w:right w:val="none" w:sz="0" w:space="0" w:color="auto"/>
      </w:divBdr>
    </w:div>
    <w:div w:id="523640771">
      <w:bodyDiv w:val="1"/>
      <w:marLeft w:val="0"/>
      <w:marRight w:val="0"/>
      <w:marTop w:val="0"/>
      <w:marBottom w:val="0"/>
      <w:divBdr>
        <w:top w:val="none" w:sz="0" w:space="0" w:color="auto"/>
        <w:left w:val="none" w:sz="0" w:space="0" w:color="auto"/>
        <w:bottom w:val="none" w:sz="0" w:space="0" w:color="auto"/>
        <w:right w:val="none" w:sz="0" w:space="0" w:color="auto"/>
      </w:divBdr>
    </w:div>
    <w:div w:id="524369168">
      <w:bodyDiv w:val="1"/>
      <w:marLeft w:val="0"/>
      <w:marRight w:val="0"/>
      <w:marTop w:val="0"/>
      <w:marBottom w:val="0"/>
      <w:divBdr>
        <w:top w:val="none" w:sz="0" w:space="0" w:color="auto"/>
        <w:left w:val="none" w:sz="0" w:space="0" w:color="auto"/>
        <w:bottom w:val="none" w:sz="0" w:space="0" w:color="auto"/>
        <w:right w:val="none" w:sz="0" w:space="0" w:color="auto"/>
      </w:divBdr>
    </w:div>
    <w:div w:id="528302564">
      <w:bodyDiv w:val="1"/>
      <w:marLeft w:val="0"/>
      <w:marRight w:val="0"/>
      <w:marTop w:val="0"/>
      <w:marBottom w:val="0"/>
      <w:divBdr>
        <w:top w:val="none" w:sz="0" w:space="0" w:color="auto"/>
        <w:left w:val="none" w:sz="0" w:space="0" w:color="auto"/>
        <w:bottom w:val="none" w:sz="0" w:space="0" w:color="auto"/>
        <w:right w:val="none" w:sz="0" w:space="0" w:color="auto"/>
      </w:divBdr>
    </w:div>
    <w:div w:id="528373775">
      <w:bodyDiv w:val="1"/>
      <w:marLeft w:val="0"/>
      <w:marRight w:val="0"/>
      <w:marTop w:val="0"/>
      <w:marBottom w:val="0"/>
      <w:divBdr>
        <w:top w:val="none" w:sz="0" w:space="0" w:color="auto"/>
        <w:left w:val="none" w:sz="0" w:space="0" w:color="auto"/>
        <w:bottom w:val="none" w:sz="0" w:space="0" w:color="auto"/>
        <w:right w:val="none" w:sz="0" w:space="0" w:color="auto"/>
      </w:divBdr>
    </w:div>
    <w:div w:id="531305949">
      <w:bodyDiv w:val="1"/>
      <w:marLeft w:val="0"/>
      <w:marRight w:val="0"/>
      <w:marTop w:val="0"/>
      <w:marBottom w:val="0"/>
      <w:divBdr>
        <w:top w:val="none" w:sz="0" w:space="0" w:color="auto"/>
        <w:left w:val="none" w:sz="0" w:space="0" w:color="auto"/>
        <w:bottom w:val="none" w:sz="0" w:space="0" w:color="auto"/>
        <w:right w:val="none" w:sz="0" w:space="0" w:color="auto"/>
      </w:divBdr>
    </w:div>
    <w:div w:id="533274496">
      <w:bodyDiv w:val="1"/>
      <w:marLeft w:val="0"/>
      <w:marRight w:val="0"/>
      <w:marTop w:val="0"/>
      <w:marBottom w:val="0"/>
      <w:divBdr>
        <w:top w:val="none" w:sz="0" w:space="0" w:color="auto"/>
        <w:left w:val="none" w:sz="0" w:space="0" w:color="auto"/>
        <w:bottom w:val="none" w:sz="0" w:space="0" w:color="auto"/>
        <w:right w:val="none" w:sz="0" w:space="0" w:color="auto"/>
      </w:divBdr>
    </w:div>
    <w:div w:id="534927805">
      <w:bodyDiv w:val="1"/>
      <w:marLeft w:val="0"/>
      <w:marRight w:val="0"/>
      <w:marTop w:val="0"/>
      <w:marBottom w:val="0"/>
      <w:divBdr>
        <w:top w:val="none" w:sz="0" w:space="0" w:color="auto"/>
        <w:left w:val="none" w:sz="0" w:space="0" w:color="auto"/>
        <w:bottom w:val="none" w:sz="0" w:space="0" w:color="auto"/>
        <w:right w:val="none" w:sz="0" w:space="0" w:color="auto"/>
      </w:divBdr>
    </w:div>
    <w:div w:id="535118772">
      <w:bodyDiv w:val="1"/>
      <w:marLeft w:val="0"/>
      <w:marRight w:val="0"/>
      <w:marTop w:val="0"/>
      <w:marBottom w:val="0"/>
      <w:divBdr>
        <w:top w:val="none" w:sz="0" w:space="0" w:color="auto"/>
        <w:left w:val="none" w:sz="0" w:space="0" w:color="auto"/>
        <w:bottom w:val="none" w:sz="0" w:space="0" w:color="auto"/>
        <w:right w:val="none" w:sz="0" w:space="0" w:color="auto"/>
      </w:divBdr>
    </w:div>
    <w:div w:id="536159060">
      <w:bodyDiv w:val="1"/>
      <w:marLeft w:val="0"/>
      <w:marRight w:val="0"/>
      <w:marTop w:val="0"/>
      <w:marBottom w:val="0"/>
      <w:divBdr>
        <w:top w:val="none" w:sz="0" w:space="0" w:color="auto"/>
        <w:left w:val="none" w:sz="0" w:space="0" w:color="auto"/>
        <w:bottom w:val="none" w:sz="0" w:space="0" w:color="auto"/>
        <w:right w:val="none" w:sz="0" w:space="0" w:color="auto"/>
      </w:divBdr>
    </w:div>
    <w:div w:id="536502057">
      <w:bodyDiv w:val="1"/>
      <w:marLeft w:val="0"/>
      <w:marRight w:val="0"/>
      <w:marTop w:val="0"/>
      <w:marBottom w:val="0"/>
      <w:divBdr>
        <w:top w:val="none" w:sz="0" w:space="0" w:color="auto"/>
        <w:left w:val="none" w:sz="0" w:space="0" w:color="auto"/>
        <w:bottom w:val="none" w:sz="0" w:space="0" w:color="auto"/>
        <w:right w:val="none" w:sz="0" w:space="0" w:color="auto"/>
      </w:divBdr>
    </w:div>
    <w:div w:id="540172626">
      <w:bodyDiv w:val="1"/>
      <w:marLeft w:val="0"/>
      <w:marRight w:val="0"/>
      <w:marTop w:val="0"/>
      <w:marBottom w:val="0"/>
      <w:divBdr>
        <w:top w:val="none" w:sz="0" w:space="0" w:color="auto"/>
        <w:left w:val="none" w:sz="0" w:space="0" w:color="auto"/>
        <w:bottom w:val="none" w:sz="0" w:space="0" w:color="auto"/>
        <w:right w:val="none" w:sz="0" w:space="0" w:color="auto"/>
      </w:divBdr>
    </w:div>
    <w:div w:id="540749444">
      <w:bodyDiv w:val="1"/>
      <w:marLeft w:val="0"/>
      <w:marRight w:val="0"/>
      <w:marTop w:val="0"/>
      <w:marBottom w:val="0"/>
      <w:divBdr>
        <w:top w:val="none" w:sz="0" w:space="0" w:color="auto"/>
        <w:left w:val="none" w:sz="0" w:space="0" w:color="auto"/>
        <w:bottom w:val="none" w:sz="0" w:space="0" w:color="auto"/>
        <w:right w:val="none" w:sz="0" w:space="0" w:color="auto"/>
      </w:divBdr>
    </w:div>
    <w:div w:id="540825346">
      <w:bodyDiv w:val="1"/>
      <w:marLeft w:val="0"/>
      <w:marRight w:val="0"/>
      <w:marTop w:val="0"/>
      <w:marBottom w:val="0"/>
      <w:divBdr>
        <w:top w:val="none" w:sz="0" w:space="0" w:color="auto"/>
        <w:left w:val="none" w:sz="0" w:space="0" w:color="auto"/>
        <w:bottom w:val="none" w:sz="0" w:space="0" w:color="auto"/>
        <w:right w:val="none" w:sz="0" w:space="0" w:color="auto"/>
      </w:divBdr>
    </w:div>
    <w:div w:id="542057035">
      <w:bodyDiv w:val="1"/>
      <w:marLeft w:val="0"/>
      <w:marRight w:val="0"/>
      <w:marTop w:val="0"/>
      <w:marBottom w:val="0"/>
      <w:divBdr>
        <w:top w:val="none" w:sz="0" w:space="0" w:color="auto"/>
        <w:left w:val="none" w:sz="0" w:space="0" w:color="auto"/>
        <w:bottom w:val="none" w:sz="0" w:space="0" w:color="auto"/>
        <w:right w:val="none" w:sz="0" w:space="0" w:color="auto"/>
      </w:divBdr>
    </w:div>
    <w:div w:id="542133550">
      <w:bodyDiv w:val="1"/>
      <w:marLeft w:val="0"/>
      <w:marRight w:val="0"/>
      <w:marTop w:val="0"/>
      <w:marBottom w:val="0"/>
      <w:divBdr>
        <w:top w:val="none" w:sz="0" w:space="0" w:color="auto"/>
        <w:left w:val="none" w:sz="0" w:space="0" w:color="auto"/>
        <w:bottom w:val="none" w:sz="0" w:space="0" w:color="auto"/>
        <w:right w:val="none" w:sz="0" w:space="0" w:color="auto"/>
      </w:divBdr>
    </w:div>
    <w:div w:id="542405959">
      <w:bodyDiv w:val="1"/>
      <w:marLeft w:val="0"/>
      <w:marRight w:val="0"/>
      <w:marTop w:val="0"/>
      <w:marBottom w:val="0"/>
      <w:divBdr>
        <w:top w:val="none" w:sz="0" w:space="0" w:color="auto"/>
        <w:left w:val="none" w:sz="0" w:space="0" w:color="auto"/>
        <w:bottom w:val="none" w:sz="0" w:space="0" w:color="auto"/>
        <w:right w:val="none" w:sz="0" w:space="0" w:color="auto"/>
      </w:divBdr>
      <w:divsChild>
        <w:div w:id="1691684198">
          <w:marLeft w:val="0"/>
          <w:marRight w:val="0"/>
          <w:marTop w:val="0"/>
          <w:marBottom w:val="0"/>
          <w:divBdr>
            <w:top w:val="none" w:sz="0" w:space="0" w:color="auto"/>
            <w:left w:val="none" w:sz="0" w:space="0" w:color="auto"/>
            <w:bottom w:val="none" w:sz="0" w:space="0" w:color="auto"/>
            <w:right w:val="none" w:sz="0" w:space="0" w:color="auto"/>
          </w:divBdr>
        </w:div>
      </w:divsChild>
    </w:div>
    <w:div w:id="542408683">
      <w:bodyDiv w:val="1"/>
      <w:marLeft w:val="0"/>
      <w:marRight w:val="0"/>
      <w:marTop w:val="0"/>
      <w:marBottom w:val="0"/>
      <w:divBdr>
        <w:top w:val="none" w:sz="0" w:space="0" w:color="auto"/>
        <w:left w:val="none" w:sz="0" w:space="0" w:color="auto"/>
        <w:bottom w:val="none" w:sz="0" w:space="0" w:color="auto"/>
        <w:right w:val="none" w:sz="0" w:space="0" w:color="auto"/>
      </w:divBdr>
    </w:div>
    <w:div w:id="542593493">
      <w:bodyDiv w:val="1"/>
      <w:marLeft w:val="0"/>
      <w:marRight w:val="0"/>
      <w:marTop w:val="0"/>
      <w:marBottom w:val="0"/>
      <w:divBdr>
        <w:top w:val="none" w:sz="0" w:space="0" w:color="auto"/>
        <w:left w:val="none" w:sz="0" w:space="0" w:color="auto"/>
        <w:bottom w:val="none" w:sz="0" w:space="0" w:color="auto"/>
        <w:right w:val="none" w:sz="0" w:space="0" w:color="auto"/>
      </w:divBdr>
    </w:div>
    <w:div w:id="542712129">
      <w:bodyDiv w:val="1"/>
      <w:marLeft w:val="0"/>
      <w:marRight w:val="0"/>
      <w:marTop w:val="0"/>
      <w:marBottom w:val="0"/>
      <w:divBdr>
        <w:top w:val="none" w:sz="0" w:space="0" w:color="auto"/>
        <w:left w:val="none" w:sz="0" w:space="0" w:color="auto"/>
        <w:bottom w:val="none" w:sz="0" w:space="0" w:color="auto"/>
        <w:right w:val="none" w:sz="0" w:space="0" w:color="auto"/>
      </w:divBdr>
    </w:div>
    <w:div w:id="545139991">
      <w:bodyDiv w:val="1"/>
      <w:marLeft w:val="0"/>
      <w:marRight w:val="0"/>
      <w:marTop w:val="0"/>
      <w:marBottom w:val="0"/>
      <w:divBdr>
        <w:top w:val="none" w:sz="0" w:space="0" w:color="auto"/>
        <w:left w:val="none" w:sz="0" w:space="0" w:color="auto"/>
        <w:bottom w:val="none" w:sz="0" w:space="0" w:color="auto"/>
        <w:right w:val="none" w:sz="0" w:space="0" w:color="auto"/>
      </w:divBdr>
    </w:div>
    <w:div w:id="545678262">
      <w:bodyDiv w:val="1"/>
      <w:marLeft w:val="0"/>
      <w:marRight w:val="0"/>
      <w:marTop w:val="0"/>
      <w:marBottom w:val="0"/>
      <w:divBdr>
        <w:top w:val="none" w:sz="0" w:space="0" w:color="auto"/>
        <w:left w:val="none" w:sz="0" w:space="0" w:color="auto"/>
        <w:bottom w:val="none" w:sz="0" w:space="0" w:color="auto"/>
        <w:right w:val="none" w:sz="0" w:space="0" w:color="auto"/>
      </w:divBdr>
    </w:div>
    <w:div w:id="545945699">
      <w:bodyDiv w:val="1"/>
      <w:marLeft w:val="0"/>
      <w:marRight w:val="0"/>
      <w:marTop w:val="0"/>
      <w:marBottom w:val="0"/>
      <w:divBdr>
        <w:top w:val="none" w:sz="0" w:space="0" w:color="auto"/>
        <w:left w:val="none" w:sz="0" w:space="0" w:color="auto"/>
        <w:bottom w:val="none" w:sz="0" w:space="0" w:color="auto"/>
        <w:right w:val="none" w:sz="0" w:space="0" w:color="auto"/>
      </w:divBdr>
    </w:div>
    <w:div w:id="546919371">
      <w:bodyDiv w:val="1"/>
      <w:marLeft w:val="0"/>
      <w:marRight w:val="0"/>
      <w:marTop w:val="0"/>
      <w:marBottom w:val="0"/>
      <w:divBdr>
        <w:top w:val="none" w:sz="0" w:space="0" w:color="auto"/>
        <w:left w:val="none" w:sz="0" w:space="0" w:color="auto"/>
        <w:bottom w:val="none" w:sz="0" w:space="0" w:color="auto"/>
        <w:right w:val="none" w:sz="0" w:space="0" w:color="auto"/>
      </w:divBdr>
      <w:divsChild>
        <w:div w:id="499125450">
          <w:marLeft w:val="0"/>
          <w:marRight w:val="0"/>
          <w:marTop w:val="0"/>
          <w:marBottom w:val="0"/>
          <w:divBdr>
            <w:top w:val="none" w:sz="0" w:space="0" w:color="auto"/>
            <w:left w:val="none" w:sz="0" w:space="0" w:color="auto"/>
            <w:bottom w:val="none" w:sz="0" w:space="0" w:color="auto"/>
            <w:right w:val="none" w:sz="0" w:space="0" w:color="auto"/>
          </w:divBdr>
        </w:div>
      </w:divsChild>
    </w:div>
    <w:div w:id="547229018">
      <w:bodyDiv w:val="1"/>
      <w:marLeft w:val="0"/>
      <w:marRight w:val="0"/>
      <w:marTop w:val="0"/>
      <w:marBottom w:val="0"/>
      <w:divBdr>
        <w:top w:val="none" w:sz="0" w:space="0" w:color="auto"/>
        <w:left w:val="none" w:sz="0" w:space="0" w:color="auto"/>
        <w:bottom w:val="none" w:sz="0" w:space="0" w:color="auto"/>
        <w:right w:val="none" w:sz="0" w:space="0" w:color="auto"/>
      </w:divBdr>
    </w:div>
    <w:div w:id="550268881">
      <w:bodyDiv w:val="1"/>
      <w:marLeft w:val="0"/>
      <w:marRight w:val="0"/>
      <w:marTop w:val="0"/>
      <w:marBottom w:val="0"/>
      <w:divBdr>
        <w:top w:val="none" w:sz="0" w:space="0" w:color="auto"/>
        <w:left w:val="none" w:sz="0" w:space="0" w:color="auto"/>
        <w:bottom w:val="none" w:sz="0" w:space="0" w:color="auto"/>
        <w:right w:val="none" w:sz="0" w:space="0" w:color="auto"/>
      </w:divBdr>
    </w:div>
    <w:div w:id="550574738">
      <w:bodyDiv w:val="1"/>
      <w:marLeft w:val="0"/>
      <w:marRight w:val="0"/>
      <w:marTop w:val="0"/>
      <w:marBottom w:val="0"/>
      <w:divBdr>
        <w:top w:val="none" w:sz="0" w:space="0" w:color="auto"/>
        <w:left w:val="none" w:sz="0" w:space="0" w:color="auto"/>
        <w:bottom w:val="none" w:sz="0" w:space="0" w:color="auto"/>
        <w:right w:val="none" w:sz="0" w:space="0" w:color="auto"/>
      </w:divBdr>
    </w:div>
    <w:div w:id="552348382">
      <w:bodyDiv w:val="1"/>
      <w:marLeft w:val="0"/>
      <w:marRight w:val="0"/>
      <w:marTop w:val="0"/>
      <w:marBottom w:val="0"/>
      <w:divBdr>
        <w:top w:val="none" w:sz="0" w:space="0" w:color="auto"/>
        <w:left w:val="none" w:sz="0" w:space="0" w:color="auto"/>
        <w:bottom w:val="none" w:sz="0" w:space="0" w:color="auto"/>
        <w:right w:val="none" w:sz="0" w:space="0" w:color="auto"/>
      </w:divBdr>
    </w:div>
    <w:div w:id="553931654">
      <w:bodyDiv w:val="1"/>
      <w:marLeft w:val="0"/>
      <w:marRight w:val="0"/>
      <w:marTop w:val="0"/>
      <w:marBottom w:val="0"/>
      <w:divBdr>
        <w:top w:val="none" w:sz="0" w:space="0" w:color="auto"/>
        <w:left w:val="none" w:sz="0" w:space="0" w:color="auto"/>
        <w:bottom w:val="none" w:sz="0" w:space="0" w:color="auto"/>
        <w:right w:val="none" w:sz="0" w:space="0" w:color="auto"/>
      </w:divBdr>
    </w:div>
    <w:div w:id="555287620">
      <w:bodyDiv w:val="1"/>
      <w:marLeft w:val="0"/>
      <w:marRight w:val="0"/>
      <w:marTop w:val="0"/>
      <w:marBottom w:val="0"/>
      <w:divBdr>
        <w:top w:val="none" w:sz="0" w:space="0" w:color="auto"/>
        <w:left w:val="none" w:sz="0" w:space="0" w:color="auto"/>
        <w:bottom w:val="none" w:sz="0" w:space="0" w:color="auto"/>
        <w:right w:val="none" w:sz="0" w:space="0" w:color="auto"/>
      </w:divBdr>
    </w:div>
    <w:div w:id="557320285">
      <w:bodyDiv w:val="1"/>
      <w:marLeft w:val="0"/>
      <w:marRight w:val="0"/>
      <w:marTop w:val="0"/>
      <w:marBottom w:val="0"/>
      <w:divBdr>
        <w:top w:val="none" w:sz="0" w:space="0" w:color="auto"/>
        <w:left w:val="none" w:sz="0" w:space="0" w:color="auto"/>
        <w:bottom w:val="none" w:sz="0" w:space="0" w:color="auto"/>
        <w:right w:val="none" w:sz="0" w:space="0" w:color="auto"/>
      </w:divBdr>
    </w:div>
    <w:div w:id="558516649">
      <w:bodyDiv w:val="1"/>
      <w:marLeft w:val="0"/>
      <w:marRight w:val="0"/>
      <w:marTop w:val="0"/>
      <w:marBottom w:val="0"/>
      <w:divBdr>
        <w:top w:val="none" w:sz="0" w:space="0" w:color="auto"/>
        <w:left w:val="none" w:sz="0" w:space="0" w:color="auto"/>
        <w:bottom w:val="none" w:sz="0" w:space="0" w:color="auto"/>
        <w:right w:val="none" w:sz="0" w:space="0" w:color="auto"/>
      </w:divBdr>
    </w:div>
    <w:div w:id="559556247">
      <w:bodyDiv w:val="1"/>
      <w:marLeft w:val="0"/>
      <w:marRight w:val="0"/>
      <w:marTop w:val="0"/>
      <w:marBottom w:val="0"/>
      <w:divBdr>
        <w:top w:val="none" w:sz="0" w:space="0" w:color="auto"/>
        <w:left w:val="none" w:sz="0" w:space="0" w:color="auto"/>
        <w:bottom w:val="none" w:sz="0" w:space="0" w:color="auto"/>
        <w:right w:val="none" w:sz="0" w:space="0" w:color="auto"/>
      </w:divBdr>
      <w:divsChild>
        <w:div w:id="789475520">
          <w:marLeft w:val="0"/>
          <w:marRight w:val="0"/>
          <w:marTop w:val="0"/>
          <w:marBottom w:val="0"/>
          <w:divBdr>
            <w:top w:val="none" w:sz="0" w:space="0" w:color="auto"/>
            <w:left w:val="none" w:sz="0" w:space="0" w:color="auto"/>
            <w:bottom w:val="none" w:sz="0" w:space="0" w:color="auto"/>
            <w:right w:val="none" w:sz="0" w:space="0" w:color="auto"/>
          </w:divBdr>
        </w:div>
      </w:divsChild>
    </w:div>
    <w:div w:id="560024391">
      <w:bodyDiv w:val="1"/>
      <w:marLeft w:val="0"/>
      <w:marRight w:val="0"/>
      <w:marTop w:val="0"/>
      <w:marBottom w:val="0"/>
      <w:divBdr>
        <w:top w:val="none" w:sz="0" w:space="0" w:color="auto"/>
        <w:left w:val="none" w:sz="0" w:space="0" w:color="auto"/>
        <w:bottom w:val="none" w:sz="0" w:space="0" w:color="auto"/>
        <w:right w:val="none" w:sz="0" w:space="0" w:color="auto"/>
      </w:divBdr>
    </w:div>
    <w:div w:id="560287055">
      <w:bodyDiv w:val="1"/>
      <w:marLeft w:val="0"/>
      <w:marRight w:val="0"/>
      <w:marTop w:val="0"/>
      <w:marBottom w:val="0"/>
      <w:divBdr>
        <w:top w:val="none" w:sz="0" w:space="0" w:color="auto"/>
        <w:left w:val="none" w:sz="0" w:space="0" w:color="auto"/>
        <w:bottom w:val="none" w:sz="0" w:space="0" w:color="auto"/>
        <w:right w:val="none" w:sz="0" w:space="0" w:color="auto"/>
      </w:divBdr>
    </w:div>
    <w:div w:id="563417127">
      <w:bodyDiv w:val="1"/>
      <w:marLeft w:val="0"/>
      <w:marRight w:val="0"/>
      <w:marTop w:val="0"/>
      <w:marBottom w:val="0"/>
      <w:divBdr>
        <w:top w:val="none" w:sz="0" w:space="0" w:color="auto"/>
        <w:left w:val="none" w:sz="0" w:space="0" w:color="auto"/>
        <w:bottom w:val="none" w:sz="0" w:space="0" w:color="auto"/>
        <w:right w:val="none" w:sz="0" w:space="0" w:color="auto"/>
      </w:divBdr>
    </w:div>
    <w:div w:id="564536835">
      <w:bodyDiv w:val="1"/>
      <w:marLeft w:val="0"/>
      <w:marRight w:val="0"/>
      <w:marTop w:val="0"/>
      <w:marBottom w:val="0"/>
      <w:divBdr>
        <w:top w:val="none" w:sz="0" w:space="0" w:color="auto"/>
        <w:left w:val="none" w:sz="0" w:space="0" w:color="auto"/>
        <w:bottom w:val="none" w:sz="0" w:space="0" w:color="auto"/>
        <w:right w:val="none" w:sz="0" w:space="0" w:color="auto"/>
      </w:divBdr>
    </w:div>
    <w:div w:id="566886567">
      <w:bodyDiv w:val="1"/>
      <w:marLeft w:val="0"/>
      <w:marRight w:val="0"/>
      <w:marTop w:val="0"/>
      <w:marBottom w:val="0"/>
      <w:divBdr>
        <w:top w:val="none" w:sz="0" w:space="0" w:color="auto"/>
        <w:left w:val="none" w:sz="0" w:space="0" w:color="auto"/>
        <w:bottom w:val="none" w:sz="0" w:space="0" w:color="auto"/>
        <w:right w:val="none" w:sz="0" w:space="0" w:color="auto"/>
      </w:divBdr>
    </w:div>
    <w:div w:id="567149021">
      <w:bodyDiv w:val="1"/>
      <w:marLeft w:val="0"/>
      <w:marRight w:val="0"/>
      <w:marTop w:val="0"/>
      <w:marBottom w:val="0"/>
      <w:divBdr>
        <w:top w:val="none" w:sz="0" w:space="0" w:color="auto"/>
        <w:left w:val="none" w:sz="0" w:space="0" w:color="auto"/>
        <w:bottom w:val="none" w:sz="0" w:space="0" w:color="auto"/>
        <w:right w:val="none" w:sz="0" w:space="0" w:color="auto"/>
      </w:divBdr>
    </w:div>
    <w:div w:id="568462340">
      <w:marLeft w:val="0"/>
      <w:marRight w:val="0"/>
      <w:marTop w:val="0"/>
      <w:marBottom w:val="0"/>
      <w:divBdr>
        <w:top w:val="none" w:sz="0" w:space="0" w:color="auto"/>
        <w:left w:val="none" w:sz="0" w:space="0" w:color="auto"/>
        <w:bottom w:val="none" w:sz="0" w:space="0" w:color="auto"/>
        <w:right w:val="none" w:sz="0" w:space="0" w:color="auto"/>
      </w:divBdr>
    </w:div>
    <w:div w:id="570965468">
      <w:bodyDiv w:val="1"/>
      <w:marLeft w:val="0"/>
      <w:marRight w:val="0"/>
      <w:marTop w:val="0"/>
      <w:marBottom w:val="0"/>
      <w:divBdr>
        <w:top w:val="none" w:sz="0" w:space="0" w:color="auto"/>
        <w:left w:val="none" w:sz="0" w:space="0" w:color="auto"/>
        <w:bottom w:val="none" w:sz="0" w:space="0" w:color="auto"/>
        <w:right w:val="none" w:sz="0" w:space="0" w:color="auto"/>
      </w:divBdr>
    </w:div>
    <w:div w:id="571088526">
      <w:bodyDiv w:val="1"/>
      <w:marLeft w:val="0"/>
      <w:marRight w:val="0"/>
      <w:marTop w:val="0"/>
      <w:marBottom w:val="0"/>
      <w:divBdr>
        <w:top w:val="none" w:sz="0" w:space="0" w:color="auto"/>
        <w:left w:val="none" w:sz="0" w:space="0" w:color="auto"/>
        <w:bottom w:val="none" w:sz="0" w:space="0" w:color="auto"/>
        <w:right w:val="none" w:sz="0" w:space="0" w:color="auto"/>
      </w:divBdr>
    </w:div>
    <w:div w:id="571356629">
      <w:bodyDiv w:val="1"/>
      <w:marLeft w:val="0"/>
      <w:marRight w:val="0"/>
      <w:marTop w:val="0"/>
      <w:marBottom w:val="0"/>
      <w:divBdr>
        <w:top w:val="none" w:sz="0" w:space="0" w:color="auto"/>
        <w:left w:val="none" w:sz="0" w:space="0" w:color="auto"/>
        <w:bottom w:val="none" w:sz="0" w:space="0" w:color="auto"/>
        <w:right w:val="none" w:sz="0" w:space="0" w:color="auto"/>
      </w:divBdr>
    </w:div>
    <w:div w:id="572352845">
      <w:bodyDiv w:val="1"/>
      <w:marLeft w:val="0"/>
      <w:marRight w:val="0"/>
      <w:marTop w:val="0"/>
      <w:marBottom w:val="0"/>
      <w:divBdr>
        <w:top w:val="none" w:sz="0" w:space="0" w:color="auto"/>
        <w:left w:val="none" w:sz="0" w:space="0" w:color="auto"/>
        <w:bottom w:val="none" w:sz="0" w:space="0" w:color="auto"/>
        <w:right w:val="none" w:sz="0" w:space="0" w:color="auto"/>
      </w:divBdr>
    </w:div>
    <w:div w:id="572396323">
      <w:bodyDiv w:val="1"/>
      <w:marLeft w:val="0"/>
      <w:marRight w:val="0"/>
      <w:marTop w:val="0"/>
      <w:marBottom w:val="0"/>
      <w:divBdr>
        <w:top w:val="none" w:sz="0" w:space="0" w:color="auto"/>
        <w:left w:val="none" w:sz="0" w:space="0" w:color="auto"/>
        <w:bottom w:val="none" w:sz="0" w:space="0" w:color="auto"/>
        <w:right w:val="none" w:sz="0" w:space="0" w:color="auto"/>
      </w:divBdr>
    </w:div>
    <w:div w:id="572661077">
      <w:bodyDiv w:val="1"/>
      <w:marLeft w:val="0"/>
      <w:marRight w:val="0"/>
      <w:marTop w:val="0"/>
      <w:marBottom w:val="0"/>
      <w:divBdr>
        <w:top w:val="none" w:sz="0" w:space="0" w:color="auto"/>
        <w:left w:val="none" w:sz="0" w:space="0" w:color="auto"/>
        <w:bottom w:val="none" w:sz="0" w:space="0" w:color="auto"/>
        <w:right w:val="none" w:sz="0" w:space="0" w:color="auto"/>
      </w:divBdr>
    </w:div>
    <w:div w:id="577906809">
      <w:bodyDiv w:val="1"/>
      <w:marLeft w:val="0"/>
      <w:marRight w:val="0"/>
      <w:marTop w:val="0"/>
      <w:marBottom w:val="0"/>
      <w:divBdr>
        <w:top w:val="none" w:sz="0" w:space="0" w:color="auto"/>
        <w:left w:val="none" w:sz="0" w:space="0" w:color="auto"/>
        <w:bottom w:val="none" w:sz="0" w:space="0" w:color="auto"/>
        <w:right w:val="none" w:sz="0" w:space="0" w:color="auto"/>
      </w:divBdr>
    </w:div>
    <w:div w:id="579945829">
      <w:bodyDiv w:val="1"/>
      <w:marLeft w:val="0"/>
      <w:marRight w:val="0"/>
      <w:marTop w:val="0"/>
      <w:marBottom w:val="0"/>
      <w:divBdr>
        <w:top w:val="none" w:sz="0" w:space="0" w:color="auto"/>
        <w:left w:val="none" w:sz="0" w:space="0" w:color="auto"/>
        <w:bottom w:val="none" w:sz="0" w:space="0" w:color="auto"/>
        <w:right w:val="none" w:sz="0" w:space="0" w:color="auto"/>
      </w:divBdr>
    </w:div>
    <w:div w:id="580020407">
      <w:bodyDiv w:val="1"/>
      <w:marLeft w:val="0"/>
      <w:marRight w:val="0"/>
      <w:marTop w:val="0"/>
      <w:marBottom w:val="0"/>
      <w:divBdr>
        <w:top w:val="none" w:sz="0" w:space="0" w:color="auto"/>
        <w:left w:val="none" w:sz="0" w:space="0" w:color="auto"/>
        <w:bottom w:val="none" w:sz="0" w:space="0" w:color="auto"/>
        <w:right w:val="none" w:sz="0" w:space="0" w:color="auto"/>
      </w:divBdr>
    </w:div>
    <w:div w:id="584148790">
      <w:bodyDiv w:val="1"/>
      <w:marLeft w:val="0"/>
      <w:marRight w:val="0"/>
      <w:marTop w:val="0"/>
      <w:marBottom w:val="0"/>
      <w:divBdr>
        <w:top w:val="none" w:sz="0" w:space="0" w:color="auto"/>
        <w:left w:val="none" w:sz="0" w:space="0" w:color="auto"/>
        <w:bottom w:val="none" w:sz="0" w:space="0" w:color="auto"/>
        <w:right w:val="none" w:sz="0" w:space="0" w:color="auto"/>
      </w:divBdr>
    </w:div>
    <w:div w:id="584343524">
      <w:bodyDiv w:val="1"/>
      <w:marLeft w:val="0"/>
      <w:marRight w:val="0"/>
      <w:marTop w:val="0"/>
      <w:marBottom w:val="0"/>
      <w:divBdr>
        <w:top w:val="none" w:sz="0" w:space="0" w:color="auto"/>
        <w:left w:val="none" w:sz="0" w:space="0" w:color="auto"/>
        <w:bottom w:val="none" w:sz="0" w:space="0" w:color="auto"/>
        <w:right w:val="none" w:sz="0" w:space="0" w:color="auto"/>
      </w:divBdr>
    </w:div>
    <w:div w:id="588120754">
      <w:bodyDiv w:val="1"/>
      <w:marLeft w:val="0"/>
      <w:marRight w:val="0"/>
      <w:marTop w:val="0"/>
      <w:marBottom w:val="0"/>
      <w:divBdr>
        <w:top w:val="none" w:sz="0" w:space="0" w:color="auto"/>
        <w:left w:val="none" w:sz="0" w:space="0" w:color="auto"/>
        <w:bottom w:val="none" w:sz="0" w:space="0" w:color="auto"/>
        <w:right w:val="none" w:sz="0" w:space="0" w:color="auto"/>
      </w:divBdr>
      <w:divsChild>
        <w:div w:id="555631921">
          <w:marLeft w:val="0"/>
          <w:marRight w:val="0"/>
          <w:marTop w:val="0"/>
          <w:marBottom w:val="0"/>
          <w:divBdr>
            <w:top w:val="none" w:sz="0" w:space="0" w:color="auto"/>
            <w:left w:val="none" w:sz="0" w:space="0" w:color="auto"/>
            <w:bottom w:val="none" w:sz="0" w:space="0" w:color="auto"/>
            <w:right w:val="none" w:sz="0" w:space="0" w:color="auto"/>
          </w:divBdr>
        </w:div>
        <w:div w:id="1981959117">
          <w:marLeft w:val="0"/>
          <w:marRight w:val="0"/>
          <w:marTop w:val="0"/>
          <w:marBottom w:val="0"/>
          <w:divBdr>
            <w:top w:val="none" w:sz="0" w:space="0" w:color="auto"/>
            <w:left w:val="none" w:sz="0" w:space="0" w:color="auto"/>
            <w:bottom w:val="none" w:sz="0" w:space="0" w:color="auto"/>
            <w:right w:val="none" w:sz="0" w:space="0" w:color="auto"/>
          </w:divBdr>
        </w:div>
      </w:divsChild>
    </w:div>
    <w:div w:id="590428513">
      <w:bodyDiv w:val="1"/>
      <w:marLeft w:val="0"/>
      <w:marRight w:val="0"/>
      <w:marTop w:val="0"/>
      <w:marBottom w:val="0"/>
      <w:divBdr>
        <w:top w:val="none" w:sz="0" w:space="0" w:color="auto"/>
        <w:left w:val="none" w:sz="0" w:space="0" w:color="auto"/>
        <w:bottom w:val="none" w:sz="0" w:space="0" w:color="auto"/>
        <w:right w:val="none" w:sz="0" w:space="0" w:color="auto"/>
      </w:divBdr>
    </w:div>
    <w:div w:id="591470490">
      <w:bodyDiv w:val="1"/>
      <w:marLeft w:val="0"/>
      <w:marRight w:val="0"/>
      <w:marTop w:val="0"/>
      <w:marBottom w:val="0"/>
      <w:divBdr>
        <w:top w:val="none" w:sz="0" w:space="0" w:color="auto"/>
        <w:left w:val="none" w:sz="0" w:space="0" w:color="auto"/>
        <w:bottom w:val="none" w:sz="0" w:space="0" w:color="auto"/>
        <w:right w:val="none" w:sz="0" w:space="0" w:color="auto"/>
      </w:divBdr>
    </w:div>
    <w:div w:id="591935512">
      <w:bodyDiv w:val="1"/>
      <w:marLeft w:val="0"/>
      <w:marRight w:val="0"/>
      <w:marTop w:val="0"/>
      <w:marBottom w:val="0"/>
      <w:divBdr>
        <w:top w:val="none" w:sz="0" w:space="0" w:color="auto"/>
        <w:left w:val="none" w:sz="0" w:space="0" w:color="auto"/>
        <w:bottom w:val="none" w:sz="0" w:space="0" w:color="auto"/>
        <w:right w:val="none" w:sz="0" w:space="0" w:color="auto"/>
      </w:divBdr>
    </w:div>
    <w:div w:id="592400658">
      <w:bodyDiv w:val="1"/>
      <w:marLeft w:val="0"/>
      <w:marRight w:val="0"/>
      <w:marTop w:val="0"/>
      <w:marBottom w:val="0"/>
      <w:divBdr>
        <w:top w:val="none" w:sz="0" w:space="0" w:color="auto"/>
        <w:left w:val="none" w:sz="0" w:space="0" w:color="auto"/>
        <w:bottom w:val="none" w:sz="0" w:space="0" w:color="auto"/>
        <w:right w:val="none" w:sz="0" w:space="0" w:color="auto"/>
      </w:divBdr>
      <w:divsChild>
        <w:div w:id="795412251">
          <w:marLeft w:val="0"/>
          <w:marRight w:val="0"/>
          <w:marTop w:val="0"/>
          <w:marBottom w:val="0"/>
          <w:divBdr>
            <w:top w:val="none" w:sz="0" w:space="0" w:color="auto"/>
            <w:left w:val="none" w:sz="0" w:space="0" w:color="auto"/>
            <w:bottom w:val="none" w:sz="0" w:space="0" w:color="auto"/>
            <w:right w:val="none" w:sz="0" w:space="0" w:color="auto"/>
          </w:divBdr>
        </w:div>
      </w:divsChild>
    </w:div>
    <w:div w:id="594023348">
      <w:bodyDiv w:val="1"/>
      <w:marLeft w:val="0"/>
      <w:marRight w:val="0"/>
      <w:marTop w:val="0"/>
      <w:marBottom w:val="0"/>
      <w:divBdr>
        <w:top w:val="none" w:sz="0" w:space="0" w:color="auto"/>
        <w:left w:val="none" w:sz="0" w:space="0" w:color="auto"/>
        <w:bottom w:val="none" w:sz="0" w:space="0" w:color="auto"/>
        <w:right w:val="none" w:sz="0" w:space="0" w:color="auto"/>
      </w:divBdr>
    </w:div>
    <w:div w:id="595669663">
      <w:bodyDiv w:val="1"/>
      <w:marLeft w:val="0"/>
      <w:marRight w:val="0"/>
      <w:marTop w:val="0"/>
      <w:marBottom w:val="0"/>
      <w:divBdr>
        <w:top w:val="none" w:sz="0" w:space="0" w:color="auto"/>
        <w:left w:val="none" w:sz="0" w:space="0" w:color="auto"/>
        <w:bottom w:val="none" w:sz="0" w:space="0" w:color="auto"/>
        <w:right w:val="none" w:sz="0" w:space="0" w:color="auto"/>
      </w:divBdr>
    </w:div>
    <w:div w:id="599414447">
      <w:bodyDiv w:val="1"/>
      <w:marLeft w:val="0"/>
      <w:marRight w:val="0"/>
      <w:marTop w:val="0"/>
      <w:marBottom w:val="0"/>
      <w:divBdr>
        <w:top w:val="none" w:sz="0" w:space="0" w:color="auto"/>
        <w:left w:val="none" w:sz="0" w:space="0" w:color="auto"/>
        <w:bottom w:val="none" w:sz="0" w:space="0" w:color="auto"/>
        <w:right w:val="none" w:sz="0" w:space="0" w:color="auto"/>
      </w:divBdr>
    </w:div>
    <w:div w:id="600340363">
      <w:bodyDiv w:val="1"/>
      <w:marLeft w:val="0"/>
      <w:marRight w:val="0"/>
      <w:marTop w:val="0"/>
      <w:marBottom w:val="0"/>
      <w:divBdr>
        <w:top w:val="none" w:sz="0" w:space="0" w:color="auto"/>
        <w:left w:val="none" w:sz="0" w:space="0" w:color="auto"/>
        <w:bottom w:val="none" w:sz="0" w:space="0" w:color="auto"/>
        <w:right w:val="none" w:sz="0" w:space="0" w:color="auto"/>
      </w:divBdr>
    </w:div>
    <w:div w:id="604970407">
      <w:bodyDiv w:val="1"/>
      <w:marLeft w:val="0"/>
      <w:marRight w:val="0"/>
      <w:marTop w:val="0"/>
      <w:marBottom w:val="0"/>
      <w:divBdr>
        <w:top w:val="none" w:sz="0" w:space="0" w:color="auto"/>
        <w:left w:val="none" w:sz="0" w:space="0" w:color="auto"/>
        <w:bottom w:val="none" w:sz="0" w:space="0" w:color="auto"/>
        <w:right w:val="none" w:sz="0" w:space="0" w:color="auto"/>
      </w:divBdr>
    </w:div>
    <w:div w:id="608708188">
      <w:bodyDiv w:val="1"/>
      <w:marLeft w:val="0"/>
      <w:marRight w:val="0"/>
      <w:marTop w:val="0"/>
      <w:marBottom w:val="0"/>
      <w:divBdr>
        <w:top w:val="none" w:sz="0" w:space="0" w:color="auto"/>
        <w:left w:val="none" w:sz="0" w:space="0" w:color="auto"/>
        <w:bottom w:val="none" w:sz="0" w:space="0" w:color="auto"/>
        <w:right w:val="none" w:sz="0" w:space="0" w:color="auto"/>
      </w:divBdr>
    </w:div>
    <w:div w:id="611713743">
      <w:bodyDiv w:val="1"/>
      <w:marLeft w:val="0"/>
      <w:marRight w:val="0"/>
      <w:marTop w:val="0"/>
      <w:marBottom w:val="0"/>
      <w:divBdr>
        <w:top w:val="none" w:sz="0" w:space="0" w:color="auto"/>
        <w:left w:val="none" w:sz="0" w:space="0" w:color="auto"/>
        <w:bottom w:val="none" w:sz="0" w:space="0" w:color="auto"/>
        <w:right w:val="none" w:sz="0" w:space="0" w:color="auto"/>
      </w:divBdr>
    </w:div>
    <w:div w:id="613640035">
      <w:bodyDiv w:val="1"/>
      <w:marLeft w:val="0"/>
      <w:marRight w:val="0"/>
      <w:marTop w:val="0"/>
      <w:marBottom w:val="0"/>
      <w:divBdr>
        <w:top w:val="none" w:sz="0" w:space="0" w:color="auto"/>
        <w:left w:val="none" w:sz="0" w:space="0" w:color="auto"/>
        <w:bottom w:val="none" w:sz="0" w:space="0" w:color="auto"/>
        <w:right w:val="none" w:sz="0" w:space="0" w:color="auto"/>
      </w:divBdr>
    </w:div>
    <w:div w:id="616106740">
      <w:bodyDiv w:val="1"/>
      <w:marLeft w:val="0"/>
      <w:marRight w:val="0"/>
      <w:marTop w:val="0"/>
      <w:marBottom w:val="0"/>
      <w:divBdr>
        <w:top w:val="none" w:sz="0" w:space="0" w:color="auto"/>
        <w:left w:val="none" w:sz="0" w:space="0" w:color="auto"/>
        <w:bottom w:val="none" w:sz="0" w:space="0" w:color="auto"/>
        <w:right w:val="none" w:sz="0" w:space="0" w:color="auto"/>
      </w:divBdr>
    </w:div>
    <w:div w:id="617179879">
      <w:bodyDiv w:val="1"/>
      <w:marLeft w:val="0"/>
      <w:marRight w:val="0"/>
      <w:marTop w:val="0"/>
      <w:marBottom w:val="0"/>
      <w:divBdr>
        <w:top w:val="none" w:sz="0" w:space="0" w:color="auto"/>
        <w:left w:val="none" w:sz="0" w:space="0" w:color="auto"/>
        <w:bottom w:val="none" w:sz="0" w:space="0" w:color="auto"/>
        <w:right w:val="none" w:sz="0" w:space="0" w:color="auto"/>
      </w:divBdr>
    </w:div>
    <w:div w:id="617377866">
      <w:bodyDiv w:val="1"/>
      <w:marLeft w:val="0"/>
      <w:marRight w:val="0"/>
      <w:marTop w:val="0"/>
      <w:marBottom w:val="0"/>
      <w:divBdr>
        <w:top w:val="none" w:sz="0" w:space="0" w:color="auto"/>
        <w:left w:val="none" w:sz="0" w:space="0" w:color="auto"/>
        <w:bottom w:val="none" w:sz="0" w:space="0" w:color="auto"/>
        <w:right w:val="none" w:sz="0" w:space="0" w:color="auto"/>
      </w:divBdr>
    </w:div>
    <w:div w:id="617837056">
      <w:bodyDiv w:val="1"/>
      <w:marLeft w:val="0"/>
      <w:marRight w:val="0"/>
      <w:marTop w:val="0"/>
      <w:marBottom w:val="0"/>
      <w:divBdr>
        <w:top w:val="none" w:sz="0" w:space="0" w:color="auto"/>
        <w:left w:val="none" w:sz="0" w:space="0" w:color="auto"/>
        <w:bottom w:val="none" w:sz="0" w:space="0" w:color="auto"/>
        <w:right w:val="none" w:sz="0" w:space="0" w:color="auto"/>
      </w:divBdr>
    </w:div>
    <w:div w:id="623124281">
      <w:bodyDiv w:val="1"/>
      <w:marLeft w:val="0"/>
      <w:marRight w:val="0"/>
      <w:marTop w:val="0"/>
      <w:marBottom w:val="0"/>
      <w:divBdr>
        <w:top w:val="none" w:sz="0" w:space="0" w:color="auto"/>
        <w:left w:val="none" w:sz="0" w:space="0" w:color="auto"/>
        <w:bottom w:val="none" w:sz="0" w:space="0" w:color="auto"/>
        <w:right w:val="none" w:sz="0" w:space="0" w:color="auto"/>
      </w:divBdr>
    </w:div>
    <w:div w:id="623509910">
      <w:bodyDiv w:val="1"/>
      <w:marLeft w:val="0"/>
      <w:marRight w:val="0"/>
      <w:marTop w:val="0"/>
      <w:marBottom w:val="0"/>
      <w:divBdr>
        <w:top w:val="none" w:sz="0" w:space="0" w:color="auto"/>
        <w:left w:val="none" w:sz="0" w:space="0" w:color="auto"/>
        <w:bottom w:val="none" w:sz="0" w:space="0" w:color="auto"/>
        <w:right w:val="none" w:sz="0" w:space="0" w:color="auto"/>
      </w:divBdr>
    </w:div>
    <w:div w:id="628894888">
      <w:bodyDiv w:val="1"/>
      <w:marLeft w:val="0"/>
      <w:marRight w:val="0"/>
      <w:marTop w:val="0"/>
      <w:marBottom w:val="0"/>
      <w:divBdr>
        <w:top w:val="none" w:sz="0" w:space="0" w:color="auto"/>
        <w:left w:val="none" w:sz="0" w:space="0" w:color="auto"/>
        <w:bottom w:val="none" w:sz="0" w:space="0" w:color="auto"/>
        <w:right w:val="none" w:sz="0" w:space="0" w:color="auto"/>
      </w:divBdr>
    </w:div>
    <w:div w:id="630093170">
      <w:bodyDiv w:val="1"/>
      <w:marLeft w:val="0"/>
      <w:marRight w:val="0"/>
      <w:marTop w:val="0"/>
      <w:marBottom w:val="0"/>
      <w:divBdr>
        <w:top w:val="none" w:sz="0" w:space="0" w:color="auto"/>
        <w:left w:val="none" w:sz="0" w:space="0" w:color="auto"/>
        <w:bottom w:val="none" w:sz="0" w:space="0" w:color="auto"/>
        <w:right w:val="none" w:sz="0" w:space="0" w:color="auto"/>
      </w:divBdr>
    </w:div>
    <w:div w:id="630982882">
      <w:bodyDiv w:val="1"/>
      <w:marLeft w:val="0"/>
      <w:marRight w:val="0"/>
      <w:marTop w:val="0"/>
      <w:marBottom w:val="0"/>
      <w:divBdr>
        <w:top w:val="none" w:sz="0" w:space="0" w:color="auto"/>
        <w:left w:val="none" w:sz="0" w:space="0" w:color="auto"/>
        <w:bottom w:val="none" w:sz="0" w:space="0" w:color="auto"/>
        <w:right w:val="none" w:sz="0" w:space="0" w:color="auto"/>
      </w:divBdr>
    </w:div>
    <w:div w:id="634725706">
      <w:bodyDiv w:val="1"/>
      <w:marLeft w:val="0"/>
      <w:marRight w:val="0"/>
      <w:marTop w:val="0"/>
      <w:marBottom w:val="0"/>
      <w:divBdr>
        <w:top w:val="none" w:sz="0" w:space="0" w:color="auto"/>
        <w:left w:val="none" w:sz="0" w:space="0" w:color="auto"/>
        <w:bottom w:val="none" w:sz="0" w:space="0" w:color="auto"/>
        <w:right w:val="none" w:sz="0" w:space="0" w:color="auto"/>
      </w:divBdr>
    </w:div>
    <w:div w:id="636952668">
      <w:bodyDiv w:val="1"/>
      <w:marLeft w:val="0"/>
      <w:marRight w:val="0"/>
      <w:marTop w:val="0"/>
      <w:marBottom w:val="0"/>
      <w:divBdr>
        <w:top w:val="none" w:sz="0" w:space="0" w:color="auto"/>
        <w:left w:val="none" w:sz="0" w:space="0" w:color="auto"/>
        <w:bottom w:val="none" w:sz="0" w:space="0" w:color="auto"/>
        <w:right w:val="none" w:sz="0" w:space="0" w:color="auto"/>
      </w:divBdr>
    </w:div>
    <w:div w:id="637956855">
      <w:bodyDiv w:val="1"/>
      <w:marLeft w:val="0"/>
      <w:marRight w:val="0"/>
      <w:marTop w:val="0"/>
      <w:marBottom w:val="0"/>
      <w:divBdr>
        <w:top w:val="none" w:sz="0" w:space="0" w:color="auto"/>
        <w:left w:val="none" w:sz="0" w:space="0" w:color="auto"/>
        <w:bottom w:val="none" w:sz="0" w:space="0" w:color="auto"/>
        <w:right w:val="none" w:sz="0" w:space="0" w:color="auto"/>
      </w:divBdr>
    </w:div>
    <w:div w:id="638463577">
      <w:bodyDiv w:val="1"/>
      <w:marLeft w:val="0"/>
      <w:marRight w:val="0"/>
      <w:marTop w:val="0"/>
      <w:marBottom w:val="0"/>
      <w:divBdr>
        <w:top w:val="none" w:sz="0" w:space="0" w:color="auto"/>
        <w:left w:val="none" w:sz="0" w:space="0" w:color="auto"/>
        <w:bottom w:val="none" w:sz="0" w:space="0" w:color="auto"/>
        <w:right w:val="none" w:sz="0" w:space="0" w:color="auto"/>
      </w:divBdr>
    </w:div>
    <w:div w:id="638848804">
      <w:bodyDiv w:val="1"/>
      <w:marLeft w:val="0"/>
      <w:marRight w:val="0"/>
      <w:marTop w:val="0"/>
      <w:marBottom w:val="0"/>
      <w:divBdr>
        <w:top w:val="none" w:sz="0" w:space="0" w:color="auto"/>
        <w:left w:val="none" w:sz="0" w:space="0" w:color="auto"/>
        <w:bottom w:val="none" w:sz="0" w:space="0" w:color="auto"/>
        <w:right w:val="none" w:sz="0" w:space="0" w:color="auto"/>
      </w:divBdr>
    </w:div>
    <w:div w:id="639775503">
      <w:bodyDiv w:val="1"/>
      <w:marLeft w:val="0"/>
      <w:marRight w:val="0"/>
      <w:marTop w:val="0"/>
      <w:marBottom w:val="0"/>
      <w:divBdr>
        <w:top w:val="none" w:sz="0" w:space="0" w:color="auto"/>
        <w:left w:val="none" w:sz="0" w:space="0" w:color="auto"/>
        <w:bottom w:val="none" w:sz="0" w:space="0" w:color="auto"/>
        <w:right w:val="none" w:sz="0" w:space="0" w:color="auto"/>
      </w:divBdr>
    </w:div>
    <w:div w:id="640111207">
      <w:bodyDiv w:val="1"/>
      <w:marLeft w:val="0"/>
      <w:marRight w:val="0"/>
      <w:marTop w:val="0"/>
      <w:marBottom w:val="0"/>
      <w:divBdr>
        <w:top w:val="none" w:sz="0" w:space="0" w:color="auto"/>
        <w:left w:val="none" w:sz="0" w:space="0" w:color="auto"/>
        <w:bottom w:val="none" w:sz="0" w:space="0" w:color="auto"/>
        <w:right w:val="none" w:sz="0" w:space="0" w:color="auto"/>
      </w:divBdr>
    </w:div>
    <w:div w:id="640185225">
      <w:bodyDiv w:val="1"/>
      <w:marLeft w:val="0"/>
      <w:marRight w:val="0"/>
      <w:marTop w:val="0"/>
      <w:marBottom w:val="0"/>
      <w:divBdr>
        <w:top w:val="none" w:sz="0" w:space="0" w:color="auto"/>
        <w:left w:val="none" w:sz="0" w:space="0" w:color="auto"/>
        <w:bottom w:val="none" w:sz="0" w:space="0" w:color="auto"/>
        <w:right w:val="none" w:sz="0" w:space="0" w:color="auto"/>
      </w:divBdr>
    </w:div>
    <w:div w:id="642851671">
      <w:bodyDiv w:val="1"/>
      <w:marLeft w:val="0"/>
      <w:marRight w:val="0"/>
      <w:marTop w:val="0"/>
      <w:marBottom w:val="0"/>
      <w:divBdr>
        <w:top w:val="none" w:sz="0" w:space="0" w:color="auto"/>
        <w:left w:val="none" w:sz="0" w:space="0" w:color="auto"/>
        <w:bottom w:val="none" w:sz="0" w:space="0" w:color="auto"/>
        <w:right w:val="none" w:sz="0" w:space="0" w:color="auto"/>
      </w:divBdr>
      <w:divsChild>
        <w:div w:id="1556890853">
          <w:marLeft w:val="0"/>
          <w:marRight w:val="0"/>
          <w:marTop w:val="0"/>
          <w:marBottom w:val="0"/>
          <w:divBdr>
            <w:top w:val="none" w:sz="0" w:space="0" w:color="auto"/>
            <w:left w:val="none" w:sz="0" w:space="0" w:color="auto"/>
            <w:bottom w:val="none" w:sz="0" w:space="0" w:color="auto"/>
            <w:right w:val="none" w:sz="0" w:space="0" w:color="auto"/>
          </w:divBdr>
        </w:div>
      </w:divsChild>
    </w:div>
    <w:div w:id="642852608">
      <w:bodyDiv w:val="1"/>
      <w:marLeft w:val="0"/>
      <w:marRight w:val="0"/>
      <w:marTop w:val="0"/>
      <w:marBottom w:val="0"/>
      <w:divBdr>
        <w:top w:val="none" w:sz="0" w:space="0" w:color="auto"/>
        <w:left w:val="none" w:sz="0" w:space="0" w:color="auto"/>
        <w:bottom w:val="none" w:sz="0" w:space="0" w:color="auto"/>
        <w:right w:val="none" w:sz="0" w:space="0" w:color="auto"/>
      </w:divBdr>
    </w:div>
    <w:div w:id="644119223">
      <w:bodyDiv w:val="1"/>
      <w:marLeft w:val="0"/>
      <w:marRight w:val="0"/>
      <w:marTop w:val="0"/>
      <w:marBottom w:val="0"/>
      <w:divBdr>
        <w:top w:val="none" w:sz="0" w:space="0" w:color="auto"/>
        <w:left w:val="none" w:sz="0" w:space="0" w:color="auto"/>
        <w:bottom w:val="none" w:sz="0" w:space="0" w:color="auto"/>
        <w:right w:val="none" w:sz="0" w:space="0" w:color="auto"/>
      </w:divBdr>
    </w:div>
    <w:div w:id="644361837">
      <w:bodyDiv w:val="1"/>
      <w:marLeft w:val="0"/>
      <w:marRight w:val="0"/>
      <w:marTop w:val="0"/>
      <w:marBottom w:val="0"/>
      <w:divBdr>
        <w:top w:val="none" w:sz="0" w:space="0" w:color="auto"/>
        <w:left w:val="none" w:sz="0" w:space="0" w:color="auto"/>
        <w:bottom w:val="none" w:sz="0" w:space="0" w:color="auto"/>
        <w:right w:val="none" w:sz="0" w:space="0" w:color="auto"/>
      </w:divBdr>
    </w:div>
    <w:div w:id="644704747">
      <w:bodyDiv w:val="1"/>
      <w:marLeft w:val="0"/>
      <w:marRight w:val="0"/>
      <w:marTop w:val="0"/>
      <w:marBottom w:val="0"/>
      <w:divBdr>
        <w:top w:val="none" w:sz="0" w:space="0" w:color="auto"/>
        <w:left w:val="none" w:sz="0" w:space="0" w:color="auto"/>
        <w:bottom w:val="none" w:sz="0" w:space="0" w:color="auto"/>
        <w:right w:val="none" w:sz="0" w:space="0" w:color="auto"/>
      </w:divBdr>
    </w:div>
    <w:div w:id="644897799">
      <w:bodyDiv w:val="1"/>
      <w:marLeft w:val="0"/>
      <w:marRight w:val="0"/>
      <w:marTop w:val="0"/>
      <w:marBottom w:val="0"/>
      <w:divBdr>
        <w:top w:val="none" w:sz="0" w:space="0" w:color="auto"/>
        <w:left w:val="none" w:sz="0" w:space="0" w:color="auto"/>
        <w:bottom w:val="none" w:sz="0" w:space="0" w:color="auto"/>
        <w:right w:val="none" w:sz="0" w:space="0" w:color="auto"/>
      </w:divBdr>
      <w:divsChild>
        <w:div w:id="1321034636">
          <w:marLeft w:val="0"/>
          <w:marRight w:val="0"/>
          <w:marTop w:val="0"/>
          <w:marBottom w:val="0"/>
          <w:divBdr>
            <w:top w:val="none" w:sz="0" w:space="0" w:color="auto"/>
            <w:left w:val="none" w:sz="0" w:space="0" w:color="auto"/>
            <w:bottom w:val="none" w:sz="0" w:space="0" w:color="auto"/>
            <w:right w:val="none" w:sz="0" w:space="0" w:color="auto"/>
          </w:divBdr>
        </w:div>
      </w:divsChild>
    </w:div>
    <w:div w:id="644940850">
      <w:bodyDiv w:val="1"/>
      <w:marLeft w:val="0"/>
      <w:marRight w:val="0"/>
      <w:marTop w:val="0"/>
      <w:marBottom w:val="0"/>
      <w:divBdr>
        <w:top w:val="none" w:sz="0" w:space="0" w:color="auto"/>
        <w:left w:val="none" w:sz="0" w:space="0" w:color="auto"/>
        <w:bottom w:val="none" w:sz="0" w:space="0" w:color="auto"/>
        <w:right w:val="none" w:sz="0" w:space="0" w:color="auto"/>
      </w:divBdr>
    </w:div>
    <w:div w:id="645744170">
      <w:bodyDiv w:val="1"/>
      <w:marLeft w:val="0"/>
      <w:marRight w:val="0"/>
      <w:marTop w:val="0"/>
      <w:marBottom w:val="0"/>
      <w:divBdr>
        <w:top w:val="none" w:sz="0" w:space="0" w:color="auto"/>
        <w:left w:val="none" w:sz="0" w:space="0" w:color="auto"/>
        <w:bottom w:val="none" w:sz="0" w:space="0" w:color="auto"/>
        <w:right w:val="none" w:sz="0" w:space="0" w:color="auto"/>
      </w:divBdr>
    </w:div>
    <w:div w:id="647516792">
      <w:bodyDiv w:val="1"/>
      <w:marLeft w:val="0"/>
      <w:marRight w:val="0"/>
      <w:marTop w:val="0"/>
      <w:marBottom w:val="0"/>
      <w:divBdr>
        <w:top w:val="none" w:sz="0" w:space="0" w:color="auto"/>
        <w:left w:val="none" w:sz="0" w:space="0" w:color="auto"/>
        <w:bottom w:val="none" w:sz="0" w:space="0" w:color="auto"/>
        <w:right w:val="none" w:sz="0" w:space="0" w:color="auto"/>
      </w:divBdr>
    </w:div>
    <w:div w:id="648287383">
      <w:bodyDiv w:val="1"/>
      <w:marLeft w:val="0"/>
      <w:marRight w:val="0"/>
      <w:marTop w:val="0"/>
      <w:marBottom w:val="0"/>
      <w:divBdr>
        <w:top w:val="none" w:sz="0" w:space="0" w:color="auto"/>
        <w:left w:val="none" w:sz="0" w:space="0" w:color="auto"/>
        <w:bottom w:val="none" w:sz="0" w:space="0" w:color="auto"/>
        <w:right w:val="none" w:sz="0" w:space="0" w:color="auto"/>
      </w:divBdr>
      <w:divsChild>
        <w:div w:id="54865284">
          <w:marLeft w:val="0"/>
          <w:marRight w:val="0"/>
          <w:marTop w:val="0"/>
          <w:marBottom w:val="0"/>
          <w:divBdr>
            <w:top w:val="none" w:sz="0" w:space="0" w:color="auto"/>
            <w:left w:val="none" w:sz="0" w:space="0" w:color="auto"/>
            <w:bottom w:val="none" w:sz="0" w:space="0" w:color="auto"/>
            <w:right w:val="none" w:sz="0" w:space="0" w:color="auto"/>
          </w:divBdr>
        </w:div>
      </w:divsChild>
    </w:div>
    <w:div w:id="648634778">
      <w:bodyDiv w:val="1"/>
      <w:marLeft w:val="0"/>
      <w:marRight w:val="0"/>
      <w:marTop w:val="0"/>
      <w:marBottom w:val="0"/>
      <w:divBdr>
        <w:top w:val="none" w:sz="0" w:space="0" w:color="auto"/>
        <w:left w:val="none" w:sz="0" w:space="0" w:color="auto"/>
        <w:bottom w:val="none" w:sz="0" w:space="0" w:color="auto"/>
        <w:right w:val="none" w:sz="0" w:space="0" w:color="auto"/>
      </w:divBdr>
    </w:div>
    <w:div w:id="653871150">
      <w:bodyDiv w:val="1"/>
      <w:marLeft w:val="0"/>
      <w:marRight w:val="0"/>
      <w:marTop w:val="0"/>
      <w:marBottom w:val="0"/>
      <w:divBdr>
        <w:top w:val="none" w:sz="0" w:space="0" w:color="auto"/>
        <w:left w:val="none" w:sz="0" w:space="0" w:color="auto"/>
        <w:bottom w:val="none" w:sz="0" w:space="0" w:color="auto"/>
        <w:right w:val="none" w:sz="0" w:space="0" w:color="auto"/>
      </w:divBdr>
    </w:div>
    <w:div w:id="654458992">
      <w:bodyDiv w:val="1"/>
      <w:marLeft w:val="0"/>
      <w:marRight w:val="0"/>
      <w:marTop w:val="0"/>
      <w:marBottom w:val="0"/>
      <w:divBdr>
        <w:top w:val="none" w:sz="0" w:space="0" w:color="auto"/>
        <w:left w:val="none" w:sz="0" w:space="0" w:color="auto"/>
        <w:bottom w:val="none" w:sz="0" w:space="0" w:color="auto"/>
        <w:right w:val="none" w:sz="0" w:space="0" w:color="auto"/>
      </w:divBdr>
    </w:div>
    <w:div w:id="657731334">
      <w:bodyDiv w:val="1"/>
      <w:marLeft w:val="0"/>
      <w:marRight w:val="0"/>
      <w:marTop w:val="0"/>
      <w:marBottom w:val="0"/>
      <w:divBdr>
        <w:top w:val="none" w:sz="0" w:space="0" w:color="auto"/>
        <w:left w:val="none" w:sz="0" w:space="0" w:color="auto"/>
        <w:bottom w:val="none" w:sz="0" w:space="0" w:color="auto"/>
        <w:right w:val="none" w:sz="0" w:space="0" w:color="auto"/>
      </w:divBdr>
    </w:div>
    <w:div w:id="659388057">
      <w:bodyDiv w:val="1"/>
      <w:marLeft w:val="0"/>
      <w:marRight w:val="0"/>
      <w:marTop w:val="0"/>
      <w:marBottom w:val="0"/>
      <w:divBdr>
        <w:top w:val="none" w:sz="0" w:space="0" w:color="auto"/>
        <w:left w:val="none" w:sz="0" w:space="0" w:color="auto"/>
        <w:bottom w:val="none" w:sz="0" w:space="0" w:color="auto"/>
        <w:right w:val="none" w:sz="0" w:space="0" w:color="auto"/>
      </w:divBdr>
    </w:div>
    <w:div w:id="660155921">
      <w:bodyDiv w:val="1"/>
      <w:marLeft w:val="0"/>
      <w:marRight w:val="0"/>
      <w:marTop w:val="0"/>
      <w:marBottom w:val="0"/>
      <w:divBdr>
        <w:top w:val="none" w:sz="0" w:space="0" w:color="auto"/>
        <w:left w:val="none" w:sz="0" w:space="0" w:color="auto"/>
        <w:bottom w:val="none" w:sz="0" w:space="0" w:color="auto"/>
        <w:right w:val="none" w:sz="0" w:space="0" w:color="auto"/>
      </w:divBdr>
    </w:div>
    <w:div w:id="660931744">
      <w:bodyDiv w:val="1"/>
      <w:marLeft w:val="0"/>
      <w:marRight w:val="0"/>
      <w:marTop w:val="0"/>
      <w:marBottom w:val="0"/>
      <w:divBdr>
        <w:top w:val="none" w:sz="0" w:space="0" w:color="auto"/>
        <w:left w:val="none" w:sz="0" w:space="0" w:color="auto"/>
        <w:bottom w:val="none" w:sz="0" w:space="0" w:color="auto"/>
        <w:right w:val="none" w:sz="0" w:space="0" w:color="auto"/>
      </w:divBdr>
    </w:div>
    <w:div w:id="663166868">
      <w:bodyDiv w:val="1"/>
      <w:marLeft w:val="0"/>
      <w:marRight w:val="0"/>
      <w:marTop w:val="0"/>
      <w:marBottom w:val="0"/>
      <w:divBdr>
        <w:top w:val="none" w:sz="0" w:space="0" w:color="auto"/>
        <w:left w:val="none" w:sz="0" w:space="0" w:color="auto"/>
        <w:bottom w:val="none" w:sz="0" w:space="0" w:color="auto"/>
        <w:right w:val="none" w:sz="0" w:space="0" w:color="auto"/>
      </w:divBdr>
    </w:div>
    <w:div w:id="663508054">
      <w:bodyDiv w:val="1"/>
      <w:marLeft w:val="0"/>
      <w:marRight w:val="0"/>
      <w:marTop w:val="0"/>
      <w:marBottom w:val="0"/>
      <w:divBdr>
        <w:top w:val="none" w:sz="0" w:space="0" w:color="auto"/>
        <w:left w:val="none" w:sz="0" w:space="0" w:color="auto"/>
        <w:bottom w:val="none" w:sz="0" w:space="0" w:color="auto"/>
        <w:right w:val="none" w:sz="0" w:space="0" w:color="auto"/>
      </w:divBdr>
    </w:div>
    <w:div w:id="667250678">
      <w:bodyDiv w:val="1"/>
      <w:marLeft w:val="0"/>
      <w:marRight w:val="0"/>
      <w:marTop w:val="0"/>
      <w:marBottom w:val="0"/>
      <w:divBdr>
        <w:top w:val="none" w:sz="0" w:space="0" w:color="auto"/>
        <w:left w:val="none" w:sz="0" w:space="0" w:color="auto"/>
        <w:bottom w:val="none" w:sz="0" w:space="0" w:color="auto"/>
        <w:right w:val="none" w:sz="0" w:space="0" w:color="auto"/>
      </w:divBdr>
      <w:divsChild>
        <w:div w:id="1890022306">
          <w:marLeft w:val="0"/>
          <w:marRight w:val="0"/>
          <w:marTop w:val="0"/>
          <w:marBottom w:val="0"/>
          <w:divBdr>
            <w:top w:val="none" w:sz="0" w:space="0" w:color="auto"/>
            <w:left w:val="none" w:sz="0" w:space="0" w:color="auto"/>
            <w:bottom w:val="none" w:sz="0" w:space="0" w:color="auto"/>
            <w:right w:val="none" w:sz="0" w:space="0" w:color="auto"/>
          </w:divBdr>
        </w:div>
      </w:divsChild>
    </w:div>
    <w:div w:id="669677145">
      <w:bodyDiv w:val="1"/>
      <w:marLeft w:val="0"/>
      <w:marRight w:val="0"/>
      <w:marTop w:val="0"/>
      <w:marBottom w:val="0"/>
      <w:divBdr>
        <w:top w:val="none" w:sz="0" w:space="0" w:color="auto"/>
        <w:left w:val="none" w:sz="0" w:space="0" w:color="auto"/>
        <w:bottom w:val="none" w:sz="0" w:space="0" w:color="auto"/>
        <w:right w:val="none" w:sz="0" w:space="0" w:color="auto"/>
      </w:divBdr>
    </w:div>
    <w:div w:id="670378902">
      <w:bodyDiv w:val="1"/>
      <w:marLeft w:val="0"/>
      <w:marRight w:val="0"/>
      <w:marTop w:val="0"/>
      <w:marBottom w:val="0"/>
      <w:divBdr>
        <w:top w:val="none" w:sz="0" w:space="0" w:color="auto"/>
        <w:left w:val="none" w:sz="0" w:space="0" w:color="auto"/>
        <w:bottom w:val="none" w:sz="0" w:space="0" w:color="auto"/>
        <w:right w:val="none" w:sz="0" w:space="0" w:color="auto"/>
      </w:divBdr>
    </w:div>
    <w:div w:id="670837801">
      <w:bodyDiv w:val="1"/>
      <w:marLeft w:val="0"/>
      <w:marRight w:val="0"/>
      <w:marTop w:val="0"/>
      <w:marBottom w:val="0"/>
      <w:divBdr>
        <w:top w:val="none" w:sz="0" w:space="0" w:color="auto"/>
        <w:left w:val="none" w:sz="0" w:space="0" w:color="auto"/>
        <w:bottom w:val="none" w:sz="0" w:space="0" w:color="auto"/>
        <w:right w:val="none" w:sz="0" w:space="0" w:color="auto"/>
      </w:divBdr>
    </w:div>
    <w:div w:id="672951352">
      <w:bodyDiv w:val="1"/>
      <w:marLeft w:val="0"/>
      <w:marRight w:val="0"/>
      <w:marTop w:val="0"/>
      <w:marBottom w:val="0"/>
      <w:divBdr>
        <w:top w:val="none" w:sz="0" w:space="0" w:color="auto"/>
        <w:left w:val="none" w:sz="0" w:space="0" w:color="auto"/>
        <w:bottom w:val="none" w:sz="0" w:space="0" w:color="auto"/>
        <w:right w:val="none" w:sz="0" w:space="0" w:color="auto"/>
      </w:divBdr>
    </w:div>
    <w:div w:id="673843048">
      <w:bodyDiv w:val="1"/>
      <w:marLeft w:val="0"/>
      <w:marRight w:val="0"/>
      <w:marTop w:val="0"/>
      <w:marBottom w:val="0"/>
      <w:divBdr>
        <w:top w:val="none" w:sz="0" w:space="0" w:color="auto"/>
        <w:left w:val="none" w:sz="0" w:space="0" w:color="auto"/>
        <w:bottom w:val="none" w:sz="0" w:space="0" w:color="auto"/>
        <w:right w:val="none" w:sz="0" w:space="0" w:color="auto"/>
      </w:divBdr>
    </w:div>
    <w:div w:id="675306686">
      <w:bodyDiv w:val="1"/>
      <w:marLeft w:val="0"/>
      <w:marRight w:val="0"/>
      <w:marTop w:val="0"/>
      <w:marBottom w:val="0"/>
      <w:divBdr>
        <w:top w:val="none" w:sz="0" w:space="0" w:color="auto"/>
        <w:left w:val="none" w:sz="0" w:space="0" w:color="auto"/>
        <w:bottom w:val="none" w:sz="0" w:space="0" w:color="auto"/>
        <w:right w:val="none" w:sz="0" w:space="0" w:color="auto"/>
      </w:divBdr>
    </w:div>
    <w:div w:id="675887835">
      <w:bodyDiv w:val="1"/>
      <w:marLeft w:val="0"/>
      <w:marRight w:val="0"/>
      <w:marTop w:val="0"/>
      <w:marBottom w:val="0"/>
      <w:divBdr>
        <w:top w:val="none" w:sz="0" w:space="0" w:color="auto"/>
        <w:left w:val="none" w:sz="0" w:space="0" w:color="auto"/>
        <w:bottom w:val="none" w:sz="0" w:space="0" w:color="auto"/>
        <w:right w:val="none" w:sz="0" w:space="0" w:color="auto"/>
      </w:divBdr>
    </w:div>
    <w:div w:id="675889100">
      <w:bodyDiv w:val="1"/>
      <w:marLeft w:val="0"/>
      <w:marRight w:val="0"/>
      <w:marTop w:val="0"/>
      <w:marBottom w:val="0"/>
      <w:divBdr>
        <w:top w:val="none" w:sz="0" w:space="0" w:color="auto"/>
        <w:left w:val="none" w:sz="0" w:space="0" w:color="auto"/>
        <w:bottom w:val="none" w:sz="0" w:space="0" w:color="auto"/>
        <w:right w:val="none" w:sz="0" w:space="0" w:color="auto"/>
      </w:divBdr>
    </w:div>
    <w:div w:id="676660642">
      <w:bodyDiv w:val="1"/>
      <w:marLeft w:val="0"/>
      <w:marRight w:val="0"/>
      <w:marTop w:val="0"/>
      <w:marBottom w:val="0"/>
      <w:divBdr>
        <w:top w:val="none" w:sz="0" w:space="0" w:color="auto"/>
        <w:left w:val="none" w:sz="0" w:space="0" w:color="auto"/>
        <w:bottom w:val="none" w:sz="0" w:space="0" w:color="auto"/>
        <w:right w:val="none" w:sz="0" w:space="0" w:color="auto"/>
      </w:divBdr>
    </w:div>
    <w:div w:id="676811804">
      <w:bodyDiv w:val="1"/>
      <w:marLeft w:val="0"/>
      <w:marRight w:val="0"/>
      <w:marTop w:val="0"/>
      <w:marBottom w:val="0"/>
      <w:divBdr>
        <w:top w:val="none" w:sz="0" w:space="0" w:color="auto"/>
        <w:left w:val="none" w:sz="0" w:space="0" w:color="auto"/>
        <w:bottom w:val="none" w:sz="0" w:space="0" w:color="auto"/>
        <w:right w:val="none" w:sz="0" w:space="0" w:color="auto"/>
      </w:divBdr>
    </w:div>
    <w:div w:id="677856487">
      <w:bodyDiv w:val="1"/>
      <w:marLeft w:val="0"/>
      <w:marRight w:val="0"/>
      <w:marTop w:val="0"/>
      <w:marBottom w:val="0"/>
      <w:divBdr>
        <w:top w:val="none" w:sz="0" w:space="0" w:color="auto"/>
        <w:left w:val="none" w:sz="0" w:space="0" w:color="auto"/>
        <w:bottom w:val="none" w:sz="0" w:space="0" w:color="auto"/>
        <w:right w:val="none" w:sz="0" w:space="0" w:color="auto"/>
      </w:divBdr>
    </w:div>
    <w:div w:id="677970980">
      <w:bodyDiv w:val="1"/>
      <w:marLeft w:val="0"/>
      <w:marRight w:val="0"/>
      <w:marTop w:val="0"/>
      <w:marBottom w:val="0"/>
      <w:divBdr>
        <w:top w:val="none" w:sz="0" w:space="0" w:color="auto"/>
        <w:left w:val="none" w:sz="0" w:space="0" w:color="auto"/>
        <w:bottom w:val="none" w:sz="0" w:space="0" w:color="auto"/>
        <w:right w:val="none" w:sz="0" w:space="0" w:color="auto"/>
      </w:divBdr>
    </w:div>
    <w:div w:id="680009368">
      <w:bodyDiv w:val="1"/>
      <w:marLeft w:val="0"/>
      <w:marRight w:val="0"/>
      <w:marTop w:val="0"/>
      <w:marBottom w:val="0"/>
      <w:divBdr>
        <w:top w:val="none" w:sz="0" w:space="0" w:color="auto"/>
        <w:left w:val="none" w:sz="0" w:space="0" w:color="auto"/>
        <w:bottom w:val="none" w:sz="0" w:space="0" w:color="auto"/>
        <w:right w:val="none" w:sz="0" w:space="0" w:color="auto"/>
      </w:divBdr>
    </w:div>
    <w:div w:id="680011529">
      <w:bodyDiv w:val="1"/>
      <w:marLeft w:val="0"/>
      <w:marRight w:val="0"/>
      <w:marTop w:val="0"/>
      <w:marBottom w:val="0"/>
      <w:divBdr>
        <w:top w:val="none" w:sz="0" w:space="0" w:color="auto"/>
        <w:left w:val="none" w:sz="0" w:space="0" w:color="auto"/>
        <w:bottom w:val="none" w:sz="0" w:space="0" w:color="auto"/>
        <w:right w:val="none" w:sz="0" w:space="0" w:color="auto"/>
      </w:divBdr>
    </w:div>
    <w:div w:id="680275151">
      <w:bodyDiv w:val="1"/>
      <w:marLeft w:val="0"/>
      <w:marRight w:val="0"/>
      <w:marTop w:val="0"/>
      <w:marBottom w:val="0"/>
      <w:divBdr>
        <w:top w:val="none" w:sz="0" w:space="0" w:color="auto"/>
        <w:left w:val="none" w:sz="0" w:space="0" w:color="auto"/>
        <w:bottom w:val="none" w:sz="0" w:space="0" w:color="auto"/>
        <w:right w:val="none" w:sz="0" w:space="0" w:color="auto"/>
      </w:divBdr>
    </w:div>
    <w:div w:id="681398055">
      <w:bodyDiv w:val="1"/>
      <w:marLeft w:val="0"/>
      <w:marRight w:val="0"/>
      <w:marTop w:val="0"/>
      <w:marBottom w:val="0"/>
      <w:divBdr>
        <w:top w:val="none" w:sz="0" w:space="0" w:color="auto"/>
        <w:left w:val="none" w:sz="0" w:space="0" w:color="auto"/>
        <w:bottom w:val="none" w:sz="0" w:space="0" w:color="auto"/>
        <w:right w:val="none" w:sz="0" w:space="0" w:color="auto"/>
      </w:divBdr>
    </w:div>
    <w:div w:id="683288325">
      <w:bodyDiv w:val="1"/>
      <w:marLeft w:val="0"/>
      <w:marRight w:val="0"/>
      <w:marTop w:val="0"/>
      <w:marBottom w:val="0"/>
      <w:divBdr>
        <w:top w:val="none" w:sz="0" w:space="0" w:color="auto"/>
        <w:left w:val="none" w:sz="0" w:space="0" w:color="auto"/>
        <w:bottom w:val="none" w:sz="0" w:space="0" w:color="auto"/>
        <w:right w:val="none" w:sz="0" w:space="0" w:color="auto"/>
      </w:divBdr>
    </w:div>
    <w:div w:id="684792757">
      <w:bodyDiv w:val="1"/>
      <w:marLeft w:val="0"/>
      <w:marRight w:val="0"/>
      <w:marTop w:val="0"/>
      <w:marBottom w:val="0"/>
      <w:divBdr>
        <w:top w:val="none" w:sz="0" w:space="0" w:color="auto"/>
        <w:left w:val="none" w:sz="0" w:space="0" w:color="auto"/>
        <w:bottom w:val="none" w:sz="0" w:space="0" w:color="auto"/>
        <w:right w:val="none" w:sz="0" w:space="0" w:color="auto"/>
      </w:divBdr>
    </w:div>
    <w:div w:id="685449277">
      <w:bodyDiv w:val="1"/>
      <w:marLeft w:val="0"/>
      <w:marRight w:val="0"/>
      <w:marTop w:val="0"/>
      <w:marBottom w:val="0"/>
      <w:divBdr>
        <w:top w:val="none" w:sz="0" w:space="0" w:color="auto"/>
        <w:left w:val="none" w:sz="0" w:space="0" w:color="auto"/>
        <w:bottom w:val="none" w:sz="0" w:space="0" w:color="auto"/>
        <w:right w:val="none" w:sz="0" w:space="0" w:color="auto"/>
      </w:divBdr>
    </w:div>
    <w:div w:id="685668357">
      <w:bodyDiv w:val="1"/>
      <w:marLeft w:val="0"/>
      <w:marRight w:val="0"/>
      <w:marTop w:val="0"/>
      <w:marBottom w:val="0"/>
      <w:divBdr>
        <w:top w:val="none" w:sz="0" w:space="0" w:color="auto"/>
        <w:left w:val="none" w:sz="0" w:space="0" w:color="auto"/>
        <w:bottom w:val="none" w:sz="0" w:space="0" w:color="auto"/>
        <w:right w:val="none" w:sz="0" w:space="0" w:color="auto"/>
      </w:divBdr>
    </w:div>
    <w:div w:id="686641768">
      <w:bodyDiv w:val="1"/>
      <w:marLeft w:val="0"/>
      <w:marRight w:val="0"/>
      <w:marTop w:val="0"/>
      <w:marBottom w:val="0"/>
      <w:divBdr>
        <w:top w:val="none" w:sz="0" w:space="0" w:color="auto"/>
        <w:left w:val="none" w:sz="0" w:space="0" w:color="auto"/>
        <w:bottom w:val="none" w:sz="0" w:space="0" w:color="auto"/>
        <w:right w:val="none" w:sz="0" w:space="0" w:color="auto"/>
      </w:divBdr>
    </w:div>
    <w:div w:id="688069042">
      <w:bodyDiv w:val="1"/>
      <w:marLeft w:val="0"/>
      <w:marRight w:val="0"/>
      <w:marTop w:val="0"/>
      <w:marBottom w:val="0"/>
      <w:divBdr>
        <w:top w:val="none" w:sz="0" w:space="0" w:color="auto"/>
        <w:left w:val="none" w:sz="0" w:space="0" w:color="auto"/>
        <w:bottom w:val="none" w:sz="0" w:space="0" w:color="auto"/>
        <w:right w:val="none" w:sz="0" w:space="0" w:color="auto"/>
      </w:divBdr>
    </w:div>
    <w:div w:id="688147049">
      <w:bodyDiv w:val="1"/>
      <w:marLeft w:val="0"/>
      <w:marRight w:val="0"/>
      <w:marTop w:val="0"/>
      <w:marBottom w:val="0"/>
      <w:divBdr>
        <w:top w:val="none" w:sz="0" w:space="0" w:color="auto"/>
        <w:left w:val="none" w:sz="0" w:space="0" w:color="auto"/>
        <w:bottom w:val="none" w:sz="0" w:space="0" w:color="auto"/>
        <w:right w:val="none" w:sz="0" w:space="0" w:color="auto"/>
      </w:divBdr>
    </w:div>
    <w:div w:id="690188228">
      <w:bodyDiv w:val="1"/>
      <w:marLeft w:val="0"/>
      <w:marRight w:val="0"/>
      <w:marTop w:val="0"/>
      <w:marBottom w:val="0"/>
      <w:divBdr>
        <w:top w:val="none" w:sz="0" w:space="0" w:color="auto"/>
        <w:left w:val="none" w:sz="0" w:space="0" w:color="auto"/>
        <w:bottom w:val="none" w:sz="0" w:space="0" w:color="auto"/>
        <w:right w:val="none" w:sz="0" w:space="0" w:color="auto"/>
      </w:divBdr>
      <w:divsChild>
        <w:div w:id="1117872816">
          <w:marLeft w:val="0"/>
          <w:marRight w:val="0"/>
          <w:marTop w:val="0"/>
          <w:marBottom w:val="0"/>
          <w:divBdr>
            <w:top w:val="none" w:sz="0" w:space="0" w:color="auto"/>
            <w:left w:val="none" w:sz="0" w:space="0" w:color="auto"/>
            <w:bottom w:val="none" w:sz="0" w:space="0" w:color="auto"/>
            <w:right w:val="none" w:sz="0" w:space="0" w:color="auto"/>
          </w:divBdr>
        </w:div>
      </w:divsChild>
    </w:div>
    <w:div w:id="690375918">
      <w:bodyDiv w:val="1"/>
      <w:marLeft w:val="0"/>
      <w:marRight w:val="0"/>
      <w:marTop w:val="0"/>
      <w:marBottom w:val="0"/>
      <w:divBdr>
        <w:top w:val="none" w:sz="0" w:space="0" w:color="auto"/>
        <w:left w:val="none" w:sz="0" w:space="0" w:color="auto"/>
        <w:bottom w:val="none" w:sz="0" w:space="0" w:color="auto"/>
        <w:right w:val="none" w:sz="0" w:space="0" w:color="auto"/>
      </w:divBdr>
    </w:div>
    <w:div w:id="694039018">
      <w:bodyDiv w:val="1"/>
      <w:marLeft w:val="0"/>
      <w:marRight w:val="0"/>
      <w:marTop w:val="0"/>
      <w:marBottom w:val="0"/>
      <w:divBdr>
        <w:top w:val="none" w:sz="0" w:space="0" w:color="auto"/>
        <w:left w:val="none" w:sz="0" w:space="0" w:color="auto"/>
        <w:bottom w:val="none" w:sz="0" w:space="0" w:color="auto"/>
        <w:right w:val="none" w:sz="0" w:space="0" w:color="auto"/>
      </w:divBdr>
    </w:div>
    <w:div w:id="695733525">
      <w:bodyDiv w:val="1"/>
      <w:marLeft w:val="0"/>
      <w:marRight w:val="0"/>
      <w:marTop w:val="0"/>
      <w:marBottom w:val="0"/>
      <w:divBdr>
        <w:top w:val="none" w:sz="0" w:space="0" w:color="auto"/>
        <w:left w:val="none" w:sz="0" w:space="0" w:color="auto"/>
        <w:bottom w:val="none" w:sz="0" w:space="0" w:color="auto"/>
        <w:right w:val="none" w:sz="0" w:space="0" w:color="auto"/>
      </w:divBdr>
    </w:div>
    <w:div w:id="697439065">
      <w:bodyDiv w:val="1"/>
      <w:marLeft w:val="0"/>
      <w:marRight w:val="0"/>
      <w:marTop w:val="0"/>
      <w:marBottom w:val="0"/>
      <w:divBdr>
        <w:top w:val="none" w:sz="0" w:space="0" w:color="auto"/>
        <w:left w:val="none" w:sz="0" w:space="0" w:color="auto"/>
        <w:bottom w:val="none" w:sz="0" w:space="0" w:color="auto"/>
        <w:right w:val="none" w:sz="0" w:space="0" w:color="auto"/>
      </w:divBdr>
    </w:div>
    <w:div w:id="702099045">
      <w:bodyDiv w:val="1"/>
      <w:marLeft w:val="0"/>
      <w:marRight w:val="0"/>
      <w:marTop w:val="0"/>
      <w:marBottom w:val="0"/>
      <w:divBdr>
        <w:top w:val="none" w:sz="0" w:space="0" w:color="auto"/>
        <w:left w:val="none" w:sz="0" w:space="0" w:color="auto"/>
        <w:bottom w:val="none" w:sz="0" w:space="0" w:color="auto"/>
        <w:right w:val="none" w:sz="0" w:space="0" w:color="auto"/>
      </w:divBdr>
    </w:div>
    <w:div w:id="703751186">
      <w:bodyDiv w:val="1"/>
      <w:marLeft w:val="0"/>
      <w:marRight w:val="0"/>
      <w:marTop w:val="0"/>
      <w:marBottom w:val="0"/>
      <w:divBdr>
        <w:top w:val="none" w:sz="0" w:space="0" w:color="auto"/>
        <w:left w:val="none" w:sz="0" w:space="0" w:color="auto"/>
        <w:bottom w:val="none" w:sz="0" w:space="0" w:color="auto"/>
        <w:right w:val="none" w:sz="0" w:space="0" w:color="auto"/>
      </w:divBdr>
    </w:div>
    <w:div w:id="704133350">
      <w:bodyDiv w:val="1"/>
      <w:marLeft w:val="0"/>
      <w:marRight w:val="0"/>
      <w:marTop w:val="0"/>
      <w:marBottom w:val="0"/>
      <w:divBdr>
        <w:top w:val="none" w:sz="0" w:space="0" w:color="auto"/>
        <w:left w:val="none" w:sz="0" w:space="0" w:color="auto"/>
        <w:bottom w:val="none" w:sz="0" w:space="0" w:color="auto"/>
        <w:right w:val="none" w:sz="0" w:space="0" w:color="auto"/>
      </w:divBdr>
    </w:div>
    <w:div w:id="704208362">
      <w:bodyDiv w:val="1"/>
      <w:marLeft w:val="0"/>
      <w:marRight w:val="0"/>
      <w:marTop w:val="0"/>
      <w:marBottom w:val="0"/>
      <w:divBdr>
        <w:top w:val="none" w:sz="0" w:space="0" w:color="auto"/>
        <w:left w:val="none" w:sz="0" w:space="0" w:color="auto"/>
        <w:bottom w:val="none" w:sz="0" w:space="0" w:color="auto"/>
        <w:right w:val="none" w:sz="0" w:space="0" w:color="auto"/>
      </w:divBdr>
    </w:div>
    <w:div w:id="706024237">
      <w:bodyDiv w:val="1"/>
      <w:marLeft w:val="0"/>
      <w:marRight w:val="0"/>
      <w:marTop w:val="0"/>
      <w:marBottom w:val="0"/>
      <w:divBdr>
        <w:top w:val="none" w:sz="0" w:space="0" w:color="auto"/>
        <w:left w:val="none" w:sz="0" w:space="0" w:color="auto"/>
        <w:bottom w:val="none" w:sz="0" w:space="0" w:color="auto"/>
        <w:right w:val="none" w:sz="0" w:space="0" w:color="auto"/>
      </w:divBdr>
    </w:div>
    <w:div w:id="707875032">
      <w:bodyDiv w:val="1"/>
      <w:marLeft w:val="0"/>
      <w:marRight w:val="0"/>
      <w:marTop w:val="0"/>
      <w:marBottom w:val="0"/>
      <w:divBdr>
        <w:top w:val="none" w:sz="0" w:space="0" w:color="auto"/>
        <w:left w:val="none" w:sz="0" w:space="0" w:color="auto"/>
        <w:bottom w:val="none" w:sz="0" w:space="0" w:color="auto"/>
        <w:right w:val="none" w:sz="0" w:space="0" w:color="auto"/>
      </w:divBdr>
    </w:div>
    <w:div w:id="708719923">
      <w:bodyDiv w:val="1"/>
      <w:marLeft w:val="0"/>
      <w:marRight w:val="0"/>
      <w:marTop w:val="0"/>
      <w:marBottom w:val="0"/>
      <w:divBdr>
        <w:top w:val="none" w:sz="0" w:space="0" w:color="auto"/>
        <w:left w:val="none" w:sz="0" w:space="0" w:color="auto"/>
        <w:bottom w:val="none" w:sz="0" w:space="0" w:color="auto"/>
        <w:right w:val="none" w:sz="0" w:space="0" w:color="auto"/>
      </w:divBdr>
    </w:div>
    <w:div w:id="712071468">
      <w:bodyDiv w:val="1"/>
      <w:marLeft w:val="0"/>
      <w:marRight w:val="0"/>
      <w:marTop w:val="0"/>
      <w:marBottom w:val="0"/>
      <w:divBdr>
        <w:top w:val="none" w:sz="0" w:space="0" w:color="auto"/>
        <w:left w:val="none" w:sz="0" w:space="0" w:color="auto"/>
        <w:bottom w:val="none" w:sz="0" w:space="0" w:color="auto"/>
        <w:right w:val="none" w:sz="0" w:space="0" w:color="auto"/>
      </w:divBdr>
    </w:div>
    <w:div w:id="712462773">
      <w:bodyDiv w:val="1"/>
      <w:marLeft w:val="0"/>
      <w:marRight w:val="0"/>
      <w:marTop w:val="0"/>
      <w:marBottom w:val="0"/>
      <w:divBdr>
        <w:top w:val="none" w:sz="0" w:space="0" w:color="auto"/>
        <w:left w:val="none" w:sz="0" w:space="0" w:color="auto"/>
        <w:bottom w:val="none" w:sz="0" w:space="0" w:color="auto"/>
        <w:right w:val="none" w:sz="0" w:space="0" w:color="auto"/>
      </w:divBdr>
    </w:div>
    <w:div w:id="712731104">
      <w:bodyDiv w:val="1"/>
      <w:marLeft w:val="0"/>
      <w:marRight w:val="0"/>
      <w:marTop w:val="0"/>
      <w:marBottom w:val="0"/>
      <w:divBdr>
        <w:top w:val="none" w:sz="0" w:space="0" w:color="auto"/>
        <w:left w:val="none" w:sz="0" w:space="0" w:color="auto"/>
        <w:bottom w:val="none" w:sz="0" w:space="0" w:color="auto"/>
        <w:right w:val="none" w:sz="0" w:space="0" w:color="auto"/>
      </w:divBdr>
    </w:div>
    <w:div w:id="713389997">
      <w:bodyDiv w:val="1"/>
      <w:marLeft w:val="0"/>
      <w:marRight w:val="0"/>
      <w:marTop w:val="0"/>
      <w:marBottom w:val="0"/>
      <w:divBdr>
        <w:top w:val="none" w:sz="0" w:space="0" w:color="auto"/>
        <w:left w:val="none" w:sz="0" w:space="0" w:color="auto"/>
        <w:bottom w:val="none" w:sz="0" w:space="0" w:color="auto"/>
        <w:right w:val="none" w:sz="0" w:space="0" w:color="auto"/>
      </w:divBdr>
    </w:div>
    <w:div w:id="714354978">
      <w:bodyDiv w:val="1"/>
      <w:marLeft w:val="0"/>
      <w:marRight w:val="0"/>
      <w:marTop w:val="0"/>
      <w:marBottom w:val="0"/>
      <w:divBdr>
        <w:top w:val="none" w:sz="0" w:space="0" w:color="auto"/>
        <w:left w:val="none" w:sz="0" w:space="0" w:color="auto"/>
        <w:bottom w:val="none" w:sz="0" w:space="0" w:color="auto"/>
        <w:right w:val="none" w:sz="0" w:space="0" w:color="auto"/>
      </w:divBdr>
    </w:div>
    <w:div w:id="714744416">
      <w:bodyDiv w:val="1"/>
      <w:marLeft w:val="0"/>
      <w:marRight w:val="0"/>
      <w:marTop w:val="0"/>
      <w:marBottom w:val="0"/>
      <w:divBdr>
        <w:top w:val="none" w:sz="0" w:space="0" w:color="auto"/>
        <w:left w:val="none" w:sz="0" w:space="0" w:color="auto"/>
        <w:bottom w:val="none" w:sz="0" w:space="0" w:color="auto"/>
        <w:right w:val="none" w:sz="0" w:space="0" w:color="auto"/>
      </w:divBdr>
    </w:div>
    <w:div w:id="718017611">
      <w:bodyDiv w:val="1"/>
      <w:marLeft w:val="0"/>
      <w:marRight w:val="0"/>
      <w:marTop w:val="0"/>
      <w:marBottom w:val="0"/>
      <w:divBdr>
        <w:top w:val="none" w:sz="0" w:space="0" w:color="auto"/>
        <w:left w:val="none" w:sz="0" w:space="0" w:color="auto"/>
        <w:bottom w:val="none" w:sz="0" w:space="0" w:color="auto"/>
        <w:right w:val="none" w:sz="0" w:space="0" w:color="auto"/>
      </w:divBdr>
      <w:divsChild>
        <w:div w:id="24449744">
          <w:marLeft w:val="0"/>
          <w:marRight w:val="0"/>
          <w:marTop w:val="0"/>
          <w:marBottom w:val="0"/>
          <w:divBdr>
            <w:top w:val="none" w:sz="0" w:space="0" w:color="auto"/>
            <w:left w:val="none" w:sz="0" w:space="0" w:color="auto"/>
            <w:bottom w:val="none" w:sz="0" w:space="0" w:color="auto"/>
            <w:right w:val="none" w:sz="0" w:space="0" w:color="auto"/>
          </w:divBdr>
        </w:div>
        <w:div w:id="527988030">
          <w:marLeft w:val="0"/>
          <w:marRight w:val="0"/>
          <w:marTop w:val="0"/>
          <w:marBottom w:val="0"/>
          <w:divBdr>
            <w:top w:val="none" w:sz="0" w:space="0" w:color="auto"/>
            <w:left w:val="none" w:sz="0" w:space="0" w:color="auto"/>
            <w:bottom w:val="none" w:sz="0" w:space="0" w:color="auto"/>
            <w:right w:val="none" w:sz="0" w:space="0" w:color="auto"/>
          </w:divBdr>
        </w:div>
        <w:div w:id="1338002525">
          <w:marLeft w:val="0"/>
          <w:marRight w:val="0"/>
          <w:marTop w:val="0"/>
          <w:marBottom w:val="0"/>
          <w:divBdr>
            <w:top w:val="none" w:sz="0" w:space="0" w:color="auto"/>
            <w:left w:val="none" w:sz="0" w:space="0" w:color="auto"/>
            <w:bottom w:val="none" w:sz="0" w:space="0" w:color="auto"/>
            <w:right w:val="none" w:sz="0" w:space="0" w:color="auto"/>
          </w:divBdr>
        </w:div>
        <w:div w:id="1864594074">
          <w:marLeft w:val="0"/>
          <w:marRight w:val="0"/>
          <w:marTop w:val="0"/>
          <w:marBottom w:val="0"/>
          <w:divBdr>
            <w:top w:val="none" w:sz="0" w:space="0" w:color="auto"/>
            <w:left w:val="none" w:sz="0" w:space="0" w:color="auto"/>
            <w:bottom w:val="none" w:sz="0" w:space="0" w:color="auto"/>
            <w:right w:val="none" w:sz="0" w:space="0" w:color="auto"/>
          </w:divBdr>
        </w:div>
        <w:div w:id="1876113005">
          <w:marLeft w:val="0"/>
          <w:marRight w:val="0"/>
          <w:marTop w:val="0"/>
          <w:marBottom w:val="0"/>
          <w:divBdr>
            <w:top w:val="none" w:sz="0" w:space="0" w:color="auto"/>
            <w:left w:val="none" w:sz="0" w:space="0" w:color="auto"/>
            <w:bottom w:val="none" w:sz="0" w:space="0" w:color="auto"/>
            <w:right w:val="none" w:sz="0" w:space="0" w:color="auto"/>
          </w:divBdr>
        </w:div>
      </w:divsChild>
    </w:div>
    <w:div w:id="719016041">
      <w:bodyDiv w:val="1"/>
      <w:marLeft w:val="0"/>
      <w:marRight w:val="0"/>
      <w:marTop w:val="0"/>
      <w:marBottom w:val="0"/>
      <w:divBdr>
        <w:top w:val="none" w:sz="0" w:space="0" w:color="auto"/>
        <w:left w:val="none" w:sz="0" w:space="0" w:color="auto"/>
        <w:bottom w:val="none" w:sz="0" w:space="0" w:color="auto"/>
        <w:right w:val="none" w:sz="0" w:space="0" w:color="auto"/>
      </w:divBdr>
    </w:div>
    <w:div w:id="721517007">
      <w:bodyDiv w:val="1"/>
      <w:marLeft w:val="0"/>
      <w:marRight w:val="0"/>
      <w:marTop w:val="0"/>
      <w:marBottom w:val="0"/>
      <w:divBdr>
        <w:top w:val="none" w:sz="0" w:space="0" w:color="auto"/>
        <w:left w:val="none" w:sz="0" w:space="0" w:color="auto"/>
        <w:bottom w:val="none" w:sz="0" w:space="0" w:color="auto"/>
        <w:right w:val="none" w:sz="0" w:space="0" w:color="auto"/>
      </w:divBdr>
    </w:div>
    <w:div w:id="722364098">
      <w:bodyDiv w:val="1"/>
      <w:marLeft w:val="0"/>
      <w:marRight w:val="0"/>
      <w:marTop w:val="0"/>
      <w:marBottom w:val="0"/>
      <w:divBdr>
        <w:top w:val="none" w:sz="0" w:space="0" w:color="auto"/>
        <w:left w:val="none" w:sz="0" w:space="0" w:color="auto"/>
        <w:bottom w:val="none" w:sz="0" w:space="0" w:color="auto"/>
        <w:right w:val="none" w:sz="0" w:space="0" w:color="auto"/>
      </w:divBdr>
    </w:div>
    <w:div w:id="726532194">
      <w:bodyDiv w:val="1"/>
      <w:marLeft w:val="0"/>
      <w:marRight w:val="0"/>
      <w:marTop w:val="0"/>
      <w:marBottom w:val="0"/>
      <w:divBdr>
        <w:top w:val="none" w:sz="0" w:space="0" w:color="auto"/>
        <w:left w:val="none" w:sz="0" w:space="0" w:color="auto"/>
        <w:bottom w:val="none" w:sz="0" w:space="0" w:color="auto"/>
        <w:right w:val="none" w:sz="0" w:space="0" w:color="auto"/>
      </w:divBdr>
    </w:div>
    <w:div w:id="727994532">
      <w:bodyDiv w:val="1"/>
      <w:marLeft w:val="0"/>
      <w:marRight w:val="0"/>
      <w:marTop w:val="0"/>
      <w:marBottom w:val="0"/>
      <w:divBdr>
        <w:top w:val="none" w:sz="0" w:space="0" w:color="auto"/>
        <w:left w:val="none" w:sz="0" w:space="0" w:color="auto"/>
        <w:bottom w:val="none" w:sz="0" w:space="0" w:color="auto"/>
        <w:right w:val="none" w:sz="0" w:space="0" w:color="auto"/>
      </w:divBdr>
    </w:div>
    <w:div w:id="728840392">
      <w:bodyDiv w:val="1"/>
      <w:marLeft w:val="0"/>
      <w:marRight w:val="0"/>
      <w:marTop w:val="0"/>
      <w:marBottom w:val="0"/>
      <w:divBdr>
        <w:top w:val="none" w:sz="0" w:space="0" w:color="auto"/>
        <w:left w:val="none" w:sz="0" w:space="0" w:color="auto"/>
        <w:bottom w:val="none" w:sz="0" w:space="0" w:color="auto"/>
        <w:right w:val="none" w:sz="0" w:space="0" w:color="auto"/>
      </w:divBdr>
    </w:div>
    <w:div w:id="731272523">
      <w:bodyDiv w:val="1"/>
      <w:marLeft w:val="0"/>
      <w:marRight w:val="0"/>
      <w:marTop w:val="0"/>
      <w:marBottom w:val="0"/>
      <w:divBdr>
        <w:top w:val="none" w:sz="0" w:space="0" w:color="auto"/>
        <w:left w:val="none" w:sz="0" w:space="0" w:color="auto"/>
        <w:bottom w:val="none" w:sz="0" w:space="0" w:color="auto"/>
        <w:right w:val="none" w:sz="0" w:space="0" w:color="auto"/>
      </w:divBdr>
    </w:div>
    <w:div w:id="732193189">
      <w:bodyDiv w:val="1"/>
      <w:marLeft w:val="0"/>
      <w:marRight w:val="0"/>
      <w:marTop w:val="0"/>
      <w:marBottom w:val="0"/>
      <w:divBdr>
        <w:top w:val="none" w:sz="0" w:space="0" w:color="auto"/>
        <w:left w:val="none" w:sz="0" w:space="0" w:color="auto"/>
        <w:bottom w:val="none" w:sz="0" w:space="0" w:color="auto"/>
        <w:right w:val="none" w:sz="0" w:space="0" w:color="auto"/>
      </w:divBdr>
    </w:div>
    <w:div w:id="733822395">
      <w:bodyDiv w:val="1"/>
      <w:marLeft w:val="0"/>
      <w:marRight w:val="0"/>
      <w:marTop w:val="0"/>
      <w:marBottom w:val="0"/>
      <w:divBdr>
        <w:top w:val="none" w:sz="0" w:space="0" w:color="auto"/>
        <w:left w:val="none" w:sz="0" w:space="0" w:color="auto"/>
        <w:bottom w:val="none" w:sz="0" w:space="0" w:color="auto"/>
        <w:right w:val="none" w:sz="0" w:space="0" w:color="auto"/>
      </w:divBdr>
    </w:div>
    <w:div w:id="735274782">
      <w:bodyDiv w:val="1"/>
      <w:marLeft w:val="0"/>
      <w:marRight w:val="0"/>
      <w:marTop w:val="0"/>
      <w:marBottom w:val="0"/>
      <w:divBdr>
        <w:top w:val="none" w:sz="0" w:space="0" w:color="auto"/>
        <w:left w:val="none" w:sz="0" w:space="0" w:color="auto"/>
        <w:bottom w:val="none" w:sz="0" w:space="0" w:color="auto"/>
        <w:right w:val="none" w:sz="0" w:space="0" w:color="auto"/>
      </w:divBdr>
    </w:div>
    <w:div w:id="736165995">
      <w:bodyDiv w:val="1"/>
      <w:marLeft w:val="0"/>
      <w:marRight w:val="0"/>
      <w:marTop w:val="0"/>
      <w:marBottom w:val="0"/>
      <w:divBdr>
        <w:top w:val="none" w:sz="0" w:space="0" w:color="auto"/>
        <w:left w:val="none" w:sz="0" w:space="0" w:color="auto"/>
        <w:bottom w:val="none" w:sz="0" w:space="0" w:color="auto"/>
        <w:right w:val="none" w:sz="0" w:space="0" w:color="auto"/>
      </w:divBdr>
      <w:divsChild>
        <w:div w:id="1134130602">
          <w:marLeft w:val="0"/>
          <w:marRight w:val="0"/>
          <w:marTop w:val="0"/>
          <w:marBottom w:val="0"/>
          <w:divBdr>
            <w:top w:val="none" w:sz="0" w:space="0" w:color="auto"/>
            <w:left w:val="none" w:sz="0" w:space="0" w:color="auto"/>
            <w:bottom w:val="none" w:sz="0" w:space="0" w:color="auto"/>
            <w:right w:val="none" w:sz="0" w:space="0" w:color="auto"/>
          </w:divBdr>
        </w:div>
      </w:divsChild>
    </w:div>
    <w:div w:id="736828319">
      <w:bodyDiv w:val="1"/>
      <w:marLeft w:val="0"/>
      <w:marRight w:val="0"/>
      <w:marTop w:val="0"/>
      <w:marBottom w:val="0"/>
      <w:divBdr>
        <w:top w:val="none" w:sz="0" w:space="0" w:color="auto"/>
        <w:left w:val="none" w:sz="0" w:space="0" w:color="auto"/>
        <w:bottom w:val="none" w:sz="0" w:space="0" w:color="auto"/>
        <w:right w:val="none" w:sz="0" w:space="0" w:color="auto"/>
      </w:divBdr>
    </w:div>
    <w:div w:id="740448096">
      <w:bodyDiv w:val="1"/>
      <w:marLeft w:val="0"/>
      <w:marRight w:val="0"/>
      <w:marTop w:val="0"/>
      <w:marBottom w:val="0"/>
      <w:divBdr>
        <w:top w:val="none" w:sz="0" w:space="0" w:color="auto"/>
        <w:left w:val="none" w:sz="0" w:space="0" w:color="auto"/>
        <w:bottom w:val="none" w:sz="0" w:space="0" w:color="auto"/>
        <w:right w:val="none" w:sz="0" w:space="0" w:color="auto"/>
      </w:divBdr>
    </w:div>
    <w:div w:id="741832153">
      <w:bodyDiv w:val="1"/>
      <w:marLeft w:val="0"/>
      <w:marRight w:val="0"/>
      <w:marTop w:val="0"/>
      <w:marBottom w:val="0"/>
      <w:divBdr>
        <w:top w:val="none" w:sz="0" w:space="0" w:color="auto"/>
        <w:left w:val="none" w:sz="0" w:space="0" w:color="auto"/>
        <w:bottom w:val="none" w:sz="0" w:space="0" w:color="auto"/>
        <w:right w:val="none" w:sz="0" w:space="0" w:color="auto"/>
      </w:divBdr>
    </w:div>
    <w:div w:id="742992982">
      <w:bodyDiv w:val="1"/>
      <w:marLeft w:val="0"/>
      <w:marRight w:val="0"/>
      <w:marTop w:val="0"/>
      <w:marBottom w:val="0"/>
      <w:divBdr>
        <w:top w:val="none" w:sz="0" w:space="0" w:color="auto"/>
        <w:left w:val="none" w:sz="0" w:space="0" w:color="auto"/>
        <w:bottom w:val="none" w:sz="0" w:space="0" w:color="auto"/>
        <w:right w:val="none" w:sz="0" w:space="0" w:color="auto"/>
      </w:divBdr>
    </w:div>
    <w:div w:id="744958722">
      <w:bodyDiv w:val="1"/>
      <w:marLeft w:val="0"/>
      <w:marRight w:val="0"/>
      <w:marTop w:val="0"/>
      <w:marBottom w:val="0"/>
      <w:divBdr>
        <w:top w:val="none" w:sz="0" w:space="0" w:color="auto"/>
        <w:left w:val="none" w:sz="0" w:space="0" w:color="auto"/>
        <w:bottom w:val="none" w:sz="0" w:space="0" w:color="auto"/>
        <w:right w:val="none" w:sz="0" w:space="0" w:color="auto"/>
      </w:divBdr>
    </w:div>
    <w:div w:id="745226553">
      <w:bodyDiv w:val="1"/>
      <w:marLeft w:val="0"/>
      <w:marRight w:val="0"/>
      <w:marTop w:val="0"/>
      <w:marBottom w:val="0"/>
      <w:divBdr>
        <w:top w:val="none" w:sz="0" w:space="0" w:color="auto"/>
        <w:left w:val="none" w:sz="0" w:space="0" w:color="auto"/>
        <w:bottom w:val="none" w:sz="0" w:space="0" w:color="auto"/>
        <w:right w:val="none" w:sz="0" w:space="0" w:color="auto"/>
      </w:divBdr>
    </w:div>
    <w:div w:id="745808648">
      <w:bodyDiv w:val="1"/>
      <w:marLeft w:val="0"/>
      <w:marRight w:val="0"/>
      <w:marTop w:val="0"/>
      <w:marBottom w:val="0"/>
      <w:divBdr>
        <w:top w:val="none" w:sz="0" w:space="0" w:color="auto"/>
        <w:left w:val="none" w:sz="0" w:space="0" w:color="auto"/>
        <w:bottom w:val="none" w:sz="0" w:space="0" w:color="auto"/>
        <w:right w:val="none" w:sz="0" w:space="0" w:color="auto"/>
      </w:divBdr>
    </w:div>
    <w:div w:id="745996719">
      <w:bodyDiv w:val="1"/>
      <w:marLeft w:val="0"/>
      <w:marRight w:val="0"/>
      <w:marTop w:val="0"/>
      <w:marBottom w:val="0"/>
      <w:divBdr>
        <w:top w:val="none" w:sz="0" w:space="0" w:color="auto"/>
        <w:left w:val="none" w:sz="0" w:space="0" w:color="auto"/>
        <w:bottom w:val="none" w:sz="0" w:space="0" w:color="auto"/>
        <w:right w:val="none" w:sz="0" w:space="0" w:color="auto"/>
      </w:divBdr>
    </w:div>
    <w:div w:id="747070355">
      <w:bodyDiv w:val="1"/>
      <w:marLeft w:val="0"/>
      <w:marRight w:val="0"/>
      <w:marTop w:val="0"/>
      <w:marBottom w:val="0"/>
      <w:divBdr>
        <w:top w:val="none" w:sz="0" w:space="0" w:color="auto"/>
        <w:left w:val="none" w:sz="0" w:space="0" w:color="auto"/>
        <w:bottom w:val="none" w:sz="0" w:space="0" w:color="auto"/>
        <w:right w:val="none" w:sz="0" w:space="0" w:color="auto"/>
      </w:divBdr>
    </w:div>
    <w:div w:id="747457025">
      <w:bodyDiv w:val="1"/>
      <w:marLeft w:val="0"/>
      <w:marRight w:val="0"/>
      <w:marTop w:val="0"/>
      <w:marBottom w:val="0"/>
      <w:divBdr>
        <w:top w:val="none" w:sz="0" w:space="0" w:color="auto"/>
        <w:left w:val="none" w:sz="0" w:space="0" w:color="auto"/>
        <w:bottom w:val="none" w:sz="0" w:space="0" w:color="auto"/>
        <w:right w:val="none" w:sz="0" w:space="0" w:color="auto"/>
      </w:divBdr>
    </w:div>
    <w:div w:id="748230172">
      <w:bodyDiv w:val="1"/>
      <w:marLeft w:val="0"/>
      <w:marRight w:val="0"/>
      <w:marTop w:val="0"/>
      <w:marBottom w:val="0"/>
      <w:divBdr>
        <w:top w:val="none" w:sz="0" w:space="0" w:color="auto"/>
        <w:left w:val="none" w:sz="0" w:space="0" w:color="auto"/>
        <w:bottom w:val="none" w:sz="0" w:space="0" w:color="auto"/>
        <w:right w:val="none" w:sz="0" w:space="0" w:color="auto"/>
      </w:divBdr>
    </w:div>
    <w:div w:id="751122377">
      <w:bodyDiv w:val="1"/>
      <w:marLeft w:val="0"/>
      <w:marRight w:val="0"/>
      <w:marTop w:val="0"/>
      <w:marBottom w:val="0"/>
      <w:divBdr>
        <w:top w:val="none" w:sz="0" w:space="0" w:color="auto"/>
        <w:left w:val="none" w:sz="0" w:space="0" w:color="auto"/>
        <w:bottom w:val="none" w:sz="0" w:space="0" w:color="auto"/>
        <w:right w:val="none" w:sz="0" w:space="0" w:color="auto"/>
      </w:divBdr>
    </w:div>
    <w:div w:id="751851424">
      <w:bodyDiv w:val="1"/>
      <w:marLeft w:val="0"/>
      <w:marRight w:val="0"/>
      <w:marTop w:val="0"/>
      <w:marBottom w:val="0"/>
      <w:divBdr>
        <w:top w:val="none" w:sz="0" w:space="0" w:color="auto"/>
        <w:left w:val="none" w:sz="0" w:space="0" w:color="auto"/>
        <w:bottom w:val="none" w:sz="0" w:space="0" w:color="auto"/>
        <w:right w:val="none" w:sz="0" w:space="0" w:color="auto"/>
      </w:divBdr>
    </w:div>
    <w:div w:id="753091460">
      <w:bodyDiv w:val="1"/>
      <w:marLeft w:val="0"/>
      <w:marRight w:val="0"/>
      <w:marTop w:val="0"/>
      <w:marBottom w:val="0"/>
      <w:divBdr>
        <w:top w:val="none" w:sz="0" w:space="0" w:color="auto"/>
        <w:left w:val="none" w:sz="0" w:space="0" w:color="auto"/>
        <w:bottom w:val="none" w:sz="0" w:space="0" w:color="auto"/>
        <w:right w:val="none" w:sz="0" w:space="0" w:color="auto"/>
      </w:divBdr>
    </w:div>
    <w:div w:id="753166313">
      <w:bodyDiv w:val="1"/>
      <w:marLeft w:val="0"/>
      <w:marRight w:val="0"/>
      <w:marTop w:val="0"/>
      <w:marBottom w:val="0"/>
      <w:divBdr>
        <w:top w:val="none" w:sz="0" w:space="0" w:color="auto"/>
        <w:left w:val="none" w:sz="0" w:space="0" w:color="auto"/>
        <w:bottom w:val="none" w:sz="0" w:space="0" w:color="auto"/>
        <w:right w:val="none" w:sz="0" w:space="0" w:color="auto"/>
      </w:divBdr>
    </w:div>
    <w:div w:id="753211108">
      <w:bodyDiv w:val="1"/>
      <w:marLeft w:val="0"/>
      <w:marRight w:val="0"/>
      <w:marTop w:val="0"/>
      <w:marBottom w:val="0"/>
      <w:divBdr>
        <w:top w:val="none" w:sz="0" w:space="0" w:color="auto"/>
        <w:left w:val="none" w:sz="0" w:space="0" w:color="auto"/>
        <w:bottom w:val="none" w:sz="0" w:space="0" w:color="auto"/>
        <w:right w:val="none" w:sz="0" w:space="0" w:color="auto"/>
      </w:divBdr>
    </w:div>
    <w:div w:id="753673671">
      <w:bodyDiv w:val="1"/>
      <w:marLeft w:val="0"/>
      <w:marRight w:val="0"/>
      <w:marTop w:val="0"/>
      <w:marBottom w:val="0"/>
      <w:divBdr>
        <w:top w:val="none" w:sz="0" w:space="0" w:color="auto"/>
        <w:left w:val="none" w:sz="0" w:space="0" w:color="auto"/>
        <w:bottom w:val="none" w:sz="0" w:space="0" w:color="auto"/>
        <w:right w:val="none" w:sz="0" w:space="0" w:color="auto"/>
      </w:divBdr>
    </w:div>
    <w:div w:id="753746291">
      <w:bodyDiv w:val="1"/>
      <w:marLeft w:val="0"/>
      <w:marRight w:val="0"/>
      <w:marTop w:val="0"/>
      <w:marBottom w:val="0"/>
      <w:divBdr>
        <w:top w:val="none" w:sz="0" w:space="0" w:color="auto"/>
        <w:left w:val="none" w:sz="0" w:space="0" w:color="auto"/>
        <w:bottom w:val="none" w:sz="0" w:space="0" w:color="auto"/>
        <w:right w:val="none" w:sz="0" w:space="0" w:color="auto"/>
      </w:divBdr>
    </w:div>
    <w:div w:id="754476944">
      <w:bodyDiv w:val="1"/>
      <w:marLeft w:val="0"/>
      <w:marRight w:val="0"/>
      <w:marTop w:val="0"/>
      <w:marBottom w:val="0"/>
      <w:divBdr>
        <w:top w:val="none" w:sz="0" w:space="0" w:color="auto"/>
        <w:left w:val="none" w:sz="0" w:space="0" w:color="auto"/>
        <w:bottom w:val="none" w:sz="0" w:space="0" w:color="auto"/>
        <w:right w:val="none" w:sz="0" w:space="0" w:color="auto"/>
      </w:divBdr>
    </w:div>
    <w:div w:id="754786125">
      <w:bodyDiv w:val="1"/>
      <w:marLeft w:val="0"/>
      <w:marRight w:val="0"/>
      <w:marTop w:val="0"/>
      <w:marBottom w:val="0"/>
      <w:divBdr>
        <w:top w:val="none" w:sz="0" w:space="0" w:color="auto"/>
        <w:left w:val="none" w:sz="0" w:space="0" w:color="auto"/>
        <w:bottom w:val="none" w:sz="0" w:space="0" w:color="auto"/>
        <w:right w:val="none" w:sz="0" w:space="0" w:color="auto"/>
      </w:divBdr>
      <w:divsChild>
        <w:div w:id="867526407">
          <w:marLeft w:val="0"/>
          <w:marRight w:val="0"/>
          <w:marTop w:val="0"/>
          <w:marBottom w:val="0"/>
          <w:divBdr>
            <w:top w:val="none" w:sz="0" w:space="0" w:color="auto"/>
            <w:left w:val="none" w:sz="0" w:space="0" w:color="auto"/>
            <w:bottom w:val="none" w:sz="0" w:space="0" w:color="auto"/>
            <w:right w:val="none" w:sz="0" w:space="0" w:color="auto"/>
          </w:divBdr>
          <w:divsChild>
            <w:div w:id="84152851">
              <w:marLeft w:val="0"/>
              <w:marRight w:val="0"/>
              <w:marTop w:val="0"/>
              <w:marBottom w:val="0"/>
              <w:divBdr>
                <w:top w:val="none" w:sz="0" w:space="0" w:color="auto"/>
                <w:left w:val="none" w:sz="0" w:space="0" w:color="auto"/>
                <w:bottom w:val="none" w:sz="0" w:space="0" w:color="auto"/>
                <w:right w:val="none" w:sz="0" w:space="0" w:color="auto"/>
              </w:divBdr>
            </w:div>
            <w:div w:id="774789240">
              <w:marLeft w:val="0"/>
              <w:marRight w:val="0"/>
              <w:marTop w:val="0"/>
              <w:marBottom w:val="0"/>
              <w:divBdr>
                <w:top w:val="none" w:sz="0" w:space="0" w:color="auto"/>
                <w:left w:val="none" w:sz="0" w:space="0" w:color="auto"/>
                <w:bottom w:val="none" w:sz="0" w:space="0" w:color="auto"/>
                <w:right w:val="none" w:sz="0" w:space="0" w:color="auto"/>
              </w:divBdr>
            </w:div>
            <w:div w:id="1136490510">
              <w:marLeft w:val="0"/>
              <w:marRight w:val="0"/>
              <w:marTop w:val="0"/>
              <w:marBottom w:val="0"/>
              <w:divBdr>
                <w:top w:val="none" w:sz="0" w:space="0" w:color="auto"/>
                <w:left w:val="none" w:sz="0" w:space="0" w:color="auto"/>
                <w:bottom w:val="none" w:sz="0" w:space="0" w:color="auto"/>
                <w:right w:val="none" w:sz="0" w:space="0" w:color="auto"/>
              </w:divBdr>
            </w:div>
            <w:div w:id="1235699859">
              <w:marLeft w:val="0"/>
              <w:marRight w:val="0"/>
              <w:marTop w:val="0"/>
              <w:marBottom w:val="0"/>
              <w:divBdr>
                <w:top w:val="none" w:sz="0" w:space="0" w:color="auto"/>
                <w:left w:val="none" w:sz="0" w:space="0" w:color="auto"/>
                <w:bottom w:val="none" w:sz="0" w:space="0" w:color="auto"/>
                <w:right w:val="none" w:sz="0" w:space="0" w:color="auto"/>
              </w:divBdr>
            </w:div>
            <w:div w:id="1302273791">
              <w:marLeft w:val="0"/>
              <w:marRight w:val="0"/>
              <w:marTop w:val="0"/>
              <w:marBottom w:val="0"/>
              <w:divBdr>
                <w:top w:val="none" w:sz="0" w:space="0" w:color="auto"/>
                <w:left w:val="none" w:sz="0" w:space="0" w:color="auto"/>
                <w:bottom w:val="none" w:sz="0" w:space="0" w:color="auto"/>
                <w:right w:val="none" w:sz="0" w:space="0" w:color="auto"/>
              </w:divBdr>
            </w:div>
            <w:div w:id="1740321474">
              <w:marLeft w:val="0"/>
              <w:marRight w:val="0"/>
              <w:marTop w:val="0"/>
              <w:marBottom w:val="0"/>
              <w:divBdr>
                <w:top w:val="none" w:sz="0" w:space="0" w:color="auto"/>
                <w:left w:val="none" w:sz="0" w:space="0" w:color="auto"/>
                <w:bottom w:val="none" w:sz="0" w:space="0" w:color="auto"/>
                <w:right w:val="none" w:sz="0" w:space="0" w:color="auto"/>
              </w:divBdr>
            </w:div>
            <w:div w:id="2005935953">
              <w:marLeft w:val="0"/>
              <w:marRight w:val="0"/>
              <w:marTop w:val="0"/>
              <w:marBottom w:val="0"/>
              <w:divBdr>
                <w:top w:val="none" w:sz="0" w:space="0" w:color="auto"/>
                <w:left w:val="none" w:sz="0" w:space="0" w:color="auto"/>
                <w:bottom w:val="none" w:sz="0" w:space="0" w:color="auto"/>
                <w:right w:val="none" w:sz="0" w:space="0" w:color="auto"/>
              </w:divBdr>
            </w:div>
            <w:div w:id="21135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53155">
      <w:bodyDiv w:val="1"/>
      <w:marLeft w:val="0"/>
      <w:marRight w:val="0"/>
      <w:marTop w:val="0"/>
      <w:marBottom w:val="0"/>
      <w:divBdr>
        <w:top w:val="none" w:sz="0" w:space="0" w:color="auto"/>
        <w:left w:val="none" w:sz="0" w:space="0" w:color="auto"/>
        <w:bottom w:val="none" w:sz="0" w:space="0" w:color="auto"/>
        <w:right w:val="none" w:sz="0" w:space="0" w:color="auto"/>
      </w:divBdr>
    </w:div>
    <w:div w:id="758133935">
      <w:bodyDiv w:val="1"/>
      <w:marLeft w:val="0"/>
      <w:marRight w:val="0"/>
      <w:marTop w:val="0"/>
      <w:marBottom w:val="0"/>
      <w:divBdr>
        <w:top w:val="none" w:sz="0" w:space="0" w:color="auto"/>
        <w:left w:val="none" w:sz="0" w:space="0" w:color="auto"/>
        <w:bottom w:val="none" w:sz="0" w:space="0" w:color="auto"/>
        <w:right w:val="none" w:sz="0" w:space="0" w:color="auto"/>
      </w:divBdr>
    </w:div>
    <w:div w:id="759301362">
      <w:bodyDiv w:val="1"/>
      <w:marLeft w:val="0"/>
      <w:marRight w:val="0"/>
      <w:marTop w:val="0"/>
      <w:marBottom w:val="0"/>
      <w:divBdr>
        <w:top w:val="none" w:sz="0" w:space="0" w:color="auto"/>
        <w:left w:val="none" w:sz="0" w:space="0" w:color="auto"/>
        <w:bottom w:val="none" w:sz="0" w:space="0" w:color="auto"/>
        <w:right w:val="none" w:sz="0" w:space="0" w:color="auto"/>
      </w:divBdr>
    </w:div>
    <w:div w:id="761805426">
      <w:bodyDiv w:val="1"/>
      <w:marLeft w:val="0"/>
      <w:marRight w:val="0"/>
      <w:marTop w:val="0"/>
      <w:marBottom w:val="0"/>
      <w:divBdr>
        <w:top w:val="none" w:sz="0" w:space="0" w:color="auto"/>
        <w:left w:val="none" w:sz="0" w:space="0" w:color="auto"/>
        <w:bottom w:val="none" w:sz="0" w:space="0" w:color="auto"/>
        <w:right w:val="none" w:sz="0" w:space="0" w:color="auto"/>
      </w:divBdr>
    </w:div>
    <w:div w:id="762534184">
      <w:bodyDiv w:val="1"/>
      <w:marLeft w:val="0"/>
      <w:marRight w:val="0"/>
      <w:marTop w:val="0"/>
      <w:marBottom w:val="0"/>
      <w:divBdr>
        <w:top w:val="none" w:sz="0" w:space="0" w:color="auto"/>
        <w:left w:val="none" w:sz="0" w:space="0" w:color="auto"/>
        <w:bottom w:val="none" w:sz="0" w:space="0" w:color="auto"/>
        <w:right w:val="none" w:sz="0" w:space="0" w:color="auto"/>
      </w:divBdr>
    </w:div>
    <w:div w:id="763184689">
      <w:bodyDiv w:val="1"/>
      <w:marLeft w:val="0"/>
      <w:marRight w:val="0"/>
      <w:marTop w:val="0"/>
      <w:marBottom w:val="0"/>
      <w:divBdr>
        <w:top w:val="none" w:sz="0" w:space="0" w:color="auto"/>
        <w:left w:val="none" w:sz="0" w:space="0" w:color="auto"/>
        <w:bottom w:val="none" w:sz="0" w:space="0" w:color="auto"/>
        <w:right w:val="none" w:sz="0" w:space="0" w:color="auto"/>
      </w:divBdr>
      <w:divsChild>
        <w:div w:id="1140656457">
          <w:marLeft w:val="0"/>
          <w:marRight w:val="0"/>
          <w:marTop w:val="0"/>
          <w:marBottom w:val="0"/>
          <w:divBdr>
            <w:top w:val="none" w:sz="0" w:space="0" w:color="auto"/>
            <w:left w:val="none" w:sz="0" w:space="0" w:color="auto"/>
            <w:bottom w:val="none" w:sz="0" w:space="0" w:color="auto"/>
            <w:right w:val="none" w:sz="0" w:space="0" w:color="auto"/>
          </w:divBdr>
        </w:div>
      </w:divsChild>
    </w:div>
    <w:div w:id="763918189">
      <w:bodyDiv w:val="1"/>
      <w:marLeft w:val="0"/>
      <w:marRight w:val="0"/>
      <w:marTop w:val="0"/>
      <w:marBottom w:val="0"/>
      <w:divBdr>
        <w:top w:val="none" w:sz="0" w:space="0" w:color="auto"/>
        <w:left w:val="none" w:sz="0" w:space="0" w:color="auto"/>
        <w:bottom w:val="none" w:sz="0" w:space="0" w:color="auto"/>
        <w:right w:val="none" w:sz="0" w:space="0" w:color="auto"/>
      </w:divBdr>
    </w:div>
    <w:div w:id="766073686">
      <w:bodyDiv w:val="1"/>
      <w:marLeft w:val="0"/>
      <w:marRight w:val="0"/>
      <w:marTop w:val="0"/>
      <w:marBottom w:val="0"/>
      <w:divBdr>
        <w:top w:val="none" w:sz="0" w:space="0" w:color="auto"/>
        <w:left w:val="none" w:sz="0" w:space="0" w:color="auto"/>
        <w:bottom w:val="none" w:sz="0" w:space="0" w:color="auto"/>
        <w:right w:val="none" w:sz="0" w:space="0" w:color="auto"/>
      </w:divBdr>
    </w:div>
    <w:div w:id="766929848">
      <w:bodyDiv w:val="1"/>
      <w:marLeft w:val="0"/>
      <w:marRight w:val="0"/>
      <w:marTop w:val="0"/>
      <w:marBottom w:val="0"/>
      <w:divBdr>
        <w:top w:val="none" w:sz="0" w:space="0" w:color="auto"/>
        <w:left w:val="none" w:sz="0" w:space="0" w:color="auto"/>
        <w:bottom w:val="none" w:sz="0" w:space="0" w:color="auto"/>
        <w:right w:val="none" w:sz="0" w:space="0" w:color="auto"/>
      </w:divBdr>
    </w:div>
    <w:div w:id="771242616">
      <w:bodyDiv w:val="1"/>
      <w:marLeft w:val="0"/>
      <w:marRight w:val="0"/>
      <w:marTop w:val="0"/>
      <w:marBottom w:val="0"/>
      <w:divBdr>
        <w:top w:val="none" w:sz="0" w:space="0" w:color="auto"/>
        <w:left w:val="none" w:sz="0" w:space="0" w:color="auto"/>
        <w:bottom w:val="none" w:sz="0" w:space="0" w:color="auto"/>
        <w:right w:val="none" w:sz="0" w:space="0" w:color="auto"/>
      </w:divBdr>
      <w:divsChild>
        <w:div w:id="214778055">
          <w:marLeft w:val="0"/>
          <w:marRight w:val="0"/>
          <w:marTop w:val="0"/>
          <w:marBottom w:val="0"/>
          <w:divBdr>
            <w:top w:val="none" w:sz="0" w:space="0" w:color="auto"/>
            <w:left w:val="none" w:sz="0" w:space="0" w:color="auto"/>
            <w:bottom w:val="none" w:sz="0" w:space="0" w:color="auto"/>
            <w:right w:val="none" w:sz="0" w:space="0" w:color="auto"/>
          </w:divBdr>
          <w:divsChild>
            <w:div w:id="1109861742">
              <w:marLeft w:val="0"/>
              <w:marRight w:val="0"/>
              <w:marTop w:val="0"/>
              <w:marBottom w:val="0"/>
              <w:divBdr>
                <w:top w:val="none" w:sz="0" w:space="0" w:color="auto"/>
                <w:left w:val="none" w:sz="0" w:space="0" w:color="auto"/>
                <w:bottom w:val="none" w:sz="0" w:space="0" w:color="auto"/>
                <w:right w:val="none" w:sz="0" w:space="0" w:color="auto"/>
              </w:divBdr>
              <w:divsChild>
                <w:div w:id="2083603799">
                  <w:marLeft w:val="0"/>
                  <w:marRight w:val="0"/>
                  <w:marTop w:val="0"/>
                  <w:marBottom w:val="0"/>
                  <w:divBdr>
                    <w:top w:val="none" w:sz="0" w:space="0" w:color="auto"/>
                    <w:left w:val="none" w:sz="0" w:space="0" w:color="auto"/>
                    <w:bottom w:val="none" w:sz="0" w:space="0" w:color="auto"/>
                    <w:right w:val="none" w:sz="0" w:space="0" w:color="auto"/>
                  </w:divBdr>
                  <w:divsChild>
                    <w:div w:id="1698658376">
                      <w:marLeft w:val="0"/>
                      <w:marRight w:val="0"/>
                      <w:marTop w:val="0"/>
                      <w:marBottom w:val="0"/>
                      <w:divBdr>
                        <w:top w:val="none" w:sz="0" w:space="0" w:color="auto"/>
                        <w:left w:val="none" w:sz="0" w:space="0" w:color="auto"/>
                        <w:bottom w:val="none" w:sz="0" w:space="0" w:color="auto"/>
                        <w:right w:val="none" w:sz="0" w:space="0" w:color="auto"/>
                      </w:divBdr>
                      <w:divsChild>
                        <w:div w:id="616570271">
                          <w:marLeft w:val="0"/>
                          <w:marRight w:val="0"/>
                          <w:marTop w:val="0"/>
                          <w:marBottom w:val="0"/>
                          <w:divBdr>
                            <w:top w:val="none" w:sz="0" w:space="0" w:color="auto"/>
                            <w:left w:val="none" w:sz="0" w:space="0" w:color="auto"/>
                            <w:bottom w:val="none" w:sz="0" w:space="0" w:color="auto"/>
                            <w:right w:val="none" w:sz="0" w:space="0" w:color="auto"/>
                          </w:divBdr>
                          <w:divsChild>
                            <w:div w:id="1378361847">
                              <w:marLeft w:val="0"/>
                              <w:marRight w:val="0"/>
                              <w:marTop w:val="0"/>
                              <w:marBottom w:val="0"/>
                              <w:divBdr>
                                <w:top w:val="none" w:sz="0" w:space="0" w:color="auto"/>
                                <w:left w:val="none" w:sz="0" w:space="0" w:color="auto"/>
                                <w:bottom w:val="none" w:sz="0" w:space="0" w:color="auto"/>
                                <w:right w:val="none" w:sz="0" w:space="0" w:color="auto"/>
                              </w:divBdr>
                              <w:divsChild>
                                <w:div w:id="891576616">
                                  <w:marLeft w:val="0"/>
                                  <w:marRight w:val="0"/>
                                  <w:marTop w:val="0"/>
                                  <w:marBottom w:val="0"/>
                                  <w:divBdr>
                                    <w:top w:val="none" w:sz="0" w:space="0" w:color="auto"/>
                                    <w:left w:val="none" w:sz="0" w:space="0" w:color="auto"/>
                                    <w:bottom w:val="none" w:sz="0" w:space="0" w:color="auto"/>
                                    <w:right w:val="none" w:sz="0" w:space="0" w:color="auto"/>
                                  </w:divBdr>
                                  <w:divsChild>
                                    <w:div w:id="510339470">
                                      <w:marLeft w:val="0"/>
                                      <w:marRight w:val="0"/>
                                      <w:marTop w:val="0"/>
                                      <w:marBottom w:val="0"/>
                                      <w:divBdr>
                                        <w:top w:val="none" w:sz="0" w:space="0" w:color="auto"/>
                                        <w:left w:val="none" w:sz="0" w:space="0" w:color="auto"/>
                                        <w:bottom w:val="none" w:sz="0" w:space="0" w:color="auto"/>
                                        <w:right w:val="none" w:sz="0" w:space="0" w:color="auto"/>
                                      </w:divBdr>
                                      <w:divsChild>
                                        <w:div w:id="1293632347">
                                          <w:marLeft w:val="0"/>
                                          <w:marRight w:val="0"/>
                                          <w:marTop w:val="0"/>
                                          <w:marBottom w:val="0"/>
                                          <w:divBdr>
                                            <w:top w:val="none" w:sz="0" w:space="0" w:color="auto"/>
                                            <w:left w:val="none" w:sz="0" w:space="0" w:color="auto"/>
                                            <w:bottom w:val="none" w:sz="0" w:space="0" w:color="auto"/>
                                            <w:right w:val="none" w:sz="0" w:space="0" w:color="auto"/>
                                          </w:divBdr>
                                          <w:divsChild>
                                            <w:div w:id="1075736472">
                                              <w:marLeft w:val="0"/>
                                              <w:marRight w:val="0"/>
                                              <w:marTop w:val="0"/>
                                              <w:marBottom w:val="0"/>
                                              <w:divBdr>
                                                <w:top w:val="none" w:sz="0" w:space="0" w:color="auto"/>
                                                <w:left w:val="none" w:sz="0" w:space="0" w:color="auto"/>
                                                <w:bottom w:val="none" w:sz="0" w:space="0" w:color="auto"/>
                                                <w:right w:val="none" w:sz="0" w:space="0" w:color="auto"/>
                                              </w:divBdr>
                                              <w:divsChild>
                                                <w:div w:id="1891576633">
                                                  <w:marLeft w:val="0"/>
                                                  <w:marRight w:val="0"/>
                                                  <w:marTop w:val="0"/>
                                                  <w:marBottom w:val="0"/>
                                                  <w:divBdr>
                                                    <w:top w:val="none" w:sz="0" w:space="0" w:color="auto"/>
                                                    <w:left w:val="none" w:sz="0" w:space="0" w:color="auto"/>
                                                    <w:bottom w:val="none" w:sz="0" w:space="0" w:color="auto"/>
                                                    <w:right w:val="none" w:sz="0" w:space="0" w:color="auto"/>
                                                  </w:divBdr>
                                                  <w:divsChild>
                                                    <w:div w:id="1954245028">
                                                      <w:marLeft w:val="0"/>
                                                      <w:marRight w:val="0"/>
                                                      <w:marTop w:val="0"/>
                                                      <w:marBottom w:val="0"/>
                                                      <w:divBdr>
                                                        <w:top w:val="none" w:sz="0" w:space="0" w:color="auto"/>
                                                        <w:left w:val="none" w:sz="0" w:space="0" w:color="auto"/>
                                                        <w:bottom w:val="none" w:sz="0" w:space="0" w:color="auto"/>
                                                        <w:right w:val="none" w:sz="0" w:space="0" w:color="auto"/>
                                                      </w:divBdr>
                                                      <w:divsChild>
                                                        <w:div w:id="1201162181">
                                                          <w:marLeft w:val="0"/>
                                                          <w:marRight w:val="0"/>
                                                          <w:marTop w:val="0"/>
                                                          <w:marBottom w:val="0"/>
                                                          <w:divBdr>
                                                            <w:top w:val="none" w:sz="0" w:space="0" w:color="auto"/>
                                                            <w:left w:val="none" w:sz="0" w:space="0" w:color="auto"/>
                                                            <w:bottom w:val="none" w:sz="0" w:space="0" w:color="auto"/>
                                                            <w:right w:val="none" w:sz="0" w:space="0" w:color="auto"/>
                                                          </w:divBdr>
                                                          <w:divsChild>
                                                            <w:div w:id="1280457590">
                                                              <w:marLeft w:val="0"/>
                                                              <w:marRight w:val="0"/>
                                                              <w:marTop w:val="0"/>
                                                              <w:marBottom w:val="0"/>
                                                              <w:divBdr>
                                                                <w:top w:val="none" w:sz="0" w:space="0" w:color="auto"/>
                                                                <w:left w:val="none" w:sz="0" w:space="0" w:color="auto"/>
                                                                <w:bottom w:val="none" w:sz="0" w:space="0" w:color="auto"/>
                                                                <w:right w:val="none" w:sz="0" w:space="0" w:color="auto"/>
                                                              </w:divBdr>
                                                              <w:divsChild>
                                                                <w:div w:id="1851945901">
                                                                  <w:marLeft w:val="0"/>
                                                                  <w:marRight w:val="0"/>
                                                                  <w:marTop w:val="0"/>
                                                                  <w:marBottom w:val="0"/>
                                                                  <w:divBdr>
                                                                    <w:top w:val="none" w:sz="0" w:space="0" w:color="auto"/>
                                                                    <w:left w:val="none" w:sz="0" w:space="0" w:color="auto"/>
                                                                    <w:bottom w:val="none" w:sz="0" w:space="0" w:color="auto"/>
                                                                    <w:right w:val="none" w:sz="0" w:space="0" w:color="auto"/>
                                                                  </w:divBdr>
                                                                  <w:divsChild>
                                                                    <w:div w:id="961692076">
                                                                      <w:marLeft w:val="0"/>
                                                                      <w:marRight w:val="0"/>
                                                                      <w:marTop w:val="0"/>
                                                                      <w:marBottom w:val="0"/>
                                                                      <w:divBdr>
                                                                        <w:top w:val="none" w:sz="0" w:space="0" w:color="auto"/>
                                                                        <w:left w:val="none" w:sz="0" w:space="0" w:color="auto"/>
                                                                        <w:bottom w:val="none" w:sz="0" w:space="0" w:color="auto"/>
                                                                        <w:right w:val="none" w:sz="0" w:space="0" w:color="auto"/>
                                                                      </w:divBdr>
                                                                      <w:divsChild>
                                                                        <w:div w:id="222298884">
                                                                          <w:marLeft w:val="0"/>
                                                                          <w:marRight w:val="0"/>
                                                                          <w:marTop w:val="0"/>
                                                                          <w:marBottom w:val="0"/>
                                                                          <w:divBdr>
                                                                            <w:top w:val="none" w:sz="0" w:space="0" w:color="auto"/>
                                                                            <w:left w:val="none" w:sz="0" w:space="0" w:color="auto"/>
                                                                            <w:bottom w:val="none" w:sz="0" w:space="0" w:color="auto"/>
                                                                            <w:right w:val="none" w:sz="0" w:space="0" w:color="auto"/>
                                                                          </w:divBdr>
                                                                          <w:divsChild>
                                                                            <w:div w:id="2055617907">
                                                                              <w:marLeft w:val="0"/>
                                                                              <w:marRight w:val="0"/>
                                                                              <w:marTop w:val="0"/>
                                                                              <w:marBottom w:val="0"/>
                                                                              <w:divBdr>
                                                                                <w:top w:val="none" w:sz="0" w:space="0" w:color="auto"/>
                                                                                <w:left w:val="none" w:sz="0" w:space="0" w:color="auto"/>
                                                                                <w:bottom w:val="none" w:sz="0" w:space="0" w:color="auto"/>
                                                                                <w:right w:val="none" w:sz="0" w:space="0" w:color="auto"/>
                                                                              </w:divBdr>
                                                                              <w:divsChild>
                                                                                <w:div w:id="2048531765">
                                                                                  <w:marLeft w:val="0"/>
                                                                                  <w:marRight w:val="0"/>
                                                                                  <w:marTop w:val="0"/>
                                                                                  <w:marBottom w:val="0"/>
                                                                                  <w:divBdr>
                                                                                    <w:top w:val="none" w:sz="0" w:space="0" w:color="auto"/>
                                                                                    <w:left w:val="none" w:sz="0" w:space="0" w:color="auto"/>
                                                                                    <w:bottom w:val="none" w:sz="0" w:space="0" w:color="auto"/>
                                                                                    <w:right w:val="none" w:sz="0" w:space="0" w:color="auto"/>
                                                                                  </w:divBdr>
                                                                                  <w:divsChild>
                                                                                    <w:div w:id="2075004375">
                                                                                      <w:marLeft w:val="0"/>
                                                                                      <w:marRight w:val="0"/>
                                                                                      <w:marTop w:val="0"/>
                                                                                      <w:marBottom w:val="0"/>
                                                                                      <w:divBdr>
                                                                                        <w:top w:val="none" w:sz="0" w:space="0" w:color="auto"/>
                                                                                        <w:left w:val="none" w:sz="0" w:space="0" w:color="auto"/>
                                                                                        <w:bottom w:val="none" w:sz="0" w:space="0" w:color="auto"/>
                                                                                        <w:right w:val="none" w:sz="0" w:space="0" w:color="auto"/>
                                                                                      </w:divBdr>
                                                                                      <w:divsChild>
                                                                                        <w:div w:id="1175000008">
                                                                                          <w:marLeft w:val="0"/>
                                                                                          <w:marRight w:val="0"/>
                                                                                          <w:marTop w:val="0"/>
                                                                                          <w:marBottom w:val="0"/>
                                                                                          <w:divBdr>
                                                                                            <w:top w:val="none" w:sz="0" w:space="0" w:color="auto"/>
                                                                                            <w:left w:val="none" w:sz="0" w:space="0" w:color="auto"/>
                                                                                            <w:bottom w:val="none" w:sz="0" w:space="0" w:color="auto"/>
                                                                                            <w:right w:val="none" w:sz="0" w:space="0" w:color="auto"/>
                                                                                          </w:divBdr>
                                                                                          <w:divsChild>
                                                                                            <w:div w:id="1647201043">
                                                                                              <w:marLeft w:val="0"/>
                                                                                              <w:marRight w:val="0"/>
                                                                                              <w:marTop w:val="0"/>
                                                                                              <w:marBottom w:val="0"/>
                                                                                              <w:divBdr>
                                                                                                <w:top w:val="none" w:sz="0" w:space="0" w:color="auto"/>
                                                                                                <w:left w:val="none" w:sz="0" w:space="0" w:color="auto"/>
                                                                                                <w:bottom w:val="none" w:sz="0" w:space="0" w:color="auto"/>
                                                                                                <w:right w:val="none" w:sz="0" w:space="0" w:color="auto"/>
                                                                                              </w:divBdr>
                                                                                              <w:divsChild>
                                                                                                <w:div w:id="379211570">
                                                                                                  <w:marLeft w:val="0"/>
                                                                                                  <w:marRight w:val="0"/>
                                                                                                  <w:marTop w:val="0"/>
                                                                                                  <w:marBottom w:val="0"/>
                                                                                                  <w:divBdr>
                                                                                                    <w:top w:val="none" w:sz="0" w:space="0" w:color="auto"/>
                                                                                                    <w:left w:val="none" w:sz="0" w:space="0" w:color="auto"/>
                                                                                                    <w:bottom w:val="none" w:sz="0" w:space="0" w:color="auto"/>
                                                                                                    <w:right w:val="none" w:sz="0" w:space="0" w:color="auto"/>
                                                                                                  </w:divBdr>
                                                                                                  <w:divsChild>
                                                                                                    <w:div w:id="1275287505">
                                                                                                      <w:marLeft w:val="0"/>
                                                                                                      <w:marRight w:val="0"/>
                                                                                                      <w:marTop w:val="0"/>
                                                                                                      <w:marBottom w:val="0"/>
                                                                                                      <w:divBdr>
                                                                                                        <w:top w:val="none" w:sz="0" w:space="0" w:color="auto"/>
                                                                                                        <w:left w:val="none" w:sz="0" w:space="0" w:color="auto"/>
                                                                                                        <w:bottom w:val="none" w:sz="0" w:space="0" w:color="auto"/>
                                                                                                        <w:right w:val="none" w:sz="0" w:space="0" w:color="auto"/>
                                                                                                      </w:divBdr>
                                                                                                      <w:divsChild>
                                                                                                        <w:div w:id="463619135">
                                                                                                          <w:marLeft w:val="0"/>
                                                                                                          <w:marRight w:val="0"/>
                                                                                                          <w:marTop w:val="0"/>
                                                                                                          <w:marBottom w:val="0"/>
                                                                                                          <w:divBdr>
                                                                                                            <w:top w:val="none" w:sz="0" w:space="0" w:color="auto"/>
                                                                                                            <w:left w:val="none" w:sz="0" w:space="0" w:color="auto"/>
                                                                                                            <w:bottom w:val="none" w:sz="0" w:space="0" w:color="auto"/>
                                                                                                            <w:right w:val="none" w:sz="0" w:space="0" w:color="auto"/>
                                                                                                          </w:divBdr>
                                                                                                          <w:divsChild>
                                                                                                            <w:div w:id="3823983">
                                                                                                              <w:marLeft w:val="0"/>
                                                                                                              <w:marRight w:val="0"/>
                                                                                                              <w:marTop w:val="0"/>
                                                                                                              <w:marBottom w:val="0"/>
                                                                                                              <w:divBdr>
                                                                                                                <w:top w:val="none" w:sz="0" w:space="0" w:color="auto"/>
                                                                                                                <w:left w:val="none" w:sz="0" w:space="0" w:color="auto"/>
                                                                                                                <w:bottom w:val="none" w:sz="0" w:space="0" w:color="auto"/>
                                                                                                                <w:right w:val="none" w:sz="0" w:space="0" w:color="auto"/>
                                                                                                              </w:divBdr>
                                                                                                            </w:div>
                                                                                                            <w:div w:id="179049291">
                                                                                                              <w:marLeft w:val="0"/>
                                                                                                              <w:marRight w:val="0"/>
                                                                                                              <w:marTop w:val="0"/>
                                                                                                              <w:marBottom w:val="0"/>
                                                                                                              <w:divBdr>
                                                                                                                <w:top w:val="none" w:sz="0" w:space="0" w:color="auto"/>
                                                                                                                <w:left w:val="none" w:sz="0" w:space="0" w:color="auto"/>
                                                                                                                <w:bottom w:val="none" w:sz="0" w:space="0" w:color="auto"/>
                                                                                                                <w:right w:val="none" w:sz="0" w:space="0" w:color="auto"/>
                                                                                                              </w:divBdr>
                                                                                                            </w:div>
                                                                                                            <w:div w:id="192034138">
                                                                                                              <w:marLeft w:val="0"/>
                                                                                                              <w:marRight w:val="0"/>
                                                                                                              <w:marTop w:val="0"/>
                                                                                                              <w:marBottom w:val="0"/>
                                                                                                              <w:divBdr>
                                                                                                                <w:top w:val="none" w:sz="0" w:space="0" w:color="auto"/>
                                                                                                                <w:left w:val="none" w:sz="0" w:space="0" w:color="auto"/>
                                                                                                                <w:bottom w:val="none" w:sz="0" w:space="0" w:color="auto"/>
                                                                                                                <w:right w:val="none" w:sz="0" w:space="0" w:color="auto"/>
                                                                                                              </w:divBdr>
                                                                                                            </w:div>
                                                                                                            <w:div w:id="197742773">
                                                                                                              <w:marLeft w:val="0"/>
                                                                                                              <w:marRight w:val="0"/>
                                                                                                              <w:marTop w:val="0"/>
                                                                                                              <w:marBottom w:val="0"/>
                                                                                                              <w:divBdr>
                                                                                                                <w:top w:val="none" w:sz="0" w:space="0" w:color="auto"/>
                                                                                                                <w:left w:val="none" w:sz="0" w:space="0" w:color="auto"/>
                                                                                                                <w:bottom w:val="none" w:sz="0" w:space="0" w:color="auto"/>
                                                                                                                <w:right w:val="none" w:sz="0" w:space="0" w:color="auto"/>
                                                                                                              </w:divBdr>
                                                                                                            </w:div>
                                                                                                            <w:div w:id="287320418">
                                                                                                              <w:marLeft w:val="0"/>
                                                                                                              <w:marRight w:val="0"/>
                                                                                                              <w:marTop w:val="0"/>
                                                                                                              <w:marBottom w:val="0"/>
                                                                                                              <w:divBdr>
                                                                                                                <w:top w:val="none" w:sz="0" w:space="0" w:color="auto"/>
                                                                                                                <w:left w:val="none" w:sz="0" w:space="0" w:color="auto"/>
                                                                                                                <w:bottom w:val="none" w:sz="0" w:space="0" w:color="auto"/>
                                                                                                                <w:right w:val="none" w:sz="0" w:space="0" w:color="auto"/>
                                                                                                              </w:divBdr>
                                                                                                            </w:div>
                                                                                                            <w:div w:id="388116104">
                                                                                                              <w:marLeft w:val="0"/>
                                                                                                              <w:marRight w:val="0"/>
                                                                                                              <w:marTop w:val="0"/>
                                                                                                              <w:marBottom w:val="0"/>
                                                                                                              <w:divBdr>
                                                                                                                <w:top w:val="none" w:sz="0" w:space="0" w:color="auto"/>
                                                                                                                <w:left w:val="none" w:sz="0" w:space="0" w:color="auto"/>
                                                                                                                <w:bottom w:val="none" w:sz="0" w:space="0" w:color="auto"/>
                                                                                                                <w:right w:val="none" w:sz="0" w:space="0" w:color="auto"/>
                                                                                                              </w:divBdr>
                                                                                                            </w:div>
                                                                                                            <w:div w:id="388765691">
                                                                                                              <w:marLeft w:val="0"/>
                                                                                                              <w:marRight w:val="0"/>
                                                                                                              <w:marTop w:val="0"/>
                                                                                                              <w:marBottom w:val="0"/>
                                                                                                              <w:divBdr>
                                                                                                                <w:top w:val="none" w:sz="0" w:space="0" w:color="auto"/>
                                                                                                                <w:left w:val="none" w:sz="0" w:space="0" w:color="auto"/>
                                                                                                                <w:bottom w:val="none" w:sz="0" w:space="0" w:color="auto"/>
                                                                                                                <w:right w:val="none" w:sz="0" w:space="0" w:color="auto"/>
                                                                                                              </w:divBdr>
                                                                                                            </w:div>
                                                                                                            <w:div w:id="398014342">
                                                                                                              <w:marLeft w:val="0"/>
                                                                                                              <w:marRight w:val="0"/>
                                                                                                              <w:marTop w:val="0"/>
                                                                                                              <w:marBottom w:val="0"/>
                                                                                                              <w:divBdr>
                                                                                                                <w:top w:val="none" w:sz="0" w:space="0" w:color="auto"/>
                                                                                                                <w:left w:val="none" w:sz="0" w:space="0" w:color="auto"/>
                                                                                                                <w:bottom w:val="none" w:sz="0" w:space="0" w:color="auto"/>
                                                                                                                <w:right w:val="none" w:sz="0" w:space="0" w:color="auto"/>
                                                                                                              </w:divBdr>
                                                                                                            </w:div>
                                                                                                            <w:div w:id="450132500">
                                                                                                              <w:marLeft w:val="0"/>
                                                                                                              <w:marRight w:val="0"/>
                                                                                                              <w:marTop w:val="0"/>
                                                                                                              <w:marBottom w:val="0"/>
                                                                                                              <w:divBdr>
                                                                                                                <w:top w:val="none" w:sz="0" w:space="0" w:color="auto"/>
                                                                                                                <w:left w:val="none" w:sz="0" w:space="0" w:color="auto"/>
                                                                                                                <w:bottom w:val="none" w:sz="0" w:space="0" w:color="auto"/>
                                                                                                                <w:right w:val="none" w:sz="0" w:space="0" w:color="auto"/>
                                                                                                              </w:divBdr>
                                                                                                            </w:div>
                                                                                                            <w:div w:id="473909563">
                                                                                                              <w:marLeft w:val="0"/>
                                                                                                              <w:marRight w:val="0"/>
                                                                                                              <w:marTop w:val="0"/>
                                                                                                              <w:marBottom w:val="0"/>
                                                                                                              <w:divBdr>
                                                                                                                <w:top w:val="none" w:sz="0" w:space="0" w:color="auto"/>
                                                                                                                <w:left w:val="none" w:sz="0" w:space="0" w:color="auto"/>
                                                                                                                <w:bottom w:val="none" w:sz="0" w:space="0" w:color="auto"/>
                                                                                                                <w:right w:val="none" w:sz="0" w:space="0" w:color="auto"/>
                                                                                                              </w:divBdr>
                                                                                                            </w:div>
                                                                                                            <w:div w:id="495272015">
                                                                                                              <w:marLeft w:val="0"/>
                                                                                                              <w:marRight w:val="0"/>
                                                                                                              <w:marTop w:val="0"/>
                                                                                                              <w:marBottom w:val="0"/>
                                                                                                              <w:divBdr>
                                                                                                                <w:top w:val="none" w:sz="0" w:space="0" w:color="auto"/>
                                                                                                                <w:left w:val="none" w:sz="0" w:space="0" w:color="auto"/>
                                                                                                                <w:bottom w:val="none" w:sz="0" w:space="0" w:color="auto"/>
                                                                                                                <w:right w:val="none" w:sz="0" w:space="0" w:color="auto"/>
                                                                                                              </w:divBdr>
                                                                                                            </w:div>
                                                                                                            <w:div w:id="629937300">
                                                                                                              <w:marLeft w:val="0"/>
                                                                                                              <w:marRight w:val="0"/>
                                                                                                              <w:marTop w:val="0"/>
                                                                                                              <w:marBottom w:val="0"/>
                                                                                                              <w:divBdr>
                                                                                                                <w:top w:val="none" w:sz="0" w:space="0" w:color="auto"/>
                                                                                                                <w:left w:val="none" w:sz="0" w:space="0" w:color="auto"/>
                                                                                                                <w:bottom w:val="none" w:sz="0" w:space="0" w:color="auto"/>
                                                                                                                <w:right w:val="none" w:sz="0" w:space="0" w:color="auto"/>
                                                                                                              </w:divBdr>
                                                                                                            </w:div>
                                                                                                            <w:div w:id="697858090">
                                                                                                              <w:marLeft w:val="0"/>
                                                                                                              <w:marRight w:val="0"/>
                                                                                                              <w:marTop w:val="0"/>
                                                                                                              <w:marBottom w:val="0"/>
                                                                                                              <w:divBdr>
                                                                                                                <w:top w:val="none" w:sz="0" w:space="0" w:color="auto"/>
                                                                                                                <w:left w:val="none" w:sz="0" w:space="0" w:color="auto"/>
                                                                                                                <w:bottom w:val="none" w:sz="0" w:space="0" w:color="auto"/>
                                                                                                                <w:right w:val="none" w:sz="0" w:space="0" w:color="auto"/>
                                                                                                              </w:divBdr>
                                                                                                            </w:div>
                                                                                                            <w:div w:id="708267288">
                                                                                                              <w:marLeft w:val="0"/>
                                                                                                              <w:marRight w:val="0"/>
                                                                                                              <w:marTop w:val="0"/>
                                                                                                              <w:marBottom w:val="0"/>
                                                                                                              <w:divBdr>
                                                                                                                <w:top w:val="none" w:sz="0" w:space="0" w:color="auto"/>
                                                                                                                <w:left w:val="none" w:sz="0" w:space="0" w:color="auto"/>
                                                                                                                <w:bottom w:val="none" w:sz="0" w:space="0" w:color="auto"/>
                                                                                                                <w:right w:val="none" w:sz="0" w:space="0" w:color="auto"/>
                                                                                                              </w:divBdr>
                                                                                                            </w:div>
                                                                                                            <w:div w:id="712316336">
                                                                                                              <w:marLeft w:val="0"/>
                                                                                                              <w:marRight w:val="0"/>
                                                                                                              <w:marTop w:val="0"/>
                                                                                                              <w:marBottom w:val="0"/>
                                                                                                              <w:divBdr>
                                                                                                                <w:top w:val="none" w:sz="0" w:space="0" w:color="auto"/>
                                                                                                                <w:left w:val="none" w:sz="0" w:space="0" w:color="auto"/>
                                                                                                                <w:bottom w:val="none" w:sz="0" w:space="0" w:color="auto"/>
                                                                                                                <w:right w:val="none" w:sz="0" w:space="0" w:color="auto"/>
                                                                                                              </w:divBdr>
                                                                                                            </w:div>
                                                                                                            <w:div w:id="748507006">
                                                                                                              <w:marLeft w:val="0"/>
                                                                                                              <w:marRight w:val="0"/>
                                                                                                              <w:marTop w:val="0"/>
                                                                                                              <w:marBottom w:val="0"/>
                                                                                                              <w:divBdr>
                                                                                                                <w:top w:val="none" w:sz="0" w:space="0" w:color="auto"/>
                                                                                                                <w:left w:val="none" w:sz="0" w:space="0" w:color="auto"/>
                                                                                                                <w:bottom w:val="none" w:sz="0" w:space="0" w:color="auto"/>
                                                                                                                <w:right w:val="none" w:sz="0" w:space="0" w:color="auto"/>
                                                                                                              </w:divBdr>
                                                                                                            </w:div>
                                                                                                            <w:div w:id="849874372">
                                                                                                              <w:marLeft w:val="0"/>
                                                                                                              <w:marRight w:val="0"/>
                                                                                                              <w:marTop w:val="0"/>
                                                                                                              <w:marBottom w:val="0"/>
                                                                                                              <w:divBdr>
                                                                                                                <w:top w:val="none" w:sz="0" w:space="0" w:color="auto"/>
                                                                                                                <w:left w:val="none" w:sz="0" w:space="0" w:color="auto"/>
                                                                                                                <w:bottom w:val="none" w:sz="0" w:space="0" w:color="auto"/>
                                                                                                                <w:right w:val="none" w:sz="0" w:space="0" w:color="auto"/>
                                                                                                              </w:divBdr>
                                                                                                            </w:div>
                                                                                                            <w:div w:id="895701195">
                                                                                                              <w:marLeft w:val="0"/>
                                                                                                              <w:marRight w:val="0"/>
                                                                                                              <w:marTop w:val="0"/>
                                                                                                              <w:marBottom w:val="0"/>
                                                                                                              <w:divBdr>
                                                                                                                <w:top w:val="none" w:sz="0" w:space="0" w:color="auto"/>
                                                                                                                <w:left w:val="none" w:sz="0" w:space="0" w:color="auto"/>
                                                                                                                <w:bottom w:val="none" w:sz="0" w:space="0" w:color="auto"/>
                                                                                                                <w:right w:val="none" w:sz="0" w:space="0" w:color="auto"/>
                                                                                                              </w:divBdr>
                                                                                                            </w:div>
                                                                                                            <w:div w:id="965161128">
                                                                                                              <w:marLeft w:val="0"/>
                                                                                                              <w:marRight w:val="0"/>
                                                                                                              <w:marTop w:val="0"/>
                                                                                                              <w:marBottom w:val="0"/>
                                                                                                              <w:divBdr>
                                                                                                                <w:top w:val="none" w:sz="0" w:space="0" w:color="auto"/>
                                                                                                                <w:left w:val="none" w:sz="0" w:space="0" w:color="auto"/>
                                                                                                                <w:bottom w:val="none" w:sz="0" w:space="0" w:color="auto"/>
                                                                                                                <w:right w:val="none" w:sz="0" w:space="0" w:color="auto"/>
                                                                                                              </w:divBdr>
                                                                                                            </w:div>
                                                                                                            <w:div w:id="986400235">
                                                                                                              <w:marLeft w:val="0"/>
                                                                                                              <w:marRight w:val="0"/>
                                                                                                              <w:marTop w:val="0"/>
                                                                                                              <w:marBottom w:val="0"/>
                                                                                                              <w:divBdr>
                                                                                                                <w:top w:val="none" w:sz="0" w:space="0" w:color="auto"/>
                                                                                                                <w:left w:val="none" w:sz="0" w:space="0" w:color="auto"/>
                                                                                                                <w:bottom w:val="none" w:sz="0" w:space="0" w:color="auto"/>
                                                                                                                <w:right w:val="none" w:sz="0" w:space="0" w:color="auto"/>
                                                                                                              </w:divBdr>
                                                                                                            </w:div>
                                                                                                            <w:div w:id="1105425940">
                                                                                                              <w:marLeft w:val="0"/>
                                                                                                              <w:marRight w:val="0"/>
                                                                                                              <w:marTop w:val="0"/>
                                                                                                              <w:marBottom w:val="0"/>
                                                                                                              <w:divBdr>
                                                                                                                <w:top w:val="none" w:sz="0" w:space="0" w:color="auto"/>
                                                                                                                <w:left w:val="none" w:sz="0" w:space="0" w:color="auto"/>
                                                                                                                <w:bottom w:val="none" w:sz="0" w:space="0" w:color="auto"/>
                                                                                                                <w:right w:val="none" w:sz="0" w:space="0" w:color="auto"/>
                                                                                                              </w:divBdr>
                                                                                                            </w:div>
                                                                                                            <w:div w:id="1177888825">
                                                                                                              <w:marLeft w:val="0"/>
                                                                                                              <w:marRight w:val="0"/>
                                                                                                              <w:marTop w:val="0"/>
                                                                                                              <w:marBottom w:val="0"/>
                                                                                                              <w:divBdr>
                                                                                                                <w:top w:val="none" w:sz="0" w:space="0" w:color="auto"/>
                                                                                                                <w:left w:val="none" w:sz="0" w:space="0" w:color="auto"/>
                                                                                                                <w:bottom w:val="none" w:sz="0" w:space="0" w:color="auto"/>
                                                                                                                <w:right w:val="none" w:sz="0" w:space="0" w:color="auto"/>
                                                                                                              </w:divBdr>
                                                                                                            </w:div>
                                                                                                            <w:div w:id="1472793837">
                                                                                                              <w:marLeft w:val="0"/>
                                                                                                              <w:marRight w:val="0"/>
                                                                                                              <w:marTop w:val="0"/>
                                                                                                              <w:marBottom w:val="0"/>
                                                                                                              <w:divBdr>
                                                                                                                <w:top w:val="none" w:sz="0" w:space="0" w:color="auto"/>
                                                                                                                <w:left w:val="none" w:sz="0" w:space="0" w:color="auto"/>
                                                                                                                <w:bottom w:val="none" w:sz="0" w:space="0" w:color="auto"/>
                                                                                                                <w:right w:val="none" w:sz="0" w:space="0" w:color="auto"/>
                                                                                                              </w:divBdr>
                                                                                                            </w:div>
                                                                                                            <w:div w:id="1580628320">
                                                                                                              <w:marLeft w:val="0"/>
                                                                                                              <w:marRight w:val="0"/>
                                                                                                              <w:marTop w:val="0"/>
                                                                                                              <w:marBottom w:val="0"/>
                                                                                                              <w:divBdr>
                                                                                                                <w:top w:val="none" w:sz="0" w:space="0" w:color="auto"/>
                                                                                                                <w:left w:val="none" w:sz="0" w:space="0" w:color="auto"/>
                                                                                                                <w:bottom w:val="none" w:sz="0" w:space="0" w:color="auto"/>
                                                                                                                <w:right w:val="none" w:sz="0" w:space="0" w:color="auto"/>
                                                                                                              </w:divBdr>
                                                                                                            </w:div>
                                                                                                            <w:div w:id="1586188071">
                                                                                                              <w:marLeft w:val="0"/>
                                                                                                              <w:marRight w:val="0"/>
                                                                                                              <w:marTop w:val="0"/>
                                                                                                              <w:marBottom w:val="0"/>
                                                                                                              <w:divBdr>
                                                                                                                <w:top w:val="none" w:sz="0" w:space="0" w:color="auto"/>
                                                                                                                <w:left w:val="none" w:sz="0" w:space="0" w:color="auto"/>
                                                                                                                <w:bottom w:val="none" w:sz="0" w:space="0" w:color="auto"/>
                                                                                                                <w:right w:val="none" w:sz="0" w:space="0" w:color="auto"/>
                                                                                                              </w:divBdr>
                                                                                                            </w:div>
                                                                                                            <w:div w:id="1786268525">
                                                                                                              <w:marLeft w:val="0"/>
                                                                                                              <w:marRight w:val="0"/>
                                                                                                              <w:marTop w:val="0"/>
                                                                                                              <w:marBottom w:val="0"/>
                                                                                                              <w:divBdr>
                                                                                                                <w:top w:val="none" w:sz="0" w:space="0" w:color="auto"/>
                                                                                                                <w:left w:val="none" w:sz="0" w:space="0" w:color="auto"/>
                                                                                                                <w:bottom w:val="none" w:sz="0" w:space="0" w:color="auto"/>
                                                                                                                <w:right w:val="none" w:sz="0" w:space="0" w:color="auto"/>
                                                                                                              </w:divBdr>
                                                                                                            </w:div>
                                                                                                            <w:div w:id="1825581175">
                                                                                                              <w:marLeft w:val="0"/>
                                                                                                              <w:marRight w:val="0"/>
                                                                                                              <w:marTop w:val="0"/>
                                                                                                              <w:marBottom w:val="0"/>
                                                                                                              <w:divBdr>
                                                                                                                <w:top w:val="none" w:sz="0" w:space="0" w:color="auto"/>
                                                                                                                <w:left w:val="none" w:sz="0" w:space="0" w:color="auto"/>
                                                                                                                <w:bottom w:val="none" w:sz="0" w:space="0" w:color="auto"/>
                                                                                                                <w:right w:val="none" w:sz="0" w:space="0" w:color="auto"/>
                                                                                                              </w:divBdr>
                                                                                                            </w:div>
                                                                                                            <w:div w:id="1869566925">
                                                                                                              <w:marLeft w:val="0"/>
                                                                                                              <w:marRight w:val="0"/>
                                                                                                              <w:marTop w:val="0"/>
                                                                                                              <w:marBottom w:val="0"/>
                                                                                                              <w:divBdr>
                                                                                                                <w:top w:val="none" w:sz="0" w:space="0" w:color="auto"/>
                                                                                                                <w:left w:val="none" w:sz="0" w:space="0" w:color="auto"/>
                                                                                                                <w:bottom w:val="none" w:sz="0" w:space="0" w:color="auto"/>
                                                                                                                <w:right w:val="none" w:sz="0" w:space="0" w:color="auto"/>
                                                                                                              </w:divBdr>
                                                                                                            </w:div>
                                                                                                            <w:div w:id="1988051034">
                                                                                                              <w:marLeft w:val="0"/>
                                                                                                              <w:marRight w:val="0"/>
                                                                                                              <w:marTop w:val="0"/>
                                                                                                              <w:marBottom w:val="0"/>
                                                                                                              <w:divBdr>
                                                                                                                <w:top w:val="none" w:sz="0" w:space="0" w:color="auto"/>
                                                                                                                <w:left w:val="none" w:sz="0" w:space="0" w:color="auto"/>
                                                                                                                <w:bottom w:val="none" w:sz="0" w:space="0" w:color="auto"/>
                                                                                                                <w:right w:val="none" w:sz="0" w:space="0" w:color="auto"/>
                                                                                                              </w:divBdr>
                                                                                                            </w:div>
                                                                                                            <w:div w:id="212692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3595759">
      <w:bodyDiv w:val="1"/>
      <w:marLeft w:val="0"/>
      <w:marRight w:val="0"/>
      <w:marTop w:val="0"/>
      <w:marBottom w:val="0"/>
      <w:divBdr>
        <w:top w:val="none" w:sz="0" w:space="0" w:color="auto"/>
        <w:left w:val="none" w:sz="0" w:space="0" w:color="auto"/>
        <w:bottom w:val="none" w:sz="0" w:space="0" w:color="auto"/>
        <w:right w:val="none" w:sz="0" w:space="0" w:color="auto"/>
      </w:divBdr>
    </w:div>
    <w:div w:id="776414325">
      <w:bodyDiv w:val="1"/>
      <w:marLeft w:val="0"/>
      <w:marRight w:val="0"/>
      <w:marTop w:val="0"/>
      <w:marBottom w:val="0"/>
      <w:divBdr>
        <w:top w:val="none" w:sz="0" w:space="0" w:color="auto"/>
        <w:left w:val="none" w:sz="0" w:space="0" w:color="auto"/>
        <w:bottom w:val="none" w:sz="0" w:space="0" w:color="auto"/>
        <w:right w:val="none" w:sz="0" w:space="0" w:color="auto"/>
      </w:divBdr>
    </w:div>
    <w:div w:id="783111722">
      <w:bodyDiv w:val="1"/>
      <w:marLeft w:val="0"/>
      <w:marRight w:val="0"/>
      <w:marTop w:val="0"/>
      <w:marBottom w:val="0"/>
      <w:divBdr>
        <w:top w:val="none" w:sz="0" w:space="0" w:color="auto"/>
        <w:left w:val="none" w:sz="0" w:space="0" w:color="auto"/>
        <w:bottom w:val="none" w:sz="0" w:space="0" w:color="auto"/>
        <w:right w:val="none" w:sz="0" w:space="0" w:color="auto"/>
      </w:divBdr>
    </w:div>
    <w:div w:id="784083684">
      <w:bodyDiv w:val="1"/>
      <w:marLeft w:val="0"/>
      <w:marRight w:val="0"/>
      <w:marTop w:val="0"/>
      <w:marBottom w:val="0"/>
      <w:divBdr>
        <w:top w:val="none" w:sz="0" w:space="0" w:color="auto"/>
        <w:left w:val="none" w:sz="0" w:space="0" w:color="auto"/>
        <w:bottom w:val="none" w:sz="0" w:space="0" w:color="auto"/>
        <w:right w:val="none" w:sz="0" w:space="0" w:color="auto"/>
      </w:divBdr>
    </w:div>
    <w:div w:id="784352852">
      <w:bodyDiv w:val="1"/>
      <w:marLeft w:val="0"/>
      <w:marRight w:val="0"/>
      <w:marTop w:val="0"/>
      <w:marBottom w:val="0"/>
      <w:divBdr>
        <w:top w:val="none" w:sz="0" w:space="0" w:color="auto"/>
        <w:left w:val="none" w:sz="0" w:space="0" w:color="auto"/>
        <w:bottom w:val="none" w:sz="0" w:space="0" w:color="auto"/>
        <w:right w:val="none" w:sz="0" w:space="0" w:color="auto"/>
      </w:divBdr>
    </w:div>
    <w:div w:id="784426441">
      <w:bodyDiv w:val="1"/>
      <w:marLeft w:val="0"/>
      <w:marRight w:val="0"/>
      <w:marTop w:val="0"/>
      <w:marBottom w:val="0"/>
      <w:divBdr>
        <w:top w:val="none" w:sz="0" w:space="0" w:color="auto"/>
        <w:left w:val="none" w:sz="0" w:space="0" w:color="auto"/>
        <w:bottom w:val="none" w:sz="0" w:space="0" w:color="auto"/>
        <w:right w:val="none" w:sz="0" w:space="0" w:color="auto"/>
      </w:divBdr>
    </w:div>
    <w:div w:id="786122382">
      <w:bodyDiv w:val="1"/>
      <w:marLeft w:val="0"/>
      <w:marRight w:val="0"/>
      <w:marTop w:val="0"/>
      <w:marBottom w:val="0"/>
      <w:divBdr>
        <w:top w:val="none" w:sz="0" w:space="0" w:color="auto"/>
        <w:left w:val="none" w:sz="0" w:space="0" w:color="auto"/>
        <w:bottom w:val="none" w:sz="0" w:space="0" w:color="auto"/>
        <w:right w:val="none" w:sz="0" w:space="0" w:color="auto"/>
      </w:divBdr>
      <w:divsChild>
        <w:div w:id="1788357029">
          <w:marLeft w:val="0"/>
          <w:marRight w:val="0"/>
          <w:marTop w:val="0"/>
          <w:marBottom w:val="0"/>
          <w:divBdr>
            <w:top w:val="none" w:sz="0" w:space="0" w:color="auto"/>
            <w:left w:val="none" w:sz="0" w:space="0" w:color="auto"/>
            <w:bottom w:val="none" w:sz="0" w:space="0" w:color="auto"/>
            <w:right w:val="none" w:sz="0" w:space="0" w:color="auto"/>
          </w:divBdr>
          <w:divsChild>
            <w:div w:id="1078017134">
              <w:marLeft w:val="0"/>
              <w:marRight w:val="0"/>
              <w:marTop w:val="0"/>
              <w:marBottom w:val="0"/>
              <w:divBdr>
                <w:top w:val="none" w:sz="0" w:space="0" w:color="auto"/>
                <w:left w:val="none" w:sz="0" w:space="0" w:color="auto"/>
                <w:bottom w:val="none" w:sz="0" w:space="0" w:color="auto"/>
                <w:right w:val="none" w:sz="0" w:space="0" w:color="auto"/>
              </w:divBdr>
              <w:divsChild>
                <w:div w:id="155417864">
                  <w:marLeft w:val="0"/>
                  <w:marRight w:val="0"/>
                  <w:marTop w:val="0"/>
                  <w:marBottom w:val="0"/>
                  <w:divBdr>
                    <w:top w:val="none" w:sz="0" w:space="0" w:color="auto"/>
                    <w:left w:val="none" w:sz="0" w:space="0" w:color="auto"/>
                    <w:bottom w:val="none" w:sz="0" w:space="0" w:color="auto"/>
                    <w:right w:val="none" w:sz="0" w:space="0" w:color="auto"/>
                  </w:divBdr>
                  <w:divsChild>
                    <w:div w:id="19862833">
                      <w:marLeft w:val="0"/>
                      <w:marRight w:val="0"/>
                      <w:marTop w:val="0"/>
                      <w:marBottom w:val="0"/>
                      <w:divBdr>
                        <w:top w:val="none" w:sz="0" w:space="0" w:color="auto"/>
                        <w:left w:val="none" w:sz="0" w:space="0" w:color="auto"/>
                        <w:bottom w:val="none" w:sz="0" w:space="0" w:color="auto"/>
                        <w:right w:val="none" w:sz="0" w:space="0" w:color="auto"/>
                      </w:divBdr>
                      <w:divsChild>
                        <w:div w:id="751586222">
                          <w:marLeft w:val="405"/>
                          <w:marRight w:val="0"/>
                          <w:marTop w:val="0"/>
                          <w:marBottom w:val="0"/>
                          <w:divBdr>
                            <w:top w:val="none" w:sz="0" w:space="0" w:color="auto"/>
                            <w:left w:val="none" w:sz="0" w:space="0" w:color="auto"/>
                            <w:bottom w:val="none" w:sz="0" w:space="0" w:color="auto"/>
                            <w:right w:val="none" w:sz="0" w:space="0" w:color="auto"/>
                          </w:divBdr>
                          <w:divsChild>
                            <w:div w:id="924798556">
                              <w:marLeft w:val="0"/>
                              <w:marRight w:val="0"/>
                              <w:marTop w:val="0"/>
                              <w:marBottom w:val="0"/>
                              <w:divBdr>
                                <w:top w:val="none" w:sz="0" w:space="0" w:color="auto"/>
                                <w:left w:val="none" w:sz="0" w:space="0" w:color="auto"/>
                                <w:bottom w:val="none" w:sz="0" w:space="0" w:color="auto"/>
                                <w:right w:val="none" w:sz="0" w:space="0" w:color="auto"/>
                              </w:divBdr>
                              <w:divsChild>
                                <w:div w:id="1352606400">
                                  <w:marLeft w:val="0"/>
                                  <w:marRight w:val="0"/>
                                  <w:marTop w:val="0"/>
                                  <w:marBottom w:val="0"/>
                                  <w:divBdr>
                                    <w:top w:val="none" w:sz="0" w:space="0" w:color="auto"/>
                                    <w:left w:val="none" w:sz="0" w:space="0" w:color="auto"/>
                                    <w:bottom w:val="none" w:sz="0" w:space="0" w:color="auto"/>
                                    <w:right w:val="none" w:sz="0" w:space="0" w:color="auto"/>
                                  </w:divBdr>
                                  <w:divsChild>
                                    <w:div w:id="271015774">
                                      <w:marLeft w:val="0"/>
                                      <w:marRight w:val="0"/>
                                      <w:marTop w:val="60"/>
                                      <w:marBottom w:val="0"/>
                                      <w:divBdr>
                                        <w:top w:val="none" w:sz="0" w:space="0" w:color="auto"/>
                                        <w:left w:val="none" w:sz="0" w:space="0" w:color="auto"/>
                                        <w:bottom w:val="none" w:sz="0" w:space="0" w:color="auto"/>
                                        <w:right w:val="none" w:sz="0" w:space="0" w:color="auto"/>
                                      </w:divBdr>
                                      <w:divsChild>
                                        <w:div w:id="1183671393">
                                          <w:marLeft w:val="0"/>
                                          <w:marRight w:val="0"/>
                                          <w:marTop w:val="0"/>
                                          <w:marBottom w:val="0"/>
                                          <w:divBdr>
                                            <w:top w:val="none" w:sz="0" w:space="0" w:color="auto"/>
                                            <w:left w:val="none" w:sz="0" w:space="0" w:color="auto"/>
                                            <w:bottom w:val="none" w:sz="0" w:space="0" w:color="auto"/>
                                            <w:right w:val="none" w:sz="0" w:space="0" w:color="auto"/>
                                          </w:divBdr>
                                          <w:divsChild>
                                            <w:div w:id="301425119">
                                              <w:marLeft w:val="0"/>
                                              <w:marRight w:val="0"/>
                                              <w:marTop w:val="0"/>
                                              <w:marBottom w:val="0"/>
                                              <w:divBdr>
                                                <w:top w:val="none" w:sz="0" w:space="0" w:color="auto"/>
                                                <w:left w:val="none" w:sz="0" w:space="0" w:color="auto"/>
                                                <w:bottom w:val="none" w:sz="0" w:space="0" w:color="auto"/>
                                                <w:right w:val="none" w:sz="0" w:space="0" w:color="auto"/>
                                              </w:divBdr>
                                              <w:divsChild>
                                                <w:div w:id="12847989">
                                                  <w:marLeft w:val="0"/>
                                                  <w:marRight w:val="0"/>
                                                  <w:marTop w:val="0"/>
                                                  <w:marBottom w:val="0"/>
                                                  <w:divBdr>
                                                    <w:top w:val="none" w:sz="0" w:space="0" w:color="auto"/>
                                                    <w:left w:val="none" w:sz="0" w:space="0" w:color="auto"/>
                                                    <w:bottom w:val="none" w:sz="0" w:space="0" w:color="auto"/>
                                                    <w:right w:val="none" w:sz="0" w:space="0" w:color="auto"/>
                                                  </w:divBdr>
                                                  <w:divsChild>
                                                    <w:div w:id="1096899807">
                                                      <w:marLeft w:val="0"/>
                                                      <w:marRight w:val="0"/>
                                                      <w:marTop w:val="0"/>
                                                      <w:marBottom w:val="0"/>
                                                      <w:divBdr>
                                                        <w:top w:val="none" w:sz="0" w:space="0" w:color="auto"/>
                                                        <w:left w:val="none" w:sz="0" w:space="0" w:color="auto"/>
                                                        <w:bottom w:val="none" w:sz="0" w:space="0" w:color="auto"/>
                                                        <w:right w:val="none" w:sz="0" w:space="0" w:color="auto"/>
                                                      </w:divBdr>
                                                      <w:divsChild>
                                                        <w:div w:id="591085534">
                                                          <w:marLeft w:val="0"/>
                                                          <w:marRight w:val="0"/>
                                                          <w:marTop w:val="0"/>
                                                          <w:marBottom w:val="0"/>
                                                          <w:divBdr>
                                                            <w:top w:val="none" w:sz="0" w:space="0" w:color="auto"/>
                                                            <w:left w:val="none" w:sz="0" w:space="0" w:color="auto"/>
                                                            <w:bottom w:val="none" w:sz="0" w:space="0" w:color="auto"/>
                                                            <w:right w:val="none" w:sz="0" w:space="0" w:color="auto"/>
                                                          </w:divBdr>
                                                          <w:divsChild>
                                                            <w:div w:id="1590852547">
                                                              <w:marLeft w:val="0"/>
                                                              <w:marRight w:val="0"/>
                                                              <w:marTop w:val="0"/>
                                                              <w:marBottom w:val="0"/>
                                                              <w:divBdr>
                                                                <w:top w:val="none" w:sz="0" w:space="0" w:color="auto"/>
                                                                <w:left w:val="none" w:sz="0" w:space="0" w:color="auto"/>
                                                                <w:bottom w:val="none" w:sz="0" w:space="0" w:color="auto"/>
                                                                <w:right w:val="none" w:sz="0" w:space="0" w:color="auto"/>
                                                              </w:divBdr>
                                                              <w:divsChild>
                                                                <w:div w:id="1456484064">
                                                                  <w:marLeft w:val="0"/>
                                                                  <w:marRight w:val="0"/>
                                                                  <w:marTop w:val="0"/>
                                                                  <w:marBottom w:val="0"/>
                                                                  <w:divBdr>
                                                                    <w:top w:val="none" w:sz="0" w:space="0" w:color="auto"/>
                                                                    <w:left w:val="none" w:sz="0" w:space="0" w:color="auto"/>
                                                                    <w:bottom w:val="none" w:sz="0" w:space="0" w:color="auto"/>
                                                                    <w:right w:val="none" w:sz="0" w:space="0" w:color="auto"/>
                                                                  </w:divBdr>
                                                                  <w:divsChild>
                                                                    <w:div w:id="1298728839">
                                                                      <w:marLeft w:val="0"/>
                                                                      <w:marRight w:val="0"/>
                                                                      <w:marTop w:val="0"/>
                                                                      <w:marBottom w:val="0"/>
                                                                      <w:divBdr>
                                                                        <w:top w:val="none" w:sz="0" w:space="0" w:color="auto"/>
                                                                        <w:left w:val="none" w:sz="0" w:space="0" w:color="auto"/>
                                                                        <w:bottom w:val="none" w:sz="0" w:space="0" w:color="auto"/>
                                                                        <w:right w:val="none" w:sz="0" w:space="0" w:color="auto"/>
                                                                      </w:divBdr>
                                                                      <w:divsChild>
                                                                        <w:div w:id="12096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671833">
      <w:bodyDiv w:val="1"/>
      <w:marLeft w:val="0"/>
      <w:marRight w:val="0"/>
      <w:marTop w:val="0"/>
      <w:marBottom w:val="0"/>
      <w:divBdr>
        <w:top w:val="none" w:sz="0" w:space="0" w:color="auto"/>
        <w:left w:val="none" w:sz="0" w:space="0" w:color="auto"/>
        <w:bottom w:val="none" w:sz="0" w:space="0" w:color="auto"/>
        <w:right w:val="none" w:sz="0" w:space="0" w:color="auto"/>
      </w:divBdr>
    </w:div>
    <w:div w:id="790325230">
      <w:bodyDiv w:val="1"/>
      <w:marLeft w:val="0"/>
      <w:marRight w:val="0"/>
      <w:marTop w:val="0"/>
      <w:marBottom w:val="0"/>
      <w:divBdr>
        <w:top w:val="none" w:sz="0" w:space="0" w:color="auto"/>
        <w:left w:val="none" w:sz="0" w:space="0" w:color="auto"/>
        <w:bottom w:val="none" w:sz="0" w:space="0" w:color="auto"/>
        <w:right w:val="none" w:sz="0" w:space="0" w:color="auto"/>
      </w:divBdr>
    </w:div>
    <w:div w:id="790824370">
      <w:bodyDiv w:val="1"/>
      <w:marLeft w:val="0"/>
      <w:marRight w:val="0"/>
      <w:marTop w:val="0"/>
      <w:marBottom w:val="0"/>
      <w:divBdr>
        <w:top w:val="none" w:sz="0" w:space="0" w:color="auto"/>
        <w:left w:val="none" w:sz="0" w:space="0" w:color="auto"/>
        <w:bottom w:val="none" w:sz="0" w:space="0" w:color="auto"/>
        <w:right w:val="none" w:sz="0" w:space="0" w:color="auto"/>
      </w:divBdr>
    </w:div>
    <w:div w:id="792332281">
      <w:bodyDiv w:val="1"/>
      <w:marLeft w:val="0"/>
      <w:marRight w:val="0"/>
      <w:marTop w:val="0"/>
      <w:marBottom w:val="0"/>
      <w:divBdr>
        <w:top w:val="none" w:sz="0" w:space="0" w:color="auto"/>
        <w:left w:val="none" w:sz="0" w:space="0" w:color="auto"/>
        <w:bottom w:val="none" w:sz="0" w:space="0" w:color="auto"/>
        <w:right w:val="none" w:sz="0" w:space="0" w:color="auto"/>
      </w:divBdr>
    </w:div>
    <w:div w:id="792595028">
      <w:bodyDiv w:val="1"/>
      <w:marLeft w:val="0"/>
      <w:marRight w:val="0"/>
      <w:marTop w:val="0"/>
      <w:marBottom w:val="0"/>
      <w:divBdr>
        <w:top w:val="none" w:sz="0" w:space="0" w:color="auto"/>
        <w:left w:val="none" w:sz="0" w:space="0" w:color="auto"/>
        <w:bottom w:val="none" w:sz="0" w:space="0" w:color="auto"/>
        <w:right w:val="none" w:sz="0" w:space="0" w:color="auto"/>
      </w:divBdr>
    </w:div>
    <w:div w:id="793209519">
      <w:bodyDiv w:val="1"/>
      <w:marLeft w:val="0"/>
      <w:marRight w:val="0"/>
      <w:marTop w:val="0"/>
      <w:marBottom w:val="0"/>
      <w:divBdr>
        <w:top w:val="none" w:sz="0" w:space="0" w:color="auto"/>
        <w:left w:val="none" w:sz="0" w:space="0" w:color="auto"/>
        <w:bottom w:val="none" w:sz="0" w:space="0" w:color="auto"/>
        <w:right w:val="none" w:sz="0" w:space="0" w:color="auto"/>
      </w:divBdr>
    </w:div>
    <w:div w:id="794100742">
      <w:bodyDiv w:val="1"/>
      <w:marLeft w:val="0"/>
      <w:marRight w:val="0"/>
      <w:marTop w:val="0"/>
      <w:marBottom w:val="0"/>
      <w:divBdr>
        <w:top w:val="none" w:sz="0" w:space="0" w:color="auto"/>
        <w:left w:val="none" w:sz="0" w:space="0" w:color="auto"/>
        <w:bottom w:val="none" w:sz="0" w:space="0" w:color="auto"/>
        <w:right w:val="none" w:sz="0" w:space="0" w:color="auto"/>
      </w:divBdr>
    </w:div>
    <w:div w:id="798884805">
      <w:bodyDiv w:val="1"/>
      <w:marLeft w:val="0"/>
      <w:marRight w:val="0"/>
      <w:marTop w:val="0"/>
      <w:marBottom w:val="0"/>
      <w:divBdr>
        <w:top w:val="none" w:sz="0" w:space="0" w:color="auto"/>
        <w:left w:val="none" w:sz="0" w:space="0" w:color="auto"/>
        <w:bottom w:val="none" w:sz="0" w:space="0" w:color="auto"/>
        <w:right w:val="none" w:sz="0" w:space="0" w:color="auto"/>
      </w:divBdr>
    </w:div>
    <w:div w:id="800880140">
      <w:bodyDiv w:val="1"/>
      <w:marLeft w:val="0"/>
      <w:marRight w:val="0"/>
      <w:marTop w:val="0"/>
      <w:marBottom w:val="0"/>
      <w:divBdr>
        <w:top w:val="none" w:sz="0" w:space="0" w:color="auto"/>
        <w:left w:val="none" w:sz="0" w:space="0" w:color="auto"/>
        <w:bottom w:val="none" w:sz="0" w:space="0" w:color="auto"/>
        <w:right w:val="none" w:sz="0" w:space="0" w:color="auto"/>
      </w:divBdr>
    </w:div>
    <w:div w:id="801188021">
      <w:bodyDiv w:val="1"/>
      <w:marLeft w:val="0"/>
      <w:marRight w:val="0"/>
      <w:marTop w:val="0"/>
      <w:marBottom w:val="0"/>
      <w:divBdr>
        <w:top w:val="none" w:sz="0" w:space="0" w:color="auto"/>
        <w:left w:val="none" w:sz="0" w:space="0" w:color="auto"/>
        <w:bottom w:val="none" w:sz="0" w:space="0" w:color="auto"/>
        <w:right w:val="none" w:sz="0" w:space="0" w:color="auto"/>
      </w:divBdr>
      <w:divsChild>
        <w:div w:id="1273978154">
          <w:marLeft w:val="0"/>
          <w:marRight w:val="0"/>
          <w:marTop w:val="0"/>
          <w:marBottom w:val="0"/>
          <w:divBdr>
            <w:top w:val="none" w:sz="0" w:space="0" w:color="auto"/>
            <w:left w:val="none" w:sz="0" w:space="0" w:color="auto"/>
            <w:bottom w:val="none" w:sz="0" w:space="0" w:color="auto"/>
            <w:right w:val="none" w:sz="0" w:space="0" w:color="auto"/>
          </w:divBdr>
        </w:div>
      </w:divsChild>
    </w:div>
    <w:div w:id="803424554">
      <w:bodyDiv w:val="1"/>
      <w:marLeft w:val="0"/>
      <w:marRight w:val="0"/>
      <w:marTop w:val="0"/>
      <w:marBottom w:val="0"/>
      <w:divBdr>
        <w:top w:val="none" w:sz="0" w:space="0" w:color="auto"/>
        <w:left w:val="none" w:sz="0" w:space="0" w:color="auto"/>
        <w:bottom w:val="none" w:sz="0" w:space="0" w:color="auto"/>
        <w:right w:val="none" w:sz="0" w:space="0" w:color="auto"/>
      </w:divBdr>
    </w:div>
    <w:div w:id="804081532">
      <w:bodyDiv w:val="1"/>
      <w:marLeft w:val="0"/>
      <w:marRight w:val="0"/>
      <w:marTop w:val="0"/>
      <w:marBottom w:val="0"/>
      <w:divBdr>
        <w:top w:val="none" w:sz="0" w:space="0" w:color="auto"/>
        <w:left w:val="none" w:sz="0" w:space="0" w:color="auto"/>
        <w:bottom w:val="none" w:sz="0" w:space="0" w:color="auto"/>
        <w:right w:val="none" w:sz="0" w:space="0" w:color="auto"/>
      </w:divBdr>
    </w:div>
    <w:div w:id="805853453">
      <w:bodyDiv w:val="1"/>
      <w:marLeft w:val="0"/>
      <w:marRight w:val="0"/>
      <w:marTop w:val="0"/>
      <w:marBottom w:val="0"/>
      <w:divBdr>
        <w:top w:val="none" w:sz="0" w:space="0" w:color="auto"/>
        <w:left w:val="none" w:sz="0" w:space="0" w:color="auto"/>
        <w:bottom w:val="none" w:sz="0" w:space="0" w:color="auto"/>
        <w:right w:val="none" w:sz="0" w:space="0" w:color="auto"/>
      </w:divBdr>
    </w:div>
    <w:div w:id="807014994">
      <w:bodyDiv w:val="1"/>
      <w:marLeft w:val="0"/>
      <w:marRight w:val="0"/>
      <w:marTop w:val="0"/>
      <w:marBottom w:val="0"/>
      <w:divBdr>
        <w:top w:val="none" w:sz="0" w:space="0" w:color="auto"/>
        <w:left w:val="none" w:sz="0" w:space="0" w:color="auto"/>
        <w:bottom w:val="none" w:sz="0" w:space="0" w:color="auto"/>
        <w:right w:val="none" w:sz="0" w:space="0" w:color="auto"/>
      </w:divBdr>
      <w:divsChild>
        <w:div w:id="554053">
          <w:marLeft w:val="0"/>
          <w:marRight w:val="0"/>
          <w:marTop w:val="0"/>
          <w:marBottom w:val="0"/>
          <w:divBdr>
            <w:top w:val="none" w:sz="0" w:space="0" w:color="auto"/>
            <w:left w:val="none" w:sz="0" w:space="0" w:color="auto"/>
            <w:bottom w:val="none" w:sz="0" w:space="0" w:color="auto"/>
            <w:right w:val="none" w:sz="0" w:space="0" w:color="auto"/>
          </w:divBdr>
        </w:div>
      </w:divsChild>
    </w:div>
    <w:div w:id="808131825">
      <w:bodyDiv w:val="1"/>
      <w:marLeft w:val="0"/>
      <w:marRight w:val="0"/>
      <w:marTop w:val="0"/>
      <w:marBottom w:val="0"/>
      <w:divBdr>
        <w:top w:val="none" w:sz="0" w:space="0" w:color="auto"/>
        <w:left w:val="none" w:sz="0" w:space="0" w:color="auto"/>
        <w:bottom w:val="none" w:sz="0" w:space="0" w:color="auto"/>
        <w:right w:val="none" w:sz="0" w:space="0" w:color="auto"/>
      </w:divBdr>
    </w:div>
    <w:div w:id="808590224">
      <w:bodyDiv w:val="1"/>
      <w:marLeft w:val="0"/>
      <w:marRight w:val="0"/>
      <w:marTop w:val="0"/>
      <w:marBottom w:val="0"/>
      <w:divBdr>
        <w:top w:val="none" w:sz="0" w:space="0" w:color="auto"/>
        <w:left w:val="none" w:sz="0" w:space="0" w:color="auto"/>
        <w:bottom w:val="none" w:sz="0" w:space="0" w:color="auto"/>
        <w:right w:val="none" w:sz="0" w:space="0" w:color="auto"/>
      </w:divBdr>
    </w:div>
    <w:div w:id="809634067">
      <w:bodyDiv w:val="1"/>
      <w:marLeft w:val="0"/>
      <w:marRight w:val="0"/>
      <w:marTop w:val="0"/>
      <w:marBottom w:val="0"/>
      <w:divBdr>
        <w:top w:val="none" w:sz="0" w:space="0" w:color="auto"/>
        <w:left w:val="none" w:sz="0" w:space="0" w:color="auto"/>
        <w:bottom w:val="none" w:sz="0" w:space="0" w:color="auto"/>
        <w:right w:val="none" w:sz="0" w:space="0" w:color="auto"/>
      </w:divBdr>
    </w:div>
    <w:div w:id="811215185">
      <w:bodyDiv w:val="1"/>
      <w:marLeft w:val="0"/>
      <w:marRight w:val="0"/>
      <w:marTop w:val="0"/>
      <w:marBottom w:val="0"/>
      <w:divBdr>
        <w:top w:val="none" w:sz="0" w:space="0" w:color="auto"/>
        <w:left w:val="none" w:sz="0" w:space="0" w:color="auto"/>
        <w:bottom w:val="none" w:sz="0" w:space="0" w:color="auto"/>
        <w:right w:val="none" w:sz="0" w:space="0" w:color="auto"/>
      </w:divBdr>
    </w:div>
    <w:div w:id="811598100">
      <w:bodyDiv w:val="1"/>
      <w:marLeft w:val="0"/>
      <w:marRight w:val="0"/>
      <w:marTop w:val="0"/>
      <w:marBottom w:val="0"/>
      <w:divBdr>
        <w:top w:val="none" w:sz="0" w:space="0" w:color="auto"/>
        <w:left w:val="none" w:sz="0" w:space="0" w:color="auto"/>
        <w:bottom w:val="none" w:sz="0" w:space="0" w:color="auto"/>
        <w:right w:val="none" w:sz="0" w:space="0" w:color="auto"/>
      </w:divBdr>
    </w:div>
    <w:div w:id="811681338">
      <w:bodyDiv w:val="1"/>
      <w:marLeft w:val="0"/>
      <w:marRight w:val="0"/>
      <w:marTop w:val="0"/>
      <w:marBottom w:val="0"/>
      <w:divBdr>
        <w:top w:val="none" w:sz="0" w:space="0" w:color="auto"/>
        <w:left w:val="none" w:sz="0" w:space="0" w:color="auto"/>
        <w:bottom w:val="none" w:sz="0" w:space="0" w:color="auto"/>
        <w:right w:val="none" w:sz="0" w:space="0" w:color="auto"/>
      </w:divBdr>
    </w:div>
    <w:div w:id="813369742">
      <w:bodyDiv w:val="1"/>
      <w:marLeft w:val="0"/>
      <w:marRight w:val="0"/>
      <w:marTop w:val="0"/>
      <w:marBottom w:val="0"/>
      <w:divBdr>
        <w:top w:val="none" w:sz="0" w:space="0" w:color="auto"/>
        <w:left w:val="none" w:sz="0" w:space="0" w:color="auto"/>
        <w:bottom w:val="none" w:sz="0" w:space="0" w:color="auto"/>
        <w:right w:val="none" w:sz="0" w:space="0" w:color="auto"/>
      </w:divBdr>
    </w:div>
    <w:div w:id="815142984">
      <w:bodyDiv w:val="1"/>
      <w:marLeft w:val="0"/>
      <w:marRight w:val="0"/>
      <w:marTop w:val="0"/>
      <w:marBottom w:val="0"/>
      <w:divBdr>
        <w:top w:val="none" w:sz="0" w:space="0" w:color="auto"/>
        <w:left w:val="none" w:sz="0" w:space="0" w:color="auto"/>
        <w:bottom w:val="none" w:sz="0" w:space="0" w:color="auto"/>
        <w:right w:val="none" w:sz="0" w:space="0" w:color="auto"/>
      </w:divBdr>
    </w:div>
    <w:div w:id="816844436">
      <w:bodyDiv w:val="1"/>
      <w:marLeft w:val="0"/>
      <w:marRight w:val="0"/>
      <w:marTop w:val="0"/>
      <w:marBottom w:val="0"/>
      <w:divBdr>
        <w:top w:val="none" w:sz="0" w:space="0" w:color="auto"/>
        <w:left w:val="none" w:sz="0" w:space="0" w:color="auto"/>
        <w:bottom w:val="none" w:sz="0" w:space="0" w:color="auto"/>
        <w:right w:val="none" w:sz="0" w:space="0" w:color="auto"/>
      </w:divBdr>
    </w:div>
    <w:div w:id="819032105">
      <w:bodyDiv w:val="1"/>
      <w:marLeft w:val="0"/>
      <w:marRight w:val="0"/>
      <w:marTop w:val="0"/>
      <w:marBottom w:val="0"/>
      <w:divBdr>
        <w:top w:val="none" w:sz="0" w:space="0" w:color="auto"/>
        <w:left w:val="none" w:sz="0" w:space="0" w:color="auto"/>
        <w:bottom w:val="none" w:sz="0" w:space="0" w:color="auto"/>
        <w:right w:val="none" w:sz="0" w:space="0" w:color="auto"/>
      </w:divBdr>
    </w:div>
    <w:div w:id="820078799">
      <w:bodyDiv w:val="1"/>
      <w:marLeft w:val="0"/>
      <w:marRight w:val="0"/>
      <w:marTop w:val="0"/>
      <w:marBottom w:val="0"/>
      <w:divBdr>
        <w:top w:val="none" w:sz="0" w:space="0" w:color="auto"/>
        <w:left w:val="none" w:sz="0" w:space="0" w:color="auto"/>
        <w:bottom w:val="none" w:sz="0" w:space="0" w:color="auto"/>
        <w:right w:val="none" w:sz="0" w:space="0" w:color="auto"/>
      </w:divBdr>
    </w:div>
    <w:div w:id="820317464">
      <w:bodyDiv w:val="1"/>
      <w:marLeft w:val="0"/>
      <w:marRight w:val="0"/>
      <w:marTop w:val="0"/>
      <w:marBottom w:val="0"/>
      <w:divBdr>
        <w:top w:val="none" w:sz="0" w:space="0" w:color="auto"/>
        <w:left w:val="none" w:sz="0" w:space="0" w:color="auto"/>
        <w:bottom w:val="none" w:sz="0" w:space="0" w:color="auto"/>
        <w:right w:val="none" w:sz="0" w:space="0" w:color="auto"/>
      </w:divBdr>
    </w:div>
    <w:div w:id="820653797">
      <w:bodyDiv w:val="1"/>
      <w:marLeft w:val="0"/>
      <w:marRight w:val="0"/>
      <w:marTop w:val="0"/>
      <w:marBottom w:val="0"/>
      <w:divBdr>
        <w:top w:val="none" w:sz="0" w:space="0" w:color="auto"/>
        <w:left w:val="none" w:sz="0" w:space="0" w:color="auto"/>
        <w:bottom w:val="none" w:sz="0" w:space="0" w:color="auto"/>
        <w:right w:val="none" w:sz="0" w:space="0" w:color="auto"/>
      </w:divBdr>
    </w:div>
    <w:div w:id="822359243">
      <w:bodyDiv w:val="1"/>
      <w:marLeft w:val="0"/>
      <w:marRight w:val="0"/>
      <w:marTop w:val="0"/>
      <w:marBottom w:val="0"/>
      <w:divBdr>
        <w:top w:val="none" w:sz="0" w:space="0" w:color="auto"/>
        <w:left w:val="none" w:sz="0" w:space="0" w:color="auto"/>
        <w:bottom w:val="none" w:sz="0" w:space="0" w:color="auto"/>
        <w:right w:val="none" w:sz="0" w:space="0" w:color="auto"/>
      </w:divBdr>
    </w:div>
    <w:div w:id="823424975">
      <w:bodyDiv w:val="1"/>
      <w:marLeft w:val="0"/>
      <w:marRight w:val="0"/>
      <w:marTop w:val="0"/>
      <w:marBottom w:val="0"/>
      <w:divBdr>
        <w:top w:val="none" w:sz="0" w:space="0" w:color="auto"/>
        <w:left w:val="none" w:sz="0" w:space="0" w:color="auto"/>
        <w:bottom w:val="none" w:sz="0" w:space="0" w:color="auto"/>
        <w:right w:val="none" w:sz="0" w:space="0" w:color="auto"/>
      </w:divBdr>
    </w:div>
    <w:div w:id="825435475">
      <w:bodyDiv w:val="1"/>
      <w:marLeft w:val="0"/>
      <w:marRight w:val="0"/>
      <w:marTop w:val="0"/>
      <w:marBottom w:val="0"/>
      <w:divBdr>
        <w:top w:val="none" w:sz="0" w:space="0" w:color="auto"/>
        <w:left w:val="none" w:sz="0" w:space="0" w:color="auto"/>
        <w:bottom w:val="none" w:sz="0" w:space="0" w:color="auto"/>
        <w:right w:val="none" w:sz="0" w:space="0" w:color="auto"/>
      </w:divBdr>
    </w:div>
    <w:div w:id="829255145">
      <w:bodyDiv w:val="1"/>
      <w:marLeft w:val="0"/>
      <w:marRight w:val="0"/>
      <w:marTop w:val="0"/>
      <w:marBottom w:val="0"/>
      <w:divBdr>
        <w:top w:val="none" w:sz="0" w:space="0" w:color="auto"/>
        <w:left w:val="none" w:sz="0" w:space="0" w:color="auto"/>
        <w:bottom w:val="none" w:sz="0" w:space="0" w:color="auto"/>
        <w:right w:val="none" w:sz="0" w:space="0" w:color="auto"/>
      </w:divBdr>
    </w:div>
    <w:div w:id="829948215">
      <w:bodyDiv w:val="1"/>
      <w:marLeft w:val="0"/>
      <w:marRight w:val="0"/>
      <w:marTop w:val="0"/>
      <w:marBottom w:val="0"/>
      <w:divBdr>
        <w:top w:val="none" w:sz="0" w:space="0" w:color="auto"/>
        <w:left w:val="none" w:sz="0" w:space="0" w:color="auto"/>
        <w:bottom w:val="none" w:sz="0" w:space="0" w:color="auto"/>
        <w:right w:val="none" w:sz="0" w:space="0" w:color="auto"/>
      </w:divBdr>
      <w:divsChild>
        <w:div w:id="91436694">
          <w:marLeft w:val="0"/>
          <w:marRight w:val="0"/>
          <w:marTop w:val="0"/>
          <w:marBottom w:val="0"/>
          <w:divBdr>
            <w:top w:val="none" w:sz="0" w:space="0" w:color="auto"/>
            <w:left w:val="none" w:sz="0" w:space="0" w:color="auto"/>
            <w:bottom w:val="none" w:sz="0" w:space="0" w:color="auto"/>
            <w:right w:val="none" w:sz="0" w:space="0" w:color="auto"/>
          </w:divBdr>
          <w:divsChild>
            <w:div w:id="1263028820">
              <w:marLeft w:val="0"/>
              <w:marRight w:val="0"/>
              <w:marTop w:val="0"/>
              <w:marBottom w:val="0"/>
              <w:divBdr>
                <w:top w:val="none" w:sz="0" w:space="0" w:color="auto"/>
                <w:left w:val="none" w:sz="0" w:space="0" w:color="auto"/>
                <w:bottom w:val="none" w:sz="0" w:space="0" w:color="auto"/>
                <w:right w:val="none" w:sz="0" w:space="0" w:color="auto"/>
              </w:divBdr>
              <w:divsChild>
                <w:div w:id="1795102300">
                  <w:marLeft w:val="0"/>
                  <w:marRight w:val="0"/>
                  <w:marTop w:val="0"/>
                  <w:marBottom w:val="0"/>
                  <w:divBdr>
                    <w:top w:val="none" w:sz="0" w:space="0" w:color="auto"/>
                    <w:left w:val="none" w:sz="0" w:space="0" w:color="auto"/>
                    <w:bottom w:val="none" w:sz="0" w:space="0" w:color="auto"/>
                    <w:right w:val="none" w:sz="0" w:space="0" w:color="auto"/>
                  </w:divBdr>
                  <w:divsChild>
                    <w:div w:id="834999233">
                      <w:marLeft w:val="0"/>
                      <w:marRight w:val="0"/>
                      <w:marTop w:val="0"/>
                      <w:marBottom w:val="0"/>
                      <w:divBdr>
                        <w:top w:val="none" w:sz="0" w:space="0" w:color="auto"/>
                        <w:left w:val="none" w:sz="0" w:space="0" w:color="auto"/>
                        <w:bottom w:val="none" w:sz="0" w:space="0" w:color="auto"/>
                        <w:right w:val="none" w:sz="0" w:space="0" w:color="auto"/>
                      </w:divBdr>
                      <w:divsChild>
                        <w:div w:id="1280920019">
                          <w:marLeft w:val="0"/>
                          <w:marRight w:val="0"/>
                          <w:marTop w:val="0"/>
                          <w:marBottom w:val="0"/>
                          <w:divBdr>
                            <w:top w:val="none" w:sz="0" w:space="0" w:color="auto"/>
                            <w:left w:val="none" w:sz="0" w:space="0" w:color="auto"/>
                            <w:bottom w:val="none" w:sz="0" w:space="0" w:color="auto"/>
                            <w:right w:val="none" w:sz="0" w:space="0" w:color="auto"/>
                          </w:divBdr>
                          <w:divsChild>
                            <w:div w:id="646326390">
                              <w:marLeft w:val="0"/>
                              <w:marRight w:val="0"/>
                              <w:marTop w:val="0"/>
                              <w:marBottom w:val="0"/>
                              <w:divBdr>
                                <w:top w:val="none" w:sz="0" w:space="0" w:color="auto"/>
                                <w:left w:val="none" w:sz="0" w:space="0" w:color="auto"/>
                                <w:bottom w:val="none" w:sz="0" w:space="0" w:color="auto"/>
                                <w:right w:val="none" w:sz="0" w:space="0" w:color="auto"/>
                              </w:divBdr>
                              <w:divsChild>
                                <w:div w:id="21440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335109">
      <w:bodyDiv w:val="1"/>
      <w:marLeft w:val="0"/>
      <w:marRight w:val="0"/>
      <w:marTop w:val="0"/>
      <w:marBottom w:val="0"/>
      <w:divBdr>
        <w:top w:val="none" w:sz="0" w:space="0" w:color="auto"/>
        <w:left w:val="none" w:sz="0" w:space="0" w:color="auto"/>
        <w:bottom w:val="none" w:sz="0" w:space="0" w:color="auto"/>
        <w:right w:val="none" w:sz="0" w:space="0" w:color="auto"/>
      </w:divBdr>
    </w:div>
    <w:div w:id="831338137">
      <w:bodyDiv w:val="1"/>
      <w:marLeft w:val="0"/>
      <w:marRight w:val="0"/>
      <w:marTop w:val="0"/>
      <w:marBottom w:val="0"/>
      <w:divBdr>
        <w:top w:val="none" w:sz="0" w:space="0" w:color="auto"/>
        <w:left w:val="none" w:sz="0" w:space="0" w:color="auto"/>
        <w:bottom w:val="none" w:sz="0" w:space="0" w:color="auto"/>
        <w:right w:val="none" w:sz="0" w:space="0" w:color="auto"/>
      </w:divBdr>
    </w:div>
    <w:div w:id="834150950">
      <w:bodyDiv w:val="1"/>
      <w:marLeft w:val="0"/>
      <w:marRight w:val="0"/>
      <w:marTop w:val="0"/>
      <w:marBottom w:val="0"/>
      <w:divBdr>
        <w:top w:val="none" w:sz="0" w:space="0" w:color="auto"/>
        <w:left w:val="none" w:sz="0" w:space="0" w:color="auto"/>
        <w:bottom w:val="none" w:sz="0" w:space="0" w:color="auto"/>
        <w:right w:val="none" w:sz="0" w:space="0" w:color="auto"/>
      </w:divBdr>
    </w:div>
    <w:div w:id="835076006">
      <w:bodyDiv w:val="1"/>
      <w:marLeft w:val="0"/>
      <w:marRight w:val="0"/>
      <w:marTop w:val="0"/>
      <w:marBottom w:val="0"/>
      <w:divBdr>
        <w:top w:val="none" w:sz="0" w:space="0" w:color="auto"/>
        <w:left w:val="none" w:sz="0" w:space="0" w:color="auto"/>
        <w:bottom w:val="none" w:sz="0" w:space="0" w:color="auto"/>
        <w:right w:val="none" w:sz="0" w:space="0" w:color="auto"/>
      </w:divBdr>
    </w:div>
    <w:div w:id="835416388">
      <w:bodyDiv w:val="1"/>
      <w:marLeft w:val="0"/>
      <w:marRight w:val="0"/>
      <w:marTop w:val="0"/>
      <w:marBottom w:val="0"/>
      <w:divBdr>
        <w:top w:val="none" w:sz="0" w:space="0" w:color="auto"/>
        <w:left w:val="none" w:sz="0" w:space="0" w:color="auto"/>
        <w:bottom w:val="none" w:sz="0" w:space="0" w:color="auto"/>
        <w:right w:val="none" w:sz="0" w:space="0" w:color="auto"/>
      </w:divBdr>
    </w:div>
    <w:div w:id="835657576">
      <w:bodyDiv w:val="1"/>
      <w:marLeft w:val="0"/>
      <w:marRight w:val="0"/>
      <w:marTop w:val="0"/>
      <w:marBottom w:val="0"/>
      <w:divBdr>
        <w:top w:val="none" w:sz="0" w:space="0" w:color="auto"/>
        <w:left w:val="none" w:sz="0" w:space="0" w:color="auto"/>
        <w:bottom w:val="none" w:sz="0" w:space="0" w:color="auto"/>
        <w:right w:val="none" w:sz="0" w:space="0" w:color="auto"/>
      </w:divBdr>
    </w:div>
    <w:div w:id="838467720">
      <w:bodyDiv w:val="1"/>
      <w:marLeft w:val="0"/>
      <w:marRight w:val="0"/>
      <w:marTop w:val="0"/>
      <w:marBottom w:val="0"/>
      <w:divBdr>
        <w:top w:val="none" w:sz="0" w:space="0" w:color="auto"/>
        <w:left w:val="none" w:sz="0" w:space="0" w:color="auto"/>
        <w:bottom w:val="none" w:sz="0" w:space="0" w:color="auto"/>
        <w:right w:val="none" w:sz="0" w:space="0" w:color="auto"/>
      </w:divBdr>
    </w:div>
    <w:div w:id="838890203">
      <w:bodyDiv w:val="1"/>
      <w:marLeft w:val="0"/>
      <w:marRight w:val="0"/>
      <w:marTop w:val="0"/>
      <w:marBottom w:val="0"/>
      <w:divBdr>
        <w:top w:val="none" w:sz="0" w:space="0" w:color="auto"/>
        <w:left w:val="none" w:sz="0" w:space="0" w:color="auto"/>
        <w:bottom w:val="none" w:sz="0" w:space="0" w:color="auto"/>
        <w:right w:val="none" w:sz="0" w:space="0" w:color="auto"/>
      </w:divBdr>
    </w:div>
    <w:div w:id="841580341">
      <w:bodyDiv w:val="1"/>
      <w:marLeft w:val="0"/>
      <w:marRight w:val="0"/>
      <w:marTop w:val="0"/>
      <w:marBottom w:val="0"/>
      <w:divBdr>
        <w:top w:val="none" w:sz="0" w:space="0" w:color="auto"/>
        <w:left w:val="none" w:sz="0" w:space="0" w:color="auto"/>
        <w:bottom w:val="none" w:sz="0" w:space="0" w:color="auto"/>
        <w:right w:val="none" w:sz="0" w:space="0" w:color="auto"/>
      </w:divBdr>
    </w:div>
    <w:div w:id="842160440">
      <w:bodyDiv w:val="1"/>
      <w:marLeft w:val="0"/>
      <w:marRight w:val="0"/>
      <w:marTop w:val="0"/>
      <w:marBottom w:val="0"/>
      <w:divBdr>
        <w:top w:val="none" w:sz="0" w:space="0" w:color="auto"/>
        <w:left w:val="none" w:sz="0" w:space="0" w:color="auto"/>
        <w:bottom w:val="none" w:sz="0" w:space="0" w:color="auto"/>
        <w:right w:val="none" w:sz="0" w:space="0" w:color="auto"/>
      </w:divBdr>
    </w:div>
    <w:div w:id="845708752">
      <w:bodyDiv w:val="1"/>
      <w:marLeft w:val="0"/>
      <w:marRight w:val="0"/>
      <w:marTop w:val="0"/>
      <w:marBottom w:val="0"/>
      <w:divBdr>
        <w:top w:val="none" w:sz="0" w:space="0" w:color="auto"/>
        <w:left w:val="none" w:sz="0" w:space="0" w:color="auto"/>
        <w:bottom w:val="none" w:sz="0" w:space="0" w:color="auto"/>
        <w:right w:val="none" w:sz="0" w:space="0" w:color="auto"/>
      </w:divBdr>
    </w:div>
    <w:div w:id="846796222">
      <w:bodyDiv w:val="1"/>
      <w:marLeft w:val="0"/>
      <w:marRight w:val="0"/>
      <w:marTop w:val="0"/>
      <w:marBottom w:val="0"/>
      <w:divBdr>
        <w:top w:val="none" w:sz="0" w:space="0" w:color="auto"/>
        <w:left w:val="none" w:sz="0" w:space="0" w:color="auto"/>
        <w:bottom w:val="none" w:sz="0" w:space="0" w:color="auto"/>
        <w:right w:val="none" w:sz="0" w:space="0" w:color="auto"/>
      </w:divBdr>
    </w:div>
    <w:div w:id="847907431">
      <w:bodyDiv w:val="1"/>
      <w:marLeft w:val="0"/>
      <w:marRight w:val="0"/>
      <w:marTop w:val="0"/>
      <w:marBottom w:val="0"/>
      <w:divBdr>
        <w:top w:val="none" w:sz="0" w:space="0" w:color="auto"/>
        <w:left w:val="none" w:sz="0" w:space="0" w:color="auto"/>
        <w:bottom w:val="none" w:sz="0" w:space="0" w:color="auto"/>
        <w:right w:val="none" w:sz="0" w:space="0" w:color="auto"/>
      </w:divBdr>
    </w:div>
    <w:div w:id="848369488">
      <w:bodyDiv w:val="1"/>
      <w:marLeft w:val="0"/>
      <w:marRight w:val="0"/>
      <w:marTop w:val="0"/>
      <w:marBottom w:val="0"/>
      <w:divBdr>
        <w:top w:val="none" w:sz="0" w:space="0" w:color="auto"/>
        <w:left w:val="none" w:sz="0" w:space="0" w:color="auto"/>
        <w:bottom w:val="none" w:sz="0" w:space="0" w:color="auto"/>
        <w:right w:val="none" w:sz="0" w:space="0" w:color="auto"/>
      </w:divBdr>
    </w:div>
    <w:div w:id="851338565">
      <w:bodyDiv w:val="1"/>
      <w:marLeft w:val="0"/>
      <w:marRight w:val="0"/>
      <w:marTop w:val="0"/>
      <w:marBottom w:val="0"/>
      <w:divBdr>
        <w:top w:val="none" w:sz="0" w:space="0" w:color="auto"/>
        <w:left w:val="none" w:sz="0" w:space="0" w:color="auto"/>
        <w:bottom w:val="none" w:sz="0" w:space="0" w:color="auto"/>
        <w:right w:val="none" w:sz="0" w:space="0" w:color="auto"/>
      </w:divBdr>
    </w:div>
    <w:div w:id="851409029">
      <w:bodyDiv w:val="1"/>
      <w:marLeft w:val="0"/>
      <w:marRight w:val="0"/>
      <w:marTop w:val="0"/>
      <w:marBottom w:val="0"/>
      <w:divBdr>
        <w:top w:val="none" w:sz="0" w:space="0" w:color="auto"/>
        <w:left w:val="none" w:sz="0" w:space="0" w:color="auto"/>
        <w:bottom w:val="none" w:sz="0" w:space="0" w:color="auto"/>
        <w:right w:val="none" w:sz="0" w:space="0" w:color="auto"/>
      </w:divBdr>
    </w:div>
    <w:div w:id="851652294">
      <w:bodyDiv w:val="1"/>
      <w:marLeft w:val="0"/>
      <w:marRight w:val="0"/>
      <w:marTop w:val="0"/>
      <w:marBottom w:val="0"/>
      <w:divBdr>
        <w:top w:val="none" w:sz="0" w:space="0" w:color="auto"/>
        <w:left w:val="none" w:sz="0" w:space="0" w:color="auto"/>
        <w:bottom w:val="none" w:sz="0" w:space="0" w:color="auto"/>
        <w:right w:val="none" w:sz="0" w:space="0" w:color="auto"/>
      </w:divBdr>
    </w:div>
    <w:div w:id="853422075">
      <w:bodyDiv w:val="1"/>
      <w:marLeft w:val="0"/>
      <w:marRight w:val="0"/>
      <w:marTop w:val="0"/>
      <w:marBottom w:val="0"/>
      <w:divBdr>
        <w:top w:val="none" w:sz="0" w:space="0" w:color="auto"/>
        <w:left w:val="none" w:sz="0" w:space="0" w:color="auto"/>
        <w:bottom w:val="none" w:sz="0" w:space="0" w:color="auto"/>
        <w:right w:val="none" w:sz="0" w:space="0" w:color="auto"/>
      </w:divBdr>
    </w:div>
    <w:div w:id="855386741">
      <w:bodyDiv w:val="1"/>
      <w:marLeft w:val="0"/>
      <w:marRight w:val="0"/>
      <w:marTop w:val="0"/>
      <w:marBottom w:val="0"/>
      <w:divBdr>
        <w:top w:val="none" w:sz="0" w:space="0" w:color="auto"/>
        <w:left w:val="none" w:sz="0" w:space="0" w:color="auto"/>
        <w:bottom w:val="none" w:sz="0" w:space="0" w:color="auto"/>
        <w:right w:val="none" w:sz="0" w:space="0" w:color="auto"/>
      </w:divBdr>
    </w:div>
    <w:div w:id="856894195">
      <w:bodyDiv w:val="1"/>
      <w:marLeft w:val="0"/>
      <w:marRight w:val="0"/>
      <w:marTop w:val="0"/>
      <w:marBottom w:val="0"/>
      <w:divBdr>
        <w:top w:val="none" w:sz="0" w:space="0" w:color="auto"/>
        <w:left w:val="none" w:sz="0" w:space="0" w:color="auto"/>
        <w:bottom w:val="none" w:sz="0" w:space="0" w:color="auto"/>
        <w:right w:val="none" w:sz="0" w:space="0" w:color="auto"/>
      </w:divBdr>
    </w:div>
    <w:div w:id="859247881">
      <w:bodyDiv w:val="1"/>
      <w:marLeft w:val="0"/>
      <w:marRight w:val="0"/>
      <w:marTop w:val="0"/>
      <w:marBottom w:val="0"/>
      <w:divBdr>
        <w:top w:val="none" w:sz="0" w:space="0" w:color="auto"/>
        <w:left w:val="none" w:sz="0" w:space="0" w:color="auto"/>
        <w:bottom w:val="none" w:sz="0" w:space="0" w:color="auto"/>
        <w:right w:val="none" w:sz="0" w:space="0" w:color="auto"/>
      </w:divBdr>
    </w:div>
    <w:div w:id="861671244">
      <w:bodyDiv w:val="1"/>
      <w:marLeft w:val="0"/>
      <w:marRight w:val="0"/>
      <w:marTop w:val="0"/>
      <w:marBottom w:val="0"/>
      <w:divBdr>
        <w:top w:val="none" w:sz="0" w:space="0" w:color="auto"/>
        <w:left w:val="none" w:sz="0" w:space="0" w:color="auto"/>
        <w:bottom w:val="none" w:sz="0" w:space="0" w:color="auto"/>
        <w:right w:val="none" w:sz="0" w:space="0" w:color="auto"/>
      </w:divBdr>
    </w:div>
    <w:div w:id="862281896">
      <w:bodyDiv w:val="1"/>
      <w:marLeft w:val="0"/>
      <w:marRight w:val="0"/>
      <w:marTop w:val="0"/>
      <w:marBottom w:val="0"/>
      <w:divBdr>
        <w:top w:val="none" w:sz="0" w:space="0" w:color="auto"/>
        <w:left w:val="none" w:sz="0" w:space="0" w:color="auto"/>
        <w:bottom w:val="none" w:sz="0" w:space="0" w:color="auto"/>
        <w:right w:val="none" w:sz="0" w:space="0" w:color="auto"/>
      </w:divBdr>
    </w:div>
    <w:div w:id="864639414">
      <w:bodyDiv w:val="1"/>
      <w:marLeft w:val="0"/>
      <w:marRight w:val="0"/>
      <w:marTop w:val="0"/>
      <w:marBottom w:val="0"/>
      <w:divBdr>
        <w:top w:val="none" w:sz="0" w:space="0" w:color="auto"/>
        <w:left w:val="none" w:sz="0" w:space="0" w:color="auto"/>
        <w:bottom w:val="none" w:sz="0" w:space="0" w:color="auto"/>
        <w:right w:val="none" w:sz="0" w:space="0" w:color="auto"/>
      </w:divBdr>
    </w:div>
    <w:div w:id="865102001">
      <w:bodyDiv w:val="1"/>
      <w:marLeft w:val="0"/>
      <w:marRight w:val="0"/>
      <w:marTop w:val="0"/>
      <w:marBottom w:val="0"/>
      <w:divBdr>
        <w:top w:val="none" w:sz="0" w:space="0" w:color="auto"/>
        <w:left w:val="none" w:sz="0" w:space="0" w:color="auto"/>
        <w:bottom w:val="none" w:sz="0" w:space="0" w:color="auto"/>
        <w:right w:val="none" w:sz="0" w:space="0" w:color="auto"/>
      </w:divBdr>
    </w:div>
    <w:div w:id="867522183">
      <w:bodyDiv w:val="1"/>
      <w:marLeft w:val="0"/>
      <w:marRight w:val="0"/>
      <w:marTop w:val="0"/>
      <w:marBottom w:val="0"/>
      <w:divBdr>
        <w:top w:val="none" w:sz="0" w:space="0" w:color="auto"/>
        <w:left w:val="none" w:sz="0" w:space="0" w:color="auto"/>
        <w:bottom w:val="none" w:sz="0" w:space="0" w:color="auto"/>
        <w:right w:val="none" w:sz="0" w:space="0" w:color="auto"/>
      </w:divBdr>
    </w:div>
    <w:div w:id="872110569">
      <w:bodyDiv w:val="1"/>
      <w:marLeft w:val="0"/>
      <w:marRight w:val="0"/>
      <w:marTop w:val="0"/>
      <w:marBottom w:val="0"/>
      <w:divBdr>
        <w:top w:val="none" w:sz="0" w:space="0" w:color="auto"/>
        <w:left w:val="none" w:sz="0" w:space="0" w:color="auto"/>
        <w:bottom w:val="none" w:sz="0" w:space="0" w:color="auto"/>
        <w:right w:val="none" w:sz="0" w:space="0" w:color="auto"/>
      </w:divBdr>
    </w:div>
    <w:div w:id="874119436">
      <w:bodyDiv w:val="1"/>
      <w:marLeft w:val="0"/>
      <w:marRight w:val="0"/>
      <w:marTop w:val="0"/>
      <w:marBottom w:val="0"/>
      <w:divBdr>
        <w:top w:val="none" w:sz="0" w:space="0" w:color="auto"/>
        <w:left w:val="none" w:sz="0" w:space="0" w:color="auto"/>
        <w:bottom w:val="none" w:sz="0" w:space="0" w:color="auto"/>
        <w:right w:val="none" w:sz="0" w:space="0" w:color="auto"/>
      </w:divBdr>
    </w:div>
    <w:div w:id="874997794">
      <w:bodyDiv w:val="1"/>
      <w:marLeft w:val="0"/>
      <w:marRight w:val="0"/>
      <w:marTop w:val="0"/>
      <w:marBottom w:val="0"/>
      <w:divBdr>
        <w:top w:val="none" w:sz="0" w:space="0" w:color="auto"/>
        <w:left w:val="none" w:sz="0" w:space="0" w:color="auto"/>
        <w:bottom w:val="none" w:sz="0" w:space="0" w:color="auto"/>
        <w:right w:val="none" w:sz="0" w:space="0" w:color="auto"/>
      </w:divBdr>
    </w:div>
    <w:div w:id="875580727">
      <w:bodyDiv w:val="1"/>
      <w:marLeft w:val="0"/>
      <w:marRight w:val="0"/>
      <w:marTop w:val="0"/>
      <w:marBottom w:val="0"/>
      <w:divBdr>
        <w:top w:val="none" w:sz="0" w:space="0" w:color="auto"/>
        <w:left w:val="none" w:sz="0" w:space="0" w:color="auto"/>
        <w:bottom w:val="none" w:sz="0" w:space="0" w:color="auto"/>
        <w:right w:val="none" w:sz="0" w:space="0" w:color="auto"/>
      </w:divBdr>
    </w:div>
    <w:div w:id="876239827">
      <w:bodyDiv w:val="1"/>
      <w:marLeft w:val="0"/>
      <w:marRight w:val="0"/>
      <w:marTop w:val="0"/>
      <w:marBottom w:val="0"/>
      <w:divBdr>
        <w:top w:val="none" w:sz="0" w:space="0" w:color="auto"/>
        <w:left w:val="none" w:sz="0" w:space="0" w:color="auto"/>
        <w:bottom w:val="none" w:sz="0" w:space="0" w:color="auto"/>
        <w:right w:val="none" w:sz="0" w:space="0" w:color="auto"/>
      </w:divBdr>
    </w:div>
    <w:div w:id="876938885">
      <w:bodyDiv w:val="1"/>
      <w:marLeft w:val="0"/>
      <w:marRight w:val="0"/>
      <w:marTop w:val="0"/>
      <w:marBottom w:val="0"/>
      <w:divBdr>
        <w:top w:val="none" w:sz="0" w:space="0" w:color="auto"/>
        <w:left w:val="none" w:sz="0" w:space="0" w:color="auto"/>
        <w:bottom w:val="none" w:sz="0" w:space="0" w:color="auto"/>
        <w:right w:val="none" w:sz="0" w:space="0" w:color="auto"/>
      </w:divBdr>
    </w:div>
    <w:div w:id="876963406">
      <w:bodyDiv w:val="1"/>
      <w:marLeft w:val="0"/>
      <w:marRight w:val="0"/>
      <w:marTop w:val="0"/>
      <w:marBottom w:val="0"/>
      <w:divBdr>
        <w:top w:val="none" w:sz="0" w:space="0" w:color="auto"/>
        <w:left w:val="none" w:sz="0" w:space="0" w:color="auto"/>
        <w:bottom w:val="none" w:sz="0" w:space="0" w:color="auto"/>
        <w:right w:val="none" w:sz="0" w:space="0" w:color="auto"/>
      </w:divBdr>
    </w:div>
    <w:div w:id="878124175">
      <w:bodyDiv w:val="1"/>
      <w:marLeft w:val="0"/>
      <w:marRight w:val="0"/>
      <w:marTop w:val="0"/>
      <w:marBottom w:val="0"/>
      <w:divBdr>
        <w:top w:val="none" w:sz="0" w:space="0" w:color="auto"/>
        <w:left w:val="none" w:sz="0" w:space="0" w:color="auto"/>
        <w:bottom w:val="none" w:sz="0" w:space="0" w:color="auto"/>
        <w:right w:val="none" w:sz="0" w:space="0" w:color="auto"/>
      </w:divBdr>
    </w:div>
    <w:div w:id="878666401">
      <w:bodyDiv w:val="1"/>
      <w:marLeft w:val="0"/>
      <w:marRight w:val="0"/>
      <w:marTop w:val="0"/>
      <w:marBottom w:val="0"/>
      <w:divBdr>
        <w:top w:val="none" w:sz="0" w:space="0" w:color="auto"/>
        <w:left w:val="none" w:sz="0" w:space="0" w:color="auto"/>
        <w:bottom w:val="none" w:sz="0" w:space="0" w:color="auto"/>
        <w:right w:val="none" w:sz="0" w:space="0" w:color="auto"/>
      </w:divBdr>
    </w:div>
    <w:div w:id="878707438">
      <w:bodyDiv w:val="1"/>
      <w:marLeft w:val="0"/>
      <w:marRight w:val="0"/>
      <w:marTop w:val="0"/>
      <w:marBottom w:val="0"/>
      <w:divBdr>
        <w:top w:val="none" w:sz="0" w:space="0" w:color="auto"/>
        <w:left w:val="none" w:sz="0" w:space="0" w:color="auto"/>
        <w:bottom w:val="none" w:sz="0" w:space="0" w:color="auto"/>
        <w:right w:val="none" w:sz="0" w:space="0" w:color="auto"/>
      </w:divBdr>
    </w:div>
    <w:div w:id="879560188">
      <w:bodyDiv w:val="1"/>
      <w:marLeft w:val="0"/>
      <w:marRight w:val="0"/>
      <w:marTop w:val="0"/>
      <w:marBottom w:val="0"/>
      <w:divBdr>
        <w:top w:val="none" w:sz="0" w:space="0" w:color="auto"/>
        <w:left w:val="none" w:sz="0" w:space="0" w:color="auto"/>
        <w:bottom w:val="none" w:sz="0" w:space="0" w:color="auto"/>
        <w:right w:val="none" w:sz="0" w:space="0" w:color="auto"/>
      </w:divBdr>
    </w:div>
    <w:div w:id="881600342">
      <w:bodyDiv w:val="1"/>
      <w:marLeft w:val="0"/>
      <w:marRight w:val="0"/>
      <w:marTop w:val="0"/>
      <w:marBottom w:val="0"/>
      <w:divBdr>
        <w:top w:val="none" w:sz="0" w:space="0" w:color="auto"/>
        <w:left w:val="none" w:sz="0" w:space="0" w:color="auto"/>
        <w:bottom w:val="none" w:sz="0" w:space="0" w:color="auto"/>
        <w:right w:val="none" w:sz="0" w:space="0" w:color="auto"/>
      </w:divBdr>
    </w:div>
    <w:div w:id="883296170">
      <w:bodyDiv w:val="1"/>
      <w:marLeft w:val="0"/>
      <w:marRight w:val="0"/>
      <w:marTop w:val="0"/>
      <w:marBottom w:val="0"/>
      <w:divBdr>
        <w:top w:val="none" w:sz="0" w:space="0" w:color="auto"/>
        <w:left w:val="none" w:sz="0" w:space="0" w:color="auto"/>
        <w:bottom w:val="none" w:sz="0" w:space="0" w:color="auto"/>
        <w:right w:val="none" w:sz="0" w:space="0" w:color="auto"/>
      </w:divBdr>
    </w:div>
    <w:div w:id="884104644">
      <w:bodyDiv w:val="1"/>
      <w:marLeft w:val="0"/>
      <w:marRight w:val="0"/>
      <w:marTop w:val="0"/>
      <w:marBottom w:val="0"/>
      <w:divBdr>
        <w:top w:val="none" w:sz="0" w:space="0" w:color="auto"/>
        <w:left w:val="none" w:sz="0" w:space="0" w:color="auto"/>
        <w:bottom w:val="none" w:sz="0" w:space="0" w:color="auto"/>
        <w:right w:val="none" w:sz="0" w:space="0" w:color="auto"/>
      </w:divBdr>
    </w:div>
    <w:div w:id="885408885">
      <w:bodyDiv w:val="1"/>
      <w:marLeft w:val="0"/>
      <w:marRight w:val="0"/>
      <w:marTop w:val="0"/>
      <w:marBottom w:val="0"/>
      <w:divBdr>
        <w:top w:val="none" w:sz="0" w:space="0" w:color="auto"/>
        <w:left w:val="none" w:sz="0" w:space="0" w:color="auto"/>
        <w:bottom w:val="none" w:sz="0" w:space="0" w:color="auto"/>
        <w:right w:val="none" w:sz="0" w:space="0" w:color="auto"/>
      </w:divBdr>
    </w:div>
    <w:div w:id="887495765">
      <w:bodyDiv w:val="1"/>
      <w:marLeft w:val="0"/>
      <w:marRight w:val="0"/>
      <w:marTop w:val="0"/>
      <w:marBottom w:val="0"/>
      <w:divBdr>
        <w:top w:val="none" w:sz="0" w:space="0" w:color="auto"/>
        <w:left w:val="none" w:sz="0" w:space="0" w:color="auto"/>
        <w:bottom w:val="none" w:sz="0" w:space="0" w:color="auto"/>
        <w:right w:val="none" w:sz="0" w:space="0" w:color="auto"/>
      </w:divBdr>
    </w:div>
    <w:div w:id="887495907">
      <w:bodyDiv w:val="1"/>
      <w:marLeft w:val="0"/>
      <w:marRight w:val="0"/>
      <w:marTop w:val="0"/>
      <w:marBottom w:val="0"/>
      <w:divBdr>
        <w:top w:val="none" w:sz="0" w:space="0" w:color="auto"/>
        <w:left w:val="none" w:sz="0" w:space="0" w:color="auto"/>
        <w:bottom w:val="none" w:sz="0" w:space="0" w:color="auto"/>
        <w:right w:val="none" w:sz="0" w:space="0" w:color="auto"/>
      </w:divBdr>
    </w:div>
    <w:div w:id="887573471">
      <w:bodyDiv w:val="1"/>
      <w:marLeft w:val="0"/>
      <w:marRight w:val="0"/>
      <w:marTop w:val="0"/>
      <w:marBottom w:val="0"/>
      <w:divBdr>
        <w:top w:val="none" w:sz="0" w:space="0" w:color="auto"/>
        <w:left w:val="none" w:sz="0" w:space="0" w:color="auto"/>
        <w:bottom w:val="none" w:sz="0" w:space="0" w:color="auto"/>
        <w:right w:val="none" w:sz="0" w:space="0" w:color="auto"/>
      </w:divBdr>
    </w:div>
    <w:div w:id="891384882">
      <w:bodyDiv w:val="1"/>
      <w:marLeft w:val="0"/>
      <w:marRight w:val="0"/>
      <w:marTop w:val="0"/>
      <w:marBottom w:val="0"/>
      <w:divBdr>
        <w:top w:val="none" w:sz="0" w:space="0" w:color="auto"/>
        <w:left w:val="none" w:sz="0" w:space="0" w:color="auto"/>
        <w:bottom w:val="none" w:sz="0" w:space="0" w:color="auto"/>
        <w:right w:val="none" w:sz="0" w:space="0" w:color="auto"/>
      </w:divBdr>
    </w:div>
    <w:div w:id="891505319">
      <w:bodyDiv w:val="1"/>
      <w:marLeft w:val="0"/>
      <w:marRight w:val="0"/>
      <w:marTop w:val="0"/>
      <w:marBottom w:val="0"/>
      <w:divBdr>
        <w:top w:val="none" w:sz="0" w:space="0" w:color="auto"/>
        <w:left w:val="none" w:sz="0" w:space="0" w:color="auto"/>
        <w:bottom w:val="none" w:sz="0" w:space="0" w:color="auto"/>
        <w:right w:val="none" w:sz="0" w:space="0" w:color="auto"/>
      </w:divBdr>
    </w:div>
    <w:div w:id="892036894">
      <w:bodyDiv w:val="1"/>
      <w:marLeft w:val="0"/>
      <w:marRight w:val="0"/>
      <w:marTop w:val="0"/>
      <w:marBottom w:val="0"/>
      <w:divBdr>
        <w:top w:val="none" w:sz="0" w:space="0" w:color="auto"/>
        <w:left w:val="none" w:sz="0" w:space="0" w:color="auto"/>
        <w:bottom w:val="none" w:sz="0" w:space="0" w:color="auto"/>
        <w:right w:val="none" w:sz="0" w:space="0" w:color="auto"/>
      </w:divBdr>
    </w:div>
    <w:div w:id="894241641">
      <w:bodyDiv w:val="1"/>
      <w:marLeft w:val="0"/>
      <w:marRight w:val="0"/>
      <w:marTop w:val="0"/>
      <w:marBottom w:val="0"/>
      <w:divBdr>
        <w:top w:val="none" w:sz="0" w:space="0" w:color="auto"/>
        <w:left w:val="none" w:sz="0" w:space="0" w:color="auto"/>
        <w:bottom w:val="none" w:sz="0" w:space="0" w:color="auto"/>
        <w:right w:val="none" w:sz="0" w:space="0" w:color="auto"/>
      </w:divBdr>
    </w:div>
    <w:div w:id="895092319">
      <w:bodyDiv w:val="1"/>
      <w:marLeft w:val="0"/>
      <w:marRight w:val="0"/>
      <w:marTop w:val="0"/>
      <w:marBottom w:val="0"/>
      <w:divBdr>
        <w:top w:val="none" w:sz="0" w:space="0" w:color="auto"/>
        <w:left w:val="none" w:sz="0" w:space="0" w:color="auto"/>
        <w:bottom w:val="none" w:sz="0" w:space="0" w:color="auto"/>
        <w:right w:val="none" w:sz="0" w:space="0" w:color="auto"/>
      </w:divBdr>
    </w:div>
    <w:div w:id="895435906">
      <w:bodyDiv w:val="1"/>
      <w:marLeft w:val="0"/>
      <w:marRight w:val="0"/>
      <w:marTop w:val="0"/>
      <w:marBottom w:val="0"/>
      <w:divBdr>
        <w:top w:val="none" w:sz="0" w:space="0" w:color="auto"/>
        <w:left w:val="none" w:sz="0" w:space="0" w:color="auto"/>
        <w:bottom w:val="none" w:sz="0" w:space="0" w:color="auto"/>
        <w:right w:val="none" w:sz="0" w:space="0" w:color="auto"/>
      </w:divBdr>
    </w:div>
    <w:div w:id="896359685">
      <w:bodyDiv w:val="1"/>
      <w:marLeft w:val="0"/>
      <w:marRight w:val="0"/>
      <w:marTop w:val="0"/>
      <w:marBottom w:val="0"/>
      <w:divBdr>
        <w:top w:val="none" w:sz="0" w:space="0" w:color="auto"/>
        <w:left w:val="none" w:sz="0" w:space="0" w:color="auto"/>
        <w:bottom w:val="none" w:sz="0" w:space="0" w:color="auto"/>
        <w:right w:val="none" w:sz="0" w:space="0" w:color="auto"/>
      </w:divBdr>
    </w:div>
    <w:div w:id="897208001">
      <w:bodyDiv w:val="1"/>
      <w:marLeft w:val="0"/>
      <w:marRight w:val="0"/>
      <w:marTop w:val="0"/>
      <w:marBottom w:val="0"/>
      <w:divBdr>
        <w:top w:val="none" w:sz="0" w:space="0" w:color="auto"/>
        <w:left w:val="none" w:sz="0" w:space="0" w:color="auto"/>
        <w:bottom w:val="none" w:sz="0" w:space="0" w:color="auto"/>
        <w:right w:val="none" w:sz="0" w:space="0" w:color="auto"/>
      </w:divBdr>
    </w:div>
    <w:div w:id="901020853">
      <w:bodyDiv w:val="1"/>
      <w:marLeft w:val="0"/>
      <w:marRight w:val="0"/>
      <w:marTop w:val="0"/>
      <w:marBottom w:val="0"/>
      <w:divBdr>
        <w:top w:val="none" w:sz="0" w:space="0" w:color="auto"/>
        <w:left w:val="none" w:sz="0" w:space="0" w:color="auto"/>
        <w:bottom w:val="none" w:sz="0" w:space="0" w:color="auto"/>
        <w:right w:val="none" w:sz="0" w:space="0" w:color="auto"/>
      </w:divBdr>
    </w:div>
    <w:div w:id="901600196">
      <w:bodyDiv w:val="1"/>
      <w:marLeft w:val="0"/>
      <w:marRight w:val="0"/>
      <w:marTop w:val="0"/>
      <w:marBottom w:val="0"/>
      <w:divBdr>
        <w:top w:val="none" w:sz="0" w:space="0" w:color="auto"/>
        <w:left w:val="none" w:sz="0" w:space="0" w:color="auto"/>
        <w:bottom w:val="none" w:sz="0" w:space="0" w:color="auto"/>
        <w:right w:val="none" w:sz="0" w:space="0" w:color="auto"/>
      </w:divBdr>
    </w:div>
    <w:div w:id="902061298">
      <w:bodyDiv w:val="1"/>
      <w:marLeft w:val="0"/>
      <w:marRight w:val="0"/>
      <w:marTop w:val="0"/>
      <w:marBottom w:val="0"/>
      <w:divBdr>
        <w:top w:val="none" w:sz="0" w:space="0" w:color="auto"/>
        <w:left w:val="none" w:sz="0" w:space="0" w:color="auto"/>
        <w:bottom w:val="none" w:sz="0" w:space="0" w:color="auto"/>
        <w:right w:val="none" w:sz="0" w:space="0" w:color="auto"/>
      </w:divBdr>
    </w:div>
    <w:div w:id="902374990">
      <w:bodyDiv w:val="1"/>
      <w:marLeft w:val="0"/>
      <w:marRight w:val="0"/>
      <w:marTop w:val="0"/>
      <w:marBottom w:val="0"/>
      <w:divBdr>
        <w:top w:val="none" w:sz="0" w:space="0" w:color="auto"/>
        <w:left w:val="none" w:sz="0" w:space="0" w:color="auto"/>
        <w:bottom w:val="none" w:sz="0" w:space="0" w:color="auto"/>
        <w:right w:val="none" w:sz="0" w:space="0" w:color="auto"/>
      </w:divBdr>
    </w:div>
    <w:div w:id="904023420">
      <w:bodyDiv w:val="1"/>
      <w:marLeft w:val="0"/>
      <w:marRight w:val="0"/>
      <w:marTop w:val="0"/>
      <w:marBottom w:val="0"/>
      <w:divBdr>
        <w:top w:val="none" w:sz="0" w:space="0" w:color="auto"/>
        <w:left w:val="none" w:sz="0" w:space="0" w:color="auto"/>
        <w:bottom w:val="none" w:sz="0" w:space="0" w:color="auto"/>
        <w:right w:val="none" w:sz="0" w:space="0" w:color="auto"/>
      </w:divBdr>
    </w:div>
    <w:div w:id="905914471">
      <w:bodyDiv w:val="1"/>
      <w:marLeft w:val="0"/>
      <w:marRight w:val="0"/>
      <w:marTop w:val="0"/>
      <w:marBottom w:val="0"/>
      <w:divBdr>
        <w:top w:val="none" w:sz="0" w:space="0" w:color="auto"/>
        <w:left w:val="none" w:sz="0" w:space="0" w:color="auto"/>
        <w:bottom w:val="none" w:sz="0" w:space="0" w:color="auto"/>
        <w:right w:val="none" w:sz="0" w:space="0" w:color="auto"/>
      </w:divBdr>
    </w:div>
    <w:div w:id="909003283">
      <w:bodyDiv w:val="1"/>
      <w:marLeft w:val="0"/>
      <w:marRight w:val="0"/>
      <w:marTop w:val="0"/>
      <w:marBottom w:val="0"/>
      <w:divBdr>
        <w:top w:val="none" w:sz="0" w:space="0" w:color="auto"/>
        <w:left w:val="none" w:sz="0" w:space="0" w:color="auto"/>
        <w:bottom w:val="none" w:sz="0" w:space="0" w:color="auto"/>
        <w:right w:val="none" w:sz="0" w:space="0" w:color="auto"/>
      </w:divBdr>
    </w:div>
    <w:div w:id="909004028">
      <w:bodyDiv w:val="1"/>
      <w:marLeft w:val="0"/>
      <w:marRight w:val="0"/>
      <w:marTop w:val="0"/>
      <w:marBottom w:val="0"/>
      <w:divBdr>
        <w:top w:val="none" w:sz="0" w:space="0" w:color="auto"/>
        <w:left w:val="none" w:sz="0" w:space="0" w:color="auto"/>
        <w:bottom w:val="none" w:sz="0" w:space="0" w:color="auto"/>
        <w:right w:val="none" w:sz="0" w:space="0" w:color="auto"/>
      </w:divBdr>
    </w:div>
    <w:div w:id="911503468">
      <w:bodyDiv w:val="1"/>
      <w:marLeft w:val="0"/>
      <w:marRight w:val="0"/>
      <w:marTop w:val="0"/>
      <w:marBottom w:val="0"/>
      <w:divBdr>
        <w:top w:val="none" w:sz="0" w:space="0" w:color="auto"/>
        <w:left w:val="none" w:sz="0" w:space="0" w:color="auto"/>
        <w:bottom w:val="none" w:sz="0" w:space="0" w:color="auto"/>
        <w:right w:val="none" w:sz="0" w:space="0" w:color="auto"/>
      </w:divBdr>
    </w:div>
    <w:div w:id="913398302">
      <w:bodyDiv w:val="1"/>
      <w:marLeft w:val="0"/>
      <w:marRight w:val="0"/>
      <w:marTop w:val="0"/>
      <w:marBottom w:val="0"/>
      <w:divBdr>
        <w:top w:val="none" w:sz="0" w:space="0" w:color="auto"/>
        <w:left w:val="none" w:sz="0" w:space="0" w:color="auto"/>
        <w:bottom w:val="none" w:sz="0" w:space="0" w:color="auto"/>
        <w:right w:val="none" w:sz="0" w:space="0" w:color="auto"/>
      </w:divBdr>
    </w:div>
    <w:div w:id="914125985">
      <w:bodyDiv w:val="1"/>
      <w:marLeft w:val="0"/>
      <w:marRight w:val="0"/>
      <w:marTop w:val="0"/>
      <w:marBottom w:val="0"/>
      <w:divBdr>
        <w:top w:val="none" w:sz="0" w:space="0" w:color="auto"/>
        <w:left w:val="none" w:sz="0" w:space="0" w:color="auto"/>
        <w:bottom w:val="none" w:sz="0" w:space="0" w:color="auto"/>
        <w:right w:val="none" w:sz="0" w:space="0" w:color="auto"/>
      </w:divBdr>
    </w:div>
    <w:div w:id="915015951">
      <w:bodyDiv w:val="1"/>
      <w:marLeft w:val="0"/>
      <w:marRight w:val="0"/>
      <w:marTop w:val="0"/>
      <w:marBottom w:val="0"/>
      <w:divBdr>
        <w:top w:val="none" w:sz="0" w:space="0" w:color="auto"/>
        <w:left w:val="none" w:sz="0" w:space="0" w:color="auto"/>
        <w:bottom w:val="none" w:sz="0" w:space="0" w:color="auto"/>
        <w:right w:val="none" w:sz="0" w:space="0" w:color="auto"/>
      </w:divBdr>
    </w:div>
    <w:div w:id="915212377">
      <w:bodyDiv w:val="1"/>
      <w:marLeft w:val="0"/>
      <w:marRight w:val="0"/>
      <w:marTop w:val="0"/>
      <w:marBottom w:val="0"/>
      <w:divBdr>
        <w:top w:val="none" w:sz="0" w:space="0" w:color="auto"/>
        <w:left w:val="none" w:sz="0" w:space="0" w:color="auto"/>
        <w:bottom w:val="none" w:sz="0" w:space="0" w:color="auto"/>
        <w:right w:val="none" w:sz="0" w:space="0" w:color="auto"/>
      </w:divBdr>
    </w:div>
    <w:div w:id="915748282">
      <w:bodyDiv w:val="1"/>
      <w:marLeft w:val="0"/>
      <w:marRight w:val="0"/>
      <w:marTop w:val="0"/>
      <w:marBottom w:val="0"/>
      <w:divBdr>
        <w:top w:val="none" w:sz="0" w:space="0" w:color="auto"/>
        <w:left w:val="none" w:sz="0" w:space="0" w:color="auto"/>
        <w:bottom w:val="none" w:sz="0" w:space="0" w:color="auto"/>
        <w:right w:val="none" w:sz="0" w:space="0" w:color="auto"/>
      </w:divBdr>
    </w:div>
    <w:div w:id="916086118">
      <w:bodyDiv w:val="1"/>
      <w:marLeft w:val="0"/>
      <w:marRight w:val="0"/>
      <w:marTop w:val="0"/>
      <w:marBottom w:val="0"/>
      <w:divBdr>
        <w:top w:val="none" w:sz="0" w:space="0" w:color="auto"/>
        <w:left w:val="none" w:sz="0" w:space="0" w:color="auto"/>
        <w:bottom w:val="none" w:sz="0" w:space="0" w:color="auto"/>
        <w:right w:val="none" w:sz="0" w:space="0" w:color="auto"/>
      </w:divBdr>
    </w:div>
    <w:div w:id="916086655">
      <w:bodyDiv w:val="1"/>
      <w:marLeft w:val="0"/>
      <w:marRight w:val="0"/>
      <w:marTop w:val="0"/>
      <w:marBottom w:val="0"/>
      <w:divBdr>
        <w:top w:val="none" w:sz="0" w:space="0" w:color="auto"/>
        <w:left w:val="none" w:sz="0" w:space="0" w:color="auto"/>
        <w:bottom w:val="none" w:sz="0" w:space="0" w:color="auto"/>
        <w:right w:val="none" w:sz="0" w:space="0" w:color="auto"/>
      </w:divBdr>
    </w:div>
    <w:div w:id="916211677">
      <w:bodyDiv w:val="1"/>
      <w:marLeft w:val="0"/>
      <w:marRight w:val="0"/>
      <w:marTop w:val="0"/>
      <w:marBottom w:val="0"/>
      <w:divBdr>
        <w:top w:val="none" w:sz="0" w:space="0" w:color="auto"/>
        <w:left w:val="none" w:sz="0" w:space="0" w:color="auto"/>
        <w:bottom w:val="none" w:sz="0" w:space="0" w:color="auto"/>
        <w:right w:val="none" w:sz="0" w:space="0" w:color="auto"/>
      </w:divBdr>
    </w:div>
    <w:div w:id="916859940">
      <w:bodyDiv w:val="1"/>
      <w:marLeft w:val="0"/>
      <w:marRight w:val="0"/>
      <w:marTop w:val="0"/>
      <w:marBottom w:val="0"/>
      <w:divBdr>
        <w:top w:val="none" w:sz="0" w:space="0" w:color="auto"/>
        <w:left w:val="none" w:sz="0" w:space="0" w:color="auto"/>
        <w:bottom w:val="none" w:sz="0" w:space="0" w:color="auto"/>
        <w:right w:val="none" w:sz="0" w:space="0" w:color="auto"/>
      </w:divBdr>
    </w:div>
    <w:div w:id="917592353">
      <w:bodyDiv w:val="1"/>
      <w:marLeft w:val="0"/>
      <w:marRight w:val="0"/>
      <w:marTop w:val="0"/>
      <w:marBottom w:val="0"/>
      <w:divBdr>
        <w:top w:val="none" w:sz="0" w:space="0" w:color="auto"/>
        <w:left w:val="none" w:sz="0" w:space="0" w:color="auto"/>
        <w:bottom w:val="none" w:sz="0" w:space="0" w:color="auto"/>
        <w:right w:val="none" w:sz="0" w:space="0" w:color="auto"/>
      </w:divBdr>
    </w:div>
    <w:div w:id="917863954">
      <w:bodyDiv w:val="1"/>
      <w:marLeft w:val="0"/>
      <w:marRight w:val="0"/>
      <w:marTop w:val="0"/>
      <w:marBottom w:val="0"/>
      <w:divBdr>
        <w:top w:val="none" w:sz="0" w:space="0" w:color="auto"/>
        <w:left w:val="none" w:sz="0" w:space="0" w:color="auto"/>
        <w:bottom w:val="none" w:sz="0" w:space="0" w:color="auto"/>
        <w:right w:val="none" w:sz="0" w:space="0" w:color="auto"/>
      </w:divBdr>
    </w:div>
    <w:div w:id="918173262">
      <w:bodyDiv w:val="1"/>
      <w:marLeft w:val="0"/>
      <w:marRight w:val="0"/>
      <w:marTop w:val="0"/>
      <w:marBottom w:val="0"/>
      <w:divBdr>
        <w:top w:val="none" w:sz="0" w:space="0" w:color="auto"/>
        <w:left w:val="none" w:sz="0" w:space="0" w:color="auto"/>
        <w:bottom w:val="none" w:sz="0" w:space="0" w:color="auto"/>
        <w:right w:val="none" w:sz="0" w:space="0" w:color="auto"/>
      </w:divBdr>
    </w:div>
    <w:div w:id="919674385">
      <w:bodyDiv w:val="1"/>
      <w:marLeft w:val="0"/>
      <w:marRight w:val="0"/>
      <w:marTop w:val="0"/>
      <w:marBottom w:val="0"/>
      <w:divBdr>
        <w:top w:val="none" w:sz="0" w:space="0" w:color="auto"/>
        <w:left w:val="none" w:sz="0" w:space="0" w:color="auto"/>
        <w:bottom w:val="none" w:sz="0" w:space="0" w:color="auto"/>
        <w:right w:val="none" w:sz="0" w:space="0" w:color="auto"/>
      </w:divBdr>
    </w:div>
    <w:div w:id="921452266">
      <w:bodyDiv w:val="1"/>
      <w:marLeft w:val="0"/>
      <w:marRight w:val="0"/>
      <w:marTop w:val="0"/>
      <w:marBottom w:val="0"/>
      <w:divBdr>
        <w:top w:val="none" w:sz="0" w:space="0" w:color="auto"/>
        <w:left w:val="none" w:sz="0" w:space="0" w:color="auto"/>
        <w:bottom w:val="none" w:sz="0" w:space="0" w:color="auto"/>
        <w:right w:val="none" w:sz="0" w:space="0" w:color="auto"/>
      </w:divBdr>
      <w:divsChild>
        <w:div w:id="296229785">
          <w:marLeft w:val="0"/>
          <w:marRight w:val="0"/>
          <w:marTop w:val="0"/>
          <w:marBottom w:val="0"/>
          <w:divBdr>
            <w:top w:val="none" w:sz="0" w:space="0" w:color="auto"/>
            <w:left w:val="none" w:sz="0" w:space="0" w:color="auto"/>
            <w:bottom w:val="none" w:sz="0" w:space="0" w:color="auto"/>
            <w:right w:val="none" w:sz="0" w:space="0" w:color="auto"/>
          </w:divBdr>
        </w:div>
        <w:div w:id="532574817">
          <w:marLeft w:val="0"/>
          <w:marRight w:val="0"/>
          <w:marTop w:val="0"/>
          <w:marBottom w:val="0"/>
          <w:divBdr>
            <w:top w:val="none" w:sz="0" w:space="0" w:color="auto"/>
            <w:left w:val="none" w:sz="0" w:space="0" w:color="auto"/>
            <w:bottom w:val="none" w:sz="0" w:space="0" w:color="auto"/>
            <w:right w:val="none" w:sz="0" w:space="0" w:color="auto"/>
          </w:divBdr>
        </w:div>
        <w:div w:id="1419979076">
          <w:marLeft w:val="0"/>
          <w:marRight w:val="0"/>
          <w:marTop w:val="0"/>
          <w:marBottom w:val="0"/>
          <w:divBdr>
            <w:top w:val="none" w:sz="0" w:space="0" w:color="auto"/>
            <w:left w:val="none" w:sz="0" w:space="0" w:color="auto"/>
            <w:bottom w:val="none" w:sz="0" w:space="0" w:color="auto"/>
            <w:right w:val="none" w:sz="0" w:space="0" w:color="auto"/>
          </w:divBdr>
        </w:div>
        <w:div w:id="1436098297">
          <w:marLeft w:val="0"/>
          <w:marRight w:val="0"/>
          <w:marTop w:val="0"/>
          <w:marBottom w:val="0"/>
          <w:divBdr>
            <w:top w:val="none" w:sz="0" w:space="0" w:color="auto"/>
            <w:left w:val="none" w:sz="0" w:space="0" w:color="auto"/>
            <w:bottom w:val="none" w:sz="0" w:space="0" w:color="auto"/>
            <w:right w:val="none" w:sz="0" w:space="0" w:color="auto"/>
          </w:divBdr>
        </w:div>
      </w:divsChild>
    </w:div>
    <w:div w:id="922031590">
      <w:bodyDiv w:val="1"/>
      <w:marLeft w:val="0"/>
      <w:marRight w:val="0"/>
      <w:marTop w:val="0"/>
      <w:marBottom w:val="0"/>
      <w:divBdr>
        <w:top w:val="none" w:sz="0" w:space="0" w:color="auto"/>
        <w:left w:val="none" w:sz="0" w:space="0" w:color="auto"/>
        <w:bottom w:val="none" w:sz="0" w:space="0" w:color="auto"/>
        <w:right w:val="none" w:sz="0" w:space="0" w:color="auto"/>
      </w:divBdr>
    </w:div>
    <w:div w:id="922572581">
      <w:bodyDiv w:val="1"/>
      <w:marLeft w:val="0"/>
      <w:marRight w:val="0"/>
      <w:marTop w:val="0"/>
      <w:marBottom w:val="0"/>
      <w:divBdr>
        <w:top w:val="none" w:sz="0" w:space="0" w:color="auto"/>
        <w:left w:val="none" w:sz="0" w:space="0" w:color="auto"/>
        <w:bottom w:val="none" w:sz="0" w:space="0" w:color="auto"/>
        <w:right w:val="none" w:sz="0" w:space="0" w:color="auto"/>
      </w:divBdr>
    </w:div>
    <w:div w:id="924723051">
      <w:bodyDiv w:val="1"/>
      <w:marLeft w:val="0"/>
      <w:marRight w:val="0"/>
      <w:marTop w:val="0"/>
      <w:marBottom w:val="0"/>
      <w:divBdr>
        <w:top w:val="none" w:sz="0" w:space="0" w:color="auto"/>
        <w:left w:val="none" w:sz="0" w:space="0" w:color="auto"/>
        <w:bottom w:val="none" w:sz="0" w:space="0" w:color="auto"/>
        <w:right w:val="none" w:sz="0" w:space="0" w:color="auto"/>
      </w:divBdr>
    </w:div>
    <w:div w:id="927151354">
      <w:bodyDiv w:val="1"/>
      <w:marLeft w:val="0"/>
      <w:marRight w:val="0"/>
      <w:marTop w:val="0"/>
      <w:marBottom w:val="0"/>
      <w:divBdr>
        <w:top w:val="none" w:sz="0" w:space="0" w:color="auto"/>
        <w:left w:val="none" w:sz="0" w:space="0" w:color="auto"/>
        <w:bottom w:val="none" w:sz="0" w:space="0" w:color="auto"/>
        <w:right w:val="none" w:sz="0" w:space="0" w:color="auto"/>
      </w:divBdr>
    </w:div>
    <w:div w:id="927226551">
      <w:bodyDiv w:val="1"/>
      <w:marLeft w:val="0"/>
      <w:marRight w:val="0"/>
      <w:marTop w:val="0"/>
      <w:marBottom w:val="0"/>
      <w:divBdr>
        <w:top w:val="none" w:sz="0" w:space="0" w:color="auto"/>
        <w:left w:val="none" w:sz="0" w:space="0" w:color="auto"/>
        <w:bottom w:val="none" w:sz="0" w:space="0" w:color="auto"/>
        <w:right w:val="none" w:sz="0" w:space="0" w:color="auto"/>
      </w:divBdr>
    </w:div>
    <w:div w:id="927468054">
      <w:bodyDiv w:val="1"/>
      <w:marLeft w:val="0"/>
      <w:marRight w:val="0"/>
      <w:marTop w:val="0"/>
      <w:marBottom w:val="0"/>
      <w:divBdr>
        <w:top w:val="none" w:sz="0" w:space="0" w:color="auto"/>
        <w:left w:val="none" w:sz="0" w:space="0" w:color="auto"/>
        <w:bottom w:val="none" w:sz="0" w:space="0" w:color="auto"/>
        <w:right w:val="none" w:sz="0" w:space="0" w:color="auto"/>
      </w:divBdr>
    </w:div>
    <w:div w:id="928464600">
      <w:bodyDiv w:val="1"/>
      <w:marLeft w:val="0"/>
      <w:marRight w:val="0"/>
      <w:marTop w:val="0"/>
      <w:marBottom w:val="0"/>
      <w:divBdr>
        <w:top w:val="none" w:sz="0" w:space="0" w:color="auto"/>
        <w:left w:val="none" w:sz="0" w:space="0" w:color="auto"/>
        <w:bottom w:val="none" w:sz="0" w:space="0" w:color="auto"/>
        <w:right w:val="none" w:sz="0" w:space="0" w:color="auto"/>
      </w:divBdr>
      <w:divsChild>
        <w:div w:id="1714580309">
          <w:marLeft w:val="0"/>
          <w:marRight w:val="0"/>
          <w:marTop w:val="0"/>
          <w:marBottom w:val="0"/>
          <w:divBdr>
            <w:top w:val="none" w:sz="0" w:space="0" w:color="auto"/>
            <w:left w:val="none" w:sz="0" w:space="0" w:color="auto"/>
            <w:bottom w:val="none" w:sz="0" w:space="0" w:color="auto"/>
            <w:right w:val="none" w:sz="0" w:space="0" w:color="auto"/>
          </w:divBdr>
        </w:div>
      </w:divsChild>
    </w:div>
    <w:div w:id="928807582">
      <w:bodyDiv w:val="1"/>
      <w:marLeft w:val="0"/>
      <w:marRight w:val="0"/>
      <w:marTop w:val="0"/>
      <w:marBottom w:val="0"/>
      <w:divBdr>
        <w:top w:val="none" w:sz="0" w:space="0" w:color="auto"/>
        <w:left w:val="none" w:sz="0" w:space="0" w:color="auto"/>
        <w:bottom w:val="none" w:sz="0" w:space="0" w:color="auto"/>
        <w:right w:val="none" w:sz="0" w:space="0" w:color="auto"/>
      </w:divBdr>
      <w:divsChild>
        <w:div w:id="104666275">
          <w:marLeft w:val="0"/>
          <w:marRight w:val="0"/>
          <w:marTop w:val="0"/>
          <w:marBottom w:val="0"/>
          <w:divBdr>
            <w:top w:val="none" w:sz="0" w:space="0" w:color="auto"/>
            <w:left w:val="none" w:sz="0" w:space="0" w:color="auto"/>
            <w:bottom w:val="none" w:sz="0" w:space="0" w:color="auto"/>
            <w:right w:val="none" w:sz="0" w:space="0" w:color="auto"/>
          </w:divBdr>
        </w:div>
      </w:divsChild>
    </w:div>
    <w:div w:id="929118443">
      <w:bodyDiv w:val="1"/>
      <w:marLeft w:val="0"/>
      <w:marRight w:val="0"/>
      <w:marTop w:val="0"/>
      <w:marBottom w:val="0"/>
      <w:divBdr>
        <w:top w:val="none" w:sz="0" w:space="0" w:color="auto"/>
        <w:left w:val="none" w:sz="0" w:space="0" w:color="auto"/>
        <w:bottom w:val="none" w:sz="0" w:space="0" w:color="auto"/>
        <w:right w:val="none" w:sz="0" w:space="0" w:color="auto"/>
      </w:divBdr>
    </w:div>
    <w:div w:id="932665398">
      <w:bodyDiv w:val="1"/>
      <w:marLeft w:val="0"/>
      <w:marRight w:val="0"/>
      <w:marTop w:val="0"/>
      <w:marBottom w:val="0"/>
      <w:divBdr>
        <w:top w:val="none" w:sz="0" w:space="0" w:color="auto"/>
        <w:left w:val="none" w:sz="0" w:space="0" w:color="auto"/>
        <w:bottom w:val="none" w:sz="0" w:space="0" w:color="auto"/>
        <w:right w:val="none" w:sz="0" w:space="0" w:color="auto"/>
      </w:divBdr>
    </w:div>
    <w:div w:id="934485480">
      <w:bodyDiv w:val="1"/>
      <w:marLeft w:val="0"/>
      <w:marRight w:val="0"/>
      <w:marTop w:val="0"/>
      <w:marBottom w:val="0"/>
      <w:divBdr>
        <w:top w:val="none" w:sz="0" w:space="0" w:color="auto"/>
        <w:left w:val="none" w:sz="0" w:space="0" w:color="auto"/>
        <w:bottom w:val="none" w:sz="0" w:space="0" w:color="auto"/>
        <w:right w:val="none" w:sz="0" w:space="0" w:color="auto"/>
      </w:divBdr>
    </w:div>
    <w:div w:id="935477465">
      <w:bodyDiv w:val="1"/>
      <w:marLeft w:val="0"/>
      <w:marRight w:val="0"/>
      <w:marTop w:val="0"/>
      <w:marBottom w:val="0"/>
      <w:divBdr>
        <w:top w:val="none" w:sz="0" w:space="0" w:color="auto"/>
        <w:left w:val="none" w:sz="0" w:space="0" w:color="auto"/>
        <w:bottom w:val="none" w:sz="0" w:space="0" w:color="auto"/>
        <w:right w:val="none" w:sz="0" w:space="0" w:color="auto"/>
      </w:divBdr>
    </w:div>
    <w:div w:id="935937594">
      <w:bodyDiv w:val="1"/>
      <w:marLeft w:val="0"/>
      <w:marRight w:val="0"/>
      <w:marTop w:val="0"/>
      <w:marBottom w:val="0"/>
      <w:divBdr>
        <w:top w:val="none" w:sz="0" w:space="0" w:color="auto"/>
        <w:left w:val="none" w:sz="0" w:space="0" w:color="auto"/>
        <w:bottom w:val="none" w:sz="0" w:space="0" w:color="auto"/>
        <w:right w:val="none" w:sz="0" w:space="0" w:color="auto"/>
      </w:divBdr>
    </w:div>
    <w:div w:id="936448933">
      <w:bodyDiv w:val="1"/>
      <w:marLeft w:val="0"/>
      <w:marRight w:val="0"/>
      <w:marTop w:val="0"/>
      <w:marBottom w:val="0"/>
      <w:divBdr>
        <w:top w:val="none" w:sz="0" w:space="0" w:color="auto"/>
        <w:left w:val="none" w:sz="0" w:space="0" w:color="auto"/>
        <w:bottom w:val="none" w:sz="0" w:space="0" w:color="auto"/>
        <w:right w:val="none" w:sz="0" w:space="0" w:color="auto"/>
      </w:divBdr>
    </w:div>
    <w:div w:id="940450353">
      <w:bodyDiv w:val="1"/>
      <w:marLeft w:val="0"/>
      <w:marRight w:val="0"/>
      <w:marTop w:val="0"/>
      <w:marBottom w:val="0"/>
      <w:divBdr>
        <w:top w:val="none" w:sz="0" w:space="0" w:color="auto"/>
        <w:left w:val="none" w:sz="0" w:space="0" w:color="auto"/>
        <w:bottom w:val="none" w:sz="0" w:space="0" w:color="auto"/>
        <w:right w:val="none" w:sz="0" w:space="0" w:color="auto"/>
      </w:divBdr>
    </w:div>
    <w:div w:id="941108591">
      <w:bodyDiv w:val="1"/>
      <w:marLeft w:val="0"/>
      <w:marRight w:val="0"/>
      <w:marTop w:val="0"/>
      <w:marBottom w:val="0"/>
      <w:divBdr>
        <w:top w:val="none" w:sz="0" w:space="0" w:color="auto"/>
        <w:left w:val="none" w:sz="0" w:space="0" w:color="auto"/>
        <w:bottom w:val="none" w:sz="0" w:space="0" w:color="auto"/>
        <w:right w:val="none" w:sz="0" w:space="0" w:color="auto"/>
      </w:divBdr>
    </w:div>
    <w:div w:id="942494369">
      <w:bodyDiv w:val="1"/>
      <w:marLeft w:val="0"/>
      <w:marRight w:val="0"/>
      <w:marTop w:val="0"/>
      <w:marBottom w:val="0"/>
      <w:divBdr>
        <w:top w:val="none" w:sz="0" w:space="0" w:color="auto"/>
        <w:left w:val="none" w:sz="0" w:space="0" w:color="auto"/>
        <w:bottom w:val="none" w:sz="0" w:space="0" w:color="auto"/>
        <w:right w:val="none" w:sz="0" w:space="0" w:color="auto"/>
      </w:divBdr>
    </w:div>
    <w:div w:id="943997159">
      <w:bodyDiv w:val="1"/>
      <w:marLeft w:val="0"/>
      <w:marRight w:val="0"/>
      <w:marTop w:val="0"/>
      <w:marBottom w:val="0"/>
      <w:divBdr>
        <w:top w:val="none" w:sz="0" w:space="0" w:color="auto"/>
        <w:left w:val="none" w:sz="0" w:space="0" w:color="auto"/>
        <w:bottom w:val="none" w:sz="0" w:space="0" w:color="auto"/>
        <w:right w:val="none" w:sz="0" w:space="0" w:color="auto"/>
      </w:divBdr>
    </w:div>
    <w:div w:id="944197074">
      <w:bodyDiv w:val="1"/>
      <w:marLeft w:val="0"/>
      <w:marRight w:val="0"/>
      <w:marTop w:val="0"/>
      <w:marBottom w:val="0"/>
      <w:divBdr>
        <w:top w:val="none" w:sz="0" w:space="0" w:color="auto"/>
        <w:left w:val="none" w:sz="0" w:space="0" w:color="auto"/>
        <w:bottom w:val="none" w:sz="0" w:space="0" w:color="auto"/>
        <w:right w:val="none" w:sz="0" w:space="0" w:color="auto"/>
      </w:divBdr>
    </w:div>
    <w:div w:id="945888413">
      <w:bodyDiv w:val="1"/>
      <w:marLeft w:val="0"/>
      <w:marRight w:val="0"/>
      <w:marTop w:val="0"/>
      <w:marBottom w:val="0"/>
      <w:divBdr>
        <w:top w:val="none" w:sz="0" w:space="0" w:color="auto"/>
        <w:left w:val="none" w:sz="0" w:space="0" w:color="auto"/>
        <w:bottom w:val="none" w:sz="0" w:space="0" w:color="auto"/>
        <w:right w:val="none" w:sz="0" w:space="0" w:color="auto"/>
      </w:divBdr>
    </w:div>
    <w:div w:id="946622828">
      <w:bodyDiv w:val="1"/>
      <w:marLeft w:val="0"/>
      <w:marRight w:val="0"/>
      <w:marTop w:val="0"/>
      <w:marBottom w:val="0"/>
      <w:divBdr>
        <w:top w:val="none" w:sz="0" w:space="0" w:color="auto"/>
        <w:left w:val="none" w:sz="0" w:space="0" w:color="auto"/>
        <w:bottom w:val="none" w:sz="0" w:space="0" w:color="auto"/>
        <w:right w:val="none" w:sz="0" w:space="0" w:color="auto"/>
      </w:divBdr>
    </w:div>
    <w:div w:id="947739098">
      <w:bodyDiv w:val="1"/>
      <w:marLeft w:val="0"/>
      <w:marRight w:val="0"/>
      <w:marTop w:val="0"/>
      <w:marBottom w:val="0"/>
      <w:divBdr>
        <w:top w:val="none" w:sz="0" w:space="0" w:color="auto"/>
        <w:left w:val="none" w:sz="0" w:space="0" w:color="auto"/>
        <w:bottom w:val="none" w:sz="0" w:space="0" w:color="auto"/>
        <w:right w:val="none" w:sz="0" w:space="0" w:color="auto"/>
      </w:divBdr>
    </w:div>
    <w:div w:id="949778808">
      <w:bodyDiv w:val="1"/>
      <w:marLeft w:val="0"/>
      <w:marRight w:val="0"/>
      <w:marTop w:val="0"/>
      <w:marBottom w:val="0"/>
      <w:divBdr>
        <w:top w:val="none" w:sz="0" w:space="0" w:color="auto"/>
        <w:left w:val="none" w:sz="0" w:space="0" w:color="auto"/>
        <w:bottom w:val="none" w:sz="0" w:space="0" w:color="auto"/>
        <w:right w:val="none" w:sz="0" w:space="0" w:color="auto"/>
      </w:divBdr>
    </w:div>
    <w:div w:id="951791035">
      <w:bodyDiv w:val="1"/>
      <w:marLeft w:val="0"/>
      <w:marRight w:val="0"/>
      <w:marTop w:val="0"/>
      <w:marBottom w:val="0"/>
      <w:divBdr>
        <w:top w:val="none" w:sz="0" w:space="0" w:color="auto"/>
        <w:left w:val="none" w:sz="0" w:space="0" w:color="auto"/>
        <w:bottom w:val="none" w:sz="0" w:space="0" w:color="auto"/>
        <w:right w:val="none" w:sz="0" w:space="0" w:color="auto"/>
      </w:divBdr>
    </w:div>
    <w:div w:id="951984469">
      <w:bodyDiv w:val="1"/>
      <w:marLeft w:val="0"/>
      <w:marRight w:val="0"/>
      <w:marTop w:val="0"/>
      <w:marBottom w:val="0"/>
      <w:divBdr>
        <w:top w:val="none" w:sz="0" w:space="0" w:color="auto"/>
        <w:left w:val="none" w:sz="0" w:space="0" w:color="auto"/>
        <w:bottom w:val="none" w:sz="0" w:space="0" w:color="auto"/>
        <w:right w:val="none" w:sz="0" w:space="0" w:color="auto"/>
      </w:divBdr>
    </w:div>
    <w:div w:id="952981221">
      <w:bodyDiv w:val="1"/>
      <w:marLeft w:val="0"/>
      <w:marRight w:val="0"/>
      <w:marTop w:val="0"/>
      <w:marBottom w:val="0"/>
      <w:divBdr>
        <w:top w:val="none" w:sz="0" w:space="0" w:color="auto"/>
        <w:left w:val="none" w:sz="0" w:space="0" w:color="auto"/>
        <w:bottom w:val="none" w:sz="0" w:space="0" w:color="auto"/>
        <w:right w:val="none" w:sz="0" w:space="0" w:color="auto"/>
      </w:divBdr>
    </w:div>
    <w:div w:id="955988668">
      <w:bodyDiv w:val="1"/>
      <w:marLeft w:val="0"/>
      <w:marRight w:val="0"/>
      <w:marTop w:val="0"/>
      <w:marBottom w:val="0"/>
      <w:divBdr>
        <w:top w:val="none" w:sz="0" w:space="0" w:color="auto"/>
        <w:left w:val="none" w:sz="0" w:space="0" w:color="auto"/>
        <w:bottom w:val="none" w:sz="0" w:space="0" w:color="auto"/>
        <w:right w:val="none" w:sz="0" w:space="0" w:color="auto"/>
      </w:divBdr>
    </w:div>
    <w:div w:id="960258373">
      <w:bodyDiv w:val="1"/>
      <w:marLeft w:val="0"/>
      <w:marRight w:val="0"/>
      <w:marTop w:val="0"/>
      <w:marBottom w:val="0"/>
      <w:divBdr>
        <w:top w:val="none" w:sz="0" w:space="0" w:color="auto"/>
        <w:left w:val="none" w:sz="0" w:space="0" w:color="auto"/>
        <w:bottom w:val="none" w:sz="0" w:space="0" w:color="auto"/>
        <w:right w:val="none" w:sz="0" w:space="0" w:color="auto"/>
      </w:divBdr>
    </w:div>
    <w:div w:id="961497780">
      <w:bodyDiv w:val="1"/>
      <w:marLeft w:val="0"/>
      <w:marRight w:val="0"/>
      <w:marTop w:val="0"/>
      <w:marBottom w:val="0"/>
      <w:divBdr>
        <w:top w:val="none" w:sz="0" w:space="0" w:color="auto"/>
        <w:left w:val="none" w:sz="0" w:space="0" w:color="auto"/>
        <w:bottom w:val="none" w:sz="0" w:space="0" w:color="auto"/>
        <w:right w:val="none" w:sz="0" w:space="0" w:color="auto"/>
      </w:divBdr>
    </w:div>
    <w:div w:id="962229483">
      <w:bodyDiv w:val="1"/>
      <w:marLeft w:val="0"/>
      <w:marRight w:val="0"/>
      <w:marTop w:val="0"/>
      <w:marBottom w:val="0"/>
      <w:divBdr>
        <w:top w:val="none" w:sz="0" w:space="0" w:color="auto"/>
        <w:left w:val="none" w:sz="0" w:space="0" w:color="auto"/>
        <w:bottom w:val="none" w:sz="0" w:space="0" w:color="auto"/>
        <w:right w:val="none" w:sz="0" w:space="0" w:color="auto"/>
      </w:divBdr>
      <w:divsChild>
        <w:div w:id="179663725">
          <w:marLeft w:val="0"/>
          <w:marRight w:val="0"/>
          <w:marTop w:val="0"/>
          <w:marBottom w:val="0"/>
          <w:divBdr>
            <w:top w:val="none" w:sz="0" w:space="0" w:color="auto"/>
            <w:left w:val="none" w:sz="0" w:space="0" w:color="auto"/>
            <w:bottom w:val="none" w:sz="0" w:space="0" w:color="auto"/>
            <w:right w:val="none" w:sz="0" w:space="0" w:color="auto"/>
          </w:divBdr>
        </w:div>
      </w:divsChild>
    </w:div>
    <w:div w:id="962469052">
      <w:bodyDiv w:val="1"/>
      <w:marLeft w:val="0"/>
      <w:marRight w:val="0"/>
      <w:marTop w:val="0"/>
      <w:marBottom w:val="0"/>
      <w:divBdr>
        <w:top w:val="none" w:sz="0" w:space="0" w:color="auto"/>
        <w:left w:val="none" w:sz="0" w:space="0" w:color="auto"/>
        <w:bottom w:val="none" w:sz="0" w:space="0" w:color="auto"/>
        <w:right w:val="none" w:sz="0" w:space="0" w:color="auto"/>
      </w:divBdr>
    </w:div>
    <w:div w:id="963077823">
      <w:bodyDiv w:val="1"/>
      <w:marLeft w:val="0"/>
      <w:marRight w:val="0"/>
      <w:marTop w:val="0"/>
      <w:marBottom w:val="0"/>
      <w:divBdr>
        <w:top w:val="none" w:sz="0" w:space="0" w:color="auto"/>
        <w:left w:val="none" w:sz="0" w:space="0" w:color="auto"/>
        <w:bottom w:val="none" w:sz="0" w:space="0" w:color="auto"/>
        <w:right w:val="none" w:sz="0" w:space="0" w:color="auto"/>
      </w:divBdr>
    </w:div>
    <w:div w:id="964198079">
      <w:bodyDiv w:val="1"/>
      <w:marLeft w:val="0"/>
      <w:marRight w:val="0"/>
      <w:marTop w:val="0"/>
      <w:marBottom w:val="0"/>
      <w:divBdr>
        <w:top w:val="none" w:sz="0" w:space="0" w:color="auto"/>
        <w:left w:val="none" w:sz="0" w:space="0" w:color="auto"/>
        <w:bottom w:val="none" w:sz="0" w:space="0" w:color="auto"/>
        <w:right w:val="none" w:sz="0" w:space="0" w:color="auto"/>
      </w:divBdr>
    </w:div>
    <w:div w:id="964313664">
      <w:bodyDiv w:val="1"/>
      <w:marLeft w:val="0"/>
      <w:marRight w:val="0"/>
      <w:marTop w:val="0"/>
      <w:marBottom w:val="0"/>
      <w:divBdr>
        <w:top w:val="none" w:sz="0" w:space="0" w:color="auto"/>
        <w:left w:val="none" w:sz="0" w:space="0" w:color="auto"/>
        <w:bottom w:val="none" w:sz="0" w:space="0" w:color="auto"/>
        <w:right w:val="none" w:sz="0" w:space="0" w:color="auto"/>
      </w:divBdr>
    </w:div>
    <w:div w:id="964576109">
      <w:bodyDiv w:val="1"/>
      <w:marLeft w:val="0"/>
      <w:marRight w:val="0"/>
      <w:marTop w:val="0"/>
      <w:marBottom w:val="0"/>
      <w:divBdr>
        <w:top w:val="none" w:sz="0" w:space="0" w:color="auto"/>
        <w:left w:val="none" w:sz="0" w:space="0" w:color="auto"/>
        <w:bottom w:val="none" w:sz="0" w:space="0" w:color="auto"/>
        <w:right w:val="none" w:sz="0" w:space="0" w:color="auto"/>
      </w:divBdr>
    </w:div>
    <w:div w:id="966548422">
      <w:bodyDiv w:val="1"/>
      <w:marLeft w:val="0"/>
      <w:marRight w:val="0"/>
      <w:marTop w:val="0"/>
      <w:marBottom w:val="0"/>
      <w:divBdr>
        <w:top w:val="none" w:sz="0" w:space="0" w:color="auto"/>
        <w:left w:val="none" w:sz="0" w:space="0" w:color="auto"/>
        <w:bottom w:val="none" w:sz="0" w:space="0" w:color="auto"/>
        <w:right w:val="none" w:sz="0" w:space="0" w:color="auto"/>
      </w:divBdr>
    </w:div>
    <w:div w:id="967592387">
      <w:bodyDiv w:val="1"/>
      <w:marLeft w:val="0"/>
      <w:marRight w:val="0"/>
      <w:marTop w:val="0"/>
      <w:marBottom w:val="0"/>
      <w:divBdr>
        <w:top w:val="none" w:sz="0" w:space="0" w:color="auto"/>
        <w:left w:val="none" w:sz="0" w:space="0" w:color="auto"/>
        <w:bottom w:val="none" w:sz="0" w:space="0" w:color="auto"/>
        <w:right w:val="none" w:sz="0" w:space="0" w:color="auto"/>
      </w:divBdr>
    </w:div>
    <w:div w:id="969021585">
      <w:bodyDiv w:val="1"/>
      <w:marLeft w:val="0"/>
      <w:marRight w:val="0"/>
      <w:marTop w:val="0"/>
      <w:marBottom w:val="0"/>
      <w:divBdr>
        <w:top w:val="none" w:sz="0" w:space="0" w:color="auto"/>
        <w:left w:val="none" w:sz="0" w:space="0" w:color="auto"/>
        <w:bottom w:val="none" w:sz="0" w:space="0" w:color="auto"/>
        <w:right w:val="none" w:sz="0" w:space="0" w:color="auto"/>
      </w:divBdr>
    </w:div>
    <w:div w:id="969944906">
      <w:bodyDiv w:val="1"/>
      <w:marLeft w:val="0"/>
      <w:marRight w:val="0"/>
      <w:marTop w:val="0"/>
      <w:marBottom w:val="0"/>
      <w:divBdr>
        <w:top w:val="none" w:sz="0" w:space="0" w:color="auto"/>
        <w:left w:val="none" w:sz="0" w:space="0" w:color="auto"/>
        <w:bottom w:val="none" w:sz="0" w:space="0" w:color="auto"/>
        <w:right w:val="none" w:sz="0" w:space="0" w:color="auto"/>
      </w:divBdr>
    </w:div>
    <w:div w:id="972521152">
      <w:bodyDiv w:val="1"/>
      <w:marLeft w:val="0"/>
      <w:marRight w:val="0"/>
      <w:marTop w:val="0"/>
      <w:marBottom w:val="0"/>
      <w:divBdr>
        <w:top w:val="none" w:sz="0" w:space="0" w:color="auto"/>
        <w:left w:val="none" w:sz="0" w:space="0" w:color="auto"/>
        <w:bottom w:val="none" w:sz="0" w:space="0" w:color="auto"/>
        <w:right w:val="none" w:sz="0" w:space="0" w:color="auto"/>
      </w:divBdr>
      <w:divsChild>
        <w:div w:id="1571964744">
          <w:marLeft w:val="0"/>
          <w:marRight w:val="0"/>
          <w:marTop w:val="0"/>
          <w:marBottom w:val="0"/>
          <w:divBdr>
            <w:top w:val="none" w:sz="0" w:space="0" w:color="auto"/>
            <w:left w:val="none" w:sz="0" w:space="0" w:color="auto"/>
            <w:bottom w:val="none" w:sz="0" w:space="0" w:color="auto"/>
            <w:right w:val="none" w:sz="0" w:space="0" w:color="auto"/>
          </w:divBdr>
        </w:div>
      </w:divsChild>
    </w:div>
    <w:div w:id="973945626">
      <w:bodyDiv w:val="1"/>
      <w:marLeft w:val="0"/>
      <w:marRight w:val="0"/>
      <w:marTop w:val="0"/>
      <w:marBottom w:val="0"/>
      <w:divBdr>
        <w:top w:val="none" w:sz="0" w:space="0" w:color="auto"/>
        <w:left w:val="none" w:sz="0" w:space="0" w:color="auto"/>
        <w:bottom w:val="none" w:sz="0" w:space="0" w:color="auto"/>
        <w:right w:val="none" w:sz="0" w:space="0" w:color="auto"/>
      </w:divBdr>
    </w:div>
    <w:div w:id="974531802">
      <w:bodyDiv w:val="1"/>
      <w:marLeft w:val="0"/>
      <w:marRight w:val="0"/>
      <w:marTop w:val="0"/>
      <w:marBottom w:val="0"/>
      <w:divBdr>
        <w:top w:val="none" w:sz="0" w:space="0" w:color="auto"/>
        <w:left w:val="none" w:sz="0" w:space="0" w:color="auto"/>
        <w:bottom w:val="none" w:sz="0" w:space="0" w:color="auto"/>
        <w:right w:val="none" w:sz="0" w:space="0" w:color="auto"/>
      </w:divBdr>
    </w:div>
    <w:div w:id="975067067">
      <w:bodyDiv w:val="1"/>
      <w:marLeft w:val="0"/>
      <w:marRight w:val="0"/>
      <w:marTop w:val="0"/>
      <w:marBottom w:val="0"/>
      <w:divBdr>
        <w:top w:val="none" w:sz="0" w:space="0" w:color="auto"/>
        <w:left w:val="none" w:sz="0" w:space="0" w:color="auto"/>
        <w:bottom w:val="none" w:sz="0" w:space="0" w:color="auto"/>
        <w:right w:val="none" w:sz="0" w:space="0" w:color="auto"/>
      </w:divBdr>
    </w:div>
    <w:div w:id="975374760">
      <w:bodyDiv w:val="1"/>
      <w:marLeft w:val="0"/>
      <w:marRight w:val="0"/>
      <w:marTop w:val="0"/>
      <w:marBottom w:val="0"/>
      <w:divBdr>
        <w:top w:val="none" w:sz="0" w:space="0" w:color="auto"/>
        <w:left w:val="none" w:sz="0" w:space="0" w:color="auto"/>
        <w:bottom w:val="none" w:sz="0" w:space="0" w:color="auto"/>
        <w:right w:val="none" w:sz="0" w:space="0" w:color="auto"/>
      </w:divBdr>
    </w:div>
    <w:div w:id="975642993">
      <w:bodyDiv w:val="1"/>
      <w:marLeft w:val="0"/>
      <w:marRight w:val="0"/>
      <w:marTop w:val="0"/>
      <w:marBottom w:val="0"/>
      <w:divBdr>
        <w:top w:val="none" w:sz="0" w:space="0" w:color="auto"/>
        <w:left w:val="none" w:sz="0" w:space="0" w:color="auto"/>
        <w:bottom w:val="none" w:sz="0" w:space="0" w:color="auto"/>
        <w:right w:val="none" w:sz="0" w:space="0" w:color="auto"/>
      </w:divBdr>
    </w:div>
    <w:div w:id="975839138">
      <w:bodyDiv w:val="1"/>
      <w:marLeft w:val="0"/>
      <w:marRight w:val="0"/>
      <w:marTop w:val="0"/>
      <w:marBottom w:val="0"/>
      <w:divBdr>
        <w:top w:val="none" w:sz="0" w:space="0" w:color="auto"/>
        <w:left w:val="none" w:sz="0" w:space="0" w:color="auto"/>
        <w:bottom w:val="none" w:sz="0" w:space="0" w:color="auto"/>
        <w:right w:val="none" w:sz="0" w:space="0" w:color="auto"/>
      </w:divBdr>
    </w:div>
    <w:div w:id="976035773">
      <w:bodyDiv w:val="1"/>
      <w:marLeft w:val="0"/>
      <w:marRight w:val="0"/>
      <w:marTop w:val="0"/>
      <w:marBottom w:val="0"/>
      <w:divBdr>
        <w:top w:val="none" w:sz="0" w:space="0" w:color="auto"/>
        <w:left w:val="none" w:sz="0" w:space="0" w:color="auto"/>
        <w:bottom w:val="none" w:sz="0" w:space="0" w:color="auto"/>
        <w:right w:val="none" w:sz="0" w:space="0" w:color="auto"/>
      </w:divBdr>
    </w:div>
    <w:div w:id="977029494">
      <w:bodyDiv w:val="1"/>
      <w:marLeft w:val="0"/>
      <w:marRight w:val="0"/>
      <w:marTop w:val="0"/>
      <w:marBottom w:val="0"/>
      <w:divBdr>
        <w:top w:val="none" w:sz="0" w:space="0" w:color="auto"/>
        <w:left w:val="none" w:sz="0" w:space="0" w:color="auto"/>
        <w:bottom w:val="none" w:sz="0" w:space="0" w:color="auto"/>
        <w:right w:val="none" w:sz="0" w:space="0" w:color="auto"/>
      </w:divBdr>
    </w:div>
    <w:div w:id="978656718">
      <w:bodyDiv w:val="1"/>
      <w:marLeft w:val="0"/>
      <w:marRight w:val="0"/>
      <w:marTop w:val="0"/>
      <w:marBottom w:val="0"/>
      <w:divBdr>
        <w:top w:val="none" w:sz="0" w:space="0" w:color="auto"/>
        <w:left w:val="none" w:sz="0" w:space="0" w:color="auto"/>
        <w:bottom w:val="none" w:sz="0" w:space="0" w:color="auto"/>
        <w:right w:val="none" w:sz="0" w:space="0" w:color="auto"/>
      </w:divBdr>
    </w:div>
    <w:div w:id="980961881">
      <w:bodyDiv w:val="1"/>
      <w:marLeft w:val="0"/>
      <w:marRight w:val="0"/>
      <w:marTop w:val="0"/>
      <w:marBottom w:val="0"/>
      <w:divBdr>
        <w:top w:val="none" w:sz="0" w:space="0" w:color="auto"/>
        <w:left w:val="none" w:sz="0" w:space="0" w:color="auto"/>
        <w:bottom w:val="none" w:sz="0" w:space="0" w:color="auto"/>
        <w:right w:val="none" w:sz="0" w:space="0" w:color="auto"/>
      </w:divBdr>
    </w:div>
    <w:div w:id="981738802">
      <w:bodyDiv w:val="1"/>
      <w:marLeft w:val="0"/>
      <w:marRight w:val="0"/>
      <w:marTop w:val="0"/>
      <w:marBottom w:val="0"/>
      <w:divBdr>
        <w:top w:val="none" w:sz="0" w:space="0" w:color="auto"/>
        <w:left w:val="none" w:sz="0" w:space="0" w:color="auto"/>
        <w:bottom w:val="none" w:sz="0" w:space="0" w:color="auto"/>
        <w:right w:val="none" w:sz="0" w:space="0" w:color="auto"/>
      </w:divBdr>
    </w:div>
    <w:div w:id="981882601">
      <w:bodyDiv w:val="1"/>
      <w:marLeft w:val="0"/>
      <w:marRight w:val="0"/>
      <w:marTop w:val="0"/>
      <w:marBottom w:val="0"/>
      <w:divBdr>
        <w:top w:val="none" w:sz="0" w:space="0" w:color="auto"/>
        <w:left w:val="none" w:sz="0" w:space="0" w:color="auto"/>
        <w:bottom w:val="none" w:sz="0" w:space="0" w:color="auto"/>
        <w:right w:val="none" w:sz="0" w:space="0" w:color="auto"/>
      </w:divBdr>
    </w:div>
    <w:div w:id="982582890">
      <w:bodyDiv w:val="1"/>
      <w:marLeft w:val="0"/>
      <w:marRight w:val="0"/>
      <w:marTop w:val="0"/>
      <w:marBottom w:val="0"/>
      <w:divBdr>
        <w:top w:val="none" w:sz="0" w:space="0" w:color="auto"/>
        <w:left w:val="none" w:sz="0" w:space="0" w:color="auto"/>
        <w:bottom w:val="none" w:sz="0" w:space="0" w:color="auto"/>
        <w:right w:val="none" w:sz="0" w:space="0" w:color="auto"/>
      </w:divBdr>
    </w:div>
    <w:div w:id="982656939">
      <w:bodyDiv w:val="1"/>
      <w:marLeft w:val="0"/>
      <w:marRight w:val="0"/>
      <w:marTop w:val="0"/>
      <w:marBottom w:val="0"/>
      <w:divBdr>
        <w:top w:val="none" w:sz="0" w:space="0" w:color="auto"/>
        <w:left w:val="none" w:sz="0" w:space="0" w:color="auto"/>
        <w:bottom w:val="none" w:sz="0" w:space="0" w:color="auto"/>
        <w:right w:val="none" w:sz="0" w:space="0" w:color="auto"/>
      </w:divBdr>
    </w:div>
    <w:div w:id="983513023">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984240146">
      <w:bodyDiv w:val="1"/>
      <w:marLeft w:val="0"/>
      <w:marRight w:val="0"/>
      <w:marTop w:val="0"/>
      <w:marBottom w:val="0"/>
      <w:divBdr>
        <w:top w:val="none" w:sz="0" w:space="0" w:color="auto"/>
        <w:left w:val="none" w:sz="0" w:space="0" w:color="auto"/>
        <w:bottom w:val="none" w:sz="0" w:space="0" w:color="auto"/>
        <w:right w:val="none" w:sz="0" w:space="0" w:color="auto"/>
      </w:divBdr>
    </w:div>
    <w:div w:id="985813414">
      <w:bodyDiv w:val="1"/>
      <w:marLeft w:val="0"/>
      <w:marRight w:val="0"/>
      <w:marTop w:val="0"/>
      <w:marBottom w:val="0"/>
      <w:divBdr>
        <w:top w:val="none" w:sz="0" w:space="0" w:color="auto"/>
        <w:left w:val="none" w:sz="0" w:space="0" w:color="auto"/>
        <w:bottom w:val="none" w:sz="0" w:space="0" w:color="auto"/>
        <w:right w:val="none" w:sz="0" w:space="0" w:color="auto"/>
      </w:divBdr>
    </w:div>
    <w:div w:id="986085208">
      <w:bodyDiv w:val="1"/>
      <w:marLeft w:val="0"/>
      <w:marRight w:val="0"/>
      <w:marTop w:val="0"/>
      <w:marBottom w:val="0"/>
      <w:divBdr>
        <w:top w:val="none" w:sz="0" w:space="0" w:color="auto"/>
        <w:left w:val="none" w:sz="0" w:space="0" w:color="auto"/>
        <w:bottom w:val="none" w:sz="0" w:space="0" w:color="auto"/>
        <w:right w:val="none" w:sz="0" w:space="0" w:color="auto"/>
      </w:divBdr>
    </w:div>
    <w:div w:id="986473797">
      <w:bodyDiv w:val="1"/>
      <w:marLeft w:val="0"/>
      <w:marRight w:val="0"/>
      <w:marTop w:val="0"/>
      <w:marBottom w:val="0"/>
      <w:divBdr>
        <w:top w:val="none" w:sz="0" w:space="0" w:color="auto"/>
        <w:left w:val="none" w:sz="0" w:space="0" w:color="auto"/>
        <w:bottom w:val="none" w:sz="0" w:space="0" w:color="auto"/>
        <w:right w:val="none" w:sz="0" w:space="0" w:color="auto"/>
      </w:divBdr>
    </w:div>
    <w:div w:id="989754516">
      <w:bodyDiv w:val="1"/>
      <w:marLeft w:val="0"/>
      <w:marRight w:val="0"/>
      <w:marTop w:val="0"/>
      <w:marBottom w:val="0"/>
      <w:divBdr>
        <w:top w:val="none" w:sz="0" w:space="0" w:color="auto"/>
        <w:left w:val="none" w:sz="0" w:space="0" w:color="auto"/>
        <w:bottom w:val="none" w:sz="0" w:space="0" w:color="auto"/>
        <w:right w:val="none" w:sz="0" w:space="0" w:color="auto"/>
      </w:divBdr>
      <w:divsChild>
        <w:div w:id="973175641">
          <w:marLeft w:val="0"/>
          <w:marRight w:val="0"/>
          <w:marTop w:val="0"/>
          <w:marBottom w:val="0"/>
          <w:divBdr>
            <w:top w:val="none" w:sz="0" w:space="0" w:color="auto"/>
            <w:left w:val="none" w:sz="0" w:space="0" w:color="auto"/>
            <w:bottom w:val="none" w:sz="0" w:space="0" w:color="auto"/>
            <w:right w:val="none" w:sz="0" w:space="0" w:color="auto"/>
          </w:divBdr>
        </w:div>
      </w:divsChild>
    </w:div>
    <w:div w:id="989867013">
      <w:bodyDiv w:val="1"/>
      <w:marLeft w:val="0"/>
      <w:marRight w:val="0"/>
      <w:marTop w:val="0"/>
      <w:marBottom w:val="0"/>
      <w:divBdr>
        <w:top w:val="none" w:sz="0" w:space="0" w:color="auto"/>
        <w:left w:val="none" w:sz="0" w:space="0" w:color="auto"/>
        <w:bottom w:val="none" w:sz="0" w:space="0" w:color="auto"/>
        <w:right w:val="none" w:sz="0" w:space="0" w:color="auto"/>
      </w:divBdr>
    </w:div>
    <w:div w:id="991324602">
      <w:bodyDiv w:val="1"/>
      <w:marLeft w:val="0"/>
      <w:marRight w:val="0"/>
      <w:marTop w:val="0"/>
      <w:marBottom w:val="0"/>
      <w:divBdr>
        <w:top w:val="none" w:sz="0" w:space="0" w:color="auto"/>
        <w:left w:val="none" w:sz="0" w:space="0" w:color="auto"/>
        <w:bottom w:val="none" w:sz="0" w:space="0" w:color="auto"/>
        <w:right w:val="none" w:sz="0" w:space="0" w:color="auto"/>
      </w:divBdr>
    </w:div>
    <w:div w:id="993339218">
      <w:bodyDiv w:val="1"/>
      <w:marLeft w:val="0"/>
      <w:marRight w:val="0"/>
      <w:marTop w:val="0"/>
      <w:marBottom w:val="0"/>
      <w:divBdr>
        <w:top w:val="none" w:sz="0" w:space="0" w:color="auto"/>
        <w:left w:val="none" w:sz="0" w:space="0" w:color="auto"/>
        <w:bottom w:val="none" w:sz="0" w:space="0" w:color="auto"/>
        <w:right w:val="none" w:sz="0" w:space="0" w:color="auto"/>
      </w:divBdr>
    </w:div>
    <w:div w:id="994378635">
      <w:bodyDiv w:val="1"/>
      <w:marLeft w:val="0"/>
      <w:marRight w:val="0"/>
      <w:marTop w:val="0"/>
      <w:marBottom w:val="0"/>
      <w:divBdr>
        <w:top w:val="none" w:sz="0" w:space="0" w:color="auto"/>
        <w:left w:val="none" w:sz="0" w:space="0" w:color="auto"/>
        <w:bottom w:val="none" w:sz="0" w:space="0" w:color="auto"/>
        <w:right w:val="none" w:sz="0" w:space="0" w:color="auto"/>
      </w:divBdr>
    </w:div>
    <w:div w:id="994604167">
      <w:bodyDiv w:val="1"/>
      <w:marLeft w:val="0"/>
      <w:marRight w:val="0"/>
      <w:marTop w:val="0"/>
      <w:marBottom w:val="0"/>
      <w:divBdr>
        <w:top w:val="none" w:sz="0" w:space="0" w:color="auto"/>
        <w:left w:val="none" w:sz="0" w:space="0" w:color="auto"/>
        <w:bottom w:val="none" w:sz="0" w:space="0" w:color="auto"/>
        <w:right w:val="none" w:sz="0" w:space="0" w:color="auto"/>
      </w:divBdr>
    </w:div>
    <w:div w:id="995036208">
      <w:bodyDiv w:val="1"/>
      <w:marLeft w:val="0"/>
      <w:marRight w:val="0"/>
      <w:marTop w:val="0"/>
      <w:marBottom w:val="0"/>
      <w:divBdr>
        <w:top w:val="none" w:sz="0" w:space="0" w:color="auto"/>
        <w:left w:val="none" w:sz="0" w:space="0" w:color="auto"/>
        <w:bottom w:val="none" w:sz="0" w:space="0" w:color="auto"/>
        <w:right w:val="none" w:sz="0" w:space="0" w:color="auto"/>
      </w:divBdr>
      <w:divsChild>
        <w:div w:id="1924952517">
          <w:marLeft w:val="0"/>
          <w:marRight w:val="0"/>
          <w:marTop w:val="0"/>
          <w:marBottom w:val="0"/>
          <w:divBdr>
            <w:top w:val="none" w:sz="0" w:space="0" w:color="auto"/>
            <w:left w:val="none" w:sz="0" w:space="0" w:color="auto"/>
            <w:bottom w:val="none" w:sz="0" w:space="0" w:color="auto"/>
            <w:right w:val="none" w:sz="0" w:space="0" w:color="auto"/>
          </w:divBdr>
        </w:div>
      </w:divsChild>
    </w:div>
    <w:div w:id="995840081">
      <w:bodyDiv w:val="1"/>
      <w:marLeft w:val="0"/>
      <w:marRight w:val="0"/>
      <w:marTop w:val="0"/>
      <w:marBottom w:val="0"/>
      <w:divBdr>
        <w:top w:val="none" w:sz="0" w:space="0" w:color="auto"/>
        <w:left w:val="none" w:sz="0" w:space="0" w:color="auto"/>
        <w:bottom w:val="none" w:sz="0" w:space="0" w:color="auto"/>
        <w:right w:val="none" w:sz="0" w:space="0" w:color="auto"/>
      </w:divBdr>
    </w:div>
    <w:div w:id="996541112">
      <w:bodyDiv w:val="1"/>
      <w:marLeft w:val="0"/>
      <w:marRight w:val="0"/>
      <w:marTop w:val="0"/>
      <w:marBottom w:val="0"/>
      <w:divBdr>
        <w:top w:val="none" w:sz="0" w:space="0" w:color="auto"/>
        <w:left w:val="none" w:sz="0" w:space="0" w:color="auto"/>
        <w:bottom w:val="none" w:sz="0" w:space="0" w:color="auto"/>
        <w:right w:val="none" w:sz="0" w:space="0" w:color="auto"/>
      </w:divBdr>
    </w:div>
    <w:div w:id="998579409">
      <w:bodyDiv w:val="1"/>
      <w:marLeft w:val="0"/>
      <w:marRight w:val="0"/>
      <w:marTop w:val="0"/>
      <w:marBottom w:val="0"/>
      <w:divBdr>
        <w:top w:val="none" w:sz="0" w:space="0" w:color="auto"/>
        <w:left w:val="none" w:sz="0" w:space="0" w:color="auto"/>
        <w:bottom w:val="none" w:sz="0" w:space="0" w:color="auto"/>
        <w:right w:val="none" w:sz="0" w:space="0" w:color="auto"/>
      </w:divBdr>
    </w:div>
    <w:div w:id="999652298">
      <w:bodyDiv w:val="1"/>
      <w:marLeft w:val="0"/>
      <w:marRight w:val="0"/>
      <w:marTop w:val="0"/>
      <w:marBottom w:val="0"/>
      <w:divBdr>
        <w:top w:val="none" w:sz="0" w:space="0" w:color="auto"/>
        <w:left w:val="none" w:sz="0" w:space="0" w:color="auto"/>
        <w:bottom w:val="none" w:sz="0" w:space="0" w:color="auto"/>
        <w:right w:val="none" w:sz="0" w:space="0" w:color="auto"/>
      </w:divBdr>
    </w:div>
    <w:div w:id="1000041357">
      <w:bodyDiv w:val="1"/>
      <w:marLeft w:val="0"/>
      <w:marRight w:val="0"/>
      <w:marTop w:val="0"/>
      <w:marBottom w:val="0"/>
      <w:divBdr>
        <w:top w:val="none" w:sz="0" w:space="0" w:color="auto"/>
        <w:left w:val="none" w:sz="0" w:space="0" w:color="auto"/>
        <w:bottom w:val="none" w:sz="0" w:space="0" w:color="auto"/>
        <w:right w:val="none" w:sz="0" w:space="0" w:color="auto"/>
      </w:divBdr>
      <w:divsChild>
        <w:div w:id="1718122879">
          <w:marLeft w:val="0"/>
          <w:marRight w:val="0"/>
          <w:marTop w:val="0"/>
          <w:marBottom w:val="0"/>
          <w:divBdr>
            <w:top w:val="none" w:sz="0" w:space="0" w:color="auto"/>
            <w:left w:val="none" w:sz="0" w:space="0" w:color="auto"/>
            <w:bottom w:val="none" w:sz="0" w:space="0" w:color="auto"/>
            <w:right w:val="none" w:sz="0" w:space="0" w:color="auto"/>
          </w:divBdr>
        </w:div>
      </w:divsChild>
    </w:div>
    <w:div w:id="1000813551">
      <w:bodyDiv w:val="1"/>
      <w:marLeft w:val="0"/>
      <w:marRight w:val="0"/>
      <w:marTop w:val="0"/>
      <w:marBottom w:val="0"/>
      <w:divBdr>
        <w:top w:val="none" w:sz="0" w:space="0" w:color="auto"/>
        <w:left w:val="none" w:sz="0" w:space="0" w:color="auto"/>
        <w:bottom w:val="none" w:sz="0" w:space="0" w:color="auto"/>
        <w:right w:val="none" w:sz="0" w:space="0" w:color="auto"/>
      </w:divBdr>
    </w:div>
    <w:div w:id="1001394421">
      <w:bodyDiv w:val="1"/>
      <w:marLeft w:val="0"/>
      <w:marRight w:val="0"/>
      <w:marTop w:val="0"/>
      <w:marBottom w:val="0"/>
      <w:divBdr>
        <w:top w:val="none" w:sz="0" w:space="0" w:color="auto"/>
        <w:left w:val="none" w:sz="0" w:space="0" w:color="auto"/>
        <w:bottom w:val="none" w:sz="0" w:space="0" w:color="auto"/>
        <w:right w:val="none" w:sz="0" w:space="0" w:color="auto"/>
      </w:divBdr>
      <w:divsChild>
        <w:div w:id="339814741">
          <w:marLeft w:val="0"/>
          <w:marRight w:val="0"/>
          <w:marTop w:val="0"/>
          <w:marBottom w:val="0"/>
          <w:divBdr>
            <w:top w:val="none" w:sz="0" w:space="0" w:color="auto"/>
            <w:left w:val="none" w:sz="0" w:space="0" w:color="auto"/>
            <w:bottom w:val="none" w:sz="0" w:space="0" w:color="auto"/>
            <w:right w:val="none" w:sz="0" w:space="0" w:color="auto"/>
          </w:divBdr>
        </w:div>
      </w:divsChild>
    </w:div>
    <w:div w:id="1003044306">
      <w:bodyDiv w:val="1"/>
      <w:marLeft w:val="0"/>
      <w:marRight w:val="0"/>
      <w:marTop w:val="0"/>
      <w:marBottom w:val="0"/>
      <w:divBdr>
        <w:top w:val="none" w:sz="0" w:space="0" w:color="auto"/>
        <w:left w:val="none" w:sz="0" w:space="0" w:color="auto"/>
        <w:bottom w:val="none" w:sz="0" w:space="0" w:color="auto"/>
        <w:right w:val="none" w:sz="0" w:space="0" w:color="auto"/>
      </w:divBdr>
    </w:div>
    <w:div w:id="1003510958">
      <w:bodyDiv w:val="1"/>
      <w:marLeft w:val="0"/>
      <w:marRight w:val="0"/>
      <w:marTop w:val="0"/>
      <w:marBottom w:val="0"/>
      <w:divBdr>
        <w:top w:val="none" w:sz="0" w:space="0" w:color="auto"/>
        <w:left w:val="none" w:sz="0" w:space="0" w:color="auto"/>
        <w:bottom w:val="none" w:sz="0" w:space="0" w:color="auto"/>
        <w:right w:val="none" w:sz="0" w:space="0" w:color="auto"/>
      </w:divBdr>
    </w:div>
    <w:div w:id="1003777944">
      <w:bodyDiv w:val="1"/>
      <w:marLeft w:val="0"/>
      <w:marRight w:val="0"/>
      <w:marTop w:val="0"/>
      <w:marBottom w:val="0"/>
      <w:divBdr>
        <w:top w:val="none" w:sz="0" w:space="0" w:color="auto"/>
        <w:left w:val="none" w:sz="0" w:space="0" w:color="auto"/>
        <w:bottom w:val="none" w:sz="0" w:space="0" w:color="auto"/>
        <w:right w:val="none" w:sz="0" w:space="0" w:color="auto"/>
      </w:divBdr>
    </w:div>
    <w:div w:id="1004698562">
      <w:bodyDiv w:val="1"/>
      <w:marLeft w:val="0"/>
      <w:marRight w:val="0"/>
      <w:marTop w:val="0"/>
      <w:marBottom w:val="0"/>
      <w:divBdr>
        <w:top w:val="none" w:sz="0" w:space="0" w:color="auto"/>
        <w:left w:val="none" w:sz="0" w:space="0" w:color="auto"/>
        <w:bottom w:val="none" w:sz="0" w:space="0" w:color="auto"/>
        <w:right w:val="none" w:sz="0" w:space="0" w:color="auto"/>
      </w:divBdr>
    </w:div>
    <w:div w:id="1006633627">
      <w:bodyDiv w:val="1"/>
      <w:marLeft w:val="0"/>
      <w:marRight w:val="0"/>
      <w:marTop w:val="0"/>
      <w:marBottom w:val="0"/>
      <w:divBdr>
        <w:top w:val="none" w:sz="0" w:space="0" w:color="auto"/>
        <w:left w:val="none" w:sz="0" w:space="0" w:color="auto"/>
        <w:bottom w:val="none" w:sz="0" w:space="0" w:color="auto"/>
        <w:right w:val="none" w:sz="0" w:space="0" w:color="auto"/>
      </w:divBdr>
    </w:div>
    <w:div w:id="1007249988">
      <w:bodyDiv w:val="1"/>
      <w:marLeft w:val="0"/>
      <w:marRight w:val="0"/>
      <w:marTop w:val="0"/>
      <w:marBottom w:val="0"/>
      <w:divBdr>
        <w:top w:val="none" w:sz="0" w:space="0" w:color="auto"/>
        <w:left w:val="none" w:sz="0" w:space="0" w:color="auto"/>
        <w:bottom w:val="none" w:sz="0" w:space="0" w:color="auto"/>
        <w:right w:val="none" w:sz="0" w:space="0" w:color="auto"/>
      </w:divBdr>
    </w:div>
    <w:div w:id="1009481148">
      <w:bodyDiv w:val="1"/>
      <w:marLeft w:val="0"/>
      <w:marRight w:val="0"/>
      <w:marTop w:val="0"/>
      <w:marBottom w:val="0"/>
      <w:divBdr>
        <w:top w:val="none" w:sz="0" w:space="0" w:color="auto"/>
        <w:left w:val="none" w:sz="0" w:space="0" w:color="auto"/>
        <w:bottom w:val="none" w:sz="0" w:space="0" w:color="auto"/>
        <w:right w:val="none" w:sz="0" w:space="0" w:color="auto"/>
      </w:divBdr>
    </w:div>
    <w:div w:id="1010910246">
      <w:bodyDiv w:val="1"/>
      <w:marLeft w:val="0"/>
      <w:marRight w:val="0"/>
      <w:marTop w:val="0"/>
      <w:marBottom w:val="0"/>
      <w:divBdr>
        <w:top w:val="none" w:sz="0" w:space="0" w:color="auto"/>
        <w:left w:val="none" w:sz="0" w:space="0" w:color="auto"/>
        <w:bottom w:val="none" w:sz="0" w:space="0" w:color="auto"/>
        <w:right w:val="none" w:sz="0" w:space="0" w:color="auto"/>
      </w:divBdr>
    </w:div>
    <w:div w:id="1012955168">
      <w:bodyDiv w:val="1"/>
      <w:marLeft w:val="0"/>
      <w:marRight w:val="0"/>
      <w:marTop w:val="0"/>
      <w:marBottom w:val="0"/>
      <w:divBdr>
        <w:top w:val="none" w:sz="0" w:space="0" w:color="auto"/>
        <w:left w:val="none" w:sz="0" w:space="0" w:color="auto"/>
        <w:bottom w:val="none" w:sz="0" w:space="0" w:color="auto"/>
        <w:right w:val="none" w:sz="0" w:space="0" w:color="auto"/>
      </w:divBdr>
    </w:div>
    <w:div w:id="1016692229">
      <w:bodyDiv w:val="1"/>
      <w:marLeft w:val="0"/>
      <w:marRight w:val="0"/>
      <w:marTop w:val="0"/>
      <w:marBottom w:val="0"/>
      <w:divBdr>
        <w:top w:val="none" w:sz="0" w:space="0" w:color="auto"/>
        <w:left w:val="none" w:sz="0" w:space="0" w:color="auto"/>
        <w:bottom w:val="none" w:sz="0" w:space="0" w:color="auto"/>
        <w:right w:val="none" w:sz="0" w:space="0" w:color="auto"/>
      </w:divBdr>
    </w:div>
    <w:div w:id="1016692715">
      <w:bodyDiv w:val="1"/>
      <w:marLeft w:val="0"/>
      <w:marRight w:val="0"/>
      <w:marTop w:val="0"/>
      <w:marBottom w:val="0"/>
      <w:divBdr>
        <w:top w:val="none" w:sz="0" w:space="0" w:color="auto"/>
        <w:left w:val="none" w:sz="0" w:space="0" w:color="auto"/>
        <w:bottom w:val="none" w:sz="0" w:space="0" w:color="auto"/>
        <w:right w:val="none" w:sz="0" w:space="0" w:color="auto"/>
      </w:divBdr>
    </w:div>
    <w:div w:id="1017315378">
      <w:bodyDiv w:val="1"/>
      <w:marLeft w:val="0"/>
      <w:marRight w:val="0"/>
      <w:marTop w:val="0"/>
      <w:marBottom w:val="0"/>
      <w:divBdr>
        <w:top w:val="none" w:sz="0" w:space="0" w:color="auto"/>
        <w:left w:val="none" w:sz="0" w:space="0" w:color="auto"/>
        <w:bottom w:val="none" w:sz="0" w:space="0" w:color="auto"/>
        <w:right w:val="none" w:sz="0" w:space="0" w:color="auto"/>
      </w:divBdr>
    </w:div>
    <w:div w:id="1019039527">
      <w:bodyDiv w:val="1"/>
      <w:marLeft w:val="0"/>
      <w:marRight w:val="0"/>
      <w:marTop w:val="0"/>
      <w:marBottom w:val="0"/>
      <w:divBdr>
        <w:top w:val="none" w:sz="0" w:space="0" w:color="auto"/>
        <w:left w:val="none" w:sz="0" w:space="0" w:color="auto"/>
        <w:bottom w:val="none" w:sz="0" w:space="0" w:color="auto"/>
        <w:right w:val="none" w:sz="0" w:space="0" w:color="auto"/>
      </w:divBdr>
    </w:div>
    <w:div w:id="1023676849">
      <w:bodyDiv w:val="1"/>
      <w:marLeft w:val="0"/>
      <w:marRight w:val="0"/>
      <w:marTop w:val="0"/>
      <w:marBottom w:val="0"/>
      <w:divBdr>
        <w:top w:val="none" w:sz="0" w:space="0" w:color="auto"/>
        <w:left w:val="none" w:sz="0" w:space="0" w:color="auto"/>
        <w:bottom w:val="none" w:sz="0" w:space="0" w:color="auto"/>
        <w:right w:val="none" w:sz="0" w:space="0" w:color="auto"/>
      </w:divBdr>
      <w:divsChild>
        <w:div w:id="1967810112">
          <w:marLeft w:val="0"/>
          <w:marRight w:val="0"/>
          <w:marTop w:val="0"/>
          <w:marBottom w:val="0"/>
          <w:divBdr>
            <w:top w:val="none" w:sz="0" w:space="0" w:color="auto"/>
            <w:left w:val="none" w:sz="0" w:space="0" w:color="auto"/>
            <w:bottom w:val="none" w:sz="0" w:space="0" w:color="auto"/>
            <w:right w:val="none" w:sz="0" w:space="0" w:color="auto"/>
          </w:divBdr>
        </w:div>
      </w:divsChild>
    </w:div>
    <w:div w:id="1028868708">
      <w:bodyDiv w:val="1"/>
      <w:marLeft w:val="0"/>
      <w:marRight w:val="0"/>
      <w:marTop w:val="0"/>
      <w:marBottom w:val="0"/>
      <w:divBdr>
        <w:top w:val="none" w:sz="0" w:space="0" w:color="auto"/>
        <w:left w:val="none" w:sz="0" w:space="0" w:color="auto"/>
        <w:bottom w:val="none" w:sz="0" w:space="0" w:color="auto"/>
        <w:right w:val="none" w:sz="0" w:space="0" w:color="auto"/>
      </w:divBdr>
    </w:div>
    <w:div w:id="1029142397">
      <w:bodyDiv w:val="1"/>
      <w:marLeft w:val="0"/>
      <w:marRight w:val="0"/>
      <w:marTop w:val="0"/>
      <w:marBottom w:val="0"/>
      <w:divBdr>
        <w:top w:val="none" w:sz="0" w:space="0" w:color="auto"/>
        <w:left w:val="none" w:sz="0" w:space="0" w:color="auto"/>
        <w:bottom w:val="none" w:sz="0" w:space="0" w:color="auto"/>
        <w:right w:val="none" w:sz="0" w:space="0" w:color="auto"/>
      </w:divBdr>
    </w:div>
    <w:div w:id="1031344029">
      <w:bodyDiv w:val="1"/>
      <w:marLeft w:val="0"/>
      <w:marRight w:val="0"/>
      <w:marTop w:val="0"/>
      <w:marBottom w:val="0"/>
      <w:divBdr>
        <w:top w:val="none" w:sz="0" w:space="0" w:color="auto"/>
        <w:left w:val="none" w:sz="0" w:space="0" w:color="auto"/>
        <w:bottom w:val="none" w:sz="0" w:space="0" w:color="auto"/>
        <w:right w:val="none" w:sz="0" w:space="0" w:color="auto"/>
      </w:divBdr>
    </w:div>
    <w:div w:id="1032728337">
      <w:bodyDiv w:val="1"/>
      <w:marLeft w:val="0"/>
      <w:marRight w:val="0"/>
      <w:marTop w:val="0"/>
      <w:marBottom w:val="0"/>
      <w:divBdr>
        <w:top w:val="none" w:sz="0" w:space="0" w:color="auto"/>
        <w:left w:val="none" w:sz="0" w:space="0" w:color="auto"/>
        <w:bottom w:val="none" w:sz="0" w:space="0" w:color="auto"/>
        <w:right w:val="none" w:sz="0" w:space="0" w:color="auto"/>
      </w:divBdr>
    </w:div>
    <w:div w:id="1034383860">
      <w:bodyDiv w:val="1"/>
      <w:marLeft w:val="0"/>
      <w:marRight w:val="0"/>
      <w:marTop w:val="0"/>
      <w:marBottom w:val="0"/>
      <w:divBdr>
        <w:top w:val="none" w:sz="0" w:space="0" w:color="auto"/>
        <w:left w:val="none" w:sz="0" w:space="0" w:color="auto"/>
        <w:bottom w:val="none" w:sz="0" w:space="0" w:color="auto"/>
        <w:right w:val="none" w:sz="0" w:space="0" w:color="auto"/>
      </w:divBdr>
    </w:div>
    <w:div w:id="1037659086">
      <w:bodyDiv w:val="1"/>
      <w:marLeft w:val="0"/>
      <w:marRight w:val="0"/>
      <w:marTop w:val="0"/>
      <w:marBottom w:val="0"/>
      <w:divBdr>
        <w:top w:val="none" w:sz="0" w:space="0" w:color="auto"/>
        <w:left w:val="none" w:sz="0" w:space="0" w:color="auto"/>
        <w:bottom w:val="none" w:sz="0" w:space="0" w:color="auto"/>
        <w:right w:val="none" w:sz="0" w:space="0" w:color="auto"/>
      </w:divBdr>
    </w:div>
    <w:div w:id="1038312852">
      <w:bodyDiv w:val="1"/>
      <w:marLeft w:val="0"/>
      <w:marRight w:val="0"/>
      <w:marTop w:val="0"/>
      <w:marBottom w:val="0"/>
      <w:divBdr>
        <w:top w:val="none" w:sz="0" w:space="0" w:color="auto"/>
        <w:left w:val="none" w:sz="0" w:space="0" w:color="auto"/>
        <w:bottom w:val="none" w:sz="0" w:space="0" w:color="auto"/>
        <w:right w:val="none" w:sz="0" w:space="0" w:color="auto"/>
      </w:divBdr>
    </w:div>
    <w:div w:id="1040012211">
      <w:bodyDiv w:val="1"/>
      <w:marLeft w:val="0"/>
      <w:marRight w:val="0"/>
      <w:marTop w:val="0"/>
      <w:marBottom w:val="0"/>
      <w:divBdr>
        <w:top w:val="none" w:sz="0" w:space="0" w:color="auto"/>
        <w:left w:val="none" w:sz="0" w:space="0" w:color="auto"/>
        <w:bottom w:val="none" w:sz="0" w:space="0" w:color="auto"/>
        <w:right w:val="none" w:sz="0" w:space="0" w:color="auto"/>
      </w:divBdr>
    </w:div>
    <w:div w:id="1040670622">
      <w:bodyDiv w:val="1"/>
      <w:marLeft w:val="0"/>
      <w:marRight w:val="0"/>
      <w:marTop w:val="0"/>
      <w:marBottom w:val="0"/>
      <w:divBdr>
        <w:top w:val="none" w:sz="0" w:space="0" w:color="auto"/>
        <w:left w:val="none" w:sz="0" w:space="0" w:color="auto"/>
        <w:bottom w:val="none" w:sz="0" w:space="0" w:color="auto"/>
        <w:right w:val="none" w:sz="0" w:space="0" w:color="auto"/>
      </w:divBdr>
    </w:div>
    <w:div w:id="1040862241">
      <w:bodyDiv w:val="1"/>
      <w:marLeft w:val="0"/>
      <w:marRight w:val="0"/>
      <w:marTop w:val="0"/>
      <w:marBottom w:val="0"/>
      <w:divBdr>
        <w:top w:val="none" w:sz="0" w:space="0" w:color="auto"/>
        <w:left w:val="none" w:sz="0" w:space="0" w:color="auto"/>
        <w:bottom w:val="none" w:sz="0" w:space="0" w:color="auto"/>
        <w:right w:val="none" w:sz="0" w:space="0" w:color="auto"/>
      </w:divBdr>
    </w:div>
    <w:div w:id="1041595279">
      <w:bodyDiv w:val="1"/>
      <w:marLeft w:val="0"/>
      <w:marRight w:val="0"/>
      <w:marTop w:val="0"/>
      <w:marBottom w:val="0"/>
      <w:divBdr>
        <w:top w:val="none" w:sz="0" w:space="0" w:color="auto"/>
        <w:left w:val="none" w:sz="0" w:space="0" w:color="auto"/>
        <w:bottom w:val="none" w:sz="0" w:space="0" w:color="auto"/>
        <w:right w:val="none" w:sz="0" w:space="0" w:color="auto"/>
      </w:divBdr>
    </w:div>
    <w:div w:id="1042904962">
      <w:bodyDiv w:val="1"/>
      <w:marLeft w:val="0"/>
      <w:marRight w:val="0"/>
      <w:marTop w:val="0"/>
      <w:marBottom w:val="0"/>
      <w:divBdr>
        <w:top w:val="none" w:sz="0" w:space="0" w:color="auto"/>
        <w:left w:val="none" w:sz="0" w:space="0" w:color="auto"/>
        <w:bottom w:val="none" w:sz="0" w:space="0" w:color="auto"/>
        <w:right w:val="none" w:sz="0" w:space="0" w:color="auto"/>
      </w:divBdr>
    </w:div>
    <w:div w:id="1043095668">
      <w:bodyDiv w:val="1"/>
      <w:marLeft w:val="0"/>
      <w:marRight w:val="0"/>
      <w:marTop w:val="0"/>
      <w:marBottom w:val="0"/>
      <w:divBdr>
        <w:top w:val="none" w:sz="0" w:space="0" w:color="auto"/>
        <w:left w:val="none" w:sz="0" w:space="0" w:color="auto"/>
        <w:bottom w:val="none" w:sz="0" w:space="0" w:color="auto"/>
        <w:right w:val="none" w:sz="0" w:space="0" w:color="auto"/>
      </w:divBdr>
    </w:div>
    <w:div w:id="1043797021">
      <w:bodyDiv w:val="1"/>
      <w:marLeft w:val="0"/>
      <w:marRight w:val="0"/>
      <w:marTop w:val="0"/>
      <w:marBottom w:val="0"/>
      <w:divBdr>
        <w:top w:val="none" w:sz="0" w:space="0" w:color="auto"/>
        <w:left w:val="none" w:sz="0" w:space="0" w:color="auto"/>
        <w:bottom w:val="none" w:sz="0" w:space="0" w:color="auto"/>
        <w:right w:val="none" w:sz="0" w:space="0" w:color="auto"/>
      </w:divBdr>
    </w:div>
    <w:div w:id="1049651151">
      <w:bodyDiv w:val="1"/>
      <w:marLeft w:val="0"/>
      <w:marRight w:val="0"/>
      <w:marTop w:val="0"/>
      <w:marBottom w:val="0"/>
      <w:divBdr>
        <w:top w:val="none" w:sz="0" w:space="0" w:color="auto"/>
        <w:left w:val="none" w:sz="0" w:space="0" w:color="auto"/>
        <w:bottom w:val="none" w:sz="0" w:space="0" w:color="auto"/>
        <w:right w:val="none" w:sz="0" w:space="0" w:color="auto"/>
      </w:divBdr>
    </w:div>
    <w:div w:id="1054424797">
      <w:bodyDiv w:val="1"/>
      <w:marLeft w:val="0"/>
      <w:marRight w:val="0"/>
      <w:marTop w:val="0"/>
      <w:marBottom w:val="0"/>
      <w:divBdr>
        <w:top w:val="none" w:sz="0" w:space="0" w:color="auto"/>
        <w:left w:val="none" w:sz="0" w:space="0" w:color="auto"/>
        <w:bottom w:val="none" w:sz="0" w:space="0" w:color="auto"/>
        <w:right w:val="none" w:sz="0" w:space="0" w:color="auto"/>
      </w:divBdr>
    </w:div>
    <w:div w:id="1055349750">
      <w:bodyDiv w:val="1"/>
      <w:marLeft w:val="0"/>
      <w:marRight w:val="0"/>
      <w:marTop w:val="0"/>
      <w:marBottom w:val="0"/>
      <w:divBdr>
        <w:top w:val="none" w:sz="0" w:space="0" w:color="auto"/>
        <w:left w:val="none" w:sz="0" w:space="0" w:color="auto"/>
        <w:bottom w:val="none" w:sz="0" w:space="0" w:color="auto"/>
        <w:right w:val="none" w:sz="0" w:space="0" w:color="auto"/>
      </w:divBdr>
    </w:div>
    <w:div w:id="1055543286">
      <w:bodyDiv w:val="1"/>
      <w:marLeft w:val="0"/>
      <w:marRight w:val="0"/>
      <w:marTop w:val="0"/>
      <w:marBottom w:val="0"/>
      <w:divBdr>
        <w:top w:val="none" w:sz="0" w:space="0" w:color="auto"/>
        <w:left w:val="none" w:sz="0" w:space="0" w:color="auto"/>
        <w:bottom w:val="none" w:sz="0" w:space="0" w:color="auto"/>
        <w:right w:val="none" w:sz="0" w:space="0" w:color="auto"/>
      </w:divBdr>
    </w:div>
    <w:div w:id="1056011138">
      <w:bodyDiv w:val="1"/>
      <w:marLeft w:val="0"/>
      <w:marRight w:val="0"/>
      <w:marTop w:val="0"/>
      <w:marBottom w:val="0"/>
      <w:divBdr>
        <w:top w:val="none" w:sz="0" w:space="0" w:color="auto"/>
        <w:left w:val="none" w:sz="0" w:space="0" w:color="auto"/>
        <w:bottom w:val="none" w:sz="0" w:space="0" w:color="auto"/>
        <w:right w:val="none" w:sz="0" w:space="0" w:color="auto"/>
      </w:divBdr>
    </w:div>
    <w:div w:id="1057511928">
      <w:bodyDiv w:val="1"/>
      <w:marLeft w:val="0"/>
      <w:marRight w:val="0"/>
      <w:marTop w:val="0"/>
      <w:marBottom w:val="0"/>
      <w:divBdr>
        <w:top w:val="none" w:sz="0" w:space="0" w:color="auto"/>
        <w:left w:val="none" w:sz="0" w:space="0" w:color="auto"/>
        <w:bottom w:val="none" w:sz="0" w:space="0" w:color="auto"/>
        <w:right w:val="none" w:sz="0" w:space="0" w:color="auto"/>
      </w:divBdr>
    </w:div>
    <w:div w:id="1058086544">
      <w:bodyDiv w:val="1"/>
      <w:marLeft w:val="0"/>
      <w:marRight w:val="0"/>
      <w:marTop w:val="0"/>
      <w:marBottom w:val="0"/>
      <w:divBdr>
        <w:top w:val="none" w:sz="0" w:space="0" w:color="auto"/>
        <w:left w:val="none" w:sz="0" w:space="0" w:color="auto"/>
        <w:bottom w:val="none" w:sz="0" w:space="0" w:color="auto"/>
        <w:right w:val="none" w:sz="0" w:space="0" w:color="auto"/>
      </w:divBdr>
    </w:div>
    <w:div w:id="1058748218">
      <w:bodyDiv w:val="1"/>
      <w:marLeft w:val="0"/>
      <w:marRight w:val="0"/>
      <w:marTop w:val="0"/>
      <w:marBottom w:val="0"/>
      <w:divBdr>
        <w:top w:val="none" w:sz="0" w:space="0" w:color="auto"/>
        <w:left w:val="none" w:sz="0" w:space="0" w:color="auto"/>
        <w:bottom w:val="none" w:sz="0" w:space="0" w:color="auto"/>
        <w:right w:val="none" w:sz="0" w:space="0" w:color="auto"/>
      </w:divBdr>
    </w:div>
    <w:div w:id="1059667927">
      <w:bodyDiv w:val="1"/>
      <w:marLeft w:val="0"/>
      <w:marRight w:val="0"/>
      <w:marTop w:val="0"/>
      <w:marBottom w:val="0"/>
      <w:divBdr>
        <w:top w:val="none" w:sz="0" w:space="0" w:color="auto"/>
        <w:left w:val="none" w:sz="0" w:space="0" w:color="auto"/>
        <w:bottom w:val="none" w:sz="0" w:space="0" w:color="auto"/>
        <w:right w:val="none" w:sz="0" w:space="0" w:color="auto"/>
      </w:divBdr>
    </w:div>
    <w:div w:id="1060447320">
      <w:bodyDiv w:val="1"/>
      <w:marLeft w:val="0"/>
      <w:marRight w:val="0"/>
      <w:marTop w:val="0"/>
      <w:marBottom w:val="0"/>
      <w:divBdr>
        <w:top w:val="none" w:sz="0" w:space="0" w:color="auto"/>
        <w:left w:val="none" w:sz="0" w:space="0" w:color="auto"/>
        <w:bottom w:val="none" w:sz="0" w:space="0" w:color="auto"/>
        <w:right w:val="none" w:sz="0" w:space="0" w:color="auto"/>
      </w:divBdr>
      <w:divsChild>
        <w:div w:id="1307007621">
          <w:marLeft w:val="0"/>
          <w:marRight w:val="0"/>
          <w:marTop w:val="0"/>
          <w:marBottom w:val="0"/>
          <w:divBdr>
            <w:top w:val="none" w:sz="0" w:space="0" w:color="auto"/>
            <w:left w:val="none" w:sz="0" w:space="0" w:color="auto"/>
            <w:bottom w:val="none" w:sz="0" w:space="0" w:color="auto"/>
            <w:right w:val="none" w:sz="0" w:space="0" w:color="auto"/>
          </w:divBdr>
        </w:div>
      </w:divsChild>
    </w:div>
    <w:div w:id="1060984728">
      <w:bodyDiv w:val="1"/>
      <w:marLeft w:val="0"/>
      <w:marRight w:val="0"/>
      <w:marTop w:val="0"/>
      <w:marBottom w:val="0"/>
      <w:divBdr>
        <w:top w:val="none" w:sz="0" w:space="0" w:color="auto"/>
        <w:left w:val="none" w:sz="0" w:space="0" w:color="auto"/>
        <w:bottom w:val="none" w:sz="0" w:space="0" w:color="auto"/>
        <w:right w:val="none" w:sz="0" w:space="0" w:color="auto"/>
      </w:divBdr>
    </w:div>
    <w:div w:id="1062675777">
      <w:bodyDiv w:val="1"/>
      <w:marLeft w:val="0"/>
      <w:marRight w:val="0"/>
      <w:marTop w:val="0"/>
      <w:marBottom w:val="0"/>
      <w:divBdr>
        <w:top w:val="none" w:sz="0" w:space="0" w:color="auto"/>
        <w:left w:val="none" w:sz="0" w:space="0" w:color="auto"/>
        <w:bottom w:val="none" w:sz="0" w:space="0" w:color="auto"/>
        <w:right w:val="none" w:sz="0" w:space="0" w:color="auto"/>
      </w:divBdr>
    </w:div>
    <w:div w:id="1066420334">
      <w:bodyDiv w:val="1"/>
      <w:marLeft w:val="0"/>
      <w:marRight w:val="0"/>
      <w:marTop w:val="0"/>
      <w:marBottom w:val="0"/>
      <w:divBdr>
        <w:top w:val="none" w:sz="0" w:space="0" w:color="auto"/>
        <w:left w:val="none" w:sz="0" w:space="0" w:color="auto"/>
        <w:bottom w:val="none" w:sz="0" w:space="0" w:color="auto"/>
        <w:right w:val="none" w:sz="0" w:space="0" w:color="auto"/>
      </w:divBdr>
    </w:div>
    <w:div w:id="1069037691">
      <w:bodyDiv w:val="1"/>
      <w:marLeft w:val="0"/>
      <w:marRight w:val="0"/>
      <w:marTop w:val="0"/>
      <w:marBottom w:val="0"/>
      <w:divBdr>
        <w:top w:val="none" w:sz="0" w:space="0" w:color="auto"/>
        <w:left w:val="none" w:sz="0" w:space="0" w:color="auto"/>
        <w:bottom w:val="none" w:sz="0" w:space="0" w:color="auto"/>
        <w:right w:val="none" w:sz="0" w:space="0" w:color="auto"/>
      </w:divBdr>
    </w:div>
    <w:div w:id="1069422221">
      <w:bodyDiv w:val="1"/>
      <w:marLeft w:val="0"/>
      <w:marRight w:val="0"/>
      <w:marTop w:val="0"/>
      <w:marBottom w:val="0"/>
      <w:divBdr>
        <w:top w:val="none" w:sz="0" w:space="0" w:color="auto"/>
        <w:left w:val="none" w:sz="0" w:space="0" w:color="auto"/>
        <w:bottom w:val="none" w:sz="0" w:space="0" w:color="auto"/>
        <w:right w:val="none" w:sz="0" w:space="0" w:color="auto"/>
      </w:divBdr>
    </w:div>
    <w:div w:id="1069690098">
      <w:bodyDiv w:val="1"/>
      <w:marLeft w:val="0"/>
      <w:marRight w:val="0"/>
      <w:marTop w:val="0"/>
      <w:marBottom w:val="0"/>
      <w:divBdr>
        <w:top w:val="none" w:sz="0" w:space="0" w:color="auto"/>
        <w:left w:val="none" w:sz="0" w:space="0" w:color="auto"/>
        <w:bottom w:val="none" w:sz="0" w:space="0" w:color="auto"/>
        <w:right w:val="none" w:sz="0" w:space="0" w:color="auto"/>
      </w:divBdr>
    </w:div>
    <w:div w:id="1070418763">
      <w:bodyDiv w:val="1"/>
      <w:marLeft w:val="0"/>
      <w:marRight w:val="0"/>
      <w:marTop w:val="0"/>
      <w:marBottom w:val="0"/>
      <w:divBdr>
        <w:top w:val="none" w:sz="0" w:space="0" w:color="auto"/>
        <w:left w:val="none" w:sz="0" w:space="0" w:color="auto"/>
        <w:bottom w:val="none" w:sz="0" w:space="0" w:color="auto"/>
        <w:right w:val="none" w:sz="0" w:space="0" w:color="auto"/>
      </w:divBdr>
    </w:div>
    <w:div w:id="1070930544">
      <w:bodyDiv w:val="1"/>
      <w:marLeft w:val="0"/>
      <w:marRight w:val="0"/>
      <w:marTop w:val="0"/>
      <w:marBottom w:val="0"/>
      <w:divBdr>
        <w:top w:val="none" w:sz="0" w:space="0" w:color="auto"/>
        <w:left w:val="none" w:sz="0" w:space="0" w:color="auto"/>
        <w:bottom w:val="none" w:sz="0" w:space="0" w:color="auto"/>
        <w:right w:val="none" w:sz="0" w:space="0" w:color="auto"/>
      </w:divBdr>
    </w:div>
    <w:div w:id="1071000639">
      <w:bodyDiv w:val="1"/>
      <w:marLeft w:val="0"/>
      <w:marRight w:val="0"/>
      <w:marTop w:val="0"/>
      <w:marBottom w:val="0"/>
      <w:divBdr>
        <w:top w:val="none" w:sz="0" w:space="0" w:color="auto"/>
        <w:left w:val="none" w:sz="0" w:space="0" w:color="auto"/>
        <w:bottom w:val="none" w:sz="0" w:space="0" w:color="auto"/>
        <w:right w:val="none" w:sz="0" w:space="0" w:color="auto"/>
      </w:divBdr>
    </w:div>
    <w:div w:id="1072044064">
      <w:bodyDiv w:val="1"/>
      <w:marLeft w:val="0"/>
      <w:marRight w:val="0"/>
      <w:marTop w:val="0"/>
      <w:marBottom w:val="0"/>
      <w:divBdr>
        <w:top w:val="none" w:sz="0" w:space="0" w:color="auto"/>
        <w:left w:val="none" w:sz="0" w:space="0" w:color="auto"/>
        <w:bottom w:val="none" w:sz="0" w:space="0" w:color="auto"/>
        <w:right w:val="none" w:sz="0" w:space="0" w:color="auto"/>
      </w:divBdr>
    </w:div>
    <w:div w:id="1073505998">
      <w:bodyDiv w:val="1"/>
      <w:marLeft w:val="0"/>
      <w:marRight w:val="0"/>
      <w:marTop w:val="0"/>
      <w:marBottom w:val="0"/>
      <w:divBdr>
        <w:top w:val="none" w:sz="0" w:space="0" w:color="auto"/>
        <w:left w:val="none" w:sz="0" w:space="0" w:color="auto"/>
        <w:bottom w:val="none" w:sz="0" w:space="0" w:color="auto"/>
        <w:right w:val="none" w:sz="0" w:space="0" w:color="auto"/>
      </w:divBdr>
    </w:div>
    <w:div w:id="1076053166">
      <w:bodyDiv w:val="1"/>
      <w:marLeft w:val="0"/>
      <w:marRight w:val="0"/>
      <w:marTop w:val="0"/>
      <w:marBottom w:val="0"/>
      <w:divBdr>
        <w:top w:val="none" w:sz="0" w:space="0" w:color="auto"/>
        <w:left w:val="none" w:sz="0" w:space="0" w:color="auto"/>
        <w:bottom w:val="none" w:sz="0" w:space="0" w:color="auto"/>
        <w:right w:val="none" w:sz="0" w:space="0" w:color="auto"/>
      </w:divBdr>
    </w:div>
    <w:div w:id="1076560981">
      <w:bodyDiv w:val="1"/>
      <w:marLeft w:val="0"/>
      <w:marRight w:val="0"/>
      <w:marTop w:val="0"/>
      <w:marBottom w:val="0"/>
      <w:divBdr>
        <w:top w:val="none" w:sz="0" w:space="0" w:color="auto"/>
        <w:left w:val="none" w:sz="0" w:space="0" w:color="auto"/>
        <w:bottom w:val="none" w:sz="0" w:space="0" w:color="auto"/>
        <w:right w:val="none" w:sz="0" w:space="0" w:color="auto"/>
      </w:divBdr>
    </w:div>
    <w:div w:id="1077366804">
      <w:bodyDiv w:val="1"/>
      <w:marLeft w:val="0"/>
      <w:marRight w:val="0"/>
      <w:marTop w:val="0"/>
      <w:marBottom w:val="0"/>
      <w:divBdr>
        <w:top w:val="none" w:sz="0" w:space="0" w:color="auto"/>
        <w:left w:val="none" w:sz="0" w:space="0" w:color="auto"/>
        <w:bottom w:val="none" w:sz="0" w:space="0" w:color="auto"/>
        <w:right w:val="none" w:sz="0" w:space="0" w:color="auto"/>
      </w:divBdr>
    </w:div>
    <w:div w:id="1078938309">
      <w:bodyDiv w:val="1"/>
      <w:marLeft w:val="0"/>
      <w:marRight w:val="0"/>
      <w:marTop w:val="0"/>
      <w:marBottom w:val="0"/>
      <w:divBdr>
        <w:top w:val="none" w:sz="0" w:space="0" w:color="auto"/>
        <w:left w:val="none" w:sz="0" w:space="0" w:color="auto"/>
        <w:bottom w:val="none" w:sz="0" w:space="0" w:color="auto"/>
        <w:right w:val="none" w:sz="0" w:space="0" w:color="auto"/>
      </w:divBdr>
    </w:div>
    <w:div w:id="1079406277">
      <w:bodyDiv w:val="1"/>
      <w:marLeft w:val="0"/>
      <w:marRight w:val="0"/>
      <w:marTop w:val="0"/>
      <w:marBottom w:val="0"/>
      <w:divBdr>
        <w:top w:val="none" w:sz="0" w:space="0" w:color="auto"/>
        <w:left w:val="none" w:sz="0" w:space="0" w:color="auto"/>
        <w:bottom w:val="none" w:sz="0" w:space="0" w:color="auto"/>
        <w:right w:val="none" w:sz="0" w:space="0" w:color="auto"/>
      </w:divBdr>
    </w:div>
    <w:div w:id="1080978611">
      <w:bodyDiv w:val="1"/>
      <w:marLeft w:val="0"/>
      <w:marRight w:val="0"/>
      <w:marTop w:val="0"/>
      <w:marBottom w:val="0"/>
      <w:divBdr>
        <w:top w:val="none" w:sz="0" w:space="0" w:color="auto"/>
        <w:left w:val="none" w:sz="0" w:space="0" w:color="auto"/>
        <w:bottom w:val="none" w:sz="0" w:space="0" w:color="auto"/>
        <w:right w:val="none" w:sz="0" w:space="0" w:color="auto"/>
      </w:divBdr>
    </w:div>
    <w:div w:id="1082489345">
      <w:bodyDiv w:val="1"/>
      <w:marLeft w:val="0"/>
      <w:marRight w:val="0"/>
      <w:marTop w:val="0"/>
      <w:marBottom w:val="0"/>
      <w:divBdr>
        <w:top w:val="none" w:sz="0" w:space="0" w:color="auto"/>
        <w:left w:val="none" w:sz="0" w:space="0" w:color="auto"/>
        <w:bottom w:val="none" w:sz="0" w:space="0" w:color="auto"/>
        <w:right w:val="none" w:sz="0" w:space="0" w:color="auto"/>
      </w:divBdr>
      <w:divsChild>
        <w:div w:id="207422216">
          <w:marLeft w:val="0"/>
          <w:marRight w:val="0"/>
          <w:marTop w:val="0"/>
          <w:marBottom w:val="0"/>
          <w:divBdr>
            <w:top w:val="none" w:sz="0" w:space="0" w:color="auto"/>
            <w:left w:val="none" w:sz="0" w:space="0" w:color="auto"/>
            <w:bottom w:val="none" w:sz="0" w:space="0" w:color="auto"/>
            <w:right w:val="none" w:sz="0" w:space="0" w:color="auto"/>
          </w:divBdr>
        </w:div>
      </w:divsChild>
    </w:div>
    <w:div w:id="1082529564">
      <w:bodyDiv w:val="1"/>
      <w:marLeft w:val="0"/>
      <w:marRight w:val="0"/>
      <w:marTop w:val="0"/>
      <w:marBottom w:val="0"/>
      <w:divBdr>
        <w:top w:val="none" w:sz="0" w:space="0" w:color="auto"/>
        <w:left w:val="none" w:sz="0" w:space="0" w:color="auto"/>
        <w:bottom w:val="none" w:sz="0" w:space="0" w:color="auto"/>
        <w:right w:val="none" w:sz="0" w:space="0" w:color="auto"/>
      </w:divBdr>
    </w:div>
    <w:div w:id="1083525859">
      <w:bodyDiv w:val="1"/>
      <w:marLeft w:val="0"/>
      <w:marRight w:val="0"/>
      <w:marTop w:val="0"/>
      <w:marBottom w:val="0"/>
      <w:divBdr>
        <w:top w:val="none" w:sz="0" w:space="0" w:color="auto"/>
        <w:left w:val="none" w:sz="0" w:space="0" w:color="auto"/>
        <w:bottom w:val="none" w:sz="0" w:space="0" w:color="auto"/>
        <w:right w:val="none" w:sz="0" w:space="0" w:color="auto"/>
      </w:divBdr>
    </w:div>
    <w:div w:id="1083645006">
      <w:bodyDiv w:val="1"/>
      <w:marLeft w:val="0"/>
      <w:marRight w:val="0"/>
      <w:marTop w:val="0"/>
      <w:marBottom w:val="0"/>
      <w:divBdr>
        <w:top w:val="none" w:sz="0" w:space="0" w:color="auto"/>
        <w:left w:val="none" w:sz="0" w:space="0" w:color="auto"/>
        <w:bottom w:val="none" w:sz="0" w:space="0" w:color="auto"/>
        <w:right w:val="none" w:sz="0" w:space="0" w:color="auto"/>
      </w:divBdr>
    </w:div>
    <w:div w:id="1084953368">
      <w:bodyDiv w:val="1"/>
      <w:marLeft w:val="0"/>
      <w:marRight w:val="0"/>
      <w:marTop w:val="0"/>
      <w:marBottom w:val="0"/>
      <w:divBdr>
        <w:top w:val="none" w:sz="0" w:space="0" w:color="auto"/>
        <w:left w:val="none" w:sz="0" w:space="0" w:color="auto"/>
        <w:bottom w:val="none" w:sz="0" w:space="0" w:color="auto"/>
        <w:right w:val="none" w:sz="0" w:space="0" w:color="auto"/>
      </w:divBdr>
    </w:div>
    <w:div w:id="1085348601">
      <w:bodyDiv w:val="1"/>
      <w:marLeft w:val="0"/>
      <w:marRight w:val="0"/>
      <w:marTop w:val="0"/>
      <w:marBottom w:val="0"/>
      <w:divBdr>
        <w:top w:val="none" w:sz="0" w:space="0" w:color="auto"/>
        <w:left w:val="none" w:sz="0" w:space="0" w:color="auto"/>
        <w:bottom w:val="none" w:sz="0" w:space="0" w:color="auto"/>
        <w:right w:val="none" w:sz="0" w:space="0" w:color="auto"/>
      </w:divBdr>
    </w:div>
    <w:div w:id="1086002681">
      <w:bodyDiv w:val="1"/>
      <w:marLeft w:val="0"/>
      <w:marRight w:val="0"/>
      <w:marTop w:val="0"/>
      <w:marBottom w:val="0"/>
      <w:divBdr>
        <w:top w:val="none" w:sz="0" w:space="0" w:color="auto"/>
        <w:left w:val="none" w:sz="0" w:space="0" w:color="auto"/>
        <w:bottom w:val="none" w:sz="0" w:space="0" w:color="auto"/>
        <w:right w:val="none" w:sz="0" w:space="0" w:color="auto"/>
      </w:divBdr>
    </w:div>
    <w:div w:id="1088237799">
      <w:bodyDiv w:val="1"/>
      <w:marLeft w:val="0"/>
      <w:marRight w:val="0"/>
      <w:marTop w:val="0"/>
      <w:marBottom w:val="0"/>
      <w:divBdr>
        <w:top w:val="none" w:sz="0" w:space="0" w:color="auto"/>
        <w:left w:val="none" w:sz="0" w:space="0" w:color="auto"/>
        <w:bottom w:val="none" w:sz="0" w:space="0" w:color="auto"/>
        <w:right w:val="none" w:sz="0" w:space="0" w:color="auto"/>
      </w:divBdr>
    </w:div>
    <w:div w:id="1088624974">
      <w:bodyDiv w:val="1"/>
      <w:marLeft w:val="0"/>
      <w:marRight w:val="0"/>
      <w:marTop w:val="0"/>
      <w:marBottom w:val="0"/>
      <w:divBdr>
        <w:top w:val="none" w:sz="0" w:space="0" w:color="auto"/>
        <w:left w:val="none" w:sz="0" w:space="0" w:color="auto"/>
        <w:bottom w:val="none" w:sz="0" w:space="0" w:color="auto"/>
        <w:right w:val="none" w:sz="0" w:space="0" w:color="auto"/>
      </w:divBdr>
    </w:div>
    <w:div w:id="1090007839">
      <w:bodyDiv w:val="1"/>
      <w:marLeft w:val="0"/>
      <w:marRight w:val="0"/>
      <w:marTop w:val="0"/>
      <w:marBottom w:val="0"/>
      <w:divBdr>
        <w:top w:val="none" w:sz="0" w:space="0" w:color="auto"/>
        <w:left w:val="none" w:sz="0" w:space="0" w:color="auto"/>
        <w:bottom w:val="none" w:sz="0" w:space="0" w:color="auto"/>
        <w:right w:val="none" w:sz="0" w:space="0" w:color="auto"/>
      </w:divBdr>
    </w:div>
    <w:div w:id="1090154966">
      <w:bodyDiv w:val="1"/>
      <w:marLeft w:val="0"/>
      <w:marRight w:val="0"/>
      <w:marTop w:val="0"/>
      <w:marBottom w:val="0"/>
      <w:divBdr>
        <w:top w:val="none" w:sz="0" w:space="0" w:color="auto"/>
        <w:left w:val="none" w:sz="0" w:space="0" w:color="auto"/>
        <w:bottom w:val="none" w:sz="0" w:space="0" w:color="auto"/>
        <w:right w:val="none" w:sz="0" w:space="0" w:color="auto"/>
      </w:divBdr>
    </w:div>
    <w:div w:id="1091127107">
      <w:bodyDiv w:val="1"/>
      <w:marLeft w:val="0"/>
      <w:marRight w:val="0"/>
      <w:marTop w:val="0"/>
      <w:marBottom w:val="0"/>
      <w:divBdr>
        <w:top w:val="none" w:sz="0" w:space="0" w:color="auto"/>
        <w:left w:val="none" w:sz="0" w:space="0" w:color="auto"/>
        <w:bottom w:val="none" w:sz="0" w:space="0" w:color="auto"/>
        <w:right w:val="none" w:sz="0" w:space="0" w:color="auto"/>
      </w:divBdr>
    </w:div>
    <w:div w:id="1091270046">
      <w:bodyDiv w:val="1"/>
      <w:marLeft w:val="0"/>
      <w:marRight w:val="0"/>
      <w:marTop w:val="0"/>
      <w:marBottom w:val="0"/>
      <w:divBdr>
        <w:top w:val="none" w:sz="0" w:space="0" w:color="auto"/>
        <w:left w:val="none" w:sz="0" w:space="0" w:color="auto"/>
        <w:bottom w:val="none" w:sz="0" w:space="0" w:color="auto"/>
        <w:right w:val="none" w:sz="0" w:space="0" w:color="auto"/>
      </w:divBdr>
    </w:div>
    <w:div w:id="1091587965">
      <w:bodyDiv w:val="1"/>
      <w:marLeft w:val="0"/>
      <w:marRight w:val="0"/>
      <w:marTop w:val="0"/>
      <w:marBottom w:val="0"/>
      <w:divBdr>
        <w:top w:val="none" w:sz="0" w:space="0" w:color="auto"/>
        <w:left w:val="none" w:sz="0" w:space="0" w:color="auto"/>
        <w:bottom w:val="none" w:sz="0" w:space="0" w:color="auto"/>
        <w:right w:val="none" w:sz="0" w:space="0" w:color="auto"/>
      </w:divBdr>
    </w:div>
    <w:div w:id="1092971143">
      <w:bodyDiv w:val="1"/>
      <w:marLeft w:val="0"/>
      <w:marRight w:val="0"/>
      <w:marTop w:val="0"/>
      <w:marBottom w:val="0"/>
      <w:divBdr>
        <w:top w:val="none" w:sz="0" w:space="0" w:color="auto"/>
        <w:left w:val="none" w:sz="0" w:space="0" w:color="auto"/>
        <w:bottom w:val="none" w:sz="0" w:space="0" w:color="auto"/>
        <w:right w:val="none" w:sz="0" w:space="0" w:color="auto"/>
      </w:divBdr>
    </w:div>
    <w:div w:id="1093864208">
      <w:bodyDiv w:val="1"/>
      <w:marLeft w:val="0"/>
      <w:marRight w:val="0"/>
      <w:marTop w:val="0"/>
      <w:marBottom w:val="0"/>
      <w:divBdr>
        <w:top w:val="none" w:sz="0" w:space="0" w:color="auto"/>
        <w:left w:val="none" w:sz="0" w:space="0" w:color="auto"/>
        <w:bottom w:val="none" w:sz="0" w:space="0" w:color="auto"/>
        <w:right w:val="none" w:sz="0" w:space="0" w:color="auto"/>
      </w:divBdr>
      <w:divsChild>
        <w:div w:id="2040927482">
          <w:marLeft w:val="0"/>
          <w:marRight w:val="0"/>
          <w:marTop w:val="0"/>
          <w:marBottom w:val="0"/>
          <w:divBdr>
            <w:top w:val="none" w:sz="0" w:space="0" w:color="auto"/>
            <w:left w:val="none" w:sz="0" w:space="0" w:color="auto"/>
            <w:bottom w:val="none" w:sz="0" w:space="0" w:color="auto"/>
            <w:right w:val="none" w:sz="0" w:space="0" w:color="auto"/>
          </w:divBdr>
        </w:div>
      </w:divsChild>
    </w:div>
    <w:div w:id="1094781904">
      <w:bodyDiv w:val="1"/>
      <w:marLeft w:val="0"/>
      <w:marRight w:val="0"/>
      <w:marTop w:val="0"/>
      <w:marBottom w:val="0"/>
      <w:divBdr>
        <w:top w:val="none" w:sz="0" w:space="0" w:color="auto"/>
        <w:left w:val="none" w:sz="0" w:space="0" w:color="auto"/>
        <w:bottom w:val="none" w:sz="0" w:space="0" w:color="auto"/>
        <w:right w:val="none" w:sz="0" w:space="0" w:color="auto"/>
      </w:divBdr>
    </w:div>
    <w:div w:id="1095174731">
      <w:bodyDiv w:val="1"/>
      <w:marLeft w:val="0"/>
      <w:marRight w:val="0"/>
      <w:marTop w:val="0"/>
      <w:marBottom w:val="0"/>
      <w:divBdr>
        <w:top w:val="none" w:sz="0" w:space="0" w:color="auto"/>
        <w:left w:val="none" w:sz="0" w:space="0" w:color="auto"/>
        <w:bottom w:val="none" w:sz="0" w:space="0" w:color="auto"/>
        <w:right w:val="none" w:sz="0" w:space="0" w:color="auto"/>
      </w:divBdr>
    </w:div>
    <w:div w:id="1097211817">
      <w:bodyDiv w:val="1"/>
      <w:marLeft w:val="0"/>
      <w:marRight w:val="0"/>
      <w:marTop w:val="0"/>
      <w:marBottom w:val="0"/>
      <w:divBdr>
        <w:top w:val="none" w:sz="0" w:space="0" w:color="auto"/>
        <w:left w:val="none" w:sz="0" w:space="0" w:color="auto"/>
        <w:bottom w:val="none" w:sz="0" w:space="0" w:color="auto"/>
        <w:right w:val="none" w:sz="0" w:space="0" w:color="auto"/>
      </w:divBdr>
    </w:div>
    <w:div w:id="1098140032">
      <w:bodyDiv w:val="1"/>
      <w:marLeft w:val="0"/>
      <w:marRight w:val="0"/>
      <w:marTop w:val="0"/>
      <w:marBottom w:val="0"/>
      <w:divBdr>
        <w:top w:val="none" w:sz="0" w:space="0" w:color="auto"/>
        <w:left w:val="none" w:sz="0" w:space="0" w:color="auto"/>
        <w:bottom w:val="none" w:sz="0" w:space="0" w:color="auto"/>
        <w:right w:val="none" w:sz="0" w:space="0" w:color="auto"/>
      </w:divBdr>
    </w:div>
    <w:div w:id="1099182497">
      <w:bodyDiv w:val="1"/>
      <w:marLeft w:val="0"/>
      <w:marRight w:val="0"/>
      <w:marTop w:val="0"/>
      <w:marBottom w:val="0"/>
      <w:divBdr>
        <w:top w:val="none" w:sz="0" w:space="0" w:color="auto"/>
        <w:left w:val="none" w:sz="0" w:space="0" w:color="auto"/>
        <w:bottom w:val="none" w:sz="0" w:space="0" w:color="auto"/>
        <w:right w:val="none" w:sz="0" w:space="0" w:color="auto"/>
      </w:divBdr>
    </w:div>
    <w:div w:id="1099524654">
      <w:bodyDiv w:val="1"/>
      <w:marLeft w:val="0"/>
      <w:marRight w:val="0"/>
      <w:marTop w:val="0"/>
      <w:marBottom w:val="0"/>
      <w:divBdr>
        <w:top w:val="none" w:sz="0" w:space="0" w:color="auto"/>
        <w:left w:val="none" w:sz="0" w:space="0" w:color="auto"/>
        <w:bottom w:val="none" w:sz="0" w:space="0" w:color="auto"/>
        <w:right w:val="none" w:sz="0" w:space="0" w:color="auto"/>
      </w:divBdr>
    </w:div>
    <w:div w:id="1099643529">
      <w:bodyDiv w:val="1"/>
      <w:marLeft w:val="0"/>
      <w:marRight w:val="0"/>
      <w:marTop w:val="0"/>
      <w:marBottom w:val="0"/>
      <w:divBdr>
        <w:top w:val="none" w:sz="0" w:space="0" w:color="auto"/>
        <w:left w:val="none" w:sz="0" w:space="0" w:color="auto"/>
        <w:bottom w:val="none" w:sz="0" w:space="0" w:color="auto"/>
        <w:right w:val="none" w:sz="0" w:space="0" w:color="auto"/>
      </w:divBdr>
    </w:div>
    <w:div w:id="1101411386">
      <w:bodyDiv w:val="1"/>
      <w:marLeft w:val="0"/>
      <w:marRight w:val="0"/>
      <w:marTop w:val="0"/>
      <w:marBottom w:val="0"/>
      <w:divBdr>
        <w:top w:val="none" w:sz="0" w:space="0" w:color="auto"/>
        <w:left w:val="none" w:sz="0" w:space="0" w:color="auto"/>
        <w:bottom w:val="none" w:sz="0" w:space="0" w:color="auto"/>
        <w:right w:val="none" w:sz="0" w:space="0" w:color="auto"/>
      </w:divBdr>
    </w:div>
    <w:div w:id="1103115259">
      <w:bodyDiv w:val="1"/>
      <w:marLeft w:val="0"/>
      <w:marRight w:val="0"/>
      <w:marTop w:val="0"/>
      <w:marBottom w:val="0"/>
      <w:divBdr>
        <w:top w:val="none" w:sz="0" w:space="0" w:color="auto"/>
        <w:left w:val="none" w:sz="0" w:space="0" w:color="auto"/>
        <w:bottom w:val="none" w:sz="0" w:space="0" w:color="auto"/>
        <w:right w:val="none" w:sz="0" w:space="0" w:color="auto"/>
      </w:divBdr>
    </w:div>
    <w:div w:id="1103304467">
      <w:bodyDiv w:val="1"/>
      <w:marLeft w:val="0"/>
      <w:marRight w:val="0"/>
      <w:marTop w:val="0"/>
      <w:marBottom w:val="0"/>
      <w:divBdr>
        <w:top w:val="none" w:sz="0" w:space="0" w:color="auto"/>
        <w:left w:val="none" w:sz="0" w:space="0" w:color="auto"/>
        <w:bottom w:val="none" w:sz="0" w:space="0" w:color="auto"/>
        <w:right w:val="none" w:sz="0" w:space="0" w:color="auto"/>
      </w:divBdr>
    </w:div>
    <w:div w:id="1103723210">
      <w:bodyDiv w:val="1"/>
      <w:marLeft w:val="0"/>
      <w:marRight w:val="0"/>
      <w:marTop w:val="0"/>
      <w:marBottom w:val="0"/>
      <w:divBdr>
        <w:top w:val="none" w:sz="0" w:space="0" w:color="auto"/>
        <w:left w:val="none" w:sz="0" w:space="0" w:color="auto"/>
        <w:bottom w:val="none" w:sz="0" w:space="0" w:color="auto"/>
        <w:right w:val="none" w:sz="0" w:space="0" w:color="auto"/>
      </w:divBdr>
    </w:div>
    <w:div w:id="1104182498">
      <w:bodyDiv w:val="1"/>
      <w:marLeft w:val="0"/>
      <w:marRight w:val="0"/>
      <w:marTop w:val="0"/>
      <w:marBottom w:val="0"/>
      <w:divBdr>
        <w:top w:val="none" w:sz="0" w:space="0" w:color="auto"/>
        <w:left w:val="none" w:sz="0" w:space="0" w:color="auto"/>
        <w:bottom w:val="none" w:sz="0" w:space="0" w:color="auto"/>
        <w:right w:val="none" w:sz="0" w:space="0" w:color="auto"/>
      </w:divBdr>
    </w:div>
    <w:div w:id="1105736559">
      <w:bodyDiv w:val="1"/>
      <w:marLeft w:val="0"/>
      <w:marRight w:val="0"/>
      <w:marTop w:val="0"/>
      <w:marBottom w:val="0"/>
      <w:divBdr>
        <w:top w:val="none" w:sz="0" w:space="0" w:color="auto"/>
        <w:left w:val="none" w:sz="0" w:space="0" w:color="auto"/>
        <w:bottom w:val="none" w:sz="0" w:space="0" w:color="auto"/>
        <w:right w:val="none" w:sz="0" w:space="0" w:color="auto"/>
      </w:divBdr>
    </w:div>
    <w:div w:id="1108700773">
      <w:bodyDiv w:val="1"/>
      <w:marLeft w:val="0"/>
      <w:marRight w:val="0"/>
      <w:marTop w:val="0"/>
      <w:marBottom w:val="0"/>
      <w:divBdr>
        <w:top w:val="none" w:sz="0" w:space="0" w:color="auto"/>
        <w:left w:val="none" w:sz="0" w:space="0" w:color="auto"/>
        <w:bottom w:val="none" w:sz="0" w:space="0" w:color="auto"/>
        <w:right w:val="none" w:sz="0" w:space="0" w:color="auto"/>
      </w:divBdr>
    </w:div>
    <w:div w:id="1109197408">
      <w:bodyDiv w:val="1"/>
      <w:marLeft w:val="0"/>
      <w:marRight w:val="0"/>
      <w:marTop w:val="0"/>
      <w:marBottom w:val="0"/>
      <w:divBdr>
        <w:top w:val="none" w:sz="0" w:space="0" w:color="auto"/>
        <w:left w:val="none" w:sz="0" w:space="0" w:color="auto"/>
        <w:bottom w:val="none" w:sz="0" w:space="0" w:color="auto"/>
        <w:right w:val="none" w:sz="0" w:space="0" w:color="auto"/>
      </w:divBdr>
      <w:divsChild>
        <w:div w:id="1760446194">
          <w:marLeft w:val="0"/>
          <w:marRight w:val="0"/>
          <w:marTop w:val="0"/>
          <w:marBottom w:val="0"/>
          <w:divBdr>
            <w:top w:val="none" w:sz="0" w:space="0" w:color="auto"/>
            <w:left w:val="none" w:sz="0" w:space="0" w:color="auto"/>
            <w:bottom w:val="none" w:sz="0" w:space="0" w:color="auto"/>
            <w:right w:val="none" w:sz="0" w:space="0" w:color="auto"/>
          </w:divBdr>
          <w:divsChild>
            <w:div w:id="159855489">
              <w:marLeft w:val="0"/>
              <w:marRight w:val="0"/>
              <w:marTop w:val="0"/>
              <w:marBottom w:val="0"/>
              <w:divBdr>
                <w:top w:val="none" w:sz="0" w:space="0" w:color="auto"/>
                <w:left w:val="none" w:sz="0" w:space="0" w:color="auto"/>
                <w:bottom w:val="none" w:sz="0" w:space="0" w:color="auto"/>
                <w:right w:val="none" w:sz="0" w:space="0" w:color="auto"/>
              </w:divBdr>
              <w:divsChild>
                <w:div w:id="1019114998">
                  <w:marLeft w:val="0"/>
                  <w:marRight w:val="0"/>
                  <w:marTop w:val="0"/>
                  <w:marBottom w:val="0"/>
                  <w:divBdr>
                    <w:top w:val="none" w:sz="0" w:space="0" w:color="auto"/>
                    <w:left w:val="none" w:sz="0" w:space="0" w:color="auto"/>
                    <w:bottom w:val="none" w:sz="0" w:space="0" w:color="auto"/>
                    <w:right w:val="none" w:sz="0" w:space="0" w:color="auto"/>
                  </w:divBdr>
                  <w:divsChild>
                    <w:div w:id="206642977">
                      <w:marLeft w:val="0"/>
                      <w:marRight w:val="0"/>
                      <w:marTop w:val="0"/>
                      <w:marBottom w:val="0"/>
                      <w:divBdr>
                        <w:top w:val="none" w:sz="0" w:space="0" w:color="auto"/>
                        <w:left w:val="none" w:sz="0" w:space="0" w:color="auto"/>
                        <w:bottom w:val="none" w:sz="0" w:space="0" w:color="auto"/>
                        <w:right w:val="none" w:sz="0" w:space="0" w:color="auto"/>
                      </w:divBdr>
                      <w:divsChild>
                        <w:div w:id="847255517">
                          <w:marLeft w:val="0"/>
                          <w:marRight w:val="0"/>
                          <w:marTop w:val="0"/>
                          <w:marBottom w:val="0"/>
                          <w:divBdr>
                            <w:top w:val="none" w:sz="0" w:space="0" w:color="auto"/>
                            <w:left w:val="none" w:sz="0" w:space="0" w:color="auto"/>
                            <w:bottom w:val="none" w:sz="0" w:space="0" w:color="auto"/>
                            <w:right w:val="none" w:sz="0" w:space="0" w:color="auto"/>
                          </w:divBdr>
                          <w:divsChild>
                            <w:div w:id="241989225">
                              <w:marLeft w:val="15"/>
                              <w:marRight w:val="195"/>
                              <w:marTop w:val="0"/>
                              <w:marBottom w:val="0"/>
                              <w:divBdr>
                                <w:top w:val="none" w:sz="0" w:space="0" w:color="auto"/>
                                <w:left w:val="none" w:sz="0" w:space="0" w:color="auto"/>
                                <w:bottom w:val="none" w:sz="0" w:space="0" w:color="auto"/>
                                <w:right w:val="none" w:sz="0" w:space="0" w:color="auto"/>
                              </w:divBdr>
                              <w:divsChild>
                                <w:div w:id="1262765331">
                                  <w:marLeft w:val="0"/>
                                  <w:marRight w:val="0"/>
                                  <w:marTop w:val="0"/>
                                  <w:marBottom w:val="0"/>
                                  <w:divBdr>
                                    <w:top w:val="none" w:sz="0" w:space="0" w:color="auto"/>
                                    <w:left w:val="none" w:sz="0" w:space="0" w:color="auto"/>
                                    <w:bottom w:val="none" w:sz="0" w:space="0" w:color="auto"/>
                                    <w:right w:val="none" w:sz="0" w:space="0" w:color="auto"/>
                                  </w:divBdr>
                                  <w:divsChild>
                                    <w:div w:id="1557279659">
                                      <w:marLeft w:val="0"/>
                                      <w:marRight w:val="0"/>
                                      <w:marTop w:val="0"/>
                                      <w:marBottom w:val="0"/>
                                      <w:divBdr>
                                        <w:top w:val="none" w:sz="0" w:space="0" w:color="auto"/>
                                        <w:left w:val="none" w:sz="0" w:space="0" w:color="auto"/>
                                        <w:bottom w:val="none" w:sz="0" w:space="0" w:color="auto"/>
                                        <w:right w:val="none" w:sz="0" w:space="0" w:color="auto"/>
                                      </w:divBdr>
                                      <w:divsChild>
                                        <w:div w:id="144010924">
                                          <w:marLeft w:val="0"/>
                                          <w:marRight w:val="0"/>
                                          <w:marTop w:val="0"/>
                                          <w:marBottom w:val="0"/>
                                          <w:divBdr>
                                            <w:top w:val="none" w:sz="0" w:space="0" w:color="auto"/>
                                            <w:left w:val="none" w:sz="0" w:space="0" w:color="auto"/>
                                            <w:bottom w:val="none" w:sz="0" w:space="0" w:color="auto"/>
                                            <w:right w:val="none" w:sz="0" w:space="0" w:color="auto"/>
                                          </w:divBdr>
                                          <w:divsChild>
                                            <w:div w:id="2049452919">
                                              <w:marLeft w:val="0"/>
                                              <w:marRight w:val="0"/>
                                              <w:marTop w:val="0"/>
                                              <w:marBottom w:val="0"/>
                                              <w:divBdr>
                                                <w:top w:val="none" w:sz="0" w:space="0" w:color="auto"/>
                                                <w:left w:val="none" w:sz="0" w:space="0" w:color="auto"/>
                                                <w:bottom w:val="none" w:sz="0" w:space="0" w:color="auto"/>
                                                <w:right w:val="none" w:sz="0" w:space="0" w:color="auto"/>
                                              </w:divBdr>
                                              <w:divsChild>
                                                <w:div w:id="999038394">
                                                  <w:marLeft w:val="0"/>
                                                  <w:marRight w:val="0"/>
                                                  <w:marTop w:val="0"/>
                                                  <w:marBottom w:val="0"/>
                                                  <w:divBdr>
                                                    <w:top w:val="none" w:sz="0" w:space="0" w:color="auto"/>
                                                    <w:left w:val="none" w:sz="0" w:space="0" w:color="auto"/>
                                                    <w:bottom w:val="none" w:sz="0" w:space="0" w:color="auto"/>
                                                    <w:right w:val="none" w:sz="0" w:space="0" w:color="auto"/>
                                                  </w:divBdr>
                                                  <w:divsChild>
                                                    <w:div w:id="617637653">
                                                      <w:marLeft w:val="0"/>
                                                      <w:marRight w:val="0"/>
                                                      <w:marTop w:val="0"/>
                                                      <w:marBottom w:val="0"/>
                                                      <w:divBdr>
                                                        <w:top w:val="none" w:sz="0" w:space="0" w:color="auto"/>
                                                        <w:left w:val="none" w:sz="0" w:space="0" w:color="auto"/>
                                                        <w:bottom w:val="none" w:sz="0" w:space="0" w:color="auto"/>
                                                        <w:right w:val="none" w:sz="0" w:space="0" w:color="auto"/>
                                                      </w:divBdr>
                                                      <w:divsChild>
                                                        <w:div w:id="36515327">
                                                          <w:marLeft w:val="0"/>
                                                          <w:marRight w:val="0"/>
                                                          <w:marTop w:val="0"/>
                                                          <w:marBottom w:val="0"/>
                                                          <w:divBdr>
                                                            <w:top w:val="none" w:sz="0" w:space="0" w:color="auto"/>
                                                            <w:left w:val="none" w:sz="0" w:space="0" w:color="auto"/>
                                                            <w:bottom w:val="none" w:sz="0" w:space="0" w:color="auto"/>
                                                            <w:right w:val="none" w:sz="0" w:space="0" w:color="auto"/>
                                                          </w:divBdr>
                                                          <w:divsChild>
                                                            <w:div w:id="706417078">
                                                              <w:marLeft w:val="0"/>
                                                              <w:marRight w:val="0"/>
                                                              <w:marTop w:val="0"/>
                                                              <w:marBottom w:val="0"/>
                                                              <w:divBdr>
                                                                <w:top w:val="none" w:sz="0" w:space="0" w:color="auto"/>
                                                                <w:left w:val="none" w:sz="0" w:space="0" w:color="auto"/>
                                                                <w:bottom w:val="none" w:sz="0" w:space="0" w:color="auto"/>
                                                                <w:right w:val="none" w:sz="0" w:space="0" w:color="auto"/>
                                                              </w:divBdr>
                                                              <w:divsChild>
                                                                <w:div w:id="1584756165">
                                                                  <w:marLeft w:val="0"/>
                                                                  <w:marRight w:val="0"/>
                                                                  <w:marTop w:val="0"/>
                                                                  <w:marBottom w:val="0"/>
                                                                  <w:divBdr>
                                                                    <w:top w:val="none" w:sz="0" w:space="0" w:color="auto"/>
                                                                    <w:left w:val="none" w:sz="0" w:space="0" w:color="auto"/>
                                                                    <w:bottom w:val="none" w:sz="0" w:space="0" w:color="auto"/>
                                                                    <w:right w:val="none" w:sz="0" w:space="0" w:color="auto"/>
                                                                  </w:divBdr>
                                                                  <w:divsChild>
                                                                    <w:div w:id="1078599711">
                                                                      <w:marLeft w:val="405"/>
                                                                      <w:marRight w:val="0"/>
                                                                      <w:marTop w:val="0"/>
                                                                      <w:marBottom w:val="0"/>
                                                                      <w:divBdr>
                                                                        <w:top w:val="none" w:sz="0" w:space="0" w:color="auto"/>
                                                                        <w:left w:val="none" w:sz="0" w:space="0" w:color="auto"/>
                                                                        <w:bottom w:val="none" w:sz="0" w:space="0" w:color="auto"/>
                                                                        <w:right w:val="none" w:sz="0" w:space="0" w:color="auto"/>
                                                                      </w:divBdr>
                                                                      <w:divsChild>
                                                                        <w:div w:id="907151122">
                                                                          <w:marLeft w:val="0"/>
                                                                          <w:marRight w:val="0"/>
                                                                          <w:marTop w:val="0"/>
                                                                          <w:marBottom w:val="0"/>
                                                                          <w:divBdr>
                                                                            <w:top w:val="none" w:sz="0" w:space="0" w:color="auto"/>
                                                                            <w:left w:val="none" w:sz="0" w:space="0" w:color="auto"/>
                                                                            <w:bottom w:val="none" w:sz="0" w:space="0" w:color="auto"/>
                                                                            <w:right w:val="none" w:sz="0" w:space="0" w:color="auto"/>
                                                                          </w:divBdr>
                                                                          <w:divsChild>
                                                                            <w:div w:id="663901361">
                                                                              <w:marLeft w:val="0"/>
                                                                              <w:marRight w:val="0"/>
                                                                              <w:marTop w:val="0"/>
                                                                              <w:marBottom w:val="0"/>
                                                                              <w:divBdr>
                                                                                <w:top w:val="none" w:sz="0" w:space="0" w:color="auto"/>
                                                                                <w:left w:val="none" w:sz="0" w:space="0" w:color="auto"/>
                                                                                <w:bottom w:val="none" w:sz="0" w:space="0" w:color="auto"/>
                                                                                <w:right w:val="none" w:sz="0" w:space="0" w:color="auto"/>
                                                                              </w:divBdr>
                                                                              <w:divsChild>
                                                                                <w:div w:id="177618786">
                                                                                  <w:marLeft w:val="0"/>
                                                                                  <w:marRight w:val="0"/>
                                                                                  <w:marTop w:val="0"/>
                                                                                  <w:marBottom w:val="0"/>
                                                                                  <w:divBdr>
                                                                                    <w:top w:val="none" w:sz="0" w:space="0" w:color="auto"/>
                                                                                    <w:left w:val="none" w:sz="0" w:space="0" w:color="auto"/>
                                                                                    <w:bottom w:val="none" w:sz="0" w:space="0" w:color="auto"/>
                                                                                    <w:right w:val="none" w:sz="0" w:space="0" w:color="auto"/>
                                                                                  </w:divBdr>
                                                                                  <w:divsChild>
                                                                                    <w:div w:id="943611694">
                                                                                      <w:marLeft w:val="0"/>
                                                                                      <w:marRight w:val="0"/>
                                                                                      <w:marTop w:val="0"/>
                                                                                      <w:marBottom w:val="0"/>
                                                                                      <w:divBdr>
                                                                                        <w:top w:val="none" w:sz="0" w:space="0" w:color="auto"/>
                                                                                        <w:left w:val="none" w:sz="0" w:space="0" w:color="auto"/>
                                                                                        <w:bottom w:val="none" w:sz="0" w:space="0" w:color="auto"/>
                                                                                        <w:right w:val="none" w:sz="0" w:space="0" w:color="auto"/>
                                                                                      </w:divBdr>
                                                                                      <w:divsChild>
                                                                                        <w:div w:id="1872691278">
                                                                                          <w:marLeft w:val="0"/>
                                                                                          <w:marRight w:val="0"/>
                                                                                          <w:marTop w:val="0"/>
                                                                                          <w:marBottom w:val="0"/>
                                                                                          <w:divBdr>
                                                                                            <w:top w:val="none" w:sz="0" w:space="0" w:color="auto"/>
                                                                                            <w:left w:val="none" w:sz="0" w:space="0" w:color="auto"/>
                                                                                            <w:bottom w:val="none" w:sz="0" w:space="0" w:color="auto"/>
                                                                                            <w:right w:val="none" w:sz="0" w:space="0" w:color="auto"/>
                                                                                          </w:divBdr>
                                                                                          <w:divsChild>
                                                                                            <w:div w:id="848644314">
                                                                                              <w:marLeft w:val="0"/>
                                                                                              <w:marRight w:val="0"/>
                                                                                              <w:marTop w:val="0"/>
                                                                                              <w:marBottom w:val="0"/>
                                                                                              <w:divBdr>
                                                                                                <w:top w:val="none" w:sz="0" w:space="0" w:color="auto"/>
                                                                                                <w:left w:val="none" w:sz="0" w:space="0" w:color="auto"/>
                                                                                                <w:bottom w:val="none" w:sz="0" w:space="0" w:color="auto"/>
                                                                                                <w:right w:val="none" w:sz="0" w:space="0" w:color="auto"/>
                                                                                              </w:divBdr>
                                                                                              <w:divsChild>
                                                                                                <w:div w:id="1644307510">
                                                                                                  <w:marLeft w:val="0"/>
                                                                                                  <w:marRight w:val="0"/>
                                                                                                  <w:marTop w:val="0"/>
                                                                                                  <w:marBottom w:val="0"/>
                                                                                                  <w:divBdr>
                                                                                                    <w:top w:val="none" w:sz="0" w:space="0" w:color="auto"/>
                                                                                                    <w:left w:val="none" w:sz="0" w:space="0" w:color="auto"/>
                                                                                                    <w:bottom w:val="single" w:sz="6" w:space="15" w:color="auto"/>
                                                                                                    <w:right w:val="none" w:sz="0" w:space="0" w:color="auto"/>
                                                                                                  </w:divBdr>
                                                                                                  <w:divsChild>
                                                                                                    <w:div w:id="1310482131">
                                                                                                      <w:marLeft w:val="0"/>
                                                                                                      <w:marRight w:val="0"/>
                                                                                                      <w:marTop w:val="60"/>
                                                                                                      <w:marBottom w:val="0"/>
                                                                                                      <w:divBdr>
                                                                                                        <w:top w:val="none" w:sz="0" w:space="0" w:color="auto"/>
                                                                                                        <w:left w:val="none" w:sz="0" w:space="0" w:color="auto"/>
                                                                                                        <w:bottom w:val="none" w:sz="0" w:space="0" w:color="auto"/>
                                                                                                        <w:right w:val="none" w:sz="0" w:space="0" w:color="auto"/>
                                                                                                      </w:divBdr>
                                                                                                      <w:divsChild>
                                                                                                        <w:div w:id="1446190861">
                                                                                                          <w:marLeft w:val="0"/>
                                                                                                          <w:marRight w:val="0"/>
                                                                                                          <w:marTop w:val="0"/>
                                                                                                          <w:marBottom w:val="0"/>
                                                                                                          <w:divBdr>
                                                                                                            <w:top w:val="none" w:sz="0" w:space="0" w:color="auto"/>
                                                                                                            <w:left w:val="none" w:sz="0" w:space="0" w:color="auto"/>
                                                                                                            <w:bottom w:val="none" w:sz="0" w:space="0" w:color="auto"/>
                                                                                                            <w:right w:val="none" w:sz="0" w:space="0" w:color="auto"/>
                                                                                                          </w:divBdr>
                                                                                                          <w:divsChild>
                                                                                                            <w:div w:id="598490702">
                                                                                                              <w:marLeft w:val="0"/>
                                                                                                              <w:marRight w:val="0"/>
                                                                                                              <w:marTop w:val="0"/>
                                                                                                              <w:marBottom w:val="0"/>
                                                                                                              <w:divBdr>
                                                                                                                <w:top w:val="none" w:sz="0" w:space="0" w:color="auto"/>
                                                                                                                <w:left w:val="none" w:sz="0" w:space="0" w:color="auto"/>
                                                                                                                <w:bottom w:val="none" w:sz="0" w:space="0" w:color="auto"/>
                                                                                                                <w:right w:val="none" w:sz="0" w:space="0" w:color="auto"/>
                                                                                                              </w:divBdr>
                                                                                                              <w:divsChild>
                                                                                                                <w:div w:id="2074352830">
                                                                                                                  <w:marLeft w:val="0"/>
                                                                                                                  <w:marRight w:val="0"/>
                                                                                                                  <w:marTop w:val="0"/>
                                                                                                                  <w:marBottom w:val="0"/>
                                                                                                                  <w:divBdr>
                                                                                                                    <w:top w:val="none" w:sz="0" w:space="0" w:color="auto"/>
                                                                                                                    <w:left w:val="single" w:sz="12" w:space="9" w:color="auto"/>
                                                                                                                    <w:bottom w:val="none" w:sz="0" w:space="0" w:color="auto"/>
                                                                                                                    <w:right w:val="none" w:sz="0" w:space="0" w:color="auto"/>
                                                                                                                  </w:divBdr>
                                                                                                                  <w:divsChild>
                                                                                                                    <w:div w:id="1506937062">
                                                                                                                      <w:marLeft w:val="0"/>
                                                                                                                      <w:marRight w:val="0"/>
                                                                                                                      <w:marTop w:val="0"/>
                                                                                                                      <w:marBottom w:val="0"/>
                                                                                                                      <w:divBdr>
                                                                                                                        <w:top w:val="none" w:sz="0" w:space="0" w:color="auto"/>
                                                                                                                        <w:left w:val="none" w:sz="0" w:space="0" w:color="auto"/>
                                                                                                                        <w:bottom w:val="none" w:sz="0" w:space="0" w:color="auto"/>
                                                                                                                        <w:right w:val="none" w:sz="0" w:space="0" w:color="auto"/>
                                                                                                                      </w:divBdr>
                                                                                                                      <w:divsChild>
                                                                                                                        <w:div w:id="406154410">
                                                                                                                          <w:marLeft w:val="0"/>
                                                                                                                          <w:marRight w:val="0"/>
                                                                                                                          <w:marTop w:val="0"/>
                                                                                                                          <w:marBottom w:val="0"/>
                                                                                                                          <w:divBdr>
                                                                                                                            <w:top w:val="none" w:sz="0" w:space="0" w:color="auto"/>
                                                                                                                            <w:left w:val="none" w:sz="0" w:space="0" w:color="auto"/>
                                                                                                                            <w:bottom w:val="none" w:sz="0" w:space="0" w:color="auto"/>
                                                                                                                            <w:right w:val="none" w:sz="0" w:space="0" w:color="auto"/>
                                                                                                                          </w:divBdr>
                                                                                                                          <w:divsChild>
                                                                                                                            <w:div w:id="673846457">
                                                                                                                              <w:marLeft w:val="0"/>
                                                                                                                              <w:marRight w:val="0"/>
                                                                                                                              <w:marTop w:val="0"/>
                                                                                                                              <w:marBottom w:val="0"/>
                                                                                                                              <w:divBdr>
                                                                                                                                <w:top w:val="none" w:sz="0" w:space="0" w:color="auto"/>
                                                                                                                                <w:left w:val="none" w:sz="0" w:space="0" w:color="auto"/>
                                                                                                                                <w:bottom w:val="none" w:sz="0" w:space="0" w:color="auto"/>
                                                                                                                                <w:right w:val="none" w:sz="0" w:space="0" w:color="auto"/>
                                                                                                                              </w:divBdr>
                                                                                                                              <w:divsChild>
                                                                                                                                <w:div w:id="122039607">
                                                                                                                                  <w:marLeft w:val="720"/>
                                                                                                                                  <w:marRight w:val="0"/>
                                                                                                                                  <w:marTop w:val="0"/>
                                                                                                                                  <w:marBottom w:val="0"/>
                                                                                                                                  <w:divBdr>
                                                                                                                                    <w:top w:val="none" w:sz="0" w:space="0" w:color="auto"/>
                                                                                                                                    <w:left w:val="none" w:sz="0" w:space="0" w:color="auto"/>
                                                                                                                                    <w:bottom w:val="none" w:sz="0" w:space="0" w:color="auto"/>
                                                                                                                                    <w:right w:val="none" w:sz="0" w:space="0" w:color="auto"/>
                                                                                                                                  </w:divBdr>
                                                                                                                                </w:div>
                                                                                                                                <w:div w:id="983238529">
                                                                                                                                  <w:marLeft w:val="0"/>
                                                                                                                                  <w:marRight w:val="0"/>
                                                                                                                                  <w:marTop w:val="0"/>
                                                                                                                                  <w:marBottom w:val="0"/>
                                                                                                                                  <w:divBdr>
                                                                                                                                    <w:top w:val="none" w:sz="0" w:space="0" w:color="auto"/>
                                                                                                                                    <w:left w:val="none" w:sz="0" w:space="0" w:color="auto"/>
                                                                                                                                    <w:bottom w:val="none" w:sz="0" w:space="0" w:color="auto"/>
                                                                                                                                    <w:right w:val="none" w:sz="0" w:space="0" w:color="auto"/>
                                                                                                                                  </w:divBdr>
                                                                                                                                </w:div>
                                                                                                                                <w:div w:id="1498693987">
                                                                                                                                  <w:marLeft w:val="720"/>
                                                                                                                                  <w:marRight w:val="0"/>
                                                                                                                                  <w:marTop w:val="0"/>
                                                                                                                                  <w:marBottom w:val="0"/>
                                                                                                                                  <w:divBdr>
                                                                                                                                    <w:top w:val="none" w:sz="0" w:space="0" w:color="auto"/>
                                                                                                                                    <w:left w:val="none" w:sz="0" w:space="0" w:color="auto"/>
                                                                                                                                    <w:bottom w:val="none" w:sz="0" w:space="0" w:color="auto"/>
                                                                                                                                    <w:right w:val="none" w:sz="0" w:space="0" w:color="auto"/>
                                                                                                                                  </w:divBdr>
                                                                                                                                </w:div>
                                                                                                                                <w:div w:id="16255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631454">
      <w:bodyDiv w:val="1"/>
      <w:marLeft w:val="0"/>
      <w:marRight w:val="0"/>
      <w:marTop w:val="0"/>
      <w:marBottom w:val="0"/>
      <w:divBdr>
        <w:top w:val="none" w:sz="0" w:space="0" w:color="auto"/>
        <w:left w:val="none" w:sz="0" w:space="0" w:color="auto"/>
        <w:bottom w:val="none" w:sz="0" w:space="0" w:color="auto"/>
        <w:right w:val="none" w:sz="0" w:space="0" w:color="auto"/>
      </w:divBdr>
    </w:div>
    <w:div w:id="1114057148">
      <w:bodyDiv w:val="1"/>
      <w:marLeft w:val="0"/>
      <w:marRight w:val="0"/>
      <w:marTop w:val="0"/>
      <w:marBottom w:val="0"/>
      <w:divBdr>
        <w:top w:val="none" w:sz="0" w:space="0" w:color="auto"/>
        <w:left w:val="none" w:sz="0" w:space="0" w:color="auto"/>
        <w:bottom w:val="none" w:sz="0" w:space="0" w:color="auto"/>
        <w:right w:val="none" w:sz="0" w:space="0" w:color="auto"/>
      </w:divBdr>
    </w:div>
    <w:div w:id="1114667003">
      <w:bodyDiv w:val="1"/>
      <w:marLeft w:val="0"/>
      <w:marRight w:val="0"/>
      <w:marTop w:val="0"/>
      <w:marBottom w:val="0"/>
      <w:divBdr>
        <w:top w:val="none" w:sz="0" w:space="0" w:color="auto"/>
        <w:left w:val="none" w:sz="0" w:space="0" w:color="auto"/>
        <w:bottom w:val="none" w:sz="0" w:space="0" w:color="auto"/>
        <w:right w:val="none" w:sz="0" w:space="0" w:color="auto"/>
      </w:divBdr>
    </w:div>
    <w:div w:id="1115517383">
      <w:bodyDiv w:val="1"/>
      <w:marLeft w:val="0"/>
      <w:marRight w:val="0"/>
      <w:marTop w:val="0"/>
      <w:marBottom w:val="0"/>
      <w:divBdr>
        <w:top w:val="none" w:sz="0" w:space="0" w:color="auto"/>
        <w:left w:val="none" w:sz="0" w:space="0" w:color="auto"/>
        <w:bottom w:val="none" w:sz="0" w:space="0" w:color="auto"/>
        <w:right w:val="none" w:sz="0" w:space="0" w:color="auto"/>
      </w:divBdr>
    </w:div>
    <w:div w:id="1116170192">
      <w:bodyDiv w:val="1"/>
      <w:marLeft w:val="0"/>
      <w:marRight w:val="0"/>
      <w:marTop w:val="0"/>
      <w:marBottom w:val="0"/>
      <w:divBdr>
        <w:top w:val="none" w:sz="0" w:space="0" w:color="auto"/>
        <w:left w:val="none" w:sz="0" w:space="0" w:color="auto"/>
        <w:bottom w:val="none" w:sz="0" w:space="0" w:color="auto"/>
        <w:right w:val="none" w:sz="0" w:space="0" w:color="auto"/>
      </w:divBdr>
    </w:div>
    <w:div w:id="1116364772">
      <w:bodyDiv w:val="1"/>
      <w:marLeft w:val="0"/>
      <w:marRight w:val="0"/>
      <w:marTop w:val="0"/>
      <w:marBottom w:val="0"/>
      <w:divBdr>
        <w:top w:val="none" w:sz="0" w:space="0" w:color="auto"/>
        <w:left w:val="none" w:sz="0" w:space="0" w:color="auto"/>
        <w:bottom w:val="none" w:sz="0" w:space="0" w:color="auto"/>
        <w:right w:val="none" w:sz="0" w:space="0" w:color="auto"/>
      </w:divBdr>
    </w:div>
    <w:div w:id="1116868651">
      <w:bodyDiv w:val="1"/>
      <w:marLeft w:val="0"/>
      <w:marRight w:val="0"/>
      <w:marTop w:val="0"/>
      <w:marBottom w:val="0"/>
      <w:divBdr>
        <w:top w:val="none" w:sz="0" w:space="0" w:color="auto"/>
        <w:left w:val="none" w:sz="0" w:space="0" w:color="auto"/>
        <w:bottom w:val="none" w:sz="0" w:space="0" w:color="auto"/>
        <w:right w:val="none" w:sz="0" w:space="0" w:color="auto"/>
      </w:divBdr>
    </w:div>
    <w:div w:id="1118062186">
      <w:bodyDiv w:val="1"/>
      <w:marLeft w:val="0"/>
      <w:marRight w:val="0"/>
      <w:marTop w:val="0"/>
      <w:marBottom w:val="0"/>
      <w:divBdr>
        <w:top w:val="none" w:sz="0" w:space="0" w:color="auto"/>
        <w:left w:val="none" w:sz="0" w:space="0" w:color="auto"/>
        <w:bottom w:val="none" w:sz="0" w:space="0" w:color="auto"/>
        <w:right w:val="none" w:sz="0" w:space="0" w:color="auto"/>
      </w:divBdr>
    </w:div>
    <w:div w:id="1121416425">
      <w:bodyDiv w:val="1"/>
      <w:marLeft w:val="0"/>
      <w:marRight w:val="0"/>
      <w:marTop w:val="0"/>
      <w:marBottom w:val="0"/>
      <w:divBdr>
        <w:top w:val="none" w:sz="0" w:space="0" w:color="auto"/>
        <w:left w:val="none" w:sz="0" w:space="0" w:color="auto"/>
        <w:bottom w:val="none" w:sz="0" w:space="0" w:color="auto"/>
        <w:right w:val="none" w:sz="0" w:space="0" w:color="auto"/>
      </w:divBdr>
    </w:div>
    <w:div w:id="1124033202">
      <w:bodyDiv w:val="1"/>
      <w:marLeft w:val="0"/>
      <w:marRight w:val="0"/>
      <w:marTop w:val="0"/>
      <w:marBottom w:val="0"/>
      <w:divBdr>
        <w:top w:val="none" w:sz="0" w:space="0" w:color="auto"/>
        <w:left w:val="none" w:sz="0" w:space="0" w:color="auto"/>
        <w:bottom w:val="none" w:sz="0" w:space="0" w:color="auto"/>
        <w:right w:val="none" w:sz="0" w:space="0" w:color="auto"/>
      </w:divBdr>
    </w:div>
    <w:div w:id="1125122954">
      <w:bodyDiv w:val="1"/>
      <w:marLeft w:val="0"/>
      <w:marRight w:val="0"/>
      <w:marTop w:val="0"/>
      <w:marBottom w:val="0"/>
      <w:divBdr>
        <w:top w:val="none" w:sz="0" w:space="0" w:color="auto"/>
        <w:left w:val="none" w:sz="0" w:space="0" w:color="auto"/>
        <w:bottom w:val="none" w:sz="0" w:space="0" w:color="auto"/>
        <w:right w:val="none" w:sz="0" w:space="0" w:color="auto"/>
      </w:divBdr>
    </w:div>
    <w:div w:id="1126194634">
      <w:bodyDiv w:val="1"/>
      <w:marLeft w:val="0"/>
      <w:marRight w:val="0"/>
      <w:marTop w:val="0"/>
      <w:marBottom w:val="0"/>
      <w:divBdr>
        <w:top w:val="none" w:sz="0" w:space="0" w:color="auto"/>
        <w:left w:val="none" w:sz="0" w:space="0" w:color="auto"/>
        <w:bottom w:val="none" w:sz="0" w:space="0" w:color="auto"/>
        <w:right w:val="none" w:sz="0" w:space="0" w:color="auto"/>
      </w:divBdr>
    </w:div>
    <w:div w:id="1126852908">
      <w:bodyDiv w:val="1"/>
      <w:marLeft w:val="0"/>
      <w:marRight w:val="0"/>
      <w:marTop w:val="0"/>
      <w:marBottom w:val="0"/>
      <w:divBdr>
        <w:top w:val="none" w:sz="0" w:space="0" w:color="auto"/>
        <w:left w:val="none" w:sz="0" w:space="0" w:color="auto"/>
        <w:bottom w:val="none" w:sz="0" w:space="0" w:color="auto"/>
        <w:right w:val="none" w:sz="0" w:space="0" w:color="auto"/>
      </w:divBdr>
    </w:div>
    <w:div w:id="1127506132">
      <w:bodyDiv w:val="1"/>
      <w:marLeft w:val="0"/>
      <w:marRight w:val="0"/>
      <w:marTop w:val="0"/>
      <w:marBottom w:val="0"/>
      <w:divBdr>
        <w:top w:val="none" w:sz="0" w:space="0" w:color="auto"/>
        <w:left w:val="none" w:sz="0" w:space="0" w:color="auto"/>
        <w:bottom w:val="none" w:sz="0" w:space="0" w:color="auto"/>
        <w:right w:val="none" w:sz="0" w:space="0" w:color="auto"/>
      </w:divBdr>
    </w:div>
    <w:div w:id="1128623438">
      <w:bodyDiv w:val="1"/>
      <w:marLeft w:val="0"/>
      <w:marRight w:val="0"/>
      <w:marTop w:val="0"/>
      <w:marBottom w:val="0"/>
      <w:divBdr>
        <w:top w:val="none" w:sz="0" w:space="0" w:color="auto"/>
        <w:left w:val="none" w:sz="0" w:space="0" w:color="auto"/>
        <w:bottom w:val="none" w:sz="0" w:space="0" w:color="auto"/>
        <w:right w:val="none" w:sz="0" w:space="0" w:color="auto"/>
      </w:divBdr>
    </w:div>
    <w:div w:id="1131632708">
      <w:bodyDiv w:val="1"/>
      <w:marLeft w:val="0"/>
      <w:marRight w:val="0"/>
      <w:marTop w:val="0"/>
      <w:marBottom w:val="0"/>
      <w:divBdr>
        <w:top w:val="none" w:sz="0" w:space="0" w:color="auto"/>
        <w:left w:val="none" w:sz="0" w:space="0" w:color="auto"/>
        <w:bottom w:val="none" w:sz="0" w:space="0" w:color="auto"/>
        <w:right w:val="none" w:sz="0" w:space="0" w:color="auto"/>
      </w:divBdr>
    </w:div>
    <w:div w:id="1131943297">
      <w:bodyDiv w:val="1"/>
      <w:marLeft w:val="0"/>
      <w:marRight w:val="0"/>
      <w:marTop w:val="0"/>
      <w:marBottom w:val="0"/>
      <w:divBdr>
        <w:top w:val="none" w:sz="0" w:space="0" w:color="auto"/>
        <w:left w:val="none" w:sz="0" w:space="0" w:color="auto"/>
        <w:bottom w:val="none" w:sz="0" w:space="0" w:color="auto"/>
        <w:right w:val="none" w:sz="0" w:space="0" w:color="auto"/>
      </w:divBdr>
    </w:div>
    <w:div w:id="1132167024">
      <w:bodyDiv w:val="1"/>
      <w:marLeft w:val="0"/>
      <w:marRight w:val="0"/>
      <w:marTop w:val="0"/>
      <w:marBottom w:val="0"/>
      <w:divBdr>
        <w:top w:val="none" w:sz="0" w:space="0" w:color="auto"/>
        <w:left w:val="none" w:sz="0" w:space="0" w:color="auto"/>
        <w:bottom w:val="none" w:sz="0" w:space="0" w:color="auto"/>
        <w:right w:val="none" w:sz="0" w:space="0" w:color="auto"/>
      </w:divBdr>
    </w:div>
    <w:div w:id="1133137502">
      <w:bodyDiv w:val="1"/>
      <w:marLeft w:val="0"/>
      <w:marRight w:val="0"/>
      <w:marTop w:val="0"/>
      <w:marBottom w:val="0"/>
      <w:divBdr>
        <w:top w:val="none" w:sz="0" w:space="0" w:color="auto"/>
        <w:left w:val="none" w:sz="0" w:space="0" w:color="auto"/>
        <w:bottom w:val="none" w:sz="0" w:space="0" w:color="auto"/>
        <w:right w:val="none" w:sz="0" w:space="0" w:color="auto"/>
      </w:divBdr>
    </w:div>
    <w:div w:id="1134370198">
      <w:bodyDiv w:val="1"/>
      <w:marLeft w:val="0"/>
      <w:marRight w:val="0"/>
      <w:marTop w:val="0"/>
      <w:marBottom w:val="0"/>
      <w:divBdr>
        <w:top w:val="none" w:sz="0" w:space="0" w:color="auto"/>
        <w:left w:val="none" w:sz="0" w:space="0" w:color="auto"/>
        <w:bottom w:val="none" w:sz="0" w:space="0" w:color="auto"/>
        <w:right w:val="none" w:sz="0" w:space="0" w:color="auto"/>
      </w:divBdr>
    </w:div>
    <w:div w:id="1136987817">
      <w:bodyDiv w:val="1"/>
      <w:marLeft w:val="0"/>
      <w:marRight w:val="0"/>
      <w:marTop w:val="0"/>
      <w:marBottom w:val="0"/>
      <w:divBdr>
        <w:top w:val="none" w:sz="0" w:space="0" w:color="auto"/>
        <w:left w:val="none" w:sz="0" w:space="0" w:color="auto"/>
        <w:bottom w:val="none" w:sz="0" w:space="0" w:color="auto"/>
        <w:right w:val="none" w:sz="0" w:space="0" w:color="auto"/>
      </w:divBdr>
    </w:div>
    <w:div w:id="1137070909">
      <w:bodyDiv w:val="1"/>
      <w:marLeft w:val="0"/>
      <w:marRight w:val="0"/>
      <w:marTop w:val="0"/>
      <w:marBottom w:val="0"/>
      <w:divBdr>
        <w:top w:val="none" w:sz="0" w:space="0" w:color="auto"/>
        <w:left w:val="none" w:sz="0" w:space="0" w:color="auto"/>
        <w:bottom w:val="none" w:sz="0" w:space="0" w:color="auto"/>
        <w:right w:val="none" w:sz="0" w:space="0" w:color="auto"/>
      </w:divBdr>
    </w:div>
    <w:div w:id="1137332070">
      <w:bodyDiv w:val="1"/>
      <w:marLeft w:val="0"/>
      <w:marRight w:val="0"/>
      <w:marTop w:val="0"/>
      <w:marBottom w:val="0"/>
      <w:divBdr>
        <w:top w:val="none" w:sz="0" w:space="0" w:color="auto"/>
        <w:left w:val="none" w:sz="0" w:space="0" w:color="auto"/>
        <w:bottom w:val="none" w:sz="0" w:space="0" w:color="auto"/>
        <w:right w:val="none" w:sz="0" w:space="0" w:color="auto"/>
      </w:divBdr>
      <w:divsChild>
        <w:div w:id="119881137">
          <w:marLeft w:val="0"/>
          <w:marRight w:val="0"/>
          <w:marTop w:val="0"/>
          <w:marBottom w:val="0"/>
          <w:divBdr>
            <w:top w:val="none" w:sz="0" w:space="0" w:color="auto"/>
            <w:left w:val="none" w:sz="0" w:space="0" w:color="auto"/>
            <w:bottom w:val="none" w:sz="0" w:space="0" w:color="auto"/>
            <w:right w:val="none" w:sz="0" w:space="0" w:color="auto"/>
          </w:divBdr>
        </w:div>
      </w:divsChild>
    </w:div>
    <w:div w:id="1137647655">
      <w:bodyDiv w:val="1"/>
      <w:marLeft w:val="0"/>
      <w:marRight w:val="0"/>
      <w:marTop w:val="0"/>
      <w:marBottom w:val="0"/>
      <w:divBdr>
        <w:top w:val="none" w:sz="0" w:space="0" w:color="auto"/>
        <w:left w:val="none" w:sz="0" w:space="0" w:color="auto"/>
        <w:bottom w:val="none" w:sz="0" w:space="0" w:color="auto"/>
        <w:right w:val="none" w:sz="0" w:space="0" w:color="auto"/>
      </w:divBdr>
    </w:div>
    <w:div w:id="1138915225">
      <w:bodyDiv w:val="1"/>
      <w:marLeft w:val="0"/>
      <w:marRight w:val="0"/>
      <w:marTop w:val="0"/>
      <w:marBottom w:val="0"/>
      <w:divBdr>
        <w:top w:val="none" w:sz="0" w:space="0" w:color="auto"/>
        <w:left w:val="none" w:sz="0" w:space="0" w:color="auto"/>
        <w:bottom w:val="none" w:sz="0" w:space="0" w:color="auto"/>
        <w:right w:val="none" w:sz="0" w:space="0" w:color="auto"/>
      </w:divBdr>
      <w:divsChild>
        <w:div w:id="1684698732">
          <w:marLeft w:val="0"/>
          <w:marRight w:val="0"/>
          <w:marTop w:val="0"/>
          <w:marBottom w:val="0"/>
          <w:divBdr>
            <w:top w:val="none" w:sz="0" w:space="0" w:color="auto"/>
            <w:left w:val="none" w:sz="0" w:space="0" w:color="auto"/>
            <w:bottom w:val="none" w:sz="0" w:space="0" w:color="auto"/>
            <w:right w:val="none" w:sz="0" w:space="0" w:color="auto"/>
          </w:divBdr>
          <w:divsChild>
            <w:div w:id="296568042">
              <w:marLeft w:val="0"/>
              <w:marRight w:val="0"/>
              <w:marTop w:val="0"/>
              <w:marBottom w:val="0"/>
              <w:divBdr>
                <w:top w:val="none" w:sz="0" w:space="0" w:color="auto"/>
                <w:left w:val="none" w:sz="0" w:space="0" w:color="auto"/>
                <w:bottom w:val="none" w:sz="0" w:space="0" w:color="auto"/>
                <w:right w:val="none" w:sz="0" w:space="0" w:color="auto"/>
              </w:divBdr>
              <w:divsChild>
                <w:div w:id="17267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765930">
      <w:bodyDiv w:val="1"/>
      <w:marLeft w:val="0"/>
      <w:marRight w:val="0"/>
      <w:marTop w:val="0"/>
      <w:marBottom w:val="0"/>
      <w:divBdr>
        <w:top w:val="none" w:sz="0" w:space="0" w:color="auto"/>
        <w:left w:val="none" w:sz="0" w:space="0" w:color="auto"/>
        <w:bottom w:val="none" w:sz="0" w:space="0" w:color="auto"/>
        <w:right w:val="none" w:sz="0" w:space="0" w:color="auto"/>
      </w:divBdr>
    </w:div>
    <w:div w:id="1140615571">
      <w:bodyDiv w:val="1"/>
      <w:marLeft w:val="0"/>
      <w:marRight w:val="0"/>
      <w:marTop w:val="0"/>
      <w:marBottom w:val="0"/>
      <w:divBdr>
        <w:top w:val="none" w:sz="0" w:space="0" w:color="auto"/>
        <w:left w:val="none" w:sz="0" w:space="0" w:color="auto"/>
        <w:bottom w:val="none" w:sz="0" w:space="0" w:color="auto"/>
        <w:right w:val="none" w:sz="0" w:space="0" w:color="auto"/>
      </w:divBdr>
    </w:div>
    <w:div w:id="1140878774">
      <w:bodyDiv w:val="1"/>
      <w:marLeft w:val="0"/>
      <w:marRight w:val="0"/>
      <w:marTop w:val="0"/>
      <w:marBottom w:val="0"/>
      <w:divBdr>
        <w:top w:val="none" w:sz="0" w:space="0" w:color="auto"/>
        <w:left w:val="none" w:sz="0" w:space="0" w:color="auto"/>
        <w:bottom w:val="none" w:sz="0" w:space="0" w:color="auto"/>
        <w:right w:val="none" w:sz="0" w:space="0" w:color="auto"/>
      </w:divBdr>
    </w:div>
    <w:div w:id="1140921543">
      <w:bodyDiv w:val="1"/>
      <w:marLeft w:val="0"/>
      <w:marRight w:val="0"/>
      <w:marTop w:val="0"/>
      <w:marBottom w:val="0"/>
      <w:divBdr>
        <w:top w:val="none" w:sz="0" w:space="0" w:color="auto"/>
        <w:left w:val="none" w:sz="0" w:space="0" w:color="auto"/>
        <w:bottom w:val="none" w:sz="0" w:space="0" w:color="auto"/>
        <w:right w:val="none" w:sz="0" w:space="0" w:color="auto"/>
      </w:divBdr>
    </w:div>
    <w:div w:id="1141385362">
      <w:bodyDiv w:val="1"/>
      <w:marLeft w:val="0"/>
      <w:marRight w:val="0"/>
      <w:marTop w:val="0"/>
      <w:marBottom w:val="0"/>
      <w:divBdr>
        <w:top w:val="none" w:sz="0" w:space="0" w:color="auto"/>
        <w:left w:val="none" w:sz="0" w:space="0" w:color="auto"/>
        <w:bottom w:val="none" w:sz="0" w:space="0" w:color="auto"/>
        <w:right w:val="none" w:sz="0" w:space="0" w:color="auto"/>
      </w:divBdr>
      <w:divsChild>
        <w:div w:id="1192302131">
          <w:marLeft w:val="0"/>
          <w:marRight w:val="0"/>
          <w:marTop w:val="0"/>
          <w:marBottom w:val="0"/>
          <w:divBdr>
            <w:top w:val="none" w:sz="0" w:space="0" w:color="auto"/>
            <w:left w:val="none" w:sz="0" w:space="0" w:color="auto"/>
            <w:bottom w:val="none" w:sz="0" w:space="0" w:color="auto"/>
            <w:right w:val="none" w:sz="0" w:space="0" w:color="auto"/>
          </w:divBdr>
        </w:div>
      </w:divsChild>
    </w:div>
    <w:div w:id="1141921707">
      <w:bodyDiv w:val="1"/>
      <w:marLeft w:val="0"/>
      <w:marRight w:val="0"/>
      <w:marTop w:val="0"/>
      <w:marBottom w:val="0"/>
      <w:divBdr>
        <w:top w:val="none" w:sz="0" w:space="0" w:color="auto"/>
        <w:left w:val="none" w:sz="0" w:space="0" w:color="auto"/>
        <w:bottom w:val="none" w:sz="0" w:space="0" w:color="auto"/>
        <w:right w:val="none" w:sz="0" w:space="0" w:color="auto"/>
      </w:divBdr>
    </w:div>
    <w:div w:id="1142193051">
      <w:bodyDiv w:val="1"/>
      <w:marLeft w:val="0"/>
      <w:marRight w:val="0"/>
      <w:marTop w:val="0"/>
      <w:marBottom w:val="0"/>
      <w:divBdr>
        <w:top w:val="none" w:sz="0" w:space="0" w:color="auto"/>
        <w:left w:val="none" w:sz="0" w:space="0" w:color="auto"/>
        <w:bottom w:val="none" w:sz="0" w:space="0" w:color="auto"/>
        <w:right w:val="none" w:sz="0" w:space="0" w:color="auto"/>
      </w:divBdr>
    </w:div>
    <w:div w:id="1143815271">
      <w:bodyDiv w:val="1"/>
      <w:marLeft w:val="0"/>
      <w:marRight w:val="0"/>
      <w:marTop w:val="0"/>
      <w:marBottom w:val="0"/>
      <w:divBdr>
        <w:top w:val="none" w:sz="0" w:space="0" w:color="auto"/>
        <w:left w:val="none" w:sz="0" w:space="0" w:color="auto"/>
        <w:bottom w:val="none" w:sz="0" w:space="0" w:color="auto"/>
        <w:right w:val="none" w:sz="0" w:space="0" w:color="auto"/>
      </w:divBdr>
    </w:div>
    <w:div w:id="1145121352">
      <w:bodyDiv w:val="1"/>
      <w:marLeft w:val="0"/>
      <w:marRight w:val="0"/>
      <w:marTop w:val="0"/>
      <w:marBottom w:val="0"/>
      <w:divBdr>
        <w:top w:val="none" w:sz="0" w:space="0" w:color="auto"/>
        <w:left w:val="none" w:sz="0" w:space="0" w:color="auto"/>
        <w:bottom w:val="none" w:sz="0" w:space="0" w:color="auto"/>
        <w:right w:val="none" w:sz="0" w:space="0" w:color="auto"/>
      </w:divBdr>
    </w:div>
    <w:div w:id="1147208222">
      <w:bodyDiv w:val="1"/>
      <w:marLeft w:val="0"/>
      <w:marRight w:val="0"/>
      <w:marTop w:val="0"/>
      <w:marBottom w:val="0"/>
      <w:divBdr>
        <w:top w:val="none" w:sz="0" w:space="0" w:color="auto"/>
        <w:left w:val="none" w:sz="0" w:space="0" w:color="auto"/>
        <w:bottom w:val="none" w:sz="0" w:space="0" w:color="auto"/>
        <w:right w:val="none" w:sz="0" w:space="0" w:color="auto"/>
      </w:divBdr>
    </w:div>
    <w:div w:id="1150168744">
      <w:bodyDiv w:val="1"/>
      <w:marLeft w:val="0"/>
      <w:marRight w:val="0"/>
      <w:marTop w:val="0"/>
      <w:marBottom w:val="0"/>
      <w:divBdr>
        <w:top w:val="none" w:sz="0" w:space="0" w:color="auto"/>
        <w:left w:val="none" w:sz="0" w:space="0" w:color="auto"/>
        <w:bottom w:val="none" w:sz="0" w:space="0" w:color="auto"/>
        <w:right w:val="none" w:sz="0" w:space="0" w:color="auto"/>
      </w:divBdr>
    </w:div>
    <w:div w:id="1151142726">
      <w:bodyDiv w:val="1"/>
      <w:marLeft w:val="0"/>
      <w:marRight w:val="0"/>
      <w:marTop w:val="0"/>
      <w:marBottom w:val="0"/>
      <w:divBdr>
        <w:top w:val="none" w:sz="0" w:space="0" w:color="auto"/>
        <w:left w:val="none" w:sz="0" w:space="0" w:color="auto"/>
        <w:bottom w:val="none" w:sz="0" w:space="0" w:color="auto"/>
        <w:right w:val="none" w:sz="0" w:space="0" w:color="auto"/>
      </w:divBdr>
    </w:div>
    <w:div w:id="1154301116">
      <w:bodyDiv w:val="1"/>
      <w:marLeft w:val="0"/>
      <w:marRight w:val="0"/>
      <w:marTop w:val="0"/>
      <w:marBottom w:val="0"/>
      <w:divBdr>
        <w:top w:val="none" w:sz="0" w:space="0" w:color="auto"/>
        <w:left w:val="none" w:sz="0" w:space="0" w:color="auto"/>
        <w:bottom w:val="none" w:sz="0" w:space="0" w:color="auto"/>
        <w:right w:val="none" w:sz="0" w:space="0" w:color="auto"/>
      </w:divBdr>
    </w:div>
    <w:div w:id="1156149180">
      <w:bodyDiv w:val="1"/>
      <w:marLeft w:val="0"/>
      <w:marRight w:val="0"/>
      <w:marTop w:val="0"/>
      <w:marBottom w:val="0"/>
      <w:divBdr>
        <w:top w:val="none" w:sz="0" w:space="0" w:color="auto"/>
        <w:left w:val="none" w:sz="0" w:space="0" w:color="auto"/>
        <w:bottom w:val="none" w:sz="0" w:space="0" w:color="auto"/>
        <w:right w:val="none" w:sz="0" w:space="0" w:color="auto"/>
      </w:divBdr>
    </w:div>
    <w:div w:id="1156844521">
      <w:bodyDiv w:val="1"/>
      <w:marLeft w:val="0"/>
      <w:marRight w:val="0"/>
      <w:marTop w:val="0"/>
      <w:marBottom w:val="0"/>
      <w:divBdr>
        <w:top w:val="none" w:sz="0" w:space="0" w:color="auto"/>
        <w:left w:val="none" w:sz="0" w:space="0" w:color="auto"/>
        <w:bottom w:val="none" w:sz="0" w:space="0" w:color="auto"/>
        <w:right w:val="none" w:sz="0" w:space="0" w:color="auto"/>
      </w:divBdr>
    </w:div>
    <w:div w:id="1157115285">
      <w:bodyDiv w:val="1"/>
      <w:marLeft w:val="0"/>
      <w:marRight w:val="0"/>
      <w:marTop w:val="0"/>
      <w:marBottom w:val="0"/>
      <w:divBdr>
        <w:top w:val="none" w:sz="0" w:space="0" w:color="auto"/>
        <w:left w:val="none" w:sz="0" w:space="0" w:color="auto"/>
        <w:bottom w:val="none" w:sz="0" w:space="0" w:color="auto"/>
        <w:right w:val="none" w:sz="0" w:space="0" w:color="auto"/>
      </w:divBdr>
    </w:div>
    <w:div w:id="1159418482">
      <w:bodyDiv w:val="1"/>
      <w:marLeft w:val="0"/>
      <w:marRight w:val="0"/>
      <w:marTop w:val="0"/>
      <w:marBottom w:val="0"/>
      <w:divBdr>
        <w:top w:val="none" w:sz="0" w:space="0" w:color="auto"/>
        <w:left w:val="none" w:sz="0" w:space="0" w:color="auto"/>
        <w:bottom w:val="none" w:sz="0" w:space="0" w:color="auto"/>
        <w:right w:val="none" w:sz="0" w:space="0" w:color="auto"/>
      </w:divBdr>
    </w:div>
    <w:div w:id="1159660678">
      <w:bodyDiv w:val="1"/>
      <w:marLeft w:val="0"/>
      <w:marRight w:val="0"/>
      <w:marTop w:val="0"/>
      <w:marBottom w:val="0"/>
      <w:divBdr>
        <w:top w:val="none" w:sz="0" w:space="0" w:color="auto"/>
        <w:left w:val="none" w:sz="0" w:space="0" w:color="auto"/>
        <w:bottom w:val="none" w:sz="0" w:space="0" w:color="auto"/>
        <w:right w:val="none" w:sz="0" w:space="0" w:color="auto"/>
      </w:divBdr>
    </w:div>
    <w:div w:id="1161626938">
      <w:bodyDiv w:val="1"/>
      <w:marLeft w:val="0"/>
      <w:marRight w:val="0"/>
      <w:marTop w:val="0"/>
      <w:marBottom w:val="0"/>
      <w:divBdr>
        <w:top w:val="none" w:sz="0" w:space="0" w:color="auto"/>
        <w:left w:val="none" w:sz="0" w:space="0" w:color="auto"/>
        <w:bottom w:val="none" w:sz="0" w:space="0" w:color="auto"/>
        <w:right w:val="none" w:sz="0" w:space="0" w:color="auto"/>
      </w:divBdr>
    </w:div>
    <w:div w:id="1163426260">
      <w:bodyDiv w:val="1"/>
      <w:marLeft w:val="0"/>
      <w:marRight w:val="0"/>
      <w:marTop w:val="0"/>
      <w:marBottom w:val="0"/>
      <w:divBdr>
        <w:top w:val="none" w:sz="0" w:space="0" w:color="auto"/>
        <w:left w:val="none" w:sz="0" w:space="0" w:color="auto"/>
        <w:bottom w:val="none" w:sz="0" w:space="0" w:color="auto"/>
        <w:right w:val="none" w:sz="0" w:space="0" w:color="auto"/>
      </w:divBdr>
    </w:div>
    <w:div w:id="1163812853">
      <w:bodyDiv w:val="1"/>
      <w:marLeft w:val="0"/>
      <w:marRight w:val="0"/>
      <w:marTop w:val="0"/>
      <w:marBottom w:val="0"/>
      <w:divBdr>
        <w:top w:val="none" w:sz="0" w:space="0" w:color="auto"/>
        <w:left w:val="none" w:sz="0" w:space="0" w:color="auto"/>
        <w:bottom w:val="none" w:sz="0" w:space="0" w:color="auto"/>
        <w:right w:val="none" w:sz="0" w:space="0" w:color="auto"/>
      </w:divBdr>
    </w:div>
    <w:div w:id="1166431850">
      <w:bodyDiv w:val="1"/>
      <w:marLeft w:val="0"/>
      <w:marRight w:val="0"/>
      <w:marTop w:val="0"/>
      <w:marBottom w:val="0"/>
      <w:divBdr>
        <w:top w:val="none" w:sz="0" w:space="0" w:color="auto"/>
        <w:left w:val="none" w:sz="0" w:space="0" w:color="auto"/>
        <w:bottom w:val="none" w:sz="0" w:space="0" w:color="auto"/>
        <w:right w:val="none" w:sz="0" w:space="0" w:color="auto"/>
      </w:divBdr>
    </w:div>
    <w:div w:id="1166818395">
      <w:bodyDiv w:val="1"/>
      <w:marLeft w:val="0"/>
      <w:marRight w:val="0"/>
      <w:marTop w:val="0"/>
      <w:marBottom w:val="0"/>
      <w:divBdr>
        <w:top w:val="none" w:sz="0" w:space="0" w:color="auto"/>
        <w:left w:val="none" w:sz="0" w:space="0" w:color="auto"/>
        <w:bottom w:val="none" w:sz="0" w:space="0" w:color="auto"/>
        <w:right w:val="none" w:sz="0" w:space="0" w:color="auto"/>
      </w:divBdr>
    </w:div>
    <w:div w:id="1167549253">
      <w:bodyDiv w:val="1"/>
      <w:marLeft w:val="0"/>
      <w:marRight w:val="0"/>
      <w:marTop w:val="0"/>
      <w:marBottom w:val="0"/>
      <w:divBdr>
        <w:top w:val="none" w:sz="0" w:space="0" w:color="auto"/>
        <w:left w:val="none" w:sz="0" w:space="0" w:color="auto"/>
        <w:bottom w:val="none" w:sz="0" w:space="0" w:color="auto"/>
        <w:right w:val="none" w:sz="0" w:space="0" w:color="auto"/>
      </w:divBdr>
    </w:div>
    <w:div w:id="1167788726">
      <w:bodyDiv w:val="1"/>
      <w:marLeft w:val="0"/>
      <w:marRight w:val="0"/>
      <w:marTop w:val="0"/>
      <w:marBottom w:val="0"/>
      <w:divBdr>
        <w:top w:val="none" w:sz="0" w:space="0" w:color="auto"/>
        <w:left w:val="none" w:sz="0" w:space="0" w:color="auto"/>
        <w:bottom w:val="none" w:sz="0" w:space="0" w:color="auto"/>
        <w:right w:val="none" w:sz="0" w:space="0" w:color="auto"/>
      </w:divBdr>
    </w:div>
    <w:div w:id="1169952150">
      <w:bodyDiv w:val="1"/>
      <w:marLeft w:val="0"/>
      <w:marRight w:val="0"/>
      <w:marTop w:val="0"/>
      <w:marBottom w:val="0"/>
      <w:divBdr>
        <w:top w:val="none" w:sz="0" w:space="0" w:color="auto"/>
        <w:left w:val="none" w:sz="0" w:space="0" w:color="auto"/>
        <w:bottom w:val="none" w:sz="0" w:space="0" w:color="auto"/>
        <w:right w:val="none" w:sz="0" w:space="0" w:color="auto"/>
      </w:divBdr>
    </w:div>
    <w:div w:id="1170827067">
      <w:bodyDiv w:val="1"/>
      <w:marLeft w:val="0"/>
      <w:marRight w:val="0"/>
      <w:marTop w:val="0"/>
      <w:marBottom w:val="0"/>
      <w:divBdr>
        <w:top w:val="none" w:sz="0" w:space="0" w:color="auto"/>
        <w:left w:val="none" w:sz="0" w:space="0" w:color="auto"/>
        <w:bottom w:val="none" w:sz="0" w:space="0" w:color="auto"/>
        <w:right w:val="none" w:sz="0" w:space="0" w:color="auto"/>
      </w:divBdr>
    </w:div>
    <w:div w:id="1171214012">
      <w:bodyDiv w:val="1"/>
      <w:marLeft w:val="0"/>
      <w:marRight w:val="0"/>
      <w:marTop w:val="0"/>
      <w:marBottom w:val="0"/>
      <w:divBdr>
        <w:top w:val="none" w:sz="0" w:space="0" w:color="auto"/>
        <w:left w:val="none" w:sz="0" w:space="0" w:color="auto"/>
        <w:bottom w:val="none" w:sz="0" w:space="0" w:color="auto"/>
        <w:right w:val="none" w:sz="0" w:space="0" w:color="auto"/>
      </w:divBdr>
    </w:div>
    <w:div w:id="1171793065">
      <w:bodyDiv w:val="1"/>
      <w:marLeft w:val="0"/>
      <w:marRight w:val="0"/>
      <w:marTop w:val="0"/>
      <w:marBottom w:val="0"/>
      <w:divBdr>
        <w:top w:val="none" w:sz="0" w:space="0" w:color="auto"/>
        <w:left w:val="none" w:sz="0" w:space="0" w:color="auto"/>
        <w:bottom w:val="none" w:sz="0" w:space="0" w:color="auto"/>
        <w:right w:val="none" w:sz="0" w:space="0" w:color="auto"/>
      </w:divBdr>
    </w:div>
    <w:div w:id="1172185318">
      <w:bodyDiv w:val="1"/>
      <w:marLeft w:val="0"/>
      <w:marRight w:val="0"/>
      <w:marTop w:val="0"/>
      <w:marBottom w:val="0"/>
      <w:divBdr>
        <w:top w:val="none" w:sz="0" w:space="0" w:color="auto"/>
        <w:left w:val="none" w:sz="0" w:space="0" w:color="auto"/>
        <w:bottom w:val="none" w:sz="0" w:space="0" w:color="auto"/>
        <w:right w:val="none" w:sz="0" w:space="0" w:color="auto"/>
      </w:divBdr>
    </w:div>
    <w:div w:id="1172256200">
      <w:bodyDiv w:val="1"/>
      <w:marLeft w:val="0"/>
      <w:marRight w:val="0"/>
      <w:marTop w:val="0"/>
      <w:marBottom w:val="0"/>
      <w:divBdr>
        <w:top w:val="none" w:sz="0" w:space="0" w:color="auto"/>
        <w:left w:val="none" w:sz="0" w:space="0" w:color="auto"/>
        <w:bottom w:val="none" w:sz="0" w:space="0" w:color="auto"/>
        <w:right w:val="none" w:sz="0" w:space="0" w:color="auto"/>
      </w:divBdr>
    </w:div>
    <w:div w:id="1172648737">
      <w:bodyDiv w:val="1"/>
      <w:marLeft w:val="0"/>
      <w:marRight w:val="0"/>
      <w:marTop w:val="0"/>
      <w:marBottom w:val="0"/>
      <w:divBdr>
        <w:top w:val="none" w:sz="0" w:space="0" w:color="auto"/>
        <w:left w:val="none" w:sz="0" w:space="0" w:color="auto"/>
        <w:bottom w:val="none" w:sz="0" w:space="0" w:color="auto"/>
        <w:right w:val="none" w:sz="0" w:space="0" w:color="auto"/>
      </w:divBdr>
    </w:div>
    <w:div w:id="1174606731">
      <w:bodyDiv w:val="1"/>
      <w:marLeft w:val="0"/>
      <w:marRight w:val="0"/>
      <w:marTop w:val="0"/>
      <w:marBottom w:val="0"/>
      <w:divBdr>
        <w:top w:val="none" w:sz="0" w:space="0" w:color="auto"/>
        <w:left w:val="none" w:sz="0" w:space="0" w:color="auto"/>
        <w:bottom w:val="none" w:sz="0" w:space="0" w:color="auto"/>
        <w:right w:val="none" w:sz="0" w:space="0" w:color="auto"/>
      </w:divBdr>
    </w:div>
    <w:div w:id="1174610417">
      <w:bodyDiv w:val="1"/>
      <w:marLeft w:val="0"/>
      <w:marRight w:val="0"/>
      <w:marTop w:val="0"/>
      <w:marBottom w:val="0"/>
      <w:divBdr>
        <w:top w:val="none" w:sz="0" w:space="0" w:color="auto"/>
        <w:left w:val="none" w:sz="0" w:space="0" w:color="auto"/>
        <w:bottom w:val="none" w:sz="0" w:space="0" w:color="auto"/>
        <w:right w:val="none" w:sz="0" w:space="0" w:color="auto"/>
      </w:divBdr>
    </w:div>
    <w:div w:id="1176502889">
      <w:bodyDiv w:val="1"/>
      <w:marLeft w:val="0"/>
      <w:marRight w:val="0"/>
      <w:marTop w:val="0"/>
      <w:marBottom w:val="0"/>
      <w:divBdr>
        <w:top w:val="none" w:sz="0" w:space="0" w:color="auto"/>
        <w:left w:val="none" w:sz="0" w:space="0" w:color="auto"/>
        <w:bottom w:val="none" w:sz="0" w:space="0" w:color="auto"/>
        <w:right w:val="none" w:sz="0" w:space="0" w:color="auto"/>
      </w:divBdr>
    </w:div>
    <w:div w:id="1179545960">
      <w:bodyDiv w:val="1"/>
      <w:marLeft w:val="0"/>
      <w:marRight w:val="0"/>
      <w:marTop w:val="0"/>
      <w:marBottom w:val="0"/>
      <w:divBdr>
        <w:top w:val="none" w:sz="0" w:space="0" w:color="auto"/>
        <w:left w:val="none" w:sz="0" w:space="0" w:color="auto"/>
        <w:bottom w:val="none" w:sz="0" w:space="0" w:color="auto"/>
        <w:right w:val="none" w:sz="0" w:space="0" w:color="auto"/>
      </w:divBdr>
    </w:div>
    <w:div w:id="1180318894">
      <w:bodyDiv w:val="1"/>
      <w:marLeft w:val="0"/>
      <w:marRight w:val="0"/>
      <w:marTop w:val="0"/>
      <w:marBottom w:val="0"/>
      <w:divBdr>
        <w:top w:val="none" w:sz="0" w:space="0" w:color="auto"/>
        <w:left w:val="none" w:sz="0" w:space="0" w:color="auto"/>
        <w:bottom w:val="none" w:sz="0" w:space="0" w:color="auto"/>
        <w:right w:val="none" w:sz="0" w:space="0" w:color="auto"/>
      </w:divBdr>
    </w:div>
    <w:div w:id="1181236004">
      <w:bodyDiv w:val="1"/>
      <w:marLeft w:val="0"/>
      <w:marRight w:val="0"/>
      <w:marTop w:val="0"/>
      <w:marBottom w:val="0"/>
      <w:divBdr>
        <w:top w:val="none" w:sz="0" w:space="0" w:color="auto"/>
        <w:left w:val="none" w:sz="0" w:space="0" w:color="auto"/>
        <w:bottom w:val="none" w:sz="0" w:space="0" w:color="auto"/>
        <w:right w:val="none" w:sz="0" w:space="0" w:color="auto"/>
      </w:divBdr>
    </w:div>
    <w:div w:id="1181357931">
      <w:bodyDiv w:val="1"/>
      <w:marLeft w:val="0"/>
      <w:marRight w:val="0"/>
      <w:marTop w:val="0"/>
      <w:marBottom w:val="0"/>
      <w:divBdr>
        <w:top w:val="none" w:sz="0" w:space="0" w:color="auto"/>
        <w:left w:val="none" w:sz="0" w:space="0" w:color="auto"/>
        <w:bottom w:val="none" w:sz="0" w:space="0" w:color="auto"/>
        <w:right w:val="none" w:sz="0" w:space="0" w:color="auto"/>
      </w:divBdr>
    </w:div>
    <w:div w:id="1184053904">
      <w:bodyDiv w:val="1"/>
      <w:marLeft w:val="0"/>
      <w:marRight w:val="0"/>
      <w:marTop w:val="0"/>
      <w:marBottom w:val="0"/>
      <w:divBdr>
        <w:top w:val="none" w:sz="0" w:space="0" w:color="auto"/>
        <w:left w:val="none" w:sz="0" w:space="0" w:color="auto"/>
        <w:bottom w:val="none" w:sz="0" w:space="0" w:color="auto"/>
        <w:right w:val="none" w:sz="0" w:space="0" w:color="auto"/>
      </w:divBdr>
    </w:div>
    <w:div w:id="1184512412">
      <w:bodyDiv w:val="1"/>
      <w:marLeft w:val="0"/>
      <w:marRight w:val="0"/>
      <w:marTop w:val="0"/>
      <w:marBottom w:val="0"/>
      <w:divBdr>
        <w:top w:val="none" w:sz="0" w:space="0" w:color="auto"/>
        <w:left w:val="none" w:sz="0" w:space="0" w:color="auto"/>
        <w:bottom w:val="none" w:sz="0" w:space="0" w:color="auto"/>
        <w:right w:val="none" w:sz="0" w:space="0" w:color="auto"/>
      </w:divBdr>
    </w:div>
    <w:div w:id="1184632957">
      <w:bodyDiv w:val="1"/>
      <w:marLeft w:val="0"/>
      <w:marRight w:val="0"/>
      <w:marTop w:val="0"/>
      <w:marBottom w:val="0"/>
      <w:divBdr>
        <w:top w:val="none" w:sz="0" w:space="0" w:color="auto"/>
        <w:left w:val="none" w:sz="0" w:space="0" w:color="auto"/>
        <w:bottom w:val="none" w:sz="0" w:space="0" w:color="auto"/>
        <w:right w:val="none" w:sz="0" w:space="0" w:color="auto"/>
      </w:divBdr>
    </w:div>
    <w:div w:id="1186406630">
      <w:bodyDiv w:val="1"/>
      <w:marLeft w:val="0"/>
      <w:marRight w:val="0"/>
      <w:marTop w:val="0"/>
      <w:marBottom w:val="0"/>
      <w:divBdr>
        <w:top w:val="none" w:sz="0" w:space="0" w:color="auto"/>
        <w:left w:val="none" w:sz="0" w:space="0" w:color="auto"/>
        <w:bottom w:val="none" w:sz="0" w:space="0" w:color="auto"/>
        <w:right w:val="none" w:sz="0" w:space="0" w:color="auto"/>
      </w:divBdr>
    </w:div>
    <w:div w:id="1189175368">
      <w:bodyDiv w:val="1"/>
      <w:marLeft w:val="0"/>
      <w:marRight w:val="0"/>
      <w:marTop w:val="0"/>
      <w:marBottom w:val="0"/>
      <w:divBdr>
        <w:top w:val="none" w:sz="0" w:space="0" w:color="auto"/>
        <w:left w:val="none" w:sz="0" w:space="0" w:color="auto"/>
        <w:bottom w:val="none" w:sz="0" w:space="0" w:color="auto"/>
        <w:right w:val="none" w:sz="0" w:space="0" w:color="auto"/>
      </w:divBdr>
    </w:div>
    <w:div w:id="1189294357">
      <w:bodyDiv w:val="1"/>
      <w:marLeft w:val="0"/>
      <w:marRight w:val="0"/>
      <w:marTop w:val="0"/>
      <w:marBottom w:val="0"/>
      <w:divBdr>
        <w:top w:val="none" w:sz="0" w:space="0" w:color="auto"/>
        <w:left w:val="none" w:sz="0" w:space="0" w:color="auto"/>
        <w:bottom w:val="none" w:sz="0" w:space="0" w:color="auto"/>
        <w:right w:val="none" w:sz="0" w:space="0" w:color="auto"/>
      </w:divBdr>
    </w:div>
    <w:div w:id="1190993106">
      <w:bodyDiv w:val="1"/>
      <w:marLeft w:val="0"/>
      <w:marRight w:val="0"/>
      <w:marTop w:val="0"/>
      <w:marBottom w:val="0"/>
      <w:divBdr>
        <w:top w:val="none" w:sz="0" w:space="0" w:color="auto"/>
        <w:left w:val="none" w:sz="0" w:space="0" w:color="auto"/>
        <w:bottom w:val="none" w:sz="0" w:space="0" w:color="auto"/>
        <w:right w:val="none" w:sz="0" w:space="0" w:color="auto"/>
      </w:divBdr>
    </w:div>
    <w:div w:id="1194270569">
      <w:bodyDiv w:val="1"/>
      <w:marLeft w:val="0"/>
      <w:marRight w:val="0"/>
      <w:marTop w:val="0"/>
      <w:marBottom w:val="0"/>
      <w:divBdr>
        <w:top w:val="none" w:sz="0" w:space="0" w:color="auto"/>
        <w:left w:val="none" w:sz="0" w:space="0" w:color="auto"/>
        <w:bottom w:val="none" w:sz="0" w:space="0" w:color="auto"/>
        <w:right w:val="none" w:sz="0" w:space="0" w:color="auto"/>
      </w:divBdr>
    </w:div>
    <w:div w:id="1194804609">
      <w:bodyDiv w:val="1"/>
      <w:marLeft w:val="0"/>
      <w:marRight w:val="0"/>
      <w:marTop w:val="0"/>
      <w:marBottom w:val="0"/>
      <w:divBdr>
        <w:top w:val="none" w:sz="0" w:space="0" w:color="auto"/>
        <w:left w:val="none" w:sz="0" w:space="0" w:color="auto"/>
        <w:bottom w:val="none" w:sz="0" w:space="0" w:color="auto"/>
        <w:right w:val="none" w:sz="0" w:space="0" w:color="auto"/>
      </w:divBdr>
    </w:div>
    <w:div w:id="1194807876">
      <w:bodyDiv w:val="1"/>
      <w:marLeft w:val="0"/>
      <w:marRight w:val="0"/>
      <w:marTop w:val="0"/>
      <w:marBottom w:val="0"/>
      <w:divBdr>
        <w:top w:val="none" w:sz="0" w:space="0" w:color="auto"/>
        <w:left w:val="none" w:sz="0" w:space="0" w:color="auto"/>
        <w:bottom w:val="none" w:sz="0" w:space="0" w:color="auto"/>
        <w:right w:val="none" w:sz="0" w:space="0" w:color="auto"/>
      </w:divBdr>
    </w:div>
    <w:div w:id="1194807890">
      <w:bodyDiv w:val="1"/>
      <w:marLeft w:val="0"/>
      <w:marRight w:val="0"/>
      <w:marTop w:val="0"/>
      <w:marBottom w:val="0"/>
      <w:divBdr>
        <w:top w:val="none" w:sz="0" w:space="0" w:color="auto"/>
        <w:left w:val="none" w:sz="0" w:space="0" w:color="auto"/>
        <w:bottom w:val="none" w:sz="0" w:space="0" w:color="auto"/>
        <w:right w:val="none" w:sz="0" w:space="0" w:color="auto"/>
      </w:divBdr>
    </w:div>
    <w:div w:id="1196651486">
      <w:bodyDiv w:val="1"/>
      <w:marLeft w:val="0"/>
      <w:marRight w:val="0"/>
      <w:marTop w:val="0"/>
      <w:marBottom w:val="0"/>
      <w:divBdr>
        <w:top w:val="none" w:sz="0" w:space="0" w:color="auto"/>
        <w:left w:val="none" w:sz="0" w:space="0" w:color="auto"/>
        <w:bottom w:val="none" w:sz="0" w:space="0" w:color="auto"/>
        <w:right w:val="none" w:sz="0" w:space="0" w:color="auto"/>
      </w:divBdr>
    </w:div>
    <w:div w:id="1197042709">
      <w:bodyDiv w:val="1"/>
      <w:marLeft w:val="0"/>
      <w:marRight w:val="0"/>
      <w:marTop w:val="0"/>
      <w:marBottom w:val="0"/>
      <w:divBdr>
        <w:top w:val="none" w:sz="0" w:space="0" w:color="auto"/>
        <w:left w:val="none" w:sz="0" w:space="0" w:color="auto"/>
        <w:bottom w:val="none" w:sz="0" w:space="0" w:color="auto"/>
        <w:right w:val="none" w:sz="0" w:space="0" w:color="auto"/>
      </w:divBdr>
    </w:div>
    <w:div w:id="1198279016">
      <w:bodyDiv w:val="1"/>
      <w:marLeft w:val="0"/>
      <w:marRight w:val="0"/>
      <w:marTop w:val="0"/>
      <w:marBottom w:val="0"/>
      <w:divBdr>
        <w:top w:val="none" w:sz="0" w:space="0" w:color="auto"/>
        <w:left w:val="none" w:sz="0" w:space="0" w:color="auto"/>
        <w:bottom w:val="none" w:sz="0" w:space="0" w:color="auto"/>
        <w:right w:val="none" w:sz="0" w:space="0" w:color="auto"/>
      </w:divBdr>
    </w:div>
    <w:div w:id="1199314783">
      <w:bodyDiv w:val="1"/>
      <w:marLeft w:val="0"/>
      <w:marRight w:val="0"/>
      <w:marTop w:val="0"/>
      <w:marBottom w:val="0"/>
      <w:divBdr>
        <w:top w:val="none" w:sz="0" w:space="0" w:color="auto"/>
        <w:left w:val="none" w:sz="0" w:space="0" w:color="auto"/>
        <w:bottom w:val="none" w:sz="0" w:space="0" w:color="auto"/>
        <w:right w:val="none" w:sz="0" w:space="0" w:color="auto"/>
      </w:divBdr>
    </w:div>
    <w:div w:id="1200361959">
      <w:bodyDiv w:val="1"/>
      <w:marLeft w:val="0"/>
      <w:marRight w:val="0"/>
      <w:marTop w:val="0"/>
      <w:marBottom w:val="0"/>
      <w:divBdr>
        <w:top w:val="none" w:sz="0" w:space="0" w:color="auto"/>
        <w:left w:val="none" w:sz="0" w:space="0" w:color="auto"/>
        <w:bottom w:val="none" w:sz="0" w:space="0" w:color="auto"/>
        <w:right w:val="none" w:sz="0" w:space="0" w:color="auto"/>
      </w:divBdr>
    </w:div>
    <w:div w:id="1201821989">
      <w:bodyDiv w:val="1"/>
      <w:marLeft w:val="0"/>
      <w:marRight w:val="0"/>
      <w:marTop w:val="0"/>
      <w:marBottom w:val="0"/>
      <w:divBdr>
        <w:top w:val="none" w:sz="0" w:space="0" w:color="auto"/>
        <w:left w:val="none" w:sz="0" w:space="0" w:color="auto"/>
        <w:bottom w:val="none" w:sz="0" w:space="0" w:color="auto"/>
        <w:right w:val="none" w:sz="0" w:space="0" w:color="auto"/>
      </w:divBdr>
    </w:div>
    <w:div w:id="1201866557">
      <w:bodyDiv w:val="1"/>
      <w:marLeft w:val="0"/>
      <w:marRight w:val="0"/>
      <w:marTop w:val="0"/>
      <w:marBottom w:val="0"/>
      <w:divBdr>
        <w:top w:val="none" w:sz="0" w:space="0" w:color="auto"/>
        <w:left w:val="none" w:sz="0" w:space="0" w:color="auto"/>
        <w:bottom w:val="none" w:sz="0" w:space="0" w:color="auto"/>
        <w:right w:val="none" w:sz="0" w:space="0" w:color="auto"/>
      </w:divBdr>
    </w:div>
    <w:div w:id="1202981096">
      <w:bodyDiv w:val="1"/>
      <w:marLeft w:val="0"/>
      <w:marRight w:val="0"/>
      <w:marTop w:val="0"/>
      <w:marBottom w:val="0"/>
      <w:divBdr>
        <w:top w:val="none" w:sz="0" w:space="0" w:color="auto"/>
        <w:left w:val="none" w:sz="0" w:space="0" w:color="auto"/>
        <w:bottom w:val="none" w:sz="0" w:space="0" w:color="auto"/>
        <w:right w:val="none" w:sz="0" w:space="0" w:color="auto"/>
      </w:divBdr>
    </w:div>
    <w:div w:id="1203130486">
      <w:bodyDiv w:val="1"/>
      <w:marLeft w:val="0"/>
      <w:marRight w:val="0"/>
      <w:marTop w:val="0"/>
      <w:marBottom w:val="0"/>
      <w:divBdr>
        <w:top w:val="none" w:sz="0" w:space="0" w:color="auto"/>
        <w:left w:val="none" w:sz="0" w:space="0" w:color="auto"/>
        <w:bottom w:val="none" w:sz="0" w:space="0" w:color="auto"/>
        <w:right w:val="none" w:sz="0" w:space="0" w:color="auto"/>
      </w:divBdr>
    </w:div>
    <w:div w:id="1205020481">
      <w:bodyDiv w:val="1"/>
      <w:marLeft w:val="0"/>
      <w:marRight w:val="0"/>
      <w:marTop w:val="0"/>
      <w:marBottom w:val="0"/>
      <w:divBdr>
        <w:top w:val="none" w:sz="0" w:space="0" w:color="auto"/>
        <w:left w:val="none" w:sz="0" w:space="0" w:color="auto"/>
        <w:bottom w:val="none" w:sz="0" w:space="0" w:color="auto"/>
        <w:right w:val="none" w:sz="0" w:space="0" w:color="auto"/>
      </w:divBdr>
    </w:div>
    <w:div w:id="1206143592">
      <w:bodyDiv w:val="1"/>
      <w:marLeft w:val="0"/>
      <w:marRight w:val="0"/>
      <w:marTop w:val="0"/>
      <w:marBottom w:val="0"/>
      <w:divBdr>
        <w:top w:val="none" w:sz="0" w:space="0" w:color="auto"/>
        <w:left w:val="none" w:sz="0" w:space="0" w:color="auto"/>
        <w:bottom w:val="none" w:sz="0" w:space="0" w:color="auto"/>
        <w:right w:val="none" w:sz="0" w:space="0" w:color="auto"/>
      </w:divBdr>
    </w:div>
    <w:div w:id="1207643274">
      <w:bodyDiv w:val="1"/>
      <w:marLeft w:val="0"/>
      <w:marRight w:val="0"/>
      <w:marTop w:val="0"/>
      <w:marBottom w:val="0"/>
      <w:divBdr>
        <w:top w:val="none" w:sz="0" w:space="0" w:color="auto"/>
        <w:left w:val="none" w:sz="0" w:space="0" w:color="auto"/>
        <w:bottom w:val="none" w:sz="0" w:space="0" w:color="auto"/>
        <w:right w:val="none" w:sz="0" w:space="0" w:color="auto"/>
      </w:divBdr>
    </w:div>
    <w:div w:id="1207910912">
      <w:bodyDiv w:val="1"/>
      <w:marLeft w:val="0"/>
      <w:marRight w:val="0"/>
      <w:marTop w:val="0"/>
      <w:marBottom w:val="0"/>
      <w:divBdr>
        <w:top w:val="none" w:sz="0" w:space="0" w:color="auto"/>
        <w:left w:val="none" w:sz="0" w:space="0" w:color="auto"/>
        <w:bottom w:val="none" w:sz="0" w:space="0" w:color="auto"/>
        <w:right w:val="none" w:sz="0" w:space="0" w:color="auto"/>
      </w:divBdr>
    </w:div>
    <w:div w:id="1208644580">
      <w:bodyDiv w:val="1"/>
      <w:marLeft w:val="0"/>
      <w:marRight w:val="0"/>
      <w:marTop w:val="0"/>
      <w:marBottom w:val="0"/>
      <w:divBdr>
        <w:top w:val="none" w:sz="0" w:space="0" w:color="auto"/>
        <w:left w:val="none" w:sz="0" w:space="0" w:color="auto"/>
        <w:bottom w:val="none" w:sz="0" w:space="0" w:color="auto"/>
        <w:right w:val="none" w:sz="0" w:space="0" w:color="auto"/>
      </w:divBdr>
    </w:div>
    <w:div w:id="1210610240">
      <w:bodyDiv w:val="1"/>
      <w:marLeft w:val="0"/>
      <w:marRight w:val="0"/>
      <w:marTop w:val="0"/>
      <w:marBottom w:val="0"/>
      <w:divBdr>
        <w:top w:val="none" w:sz="0" w:space="0" w:color="auto"/>
        <w:left w:val="none" w:sz="0" w:space="0" w:color="auto"/>
        <w:bottom w:val="none" w:sz="0" w:space="0" w:color="auto"/>
        <w:right w:val="none" w:sz="0" w:space="0" w:color="auto"/>
      </w:divBdr>
    </w:div>
    <w:div w:id="1212184790">
      <w:bodyDiv w:val="1"/>
      <w:marLeft w:val="0"/>
      <w:marRight w:val="0"/>
      <w:marTop w:val="0"/>
      <w:marBottom w:val="0"/>
      <w:divBdr>
        <w:top w:val="none" w:sz="0" w:space="0" w:color="auto"/>
        <w:left w:val="none" w:sz="0" w:space="0" w:color="auto"/>
        <w:bottom w:val="none" w:sz="0" w:space="0" w:color="auto"/>
        <w:right w:val="none" w:sz="0" w:space="0" w:color="auto"/>
      </w:divBdr>
    </w:div>
    <w:div w:id="1212887713">
      <w:bodyDiv w:val="1"/>
      <w:marLeft w:val="0"/>
      <w:marRight w:val="0"/>
      <w:marTop w:val="0"/>
      <w:marBottom w:val="0"/>
      <w:divBdr>
        <w:top w:val="none" w:sz="0" w:space="0" w:color="auto"/>
        <w:left w:val="none" w:sz="0" w:space="0" w:color="auto"/>
        <w:bottom w:val="none" w:sz="0" w:space="0" w:color="auto"/>
        <w:right w:val="none" w:sz="0" w:space="0" w:color="auto"/>
      </w:divBdr>
      <w:divsChild>
        <w:div w:id="343627253">
          <w:marLeft w:val="0"/>
          <w:marRight w:val="0"/>
          <w:marTop w:val="0"/>
          <w:marBottom w:val="0"/>
          <w:divBdr>
            <w:top w:val="none" w:sz="0" w:space="0" w:color="auto"/>
            <w:left w:val="none" w:sz="0" w:space="0" w:color="auto"/>
            <w:bottom w:val="none" w:sz="0" w:space="0" w:color="auto"/>
            <w:right w:val="none" w:sz="0" w:space="0" w:color="auto"/>
          </w:divBdr>
        </w:div>
      </w:divsChild>
    </w:div>
    <w:div w:id="1213615043">
      <w:bodyDiv w:val="1"/>
      <w:marLeft w:val="0"/>
      <w:marRight w:val="0"/>
      <w:marTop w:val="0"/>
      <w:marBottom w:val="0"/>
      <w:divBdr>
        <w:top w:val="none" w:sz="0" w:space="0" w:color="auto"/>
        <w:left w:val="none" w:sz="0" w:space="0" w:color="auto"/>
        <w:bottom w:val="none" w:sz="0" w:space="0" w:color="auto"/>
        <w:right w:val="none" w:sz="0" w:space="0" w:color="auto"/>
      </w:divBdr>
    </w:div>
    <w:div w:id="1218274333">
      <w:bodyDiv w:val="1"/>
      <w:marLeft w:val="0"/>
      <w:marRight w:val="0"/>
      <w:marTop w:val="0"/>
      <w:marBottom w:val="0"/>
      <w:divBdr>
        <w:top w:val="none" w:sz="0" w:space="0" w:color="auto"/>
        <w:left w:val="none" w:sz="0" w:space="0" w:color="auto"/>
        <w:bottom w:val="none" w:sz="0" w:space="0" w:color="auto"/>
        <w:right w:val="none" w:sz="0" w:space="0" w:color="auto"/>
      </w:divBdr>
    </w:div>
    <w:div w:id="1218975779">
      <w:bodyDiv w:val="1"/>
      <w:marLeft w:val="0"/>
      <w:marRight w:val="0"/>
      <w:marTop w:val="0"/>
      <w:marBottom w:val="0"/>
      <w:divBdr>
        <w:top w:val="none" w:sz="0" w:space="0" w:color="auto"/>
        <w:left w:val="none" w:sz="0" w:space="0" w:color="auto"/>
        <w:bottom w:val="none" w:sz="0" w:space="0" w:color="auto"/>
        <w:right w:val="none" w:sz="0" w:space="0" w:color="auto"/>
      </w:divBdr>
    </w:div>
    <w:div w:id="1221359930">
      <w:bodyDiv w:val="1"/>
      <w:marLeft w:val="0"/>
      <w:marRight w:val="0"/>
      <w:marTop w:val="0"/>
      <w:marBottom w:val="0"/>
      <w:divBdr>
        <w:top w:val="none" w:sz="0" w:space="0" w:color="auto"/>
        <w:left w:val="none" w:sz="0" w:space="0" w:color="auto"/>
        <w:bottom w:val="none" w:sz="0" w:space="0" w:color="auto"/>
        <w:right w:val="none" w:sz="0" w:space="0" w:color="auto"/>
      </w:divBdr>
    </w:div>
    <w:div w:id="1223567761">
      <w:bodyDiv w:val="1"/>
      <w:marLeft w:val="0"/>
      <w:marRight w:val="0"/>
      <w:marTop w:val="0"/>
      <w:marBottom w:val="0"/>
      <w:divBdr>
        <w:top w:val="none" w:sz="0" w:space="0" w:color="auto"/>
        <w:left w:val="none" w:sz="0" w:space="0" w:color="auto"/>
        <w:bottom w:val="none" w:sz="0" w:space="0" w:color="auto"/>
        <w:right w:val="none" w:sz="0" w:space="0" w:color="auto"/>
      </w:divBdr>
    </w:div>
    <w:div w:id="1223637124">
      <w:bodyDiv w:val="1"/>
      <w:marLeft w:val="0"/>
      <w:marRight w:val="0"/>
      <w:marTop w:val="0"/>
      <w:marBottom w:val="0"/>
      <w:divBdr>
        <w:top w:val="none" w:sz="0" w:space="0" w:color="auto"/>
        <w:left w:val="none" w:sz="0" w:space="0" w:color="auto"/>
        <w:bottom w:val="none" w:sz="0" w:space="0" w:color="auto"/>
        <w:right w:val="none" w:sz="0" w:space="0" w:color="auto"/>
      </w:divBdr>
    </w:div>
    <w:div w:id="1223711414">
      <w:bodyDiv w:val="1"/>
      <w:marLeft w:val="0"/>
      <w:marRight w:val="0"/>
      <w:marTop w:val="0"/>
      <w:marBottom w:val="0"/>
      <w:divBdr>
        <w:top w:val="none" w:sz="0" w:space="0" w:color="auto"/>
        <w:left w:val="none" w:sz="0" w:space="0" w:color="auto"/>
        <w:bottom w:val="none" w:sz="0" w:space="0" w:color="auto"/>
        <w:right w:val="none" w:sz="0" w:space="0" w:color="auto"/>
      </w:divBdr>
    </w:div>
    <w:div w:id="1224221419">
      <w:bodyDiv w:val="1"/>
      <w:marLeft w:val="0"/>
      <w:marRight w:val="0"/>
      <w:marTop w:val="0"/>
      <w:marBottom w:val="0"/>
      <w:divBdr>
        <w:top w:val="none" w:sz="0" w:space="0" w:color="auto"/>
        <w:left w:val="none" w:sz="0" w:space="0" w:color="auto"/>
        <w:bottom w:val="none" w:sz="0" w:space="0" w:color="auto"/>
        <w:right w:val="none" w:sz="0" w:space="0" w:color="auto"/>
      </w:divBdr>
    </w:div>
    <w:div w:id="1228489725">
      <w:bodyDiv w:val="1"/>
      <w:marLeft w:val="0"/>
      <w:marRight w:val="0"/>
      <w:marTop w:val="0"/>
      <w:marBottom w:val="0"/>
      <w:divBdr>
        <w:top w:val="none" w:sz="0" w:space="0" w:color="auto"/>
        <w:left w:val="none" w:sz="0" w:space="0" w:color="auto"/>
        <w:bottom w:val="none" w:sz="0" w:space="0" w:color="auto"/>
        <w:right w:val="none" w:sz="0" w:space="0" w:color="auto"/>
      </w:divBdr>
      <w:divsChild>
        <w:div w:id="118770728">
          <w:marLeft w:val="0"/>
          <w:marRight w:val="0"/>
          <w:marTop w:val="0"/>
          <w:marBottom w:val="0"/>
          <w:divBdr>
            <w:top w:val="none" w:sz="0" w:space="0" w:color="auto"/>
            <w:left w:val="none" w:sz="0" w:space="0" w:color="auto"/>
            <w:bottom w:val="none" w:sz="0" w:space="0" w:color="auto"/>
            <w:right w:val="none" w:sz="0" w:space="0" w:color="auto"/>
          </w:divBdr>
        </w:div>
      </w:divsChild>
    </w:div>
    <w:div w:id="1228885112">
      <w:bodyDiv w:val="1"/>
      <w:marLeft w:val="0"/>
      <w:marRight w:val="0"/>
      <w:marTop w:val="0"/>
      <w:marBottom w:val="0"/>
      <w:divBdr>
        <w:top w:val="none" w:sz="0" w:space="0" w:color="auto"/>
        <w:left w:val="none" w:sz="0" w:space="0" w:color="auto"/>
        <w:bottom w:val="none" w:sz="0" w:space="0" w:color="auto"/>
        <w:right w:val="none" w:sz="0" w:space="0" w:color="auto"/>
      </w:divBdr>
    </w:div>
    <w:div w:id="1229077718">
      <w:bodyDiv w:val="1"/>
      <w:marLeft w:val="0"/>
      <w:marRight w:val="0"/>
      <w:marTop w:val="0"/>
      <w:marBottom w:val="0"/>
      <w:divBdr>
        <w:top w:val="none" w:sz="0" w:space="0" w:color="auto"/>
        <w:left w:val="none" w:sz="0" w:space="0" w:color="auto"/>
        <w:bottom w:val="none" w:sz="0" w:space="0" w:color="auto"/>
        <w:right w:val="none" w:sz="0" w:space="0" w:color="auto"/>
      </w:divBdr>
    </w:div>
    <w:div w:id="1229540089">
      <w:bodyDiv w:val="1"/>
      <w:marLeft w:val="0"/>
      <w:marRight w:val="0"/>
      <w:marTop w:val="0"/>
      <w:marBottom w:val="0"/>
      <w:divBdr>
        <w:top w:val="none" w:sz="0" w:space="0" w:color="auto"/>
        <w:left w:val="none" w:sz="0" w:space="0" w:color="auto"/>
        <w:bottom w:val="none" w:sz="0" w:space="0" w:color="auto"/>
        <w:right w:val="none" w:sz="0" w:space="0" w:color="auto"/>
      </w:divBdr>
    </w:div>
    <w:div w:id="1235358629">
      <w:bodyDiv w:val="1"/>
      <w:marLeft w:val="0"/>
      <w:marRight w:val="0"/>
      <w:marTop w:val="0"/>
      <w:marBottom w:val="0"/>
      <w:divBdr>
        <w:top w:val="none" w:sz="0" w:space="0" w:color="auto"/>
        <w:left w:val="none" w:sz="0" w:space="0" w:color="auto"/>
        <w:bottom w:val="none" w:sz="0" w:space="0" w:color="auto"/>
        <w:right w:val="none" w:sz="0" w:space="0" w:color="auto"/>
      </w:divBdr>
    </w:div>
    <w:div w:id="1235702621">
      <w:bodyDiv w:val="1"/>
      <w:marLeft w:val="0"/>
      <w:marRight w:val="0"/>
      <w:marTop w:val="0"/>
      <w:marBottom w:val="0"/>
      <w:divBdr>
        <w:top w:val="none" w:sz="0" w:space="0" w:color="auto"/>
        <w:left w:val="none" w:sz="0" w:space="0" w:color="auto"/>
        <w:bottom w:val="none" w:sz="0" w:space="0" w:color="auto"/>
        <w:right w:val="none" w:sz="0" w:space="0" w:color="auto"/>
      </w:divBdr>
    </w:div>
    <w:div w:id="1235969657">
      <w:bodyDiv w:val="1"/>
      <w:marLeft w:val="0"/>
      <w:marRight w:val="0"/>
      <w:marTop w:val="0"/>
      <w:marBottom w:val="0"/>
      <w:divBdr>
        <w:top w:val="none" w:sz="0" w:space="0" w:color="auto"/>
        <w:left w:val="none" w:sz="0" w:space="0" w:color="auto"/>
        <w:bottom w:val="none" w:sz="0" w:space="0" w:color="auto"/>
        <w:right w:val="none" w:sz="0" w:space="0" w:color="auto"/>
      </w:divBdr>
    </w:div>
    <w:div w:id="1240019043">
      <w:bodyDiv w:val="1"/>
      <w:marLeft w:val="0"/>
      <w:marRight w:val="0"/>
      <w:marTop w:val="0"/>
      <w:marBottom w:val="0"/>
      <w:divBdr>
        <w:top w:val="none" w:sz="0" w:space="0" w:color="auto"/>
        <w:left w:val="none" w:sz="0" w:space="0" w:color="auto"/>
        <w:bottom w:val="none" w:sz="0" w:space="0" w:color="auto"/>
        <w:right w:val="none" w:sz="0" w:space="0" w:color="auto"/>
      </w:divBdr>
    </w:div>
    <w:div w:id="1240402907">
      <w:bodyDiv w:val="1"/>
      <w:marLeft w:val="0"/>
      <w:marRight w:val="0"/>
      <w:marTop w:val="0"/>
      <w:marBottom w:val="0"/>
      <w:divBdr>
        <w:top w:val="none" w:sz="0" w:space="0" w:color="auto"/>
        <w:left w:val="none" w:sz="0" w:space="0" w:color="auto"/>
        <w:bottom w:val="none" w:sz="0" w:space="0" w:color="auto"/>
        <w:right w:val="none" w:sz="0" w:space="0" w:color="auto"/>
      </w:divBdr>
    </w:div>
    <w:div w:id="1240603672">
      <w:bodyDiv w:val="1"/>
      <w:marLeft w:val="0"/>
      <w:marRight w:val="0"/>
      <w:marTop w:val="0"/>
      <w:marBottom w:val="0"/>
      <w:divBdr>
        <w:top w:val="none" w:sz="0" w:space="0" w:color="auto"/>
        <w:left w:val="none" w:sz="0" w:space="0" w:color="auto"/>
        <w:bottom w:val="none" w:sz="0" w:space="0" w:color="auto"/>
        <w:right w:val="none" w:sz="0" w:space="0" w:color="auto"/>
      </w:divBdr>
    </w:div>
    <w:div w:id="1241523359">
      <w:bodyDiv w:val="1"/>
      <w:marLeft w:val="0"/>
      <w:marRight w:val="0"/>
      <w:marTop w:val="0"/>
      <w:marBottom w:val="0"/>
      <w:divBdr>
        <w:top w:val="none" w:sz="0" w:space="0" w:color="auto"/>
        <w:left w:val="none" w:sz="0" w:space="0" w:color="auto"/>
        <w:bottom w:val="none" w:sz="0" w:space="0" w:color="auto"/>
        <w:right w:val="none" w:sz="0" w:space="0" w:color="auto"/>
      </w:divBdr>
    </w:div>
    <w:div w:id="1245143707">
      <w:bodyDiv w:val="1"/>
      <w:marLeft w:val="0"/>
      <w:marRight w:val="0"/>
      <w:marTop w:val="0"/>
      <w:marBottom w:val="0"/>
      <w:divBdr>
        <w:top w:val="none" w:sz="0" w:space="0" w:color="auto"/>
        <w:left w:val="none" w:sz="0" w:space="0" w:color="auto"/>
        <w:bottom w:val="none" w:sz="0" w:space="0" w:color="auto"/>
        <w:right w:val="none" w:sz="0" w:space="0" w:color="auto"/>
      </w:divBdr>
    </w:div>
    <w:div w:id="1250000375">
      <w:bodyDiv w:val="1"/>
      <w:marLeft w:val="0"/>
      <w:marRight w:val="0"/>
      <w:marTop w:val="0"/>
      <w:marBottom w:val="0"/>
      <w:divBdr>
        <w:top w:val="none" w:sz="0" w:space="0" w:color="auto"/>
        <w:left w:val="none" w:sz="0" w:space="0" w:color="auto"/>
        <w:bottom w:val="none" w:sz="0" w:space="0" w:color="auto"/>
        <w:right w:val="none" w:sz="0" w:space="0" w:color="auto"/>
      </w:divBdr>
    </w:div>
    <w:div w:id="1252812380">
      <w:bodyDiv w:val="1"/>
      <w:marLeft w:val="0"/>
      <w:marRight w:val="0"/>
      <w:marTop w:val="0"/>
      <w:marBottom w:val="0"/>
      <w:divBdr>
        <w:top w:val="none" w:sz="0" w:space="0" w:color="auto"/>
        <w:left w:val="none" w:sz="0" w:space="0" w:color="auto"/>
        <w:bottom w:val="none" w:sz="0" w:space="0" w:color="auto"/>
        <w:right w:val="none" w:sz="0" w:space="0" w:color="auto"/>
      </w:divBdr>
    </w:div>
    <w:div w:id="1252856743">
      <w:bodyDiv w:val="1"/>
      <w:marLeft w:val="0"/>
      <w:marRight w:val="0"/>
      <w:marTop w:val="0"/>
      <w:marBottom w:val="0"/>
      <w:divBdr>
        <w:top w:val="none" w:sz="0" w:space="0" w:color="auto"/>
        <w:left w:val="none" w:sz="0" w:space="0" w:color="auto"/>
        <w:bottom w:val="none" w:sz="0" w:space="0" w:color="auto"/>
        <w:right w:val="none" w:sz="0" w:space="0" w:color="auto"/>
      </w:divBdr>
    </w:div>
    <w:div w:id="1253857486">
      <w:bodyDiv w:val="1"/>
      <w:marLeft w:val="0"/>
      <w:marRight w:val="0"/>
      <w:marTop w:val="0"/>
      <w:marBottom w:val="0"/>
      <w:divBdr>
        <w:top w:val="none" w:sz="0" w:space="0" w:color="auto"/>
        <w:left w:val="none" w:sz="0" w:space="0" w:color="auto"/>
        <w:bottom w:val="none" w:sz="0" w:space="0" w:color="auto"/>
        <w:right w:val="none" w:sz="0" w:space="0" w:color="auto"/>
      </w:divBdr>
    </w:div>
    <w:div w:id="1255167993">
      <w:bodyDiv w:val="1"/>
      <w:marLeft w:val="0"/>
      <w:marRight w:val="0"/>
      <w:marTop w:val="0"/>
      <w:marBottom w:val="0"/>
      <w:divBdr>
        <w:top w:val="none" w:sz="0" w:space="0" w:color="auto"/>
        <w:left w:val="none" w:sz="0" w:space="0" w:color="auto"/>
        <w:bottom w:val="none" w:sz="0" w:space="0" w:color="auto"/>
        <w:right w:val="none" w:sz="0" w:space="0" w:color="auto"/>
      </w:divBdr>
    </w:div>
    <w:div w:id="1256213253">
      <w:bodyDiv w:val="1"/>
      <w:marLeft w:val="0"/>
      <w:marRight w:val="0"/>
      <w:marTop w:val="0"/>
      <w:marBottom w:val="0"/>
      <w:divBdr>
        <w:top w:val="none" w:sz="0" w:space="0" w:color="auto"/>
        <w:left w:val="none" w:sz="0" w:space="0" w:color="auto"/>
        <w:bottom w:val="none" w:sz="0" w:space="0" w:color="auto"/>
        <w:right w:val="none" w:sz="0" w:space="0" w:color="auto"/>
      </w:divBdr>
    </w:div>
    <w:div w:id="1256551453">
      <w:bodyDiv w:val="1"/>
      <w:marLeft w:val="0"/>
      <w:marRight w:val="0"/>
      <w:marTop w:val="0"/>
      <w:marBottom w:val="0"/>
      <w:divBdr>
        <w:top w:val="none" w:sz="0" w:space="0" w:color="auto"/>
        <w:left w:val="none" w:sz="0" w:space="0" w:color="auto"/>
        <w:bottom w:val="none" w:sz="0" w:space="0" w:color="auto"/>
        <w:right w:val="none" w:sz="0" w:space="0" w:color="auto"/>
      </w:divBdr>
    </w:div>
    <w:div w:id="1258563089">
      <w:bodyDiv w:val="1"/>
      <w:marLeft w:val="0"/>
      <w:marRight w:val="0"/>
      <w:marTop w:val="0"/>
      <w:marBottom w:val="0"/>
      <w:divBdr>
        <w:top w:val="none" w:sz="0" w:space="0" w:color="auto"/>
        <w:left w:val="none" w:sz="0" w:space="0" w:color="auto"/>
        <w:bottom w:val="none" w:sz="0" w:space="0" w:color="auto"/>
        <w:right w:val="none" w:sz="0" w:space="0" w:color="auto"/>
      </w:divBdr>
    </w:div>
    <w:div w:id="1259800302">
      <w:bodyDiv w:val="1"/>
      <w:marLeft w:val="0"/>
      <w:marRight w:val="0"/>
      <w:marTop w:val="0"/>
      <w:marBottom w:val="0"/>
      <w:divBdr>
        <w:top w:val="none" w:sz="0" w:space="0" w:color="auto"/>
        <w:left w:val="none" w:sz="0" w:space="0" w:color="auto"/>
        <w:bottom w:val="none" w:sz="0" w:space="0" w:color="auto"/>
        <w:right w:val="none" w:sz="0" w:space="0" w:color="auto"/>
      </w:divBdr>
    </w:div>
    <w:div w:id="1260334834">
      <w:bodyDiv w:val="1"/>
      <w:marLeft w:val="0"/>
      <w:marRight w:val="0"/>
      <w:marTop w:val="0"/>
      <w:marBottom w:val="0"/>
      <w:divBdr>
        <w:top w:val="none" w:sz="0" w:space="0" w:color="auto"/>
        <w:left w:val="none" w:sz="0" w:space="0" w:color="auto"/>
        <w:bottom w:val="none" w:sz="0" w:space="0" w:color="auto"/>
        <w:right w:val="none" w:sz="0" w:space="0" w:color="auto"/>
      </w:divBdr>
    </w:div>
    <w:div w:id="1260528668">
      <w:bodyDiv w:val="1"/>
      <w:marLeft w:val="0"/>
      <w:marRight w:val="0"/>
      <w:marTop w:val="0"/>
      <w:marBottom w:val="0"/>
      <w:divBdr>
        <w:top w:val="none" w:sz="0" w:space="0" w:color="auto"/>
        <w:left w:val="none" w:sz="0" w:space="0" w:color="auto"/>
        <w:bottom w:val="none" w:sz="0" w:space="0" w:color="auto"/>
        <w:right w:val="none" w:sz="0" w:space="0" w:color="auto"/>
      </w:divBdr>
    </w:div>
    <w:div w:id="1260941689">
      <w:bodyDiv w:val="1"/>
      <w:marLeft w:val="0"/>
      <w:marRight w:val="0"/>
      <w:marTop w:val="0"/>
      <w:marBottom w:val="0"/>
      <w:divBdr>
        <w:top w:val="none" w:sz="0" w:space="0" w:color="auto"/>
        <w:left w:val="none" w:sz="0" w:space="0" w:color="auto"/>
        <w:bottom w:val="none" w:sz="0" w:space="0" w:color="auto"/>
        <w:right w:val="none" w:sz="0" w:space="0" w:color="auto"/>
      </w:divBdr>
    </w:div>
    <w:div w:id="1262371647">
      <w:bodyDiv w:val="1"/>
      <w:marLeft w:val="0"/>
      <w:marRight w:val="0"/>
      <w:marTop w:val="0"/>
      <w:marBottom w:val="0"/>
      <w:divBdr>
        <w:top w:val="none" w:sz="0" w:space="0" w:color="auto"/>
        <w:left w:val="none" w:sz="0" w:space="0" w:color="auto"/>
        <w:bottom w:val="none" w:sz="0" w:space="0" w:color="auto"/>
        <w:right w:val="none" w:sz="0" w:space="0" w:color="auto"/>
      </w:divBdr>
      <w:divsChild>
        <w:div w:id="1007903106">
          <w:marLeft w:val="0"/>
          <w:marRight w:val="0"/>
          <w:marTop w:val="0"/>
          <w:marBottom w:val="0"/>
          <w:divBdr>
            <w:top w:val="none" w:sz="0" w:space="0" w:color="auto"/>
            <w:left w:val="none" w:sz="0" w:space="0" w:color="auto"/>
            <w:bottom w:val="none" w:sz="0" w:space="0" w:color="auto"/>
            <w:right w:val="none" w:sz="0" w:space="0" w:color="auto"/>
          </w:divBdr>
        </w:div>
      </w:divsChild>
    </w:div>
    <w:div w:id="1262451161">
      <w:bodyDiv w:val="1"/>
      <w:marLeft w:val="0"/>
      <w:marRight w:val="0"/>
      <w:marTop w:val="0"/>
      <w:marBottom w:val="0"/>
      <w:divBdr>
        <w:top w:val="none" w:sz="0" w:space="0" w:color="auto"/>
        <w:left w:val="none" w:sz="0" w:space="0" w:color="auto"/>
        <w:bottom w:val="none" w:sz="0" w:space="0" w:color="auto"/>
        <w:right w:val="none" w:sz="0" w:space="0" w:color="auto"/>
      </w:divBdr>
      <w:divsChild>
        <w:div w:id="385496957">
          <w:marLeft w:val="0"/>
          <w:marRight w:val="0"/>
          <w:marTop w:val="0"/>
          <w:marBottom w:val="0"/>
          <w:divBdr>
            <w:top w:val="none" w:sz="0" w:space="0" w:color="auto"/>
            <w:left w:val="none" w:sz="0" w:space="0" w:color="auto"/>
            <w:bottom w:val="none" w:sz="0" w:space="0" w:color="auto"/>
            <w:right w:val="none" w:sz="0" w:space="0" w:color="auto"/>
          </w:divBdr>
        </w:div>
      </w:divsChild>
    </w:div>
    <w:div w:id="1262908774">
      <w:bodyDiv w:val="1"/>
      <w:marLeft w:val="0"/>
      <w:marRight w:val="0"/>
      <w:marTop w:val="0"/>
      <w:marBottom w:val="0"/>
      <w:divBdr>
        <w:top w:val="none" w:sz="0" w:space="0" w:color="auto"/>
        <w:left w:val="none" w:sz="0" w:space="0" w:color="auto"/>
        <w:bottom w:val="none" w:sz="0" w:space="0" w:color="auto"/>
        <w:right w:val="none" w:sz="0" w:space="0" w:color="auto"/>
      </w:divBdr>
    </w:div>
    <w:div w:id="1263873975">
      <w:bodyDiv w:val="1"/>
      <w:marLeft w:val="0"/>
      <w:marRight w:val="0"/>
      <w:marTop w:val="0"/>
      <w:marBottom w:val="0"/>
      <w:divBdr>
        <w:top w:val="none" w:sz="0" w:space="0" w:color="auto"/>
        <w:left w:val="none" w:sz="0" w:space="0" w:color="auto"/>
        <w:bottom w:val="none" w:sz="0" w:space="0" w:color="auto"/>
        <w:right w:val="none" w:sz="0" w:space="0" w:color="auto"/>
      </w:divBdr>
    </w:div>
    <w:div w:id="1264417010">
      <w:bodyDiv w:val="1"/>
      <w:marLeft w:val="0"/>
      <w:marRight w:val="0"/>
      <w:marTop w:val="0"/>
      <w:marBottom w:val="0"/>
      <w:divBdr>
        <w:top w:val="none" w:sz="0" w:space="0" w:color="auto"/>
        <w:left w:val="none" w:sz="0" w:space="0" w:color="auto"/>
        <w:bottom w:val="none" w:sz="0" w:space="0" w:color="auto"/>
        <w:right w:val="none" w:sz="0" w:space="0" w:color="auto"/>
      </w:divBdr>
    </w:div>
    <w:div w:id="1264917492">
      <w:bodyDiv w:val="1"/>
      <w:marLeft w:val="0"/>
      <w:marRight w:val="0"/>
      <w:marTop w:val="0"/>
      <w:marBottom w:val="0"/>
      <w:divBdr>
        <w:top w:val="none" w:sz="0" w:space="0" w:color="auto"/>
        <w:left w:val="none" w:sz="0" w:space="0" w:color="auto"/>
        <w:bottom w:val="none" w:sz="0" w:space="0" w:color="auto"/>
        <w:right w:val="none" w:sz="0" w:space="0" w:color="auto"/>
      </w:divBdr>
    </w:div>
    <w:div w:id="1268731580">
      <w:bodyDiv w:val="1"/>
      <w:marLeft w:val="0"/>
      <w:marRight w:val="0"/>
      <w:marTop w:val="0"/>
      <w:marBottom w:val="0"/>
      <w:divBdr>
        <w:top w:val="none" w:sz="0" w:space="0" w:color="auto"/>
        <w:left w:val="none" w:sz="0" w:space="0" w:color="auto"/>
        <w:bottom w:val="none" w:sz="0" w:space="0" w:color="auto"/>
        <w:right w:val="none" w:sz="0" w:space="0" w:color="auto"/>
      </w:divBdr>
    </w:div>
    <w:div w:id="1268925474">
      <w:marLeft w:val="0"/>
      <w:marRight w:val="0"/>
      <w:marTop w:val="0"/>
      <w:marBottom w:val="0"/>
      <w:divBdr>
        <w:top w:val="none" w:sz="0" w:space="0" w:color="auto"/>
        <w:left w:val="none" w:sz="0" w:space="0" w:color="auto"/>
        <w:bottom w:val="none" w:sz="0" w:space="0" w:color="auto"/>
        <w:right w:val="none" w:sz="0" w:space="0" w:color="auto"/>
      </w:divBdr>
    </w:div>
    <w:div w:id="1268925476">
      <w:marLeft w:val="0"/>
      <w:marRight w:val="0"/>
      <w:marTop w:val="0"/>
      <w:marBottom w:val="0"/>
      <w:divBdr>
        <w:top w:val="none" w:sz="0" w:space="0" w:color="auto"/>
        <w:left w:val="none" w:sz="0" w:space="0" w:color="auto"/>
        <w:bottom w:val="none" w:sz="0" w:space="0" w:color="auto"/>
        <w:right w:val="none" w:sz="0" w:space="0" w:color="auto"/>
      </w:divBdr>
      <w:divsChild>
        <w:div w:id="1268925475">
          <w:marLeft w:val="0"/>
          <w:marRight w:val="0"/>
          <w:marTop w:val="0"/>
          <w:marBottom w:val="0"/>
          <w:divBdr>
            <w:top w:val="none" w:sz="0" w:space="0" w:color="auto"/>
            <w:left w:val="none" w:sz="0" w:space="0" w:color="auto"/>
            <w:bottom w:val="none" w:sz="0" w:space="0" w:color="auto"/>
            <w:right w:val="none" w:sz="0" w:space="0" w:color="auto"/>
          </w:divBdr>
        </w:div>
        <w:div w:id="1268925501">
          <w:marLeft w:val="0"/>
          <w:marRight w:val="0"/>
          <w:marTop w:val="0"/>
          <w:marBottom w:val="0"/>
          <w:divBdr>
            <w:top w:val="none" w:sz="0" w:space="0" w:color="auto"/>
            <w:left w:val="none" w:sz="0" w:space="0" w:color="auto"/>
            <w:bottom w:val="none" w:sz="0" w:space="0" w:color="auto"/>
            <w:right w:val="none" w:sz="0" w:space="0" w:color="auto"/>
          </w:divBdr>
        </w:div>
        <w:div w:id="1268925502">
          <w:marLeft w:val="0"/>
          <w:marRight w:val="0"/>
          <w:marTop w:val="0"/>
          <w:marBottom w:val="0"/>
          <w:divBdr>
            <w:top w:val="none" w:sz="0" w:space="0" w:color="auto"/>
            <w:left w:val="none" w:sz="0" w:space="0" w:color="auto"/>
            <w:bottom w:val="none" w:sz="0" w:space="0" w:color="auto"/>
            <w:right w:val="none" w:sz="0" w:space="0" w:color="auto"/>
          </w:divBdr>
        </w:div>
        <w:div w:id="1268925503">
          <w:marLeft w:val="0"/>
          <w:marRight w:val="0"/>
          <w:marTop w:val="0"/>
          <w:marBottom w:val="0"/>
          <w:divBdr>
            <w:top w:val="none" w:sz="0" w:space="0" w:color="auto"/>
            <w:left w:val="none" w:sz="0" w:space="0" w:color="auto"/>
            <w:bottom w:val="none" w:sz="0" w:space="0" w:color="auto"/>
            <w:right w:val="none" w:sz="0" w:space="0" w:color="auto"/>
          </w:divBdr>
        </w:div>
        <w:div w:id="1268925504">
          <w:marLeft w:val="0"/>
          <w:marRight w:val="0"/>
          <w:marTop w:val="0"/>
          <w:marBottom w:val="0"/>
          <w:divBdr>
            <w:top w:val="none" w:sz="0" w:space="0" w:color="auto"/>
            <w:left w:val="none" w:sz="0" w:space="0" w:color="auto"/>
            <w:bottom w:val="none" w:sz="0" w:space="0" w:color="auto"/>
            <w:right w:val="none" w:sz="0" w:space="0" w:color="auto"/>
          </w:divBdr>
        </w:div>
        <w:div w:id="1268925505">
          <w:marLeft w:val="0"/>
          <w:marRight w:val="0"/>
          <w:marTop w:val="0"/>
          <w:marBottom w:val="0"/>
          <w:divBdr>
            <w:top w:val="none" w:sz="0" w:space="0" w:color="auto"/>
            <w:left w:val="none" w:sz="0" w:space="0" w:color="auto"/>
            <w:bottom w:val="none" w:sz="0" w:space="0" w:color="auto"/>
            <w:right w:val="none" w:sz="0" w:space="0" w:color="auto"/>
          </w:divBdr>
        </w:div>
        <w:div w:id="1268925506">
          <w:marLeft w:val="0"/>
          <w:marRight w:val="0"/>
          <w:marTop w:val="0"/>
          <w:marBottom w:val="0"/>
          <w:divBdr>
            <w:top w:val="none" w:sz="0" w:space="0" w:color="auto"/>
            <w:left w:val="none" w:sz="0" w:space="0" w:color="auto"/>
            <w:bottom w:val="none" w:sz="0" w:space="0" w:color="auto"/>
            <w:right w:val="none" w:sz="0" w:space="0" w:color="auto"/>
          </w:divBdr>
        </w:div>
        <w:div w:id="1268925507">
          <w:marLeft w:val="0"/>
          <w:marRight w:val="0"/>
          <w:marTop w:val="0"/>
          <w:marBottom w:val="0"/>
          <w:divBdr>
            <w:top w:val="none" w:sz="0" w:space="0" w:color="auto"/>
            <w:left w:val="none" w:sz="0" w:space="0" w:color="auto"/>
            <w:bottom w:val="none" w:sz="0" w:space="0" w:color="auto"/>
            <w:right w:val="none" w:sz="0" w:space="0" w:color="auto"/>
          </w:divBdr>
        </w:div>
        <w:div w:id="1268925510">
          <w:marLeft w:val="0"/>
          <w:marRight w:val="0"/>
          <w:marTop w:val="0"/>
          <w:marBottom w:val="0"/>
          <w:divBdr>
            <w:top w:val="none" w:sz="0" w:space="0" w:color="auto"/>
            <w:left w:val="none" w:sz="0" w:space="0" w:color="auto"/>
            <w:bottom w:val="none" w:sz="0" w:space="0" w:color="auto"/>
            <w:right w:val="none" w:sz="0" w:space="0" w:color="auto"/>
          </w:divBdr>
        </w:div>
        <w:div w:id="1268925511">
          <w:marLeft w:val="0"/>
          <w:marRight w:val="0"/>
          <w:marTop w:val="0"/>
          <w:marBottom w:val="0"/>
          <w:divBdr>
            <w:top w:val="none" w:sz="0" w:space="0" w:color="auto"/>
            <w:left w:val="none" w:sz="0" w:space="0" w:color="auto"/>
            <w:bottom w:val="none" w:sz="0" w:space="0" w:color="auto"/>
            <w:right w:val="none" w:sz="0" w:space="0" w:color="auto"/>
          </w:divBdr>
        </w:div>
        <w:div w:id="1268925513">
          <w:marLeft w:val="0"/>
          <w:marRight w:val="0"/>
          <w:marTop w:val="0"/>
          <w:marBottom w:val="0"/>
          <w:divBdr>
            <w:top w:val="none" w:sz="0" w:space="0" w:color="auto"/>
            <w:left w:val="none" w:sz="0" w:space="0" w:color="auto"/>
            <w:bottom w:val="none" w:sz="0" w:space="0" w:color="auto"/>
            <w:right w:val="none" w:sz="0" w:space="0" w:color="auto"/>
          </w:divBdr>
        </w:div>
        <w:div w:id="1268925514">
          <w:marLeft w:val="0"/>
          <w:marRight w:val="0"/>
          <w:marTop w:val="0"/>
          <w:marBottom w:val="0"/>
          <w:divBdr>
            <w:top w:val="none" w:sz="0" w:space="0" w:color="auto"/>
            <w:left w:val="none" w:sz="0" w:space="0" w:color="auto"/>
            <w:bottom w:val="none" w:sz="0" w:space="0" w:color="auto"/>
            <w:right w:val="none" w:sz="0" w:space="0" w:color="auto"/>
          </w:divBdr>
        </w:div>
      </w:divsChild>
    </w:div>
    <w:div w:id="1268925477">
      <w:marLeft w:val="0"/>
      <w:marRight w:val="0"/>
      <w:marTop w:val="0"/>
      <w:marBottom w:val="0"/>
      <w:divBdr>
        <w:top w:val="none" w:sz="0" w:space="0" w:color="auto"/>
        <w:left w:val="none" w:sz="0" w:space="0" w:color="auto"/>
        <w:bottom w:val="none" w:sz="0" w:space="0" w:color="auto"/>
        <w:right w:val="none" w:sz="0" w:space="0" w:color="auto"/>
      </w:divBdr>
    </w:div>
    <w:div w:id="1268925478">
      <w:marLeft w:val="0"/>
      <w:marRight w:val="0"/>
      <w:marTop w:val="0"/>
      <w:marBottom w:val="0"/>
      <w:divBdr>
        <w:top w:val="none" w:sz="0" w:space="0" w:color="auto"/>
        <w:left w:val="none" w:sz="0" w:space="0" w:color="auto"/>
        <w:bottom w:val="none" w:sz="0" w:space="0" w:color="auto"/>
        <w:right w:val="none" w:sz="0" w:space="0" w:color="auto"/>
      </w:divBdr>
    </w:div>
    <w:div w:id="1268925479">
      <w:marLeft w:val="0"/>
      <w:marRight w:val="0"/>
      <w:marTop w:val="0"/>
      <w:marBottom w:val="0"/>
      <w:divBdr>
        <w:top w:val="none" w:sz="0" w:space="0" w:color="auto"/>
        <w:left w:val="none" w:sz="0" w:space="0" w:color="auto"/>
        <w:bottom w:val="none" w:sz="0" w:space="0" w:color="auto"/>
        <w:right w:val="none" w:sz="0" w:space="0" w:color="auto"/>
      </w:divBdr>
    </w:div>
    <w:div w:id="1268925480">
      <w:marLeft w:val="0"/>
      <w:marRight w:val="0"/>
      <w:marTop w:val="0"/>
      <w:marBottom w:val="0"/>
      <w:divBdr>
        <w:top w:val="none" w:sz="0" w:space="0" w:color="auto"/>
        <w:left w:val="none" w:sz="0" w:space="0" w:color="auto"/>
        <w:bottom w:val="none" w:sz="0" w:space="0" w:color="auto"/>
        <w:right w:val="none" w:sz="0" w:space="0" w:color="auto"/>
      </w:divBdr>
    </w:div>
    <w:div w:id="1268925481">
      <w:marLeft w:val="0"/>
      <w:marRight w:val="0"/>
      <w:marTop w:val="0"/>
      <w:marBottom w:val="0"/>
      <w:divBdr>
        <w:top w:val="none" w:sz="0" w:space="0" w:color="auto"/>
        <w:left w:val="none" w:sz="0" w:space="0" w:color="auto"/>
        <w:bottom w:val="none" w:sz="0" w:space="0" w:color="auto"/>
        <w:right w:val="none" w:sz="0" w:space="0" w:color="auto"/>
      </w:divBdr>
    </w:div>
    <w:div w:id="1268925482">
      <w:marLeft w:val="0"/>
      <w:marRight w:val="0"/>
      <w:marTop w:val="0"/>
      <w:marBottom w:val="0"/>
      <w:divBdr>
        <w:top w:val="none" w:sz="0" w:space="0" w:color="auto"/>
        <w:left w:val="none" w:sz="0" w:space="0" w:color="auto"/>
        <w:bottom w:val="none" w:sz="0" w:space="0" w:color="auto"/>
        <w:right w:val="none" w:sz="0" w:space="0" w:color="auto"/>
      </w:divBdr>
    </w:div>
    <w:div w:id="1268925483">
      <w:marLeft w:val="0"/>
      <w:marRight w:val="0"/>
      <w:marTop w:val="0"/>
      <w:marBottom w:val="0"/>
      <w:divBdr>
        <w:top w:val="none" w:sz="0" w:space="0" w:color="auto"/>
        <w:left w:val="none" w:sz="0" w:space="0" w:color="auto"/>
        <w:bottom w:val="none" w:sz="0" w:space="0" w:color="auto"/>
        <w:right w:val="none" w:sz="0" w:space="0" w:color="auto"/>
      </w:divBdr>
    </w:div>
    <w:div w:id="1268925484">
      <w:marLeft w:val="0"/>
      <w:marRight w:val="0"/>
      <w:marTop w:val="0"/>
      <w:marBottom w:val="0"/>
      <w:divBdr>
        <w:top w:val="none" w:sz="0" w:space="0" w:color="auto"/>
        <w:left w:val="none" w:sz="0" w:space="0" w:color="auto"/>
        <w:bottom w:val="none" w:sz="0" w:space="0" w:color="auto"/>
        <w:right w:val="none" w:sz="0" w:space="0" w:color="auto"/>
      </w:divBdr>
    </w:div>
    <w:div w:id="1268925485">
      <w:marLeft w:val="0"/>
      <w:marRight w:val="0"/>
      <w:marTop w:val="0"/>
      <w:marBottom w:val="0"/>
      <w:divBdr>
        <w:top w:val="none" w:sz="0" w:space="0" w:color="auto"/>
        <w:left w:val="none" w:sz="0" w:space="0" w:color="auto"/>
        <w:bottom w:val="none" w:sz="0" w:space="0" w:color="auto"/>
        <w:right w:val="none" w:sz="0" w:space="0" w:color="auto"/>
      </w:divBdr>
    </w:div>
    <w:div w:id="1268925486">
      <w:marLeft w:val="0"/>
      <w:marRight w:val="0"/>
      <w:marTop w:val="0"/>
      <w:marBottom w:val="0"/>
      <w:divBdr>
        <w:top w:val="none" w:sz="0" w:space="0" w:color="auto"/>
        <w:left w:val="none" w:sz="0" w:space="0" w:color="auto"/>
        <w:bottom w:val="none" w:sz="0" w:space="0" w:color="auto"/>
        <w:right w:val="none" w:sz="0" w:space="0" w:color="auto"/>
      </w:divBdr>
    </w:div>
    <w:div w:id="1268925487">
      <w:marLeft w:val="0"/>
      <w:marRight w:val="0"/>
      <w:marTop w:val="0"/>
      <w:marBottom w:val="0"/>
      <w:divBdr>
        <w:top w:val="none" w:sz="0" w:space="0" w:color="auto"/>
        <w:left w:val="none" w:sz="0" w:space="0" w:color="auto"/>
        <w:bottom w:val="none" w:sz="0" w:space="0" w:color="auto"/>
        <w:right w:val="none" w:sz="0" w:space="0" w:color="auto"/>
      </w:divBdr>
    </w:div>
    <w:div w:id="1268925488">
      <w:marLeft w:val="0"/>
      <w:marRight w:val="0"/>
      <w:marTop w:val="0"/>
      <w:marBottom w:val="0"/>
      <w:divBdr>
        <w:top w:val="none" w:sz="0" w:space="0" w:color="auto"/>
        <w:left w:val="none" w:sz="0" w:space="0" w:color="auto"/>
        <w:bottom w:val="none" w:sz="0" w:space="0" w:color="auto"/>
        <w:right w:val="none" w:sz="0" w:space="0" w:color="auto"/>
      </w:divBdr>
    </w:div>
    <w:div w:id="1268925489">
      <w:marLeft w:val="0"/>
      <w:marRight w:val="0"/>
      <w:marTop w:val="0"/>
      <w:marBottom w:val="0"/>
      <w:divBdr>
        <w:top w:val="none" w:sz="0" w:space="0" w:color="auto"/>
        <w:left w:val="none" w:sz="0" w:space="0" w:color="auto"/>
        <w:bottom w:val="none" w:sz="0" w:space="0" w:color="auto"/>
        <w:right w:val="none" w:sz="0" w:space="0" w:color="auto"/>
      </w:divBdr>
    </w:div>
    <w:div w:id="1268925490">
      <w:marLeft w:val="0"/>
      <w:marRight w:val="0"/>
      <w:marTop w:val="0"/>
      <w:marBottom w:val="0"/>
      <w:divBdr>
        <w:top w:val="none" w:sz="0" w:space="0" w:color="auto"/>
        <w:left w:val="none" w:sz="0" w:space="0" w:color="auto"/>
        <w:bottom w:val="none" w:sz="0" w:space="0" w:color="auto"/>
        <w:right w:val="none" w:sz="0" w:space="0" w:color="auto"/>
      </w:divBdr>
    </w:div>
    <w:div w:id="1268925491">
      <w:marLeft w:val="0"/>
      <w:marRight w:val="0"/>
      <w:marTop w:val="0"/>
      <w:marBottom w:val="0"/>
      <w:divBdr>
        <w:top w:val="none" w:sz="0" w:space="0" w:color="auto"/>
        <w:left w:val="none" w:sz="0" w:space="0" w:color="auto"/>
        <w:bottom w:val="none" w:sz="0" w:space="0" w:color="auto"/>
        <w:right w:val="none" w:sz="0" w:space="0" w:color="auto"/>
      </w:divBdr>
    </w:div>
    <w:div w:id="1268925492">
      <w:marLeft w:val="0"/>
      <w:marRight w:val="0"/>
      <w:marTop w:val="0"/>
      <w:marBottom w:val="0"/>
      <w:divBdr>
        <w:top w:val="none" w:sz="0" w:space="0" w:color="auto"/>
        <w:left w:val="none" w:sz="0" w:space="0" w:color="auto"/>
        <w:bottom w:val="none" w:sz="0" w:space="0" w:color="auto"/>
        <w:right w:val="none" w:sz="0" w:space="0" w:color="auto"/>
      </w:divBdr>
    </w:div>
    <w:div w:id="1268925493">
      <w:marLeft w:val="0"/>
      <w:marRight w:val="0"/>
      <w:marTop w:val="0"/>
      <w:marBottom w:val="0"/>
      <w:divBdr>
        <w:top w:val="none" w:sz="0" w:space="0" w:color="auto"/>
        <w:left w:val="none" w:sz="0" w:space="0" w:color="auto"/>
        <w:bottom w:val="none" w:sz="0" w:space="0" w:color="auto"/>
        <w:right w:val="none" w:sz="0" w:space="0" w:color="auto"/>
      </w:divBdr>
    </w:div>
    <w:div w:id="1268925494">
      <w:marLeft w:val="0"/>
      <w:marRight w:val="0"/>
      <w:marTop w:val="0"/>
      <w:marBottom w:val="0"/>
      <w:divBdr>
        <w:top w:val="none" w:sz="0" w:space="0" w:color="auto"/>
        <w:left w:val="none" w:sz="0" w:space="0" w:color="auto"/>
        <w:bottom w:val="none" w:sz="0" w:space="0" w:color="auto"/>
        <w:right w:val="none" w:sz="0" w:space="0" w:color="auto"/>
      </w:divBdr>
    </w:div>
    <w:div w:id="1268925495">
      <w:marLeft w:val="0"/>
      <w:marRight w:val="0"/>
      <w:marTop w:val="0"/>
      <w:marBottom w:val="0"/>
      <w:divBdr>
        <w:top w:val="none" w:sz="0" w:space="0" w:color="auto"/>
        <w:left w:val="none" w:sz="0" w:space="0" w:color="auto"/>
        <w:bottom w:val="none" w:sz="0" w:space="0" w:color="auto"/>
        <w:right w:val="none" w:sz="0" w:space="0" w:color="auto"/>
      </w:divBdr>
    </w:div>
    <w:div w:id="1268925496">
      <w:marLeft w:val="0"/>
      <w:marRight w:val="0"/>
      <w:marTop w:val="0"/>
      <w:marBottom w:val="0"/>
      <w:divBdr>
        <w:top w:val="none" w:sz="0" w:space="0" w:color="auto"/>
        <w:left w:val="none" w:sz="0" w:space="0" w:color="auto"/>
        <w:bottom w:val="none" w:sz="0" w:space="0" w:color="auto"/>
        <w:right w:val="none" w:sz="0" w:space="0" w:color="auto"/>
      </w:divBdr>
    </w:div>
    <w:div w:id="1268925497">
      <w:marLeft w:val="0"/>
      <w:marRight w:val="0"/>
      <w:marTop w:val="0"/>
      <w:marBottom w:val="0"/>
      <w:divBdr>
        <w:top w:val="none" w:sz="0" w:space="0" w:color="auto"/>
        <w:left w:val="none" w:sz="0" w:space="0" w:color="auto"/>
        <w:bottom w:val="none" w:sz="0" w:space="0" w:color="auto"/>
        <w:right w:val="none" w:sz="0" w:space="0" w:color="auto"/>
      </w:divBdr>
    </w:div>
    <w:div w:id="1268925498">
      <w:marLeft w:val="0"/>
      <w:marRight w:val="0"/>
      <w:marTop w:val="0"/>
      <w:marBottom w:val="0"/>
      <w:divBdr>
        <w:top w:val="none" w:sz="0" w:space="0" w:color="auto"/>
        <w:left w:val="none" w:sz="0" w:space="0" w:color="auto"/>
        <w:bottom w:val="none" w:sz="0" w:space="0" w:color="auto"/>
        <w:right w:val="none" w:sz="0" w:space="0" w:color="auto"/>
      </w:divBdr>
    </w:div>
    <w:div w:id="1268925499">
      <w:marLeft w:val="0"/>
      <w:marRight w:val="0"/>
      <w:marTop w:val="0"/>
      <w:marBottom w:val="0"/>
      <w:divBdr>
        <w:top w:val="none" w:sz="0" w:space="0" w:color="auto"/>
        <w:left w:val="none" w:sz="0" w:space="0" w:color="auto"/>
        <w:bottom w:val="none" w:sz="0" w:space="0" w:color="auto"/>
        <w:right w:val="none" w:sz="0" w:space="0" w:color="auto"/>
      </w:divBdr>
    </w:div>
    <w:div w:id="1268925500">
      <w:marLeft w:val="0"/>
      <w:marRight w:val="0"/>
      <w:marTop w:val="0"/>
      <w:marBottom w:val="0"/>
      <w:divBdr>
        <w:top w:val="none" w:sz="0" w:space="0" w:color="auto"/>
        <w:left w:val="none" w:sz="0" w:space="0" w:color="auto"/>
        <w:bottom w:val="none" w:sz="0" w:space="0" w:color="auto"/>
        <w:right w:val="none" w:sz="0" w:space="0" w:color="auto"/>
      </w:divBdr>
    </w:div>
    <w:div w:id="1268925508">
      <w:marLeft w:val="0"/>
      <w:marRight w:val="0"/>
      <w:marTop w:val="0"/>
      <w:marBottom w:val="0"/>
      <w:divBdr>
        <w:top w:val="none" w:sz="0" w:space="0" w:color="auto"/>
        <w:left w:val="none" w:sz="0" w:space="0" w:color="auto"/>
        <w:bottom w:val="none" w:sz="0" w:space="0" w:color="auto"/>
        <w:right w:val="none" w:sz="0" w:space="0" w:color="auto"/>
      </w:divBdr>
    </w:div>
    <w:div w:id="1268925509">
      <w:marLeft w:val="0"/>
      <w:marRight w:val="0"/>
      <w:marTop w:val="0"/>
      <w:marBottom w:val="0"/>
      <w:divBdr>
        <w:top w:val="none" w:sz="0" w:space="0" w:color="auto"/>
        <w:left w:val="none" w:sz="0" w:space="0" w:color="auto"/>
        <w:bottom w:val="none" w:sz="0" w:space="0" w:color="auto"/>
        <w:right w:val="none" w:sz="0" w:space="0" w:color="auto"/>
      </w:divBdr>
    </w:div>
    <w:div w:id="1268925512">
      <w:marLeft w:val="0"/>
      <w:marRight w:val="0"/>
      <w:marTop w:val="0"/>
      <w:marBottom w:val="0"/>
      <w:divBdr>
        <w:top w:val="none" w:sz="0" w:space="0" w:color="auto"/>
        <w:left w:val="none" w:sz="0" w:space="0" w:color="auto"/>
        <w:bottom w:val="none" w:sz="0" w:space="0" w:color="auto"/>
        <w:right w:val="none" w:sz="0" w:space="0" w:color="auto"/>
      </w:divBdr>
    </w:div>
    <w:div w:id="1270357190">
      <w:bodyDiv w:val="1"/>
      <w:marLeft w:val="0"/>
      <w:marRight w:val="0"/>
      <w:marTop w:val="0"/>
      <w:marBottom w:val="0"/>
      <w:divBdr>
        <w:top w:val="none" w:sz="0" w:space="0" w:color="auto"/>
        <w:left w:val="none" w:sz="0" w:space="0" w:color="auto"/>
        <w:bottom w:val="none" w:sz="0" w:space="0" w:color="auto"/>
        <w:right w:val="none" w:sz="0" w:space="0" w:color="auto"/>
      </w:divBdr>
    </w:div>
    <w:div w:id="1274022130">
      <w:bodyDiv w:val="1"/>
      <w:marLeft w:val="0"/>
      <w:marRight w:val="0"/>
      <w:marTop w:val="0"/>
      <w:marBottom w:val="0"/>
      <w:divBdr>
        <w:top w:val="none" w:sz="0" w:space="0" w:color="auto"/>
        <w:left w:val="none" w:sz="0" w:space="0" w:color="auto"/>
        <w:bottom w:val="none" w:sz="0" w:space="0" w:color="auto"/>
        <w:right w:val="none" w:sz="0" w:space="0" w:color="auto"/>
      </w:divBdr>
    </w:div>
    <w:div w:id="1277250699">
      <w:bodyDiv w:val="1"/>
      <w:marLeft w:val="0"/>
      <w:marRight w:val="0"/>
      <w:marTop w:val="0"/>
      <w:marBottom w:val="0"/>
      <w:divBdr>
        <w:top w:val="none" w:sz="0" w:space="0" w:color="auto"/>
        <w:left w:val="none" w:sz="0" w:space="0" w:color="auto"/>
        <w:bottom w:val="none" w:sz="0" w:space="0" w:color="auto"/>
        <w:right w:val="none" w:sz="0" w:space="0" w:color="auto"/>
      </w:divBdr>
    </w:div>
    <w:div w:id="1279532561">
      <w:bodyDiv w:val="1"/>
      <w:marLeft w:val="0"/>
      <w:marRight w:val="0"/>
      <w:marTop w:val="0"/>
      <w:marBottom w:val="0"/>
      <w:divBdr>
        <w:top w:val="none" w:sz="0" w:space="0" w:color="auto"/>
        <w:left w:val="none" w:sz="0" w:space="0" w:color="auto"/>
        <w:bottom w:val="none" w:sz="0" w:space="0" w:color="auto"/>
        <w:right w:val="none" w:sz="0" w:space="0" w:color="auto"/>
      </w:divBdr>
    </w:div>
    <w:div w:id="1279680951">
      <w:bodyDiv w:val="1"/>
      <w:marLeft w:val="0"/>
      <w:marRight w:val="0"/>
      <w:marTop w:val="0"/>
      <w:marBottom w:val="0"/>
      <w:divBdr>
        <w:top w:val="none" w:sz="0" w:space="0" w:color="auto"/>
        <w:left w:val="none" w:sz="0" w:space="0" w:color="auto"/>
        <w:bottom w:val="none" w:sz="0" w:space="0" w:color="auto"/>
        <w:right w:val="none" w:sz="0" w:space="0" w:color="auto"/>
      </w:divBdr>
    </w:div>
    <w:div w:id="1280601231">
      <w:bodyDiv w:val="1"/>
      <w:marLeft w:val="0"/>
      <w:marRight w:val="0"/>
      <w:marTop w:val="0"/>
      <w:marBottom w:val="0"/>
      <w:divBdr>
        <w:top w:val="none" w:sz="0" w:space="0" w:color="auto"/>
        <w:left w:val="none" w:sz="0" w:space="0" w:color="auto"/>
        <w:bottom w:val="none" w:sz="0" w:space="0" w:color="auto"/>
        <w:right w:val="none" w:sz="0" w:space="0" w:color="auto"/>
      </w:divBdr>
    </w:div>
    <w:div w:id="1281496139">
      <w:bodyDiv w:val="1"/>
      <w:marLeft w:val="0"/>
      <w:marRight w:val="0"/>
      <w:marTop w:val="0"/>
      <w:marBottom w:val="0"/>
      <w:divBdr>
        <w:top w:val="none" w:sz="0" w:space="0" w:color="auto"/>
        <w:left w:val="none" w:sz="0" w:space="0" w:color="auto"/>
        <w:bottom w:val="none" w:sz="0" w:space="0" w:color="auto"/>
        <w:right w:val="none" w:sz="0" w:space="0" w:color="auto"/>
      </w:divBdr>
    </w:div>
    <w:div w:id="1282567965">
      <w:bodyDiv w:val="1"/>
      <w:marLeft w:val="0"/>
      <w:marRight w:val="0"/>
      <w:marTop w:val="0"/>
      <w:marBottom w:val="0"/>
      <w:divBdr>
        <w:top w:val="none" w:sz="0" w:space="0" w:color="auto"/>
        <w:left w:val="none" w:sz="0" w:space="0" w:color="auto"/>
        <w:bottom w:val="none" w:sz="0" w:space="0" w:color="auto"/>
        <w:right w:val="none" w:sz="0" w:space="0" w:color="auto"/>
      </w:divBdr>
    </w:div>
    <w:div w:id="1282758447">
      <w:bodyDiv w:val="1"/>
      <w:marLeft w:val="0"/>
      <w:marRight w:val="0"/>
      <w:marTop w:val="0"/>
      <w:marBottom w:val="0"/>
      <w:divBdr>
        <w:top w:val="none" w:sz="0" w:space="0" w:color="auto"/>
        <w:left w:val="none" w:sz="0" w:space="0" w:color="auto"/>
        <w:bottom w:val="none" w:sz="0" w:space="0" w:color="auto"/>
        <w:right w:val="none" w:sz="0" w:space="0" w:color="auto"/>
      </w:divBdr>
      <w:divsChild>
        <w:div w:id="2135635170">
          <w:marLeft w:val="0"/>
          <w:marRight w:val="0"/>
          <w:marTop w:val="0"/>
          <w:marBottom w:val="0"/>
          <w:divBdr>
            <w:top w:val="none" w:sz="0" w:space="0" w:color="auto"/>
            <w:left w:val="none" w:sz="0" w:space="0" w:color="auto"/>
            <w:bottom w:val="none" w:sz="0" w:space="0" w:color="auto"/>
            <w:right w:val="none" w:sz="0" w:space="0" w:color="auto"/>
          </w:divBdr>
          <w:divsChild>
            <w:div w:id="2060786052">
              <w:marLeft w:val="0"/>
              <w:marRight w:val="0"/>
              <w:marTop w:val="0"/>
              <w:marBottom w:val="0"/>
              <w:divBdr>
                <w:top w:val="none" w:sz="0" w:space="0" w:color="auto"/>
                <w:left w:val="none" w:sz="0" w:space="0" w:color="auto"/>
                <w:bottom w:val="none" w:sz="0" w:space="0" w:color="auto"/>
                <w:right w:val="none" w:sz="0" w:space="0" w:color="auto"/>
              </w:divBdr>
              <w:divsChild>
                <w:div w:id="444276891">
                  <w:marLeft w:val="0"/>
                  <w:marRight w:val="0"/>
                  <w:marTop w:val="0"/>
                  <w:marBottom w:val="0"/>
                  <w:divBdr>
                    <w:top w:val="none" w:sz="0" w:space="0" w:color="auto"/>
                    <w:left w:val="none" w:sz="0" w:space="0" w:color="auto"/>
                    <w:bottom w:val="none" w:sz="0" w:space="0" w:color="auto"/>
                    <w:right w:val="none" w:sz="0" w:space="0" w:color="auto"/>
                  </w:divBdr>
                  <w:divsChild>
                    <w:div w:id="382872039">
                      <w:marLeft w:val="0"/>
                      <w:marRight w:val="0"/>
                      <w:marTop w:val="0"/>
                      <w:marBottom w:val="0"/>
                      <w:divBdr>
                        <w:top w:val="none" w:sz="0" w:space="0" w:color="auto"/>
                        <w:left w:val="none" w:sz="0" w:space="0" w:color="auto"/>
                        <w:bottom w:val="none" w:sz="0" w:space="0" w:color="auto"/>
                        <w:right w:val="none" w:sz="0" w:space="0" w:color="auto"/>
                      </w:divBdr>
                      <w:divsChild>
                        <w:div w:id="1045251444">
                          <w:marLeft w:val="505"/>
                          <w:marRight w:val="0"/>
                          <w:marTop w:val="0"/>
                          <w:marBottom w:val="0"/>
                          <w:divBdr>
                            <w:top w:val="none" w:sz="0" w:space="0" w:color="auto"/>
                            <w:left w:val="none" w:sz="0" w:space="0" w:color="auto"/>
                            <w:bottom w:val="none" w:sz="0" w:space="0" w:color="auto"/>
                            <w:right w:val="none" w:sz="0" w:space="0" w:color="auto"/>
                          </w:divBdr>
                          <w:divsChild>
                            <w:div w:id="1344555188">
                              <w:marLeft w:val="0"/>
                              <w:marRight w:val="0"/>
                              <w:marTop w:val="0"/>
                              <w:marBottom w:val="0"/>
                              <w:divBdr>
                                <w:top w:val="none" w:sz="0" w:space="0" w:color="auto"/>
                                <w:left w:val="none" w:sz="0" w:space="0" w:color="auto"/>
                                <w:bottom w:val="none" w:sz="0" w:space="0" w:color="auto"/>
                                <w:right w:val="none" w:sz="0" w:space="0" w:color="auto"/>
                              </w:divBdr>
                              <w:divsChild>
                                <w:div w:id="763067743">
                                  <w:marLeft w:val="0"/>
                                  <w:marRight w:val="0"/>
                                  <w:marTop w:val="0"/>
                                  <w:marBottom w:val="0"/>
                                  <w:divBdr>
                                    <w:top w:val="none" w:sz="0" w:space="0" w:color="auto"/>
                                    <w:left w:val="none" w:sz="0" w:space="0" w:color="auto"/>
                                    <w:bottom w:val="none" w:sz="0" w:space="0" w:color="auto"/>
                                    <w:right w:val="none" w:sz="0" w:space="0" w:color="auto"/>
                                  </w:divBdr>
                                  <w:divsChild>
                                    <w:div w:id="1817532146">
                                      <w:marLeft w:val="0"/>
                                      <w:marRight w:val="0"/>
                                      <w:marTop w:val="75"/>
                                      <w:marBottom w:val="0"/>
                                      <w:divBdr>
                                        <w:top w:val="none" w:sz="0" w:space="0" w:color="auto"/>
                                        <w:left w:val="none" w:sz="0" w:space="0" w:color="auto"/>
                                        <w:bottom w:val="none" w:sz="0" w:space="0" w:color="auto"/>
                                        <w:right w:val="none" w:sz="0" w:space="0" w:color="auto"/>
                                      </w:divBdr>
                                      <w:divsChild>
                                        <w:div w:id="716780914">
                                          <w:marLeft w:val="0"/>
                                          <w:marRight w:val="0"/>
                                          <w:marTop w:val="0"/>
                                          <w:marBottom w:val="0"/>
                                          <w:divBdr>
                                            <w:top w:val="none" w:sz="0" w:space="0" w:color="auto"/>
                                            <w:left w:val="none" w:sz="0" w:space="0" w:color="auto"/>
                                            <w:bottom w:val="none" w:sz="0" w:space="0" w:color="auto"/>
                                            <w:right w:val="none" w:sz="0" w:space="0" w:color="auto"/>
                                          </w:divBdr>
                                          <w:divsChild>
                                            <w:div w:id="1545942394">
                                              <w:marLeft w:val="0"/>
                                              <w:marRight w:val="0"/>
                                              <w:marTop w:val="0"/>
                                              <w:marBottom w:val="0"/>
                                              <w:divBdr>
                                                <w:top w:val="none" w:sz="0" w:space="0" w:color="auto"/>
                                                <w:left w:val="none" w:sz="0" w:space="0" w:color="auto"/>
                                                <w:bottom w:val="none" w:sz="0" w:space="0" w:color="auto"/>
                                                <w:right w:val="none" w:sz="0" w:space="0" w:color="auto"/>
                                              </w:divBdr>
                                              <w:divsChild>
                                                <w:div w:id="305472734">
                                                  <w:marLeft w:val="0"/>
                                                  <w:marRight w:val="0"/>
                                                  <w:marTop w:val="0"/>
                                                  <w:marBottom w:val="0"/>
                                                  <w:divBdr>
                                                    <w:top w:val="none" w:sz="0" w:space="0" w:color="auto"/>
                                                    <w:left w:val="none" w:sz="0" w:space="0" w:color="auto"/>
                                                    <w:bottom w:val="none" w:sz="0" w:space="0" w:color="auto"/>
                                                    <w:right w:val="none" w:sz="0" w:space="0" w:color="auto"/>
                                                  </w:divBdr>
                                                  <w:divsChild>
                                                    <w:div w:id="455489550">
                                                      <w:marLeft w:val="0"/>
                                                      <w:marRight w:val="0"/>
                                                      <w:marTop w:val="0"/>
                                                      <w:marBottom w:val="0"/>
                                                      <w:divBdr>
                                                        <w:top w:val="none" w:sz="0" w:space="0" w:color="auto"/>
                                                        <w:left w:val="none" w:sz="0" w:space="0" w:color="auto"/>
                                                        <w:bottom w:val="none" w:sz="0" w:space="0" w:color="auto"/>
                                                        <w:right w:val="none" w:sz="0" w:space="0" w:color="auto"/>
                                                      </w:divBdr>
                                                      <w:divsChild>
                                                        <w:div w:id="1462992645">
                                                          <w:marLeft w:val="0"/>
                                                          <w:marRight w:val="0"/>
                                                          <w:marTop w:val="0"/>
                                                          <w:marBottom w:val="0"/>
                                                          <w:divBdr>
                                                            <w:top w:val="none" w:sz="0" w:space="0" w:color="auto"/>
                                                            <w:left w:val="none" w:sz="0" w:space="0" w:color="auto"/>
                                                            <w:bottom w:val="none" w:sz="0" w:space="0" w:color="auto"/>
                                                            <w:right w:val="none" w:sz="0" w:space="0" w:color="auto"/>
                                                          </w:divBdr>
                                                          <w:divsChild>
                                                            <w:div w:id="1275287237">
                                                              <w:marLeft w:val="0"/>
                                                              <w:marRight w:val="0"/>
                                                              <w:marTop w:val="0"/>
                                                              <w:marBottom w:val="0"/>
                                                              <w:divBdr>
                                                                <w:top w:val="none" w:sz="0" w:space="0" w:color="auto"/>
                                                                <w:left w:val="none" w:sz="0" w:space="0" w:color="auto"/>
                                                                <w:bottom w:val="none" w:sz="0" w:space="0" w:color="auto"/>
                                                                <w:right w:val="none" w:sz="0" w:space="0" w:color="auto"/>
                                                              </w:divBdr>
                                                              <w:divsChild>
                                                                <w:div w:id="1684241192">
                                                                  <w:marLeft w:val="0"/>
                                                                  <w:marRight w:val="0"/>
                                                                  <w:marTop w:val="0"/>
                                                                  <w:marBottom w:val="0"/>
                                                                  <w:divBdr>
                                                                    <w:top w:val="none" w:sz="0" w:space="0" w:color="auto"/>
                                                                    <w:left w:val="none" w:sz="0" w:space="0" w:color="auto"/>
                                                                    <w:bottom w:val="none" w:sz="0" w:space="0" w:color="auto"/>
                                                                    <w:right w:val="none" w:sz="0" w:space="0" w:color="auto"/>
                                                                  </w:divBdr>
                                                                  <w:divsChild>
                                                                    <w:div w:id="34316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83027553">
      <w:bodyDiv w:val="1"/>
      <w:marLeft w:val="0"/>
      <w:marRight w:val="0"/>
      <w:marTop w:val="0"/>
      <w:marBottom w:val="0"/>
      <w:divBdr>
        <w:top w:val="none" w:sz="0" w:space="0" w:color="auto"/>
        <w:left w:val="none" w:sz="0" w:space="0" w:color="auto"/>
        <w:bottom w:val="none" w:sz="0" w:space="0" w:color="auto"/>
        <w:right w:val="none" w:sz="0" w:space="0" w:color="auto"/>
      </w:divBdr>
    </w:div>
    <w:div w:id="1283851242">
      <w:bodyDiv w:val="1"/>
      <w:marLeft w:val="0"/>
      <w:marRight w:val="0"/>
      <w:marTop w:val="0"/>
      <w:marBottom w:val="0"/>
      <w:divBdr>
        <w:top w:val="none" w:sz="0" w:space="0" w:color="auto"/>
        <w:left w:val="none" w:sz="0" w:space="0" w:color="auto"/>
        <w:bottom w:val="none" w:sz="0" w:space="0" w:color="auto"/>
        <w:right w:val="none" w:sz="0" w:space="0" w:color="auto"/>
      </w:divBdr>
    </w:div>
    <w:div w:id="1284114593">
      <w:bodyDiv w:val="1"/>
      <w:marLeft w:val="0"/>
      <w:marRight w:val="0"/>
      <w:marTop w:val="0"/>
      <w:marBottom w:val="0"/>
      <w:divBdr>
        <w:top w:val="none" w:sz="0" w:space="0" w:color="auto"/>
        <w:left w:val="none" w:sz="0" w:space="0" w:color="auto"/>
        <w:bottom w:val="none" w:sz="0" w:space="0" w:color="auto"/>
        <w:right w:val="none" w:sz="0" w:space="0" w:color="auto"/>
      </w:divBdr>
    </w:div>
    <w:div w:id="1284969528">
      <w:bodyDiv w:val="1"/>
      <w:marLeft w:val="0"/>
      <w:marRight w:val="0"/>
      <w:marTop w:val="0"/>
      <w:marBottom w:val="0"/>
      <w:divBdr>
        <w:top w:val="none" w:sz="0" w:space="0" w:color="auto"/>
        <w:left w:val="none" w:sz="0" w:space="0" w:color="auto"/>
        <w:bottom w:val="none" w:sz="0" w:space="0" w:color="auto"/>
        <w:right w:val="none" w:sz="0" w:space="0" w:color="auto"/>
      </w:divBdr>
    </w:div>
    <w:div w:id="1286078680">
      <w:bodyDiv w:val="1"/>
      <w:marLeft w:val="0"/>
      <w:marRight w:val="0"/>
      <w:marTop w:val="0"/>
      <w:marBottom w:val="0"/>
      <w:divBdr>
        <w:top w:val="none" w:sz="0" w:space="0" w:color="auto"/>
        <w:left w:val="none" w:sz="0" w:space="0" w:color="auto"/>
        <w:bottom w:val="none" w:sz="0" w:space="0" w:color="auto"/>
        <w:right w:val="none" w:sz="0" w:space="0" w:color="auto"/>
      </w:divBdr>
      <w:divsChild>
        <w:div w:id="1982032592">
          <w:marLeft w:val="0"/>
          <w:marRight w:val="0"/>
          <w:marTop w:val="0"/>
          <w:marBottom w:val="0"/>
          <w:divBdr>
            <w:top w:val="none" w:sz="0" w:space="0" w:color="auto"/>
            <w:left w:val="none" w:sz="0" w:space="0" w:color="auto"/>
            <w:bottom w:val="none" w:sz="0" w:space="0" w:color="auto"/>
            <w:right w:val="none" w:sz="0" w:space="0" w:color="auto"/>
          </w:divBdr>
        </w:div>
      </w:divsChild>
    </w:div>
    <w:div w:id="1288391010">
      <w:bodyDiv w:val="1"/>
      <w:marLeft w:val="0"/>
      <w:marRight w:val="0"/>
      <w:marTop w:val="0"/>
      <w:marBottom w:val="0"/>
      <w:divBdr>
        <w:top w:val="none" w:sz="0" w:space="0" w:color="auto"/>
        <w:left w:val="none" w:sz="0" w:space="0" w:color="auto"/>
        <w:bottom w:val="none" w:sz="0" w:space="0" w:color="auto"/>
        <w:right w:val="none" w:sz="0" w:space="0" w:color="auto"/>
      </w:divBdr>
    </w:div>
    <w:div w:id="1289624738">
      <w:bodyDiv w:val="1"/>
      <w:marLeft w:val="0"/>
      <w:marRight w:val="0"/>
      <w:marTop w:val="0"/>
      <w:marBottom w:val="0"/>
      <w:divBdr>
        <w:top w:val="none" w:sz="0" w:space="0" w:color="auto"/>
        <w:left w:val="none" w:sz="0" w:space="0" w:color="auto"/>
        <w:bottom w:val="none" w:sz="0" w:space="0" w:color="auto"/>
        <w:right w:val="none" w:sz="0" w:space="0" w:color="auto"/>
      </w:divBdr>
    </w:div>
    <w:div w:id="1292059734">
      <w:bodyDiv w:val="1"/>
      <w:marLeft w:val="0"/>
      <w:marRight w:val="0"/>
      <w:marTop w:val="0"/>
      <w:marBottom w:val="0"/>
      <w:divBdr>
        <w:top w:val="none" w:sz="0" w:space="0" w:color="auto"/>
        <w:left w:val="none" w:sz="0" w:space="0" w:color="auto"/>
        <w:bottom w:val="none" w:sz="0" w:space="0" w:color="auto"/>
        <w:right w:val="none" w:sz="0" w:space="0" w:color="auto"/>
      </w:divBdr>
    </w:div>
    <w:div w:id="1292249004">
      <w:bodyDiv w:val="1"/>
      <w:marLeft w:val="0"/>
      <w:marRight w:val="0"/>
      <w:marTop w:val="0"/>
      <w:marBottom w:val="0"/>
      <w:divBdr>
        <w:top w:val="none" w:sz="0" w:space="0" w:color="auto"/>
        <w:left w:val="none" w:sz="0" w:space="0" w:color="auto"/>
        <w:bottom w:val="none" w:sz="0" w:space="0" w:color="auto"/>
        <w:right w:val="none" w:sz="0" w:space="0" w:color="auto"/>
      </w:divBdr>
    </w:div>
    <w:div w:id="1296449459">
      <w:bodyDiv w:val="1"/>
      <w:marLeft w:val="0"/>
      <w:marRight w:val="0"/>
      <w:marTop w:val="0"/>
      <w:marBottom w:val="0"/>
      <w:divBdr>
        <w:top w:val="none" w:sz="0" w:space="0" w:color="auto"/>
        <w:left w:val="none" w:sz="0" w:space="0" w:color="auto"/>
        <w:bottom w:val="none" w:sz="0" w:space="0" w:color="auto"/>
        <w:right w:val="none" w:sz="0" w:space="0" w:color="auto"/>
      </w:divBdr>
    </w:div>
    <w:div w:id="1298995017">
      <w:bodyDiv w:val="1"/>
      <w:marLeft w:val="0"/>
      <w:marRight w:val="0"/>
      <w:marTop w:val="0"/>
      <w:marBottom w:val="0"/>
      <w:divBdr>
        <w:top w:val="none" w:sz="0" w:space="0" w:color="auto"/>
        <w:left w:val="none" w:sz="0" w:space="0" w:color="auto"/>
        <w:bottom w:val="none" w:sz="0" w:space="0" w:color="auto"/>
        <w:right w:val="none" w:sz="0" w:space="0" w:color="auto"/>
      </w:divBdr>
    </w:div>
    <w:div w:id="1301571986">
      <w:bodyDiv w:val="1"/>
      <w:marLeft w:val="0"/>
      <w:marRight w:val="0"/>
      <w:marTop w:val="0"/>
      <w:marBottom w:val="0"/>
      <w:divBdr>
        <w:top w:val="none" w:sz="0" w:space="0" w:color="auto"/>
        <w:left w:val="none" w:sz="0" w:space="0" w:color="auto"/>
        <w:bottom w:val="none" w:sz="0" w:space="0" w:color="auto"/>
        <w:right w:val="none" w:sz="0" w:space="0" w:color="auto"/>
      </w:divBdr>
    </w:div>
    <w:div w:id="1302274341">
      <w:bodyDiv w:val="1"/>
      <w:marLeft w:val="0"/>
      <w:marRight w:val="0"/>
      <w:marTop w:val="0"/>
      <w:marBottom w:val="0"/>
      <w:divBdr>
        <w:top w:val="none" w:sz="0" w:space="0" w:color="auto"/>
        <w:left w:val="none" w:sz="0" w:space="0" w:color="auto"/>
        <w:bottom w:val="none" w:sz="0" w:space="0" w:color="auto"/>
        <w:right w:val="none" w:sz="0" w:space="0" w:color="auto"/>
      </w:divBdr>
    </w:div>
    <w:div w:id="1302611873">
      <w:bodyDiv w:val="1"/>
      <w:marLeft w:val="0"/>
      <w:marRight w:val="0"/>
      <w:marTop w:val="0"/>
      <w:marBottom w:val="0"/>
      <w:divBdr>
        <w:top w:val="none" w:sz="0" w:space="0" w:color="auto"/>
        <w:left w:val="none" w:sz="0" w:space="0" w:color="auto"/>
        <w:bottom w:val="none" w:sz="0" w:space="0" w:color="auto"/>
        <w:right w:val="none" w:sz="0" w:space="0" w:color="auto"/>
      </w:divBdr>
    </w:div>
    <w:div w:id="1304237996">
      <w:bodyDiv w:val="1"/>
      <w:marLeft w:val="0"/>
      <w:marRight w:val="0"/>
      <w:marTop w:val="0"/>
      <w:marBottom w:val="0"/>
      <w:divBdr>
        <w:top w:val="none" w:sz="0" w:space="0" w:color="auto"/>
        <w:left w:val="none" w:sz="0" w:space="0" w:color="auto"/>
        <w:bottom w:val="none" w:sz="0" w:space="0" w:color="auto"/>
        <w:right w:val="none" w:sz="0" w:space="0" w:color="auto"/>
      </w:divBdr>
    </w:div>
    <w:div w:id="1305967100">
      <w:bodyDiv w:val="1"/>
      <w:marLeft w:val="0"/>
      <w:marRight w:val="0"/>
      <w:marTop w:val="0"/>
      <w:marBottom w:val="0"/>
      <w:divBdr>
        <w:top w:val="none" w:sz="0" w:space="0" w:color="auto"/>
        <w:left w:val="none" w:sz="0" w:space="0" w:color="auto"/>
        <w:bottom w:val="none" w:sz="0" w:space="0" w:color="auto"/>
        <w:right w:val="none" w:sz="0" w:space="0" w:color="auto"/>
      </w:divBdr>
    </w:div>
    <w:div w:id="1306663074">
      <w:bodyDiv w:val="1"/>
      <w:marLeft w:val="0"/>
      <w:marRight w:val="0"/>
      <w:marTop w:val="0"/>
      <w:marBottom w:val="0"/>
      <w:divBdr>
        <w:top w:val="none" w:sz="0" w:space="0" w:color="auto"/>
        <w:left w:val="none" w:sz="0" w:space="0" w:color="auto"/>
        <w:bottom w:val="none" w:sz="0" w:space="0" w:color="auto"/>
        <w:right w:val="none" w:sz="0" w:space="0" w:color="auto"/>
      </w:divBdr>
    </w:div>
    <w:div w:id="1310670100">
      <w:bodyDiv w:val="1"/>
      <w:marLeft w:val="0"/>
      <w:marRight w:val="0"/>
      <w:marTop w:val="0"/>
      <w:marBottom w:val="0"/>
      <w:divBdr>
        <w:top w:val="none" w:sz="0" w:space="0" w:color="auto"/>
        <w:left w:val="none" w:sz="0" w:space="0" w:color="auto"/>
        <w:bottom w:val="none" w:sz="0" w:space="0" w:color="auto"/>
        <w:right w:val="none" w:sz="0" w:space="0" w:color="auto"/>
      </w:divBdr>
    </w:div>
    <w:div w:id="1311599837">
      <w:bodyDiv w:val="1"/>
      <w:marLeft w:val="0"/>
      <w:marRight w:val="0"/>
      <w:marTop w:val="0"/>
      <w:marBottom w:val="0"/>
      <w:divBdr>
        <w:top w:val="none" w:sz="0" w:space="0" w:color="auto"/>
        <w:left w:val="none" w:sz="0" w:space="0" w:color="auto"/>
        <w:bottom w:val="none" w:sz="0" w:space="0" w:color="auto"/>
        <w:right w:val="none" w:sz="0" w:space="0" w:color="auto"/>
      </w:divBdr>
      <w:divsChild>
        <w:div w:id="1391491693">
          <w:marLeft w:val="0"/>
          <w:marRight w:val="0"/>
          <w:marTop w:val="0"/>
          <w:marBottom w:val="0"/>
          <w:divBdr>
            <w:top w:val="none" w:sz="0" w:space="0" w:color="auto"/>
            <w:left w:val="none" w:sz="0" w:space="0" w:color="auto"/>
            <w:bottom w:val="none" w:sz="0" w:space="0" w:color="auto"/>
            <w:right w:val="none" w:sz="0" w:space="0" w:color="auto"/>
          </w:divBdr>
        </w:div>
      </w:divsChild>
    </w:div>
    <w:div w:id="1313488493">
      <w:bodyDiv w:val="1"/>
      <w:marLeft w:val="0"/>
      <w:marRight w:val="0"/>
      <w:marTop w:val="0"/>
      <w:marBottom w:val="0"/>
      <w:divBdr>
        <w:top w:val="none" w:sz="0" w:space="0" w:color="auto"/>
        <w:left w:val="none" w:sz="0" w:space="0" w:color="auto"/>
        <w:bottom w:val="none" w:sz="0" w:space="0" w:color="auto"/>
        <w:right w:val="none" w:sz="0" w:space="0" w:color="auto"/>
      </w:divBdr>
    </w:div>
    <w:div w:id="1316648580">
      <w:bodyDiv w:val="1"/>
      <w:marLeft w:val="0"/>
      <w:marRight w:val="0"/>
      <w:marTop w:val="0"/>
      <w:marBottom w:val="0"/>
      <w:divBdr>
        <w:top w:val="none" w:sz="0" w:space="0" w:color="auto"/>
        <w:left w:val="none" w:sz="0" w:space="0" w:color="auto"/>
        <w:bottom w:val="none" w:sz="0" w:space="0" w:color="auto"/>
        <w:right w:val="none" w:sz="0" w:space="0" w:color="auto"/>
      </w:divBdr>
    </w:div>
    <w:div w:id="1317222546">
      <w:bodyDiv w:val="1"/>
      <w:marLeft w:val="0"/>
      <w:marRight w:val="0"/>
      <w:marTop w:val="0"/>
      <w:marBottom w:val="0"/>
      <w:divBdr>
        <w:top w:val="none" w:sz="0" w:space="0" w:color="auto"/>
        <w:left w:val="none" w:sz="0" w:space="0" w:color="auto"/>
        <w:bottom w:val="none" w:sz="0" w:space="0" w:color="auto"/>
        <w:right w:val="none" w:sz="0" w:space="0" w:color="auto"/>
      </w:divBdr>
    </w:div>
    <w:div w:id="1318723285">
      <w:bodyDiv w:val="1"/>
      <w:marLeft w:val="0"/>
      <w:marRight w:val="0"/>
      <w:marTop w:val="0"/>
      <w:marBottom w:val="0"/>
      <w:divBdr>
        <w:top w:val="none" w:sz="0" w:space="0" w:color="auto"/>
        <w:left w:val="none" w:sz="0" w:space="0" w:color="auto"/>
        <w:bottom w:val="none" w:sz="0" w:space="0" w:color="auto"/>
        <w:right w:val="none" w:sz="0" w:space="0" w:color="auto"/>
      </w:divBdr>
    </w:div>
    <w:div w:id="1319115864">
      <w:bodyDiv w:val="1"/>
      <w:marLeft w:val="0"/>
      <w:marRight w:val="0"/>
      <w:marTop w:val="0"/>
      <w:marBottom w:val="0"/>
      <w:divBdr>
        <w:top w:val="none" w:sz="0" w:space="0" w:color="auto"/>
        <w:left w:val="none" w:sz="0" w:space="0" w:color="auto"/>
        <w:bottom w:val="none" w:sz="0" w:space="0" w:color="auto"/>
        <w:right w:val="none" w:sz="0" w:space="0" w:color="auto"/>
      </w:divBdr>
      <w:divsChild>
        <w:div w:id="1572304900">
          <w:marLeft w:val="0"/>
          <w:marRight w:val="0"/>
          <w:marTop w:val="0"/>
          <w:marBottom w:val="0"/>
          <w:divBdr>
            <w:top w:val="none" w:sz="0" w:space="0" w:color="auto"/>
            <w:left w:val="none" w:sz="0" w:space="0" w:color="auto"/>
            <w:bottom w:val="none" w:sz="0" w:space="0" w:color="auto"/>
            <w:right w:val="none" w:sz="0" w:space="0" w:color="auto"/>
          </w:divBdr>
          <w:divsChild>
            <w:div w:id="1024287616">
              <w:marLeft w:val="0"/>
              <w:marRight w:val="0"/>
              <w:marTop w:val="0"/>
              <w:marBottom w:val="0"/>
              <w:divBdr>
                <w:top w:val="none" w:sz="0" w:space="0" w:color="auto"/>
                <w:left w:val="none" w:sz="0" w:space="0" w:color="auto"/>
                <w:bottom w:val="none" w:sz="0" w:space="0" w:color="auto"/>
                <w:right w:val="none" w:sz="0" w:space="0" w:color="auto"/>
              </w:divBdr>
              <w:divsChild>
                <w:div w:id="97457302">
                  <w:marLeft w:val="0"/>
                  <w:marRight w:val="0"/>
                  <w:marTop w:val="0"/>
                  <w:marBottom w:val="0"/>
                  <w:divBdr>
                    <w:top w:val="none" w:sz="0" w:space="0" w:color="auto"/>
                    <w:left w:val="none" w:sz="0" w:space="0" w:color="auto"/>
                    <w:bottom w:val="none" w:sz="0" w:space="0" w:color="auto"/>
                    <w:right w:val="none" w:sz="0" w:space="0" w:color="auto"/>
                  </w:divBdr>
                  <w:divsChild>
                    <w:div w:id="105777339">
                      <w:marLeft w:val="0"/>
                      <w:marRight w:val="0"/>
                      <w:marTop w:val="0"/>
                      <w:marBottom w:val="0"/>
                      <w:divBdr>
                        <w:top w:val="none" w:sz="0" w:space="0" w:color="auto"/>
                        <w:left w:val="none" w:sz="0" w:space="0" w:color="auto"/>
                        <w:bottom w:val="none" w:sz="0" w:space="0" w:color="auto"/>
                        <w:right w:val="none" w:sz="0" w:space="0" w:color="auto"/>
                      </w:divBdr>
                      <w:divsChild>
                        <w:div w:id="812068207">
                          <w:marLeft w:val="0"/>
                          <w:marRight w:val="0"/>
                          <w:marTop w:val="0"/>
                          <w:marBottom w:val="0"/>
                          <w:divBdr>
                            <w:top w:val="none" w:sz="0" w:space="0" w:color="auto"/>
                            <w:left w:val="none" w:sz="0" w:space="0" w:color="auto"/>
                            <w:bottom w:val="none" w:sz="0" w:space="0" w:color="auto"/>
                            <w:right w:val="none" w:sz="0" w:space="0" w:color="auto"/>
                          </w:divBdr>
                          <w:divsChild>
                            <w:div w:id="2040932166">
                              <w:marLeft w:val="0"/>
                              <w:marRight w:val="0"/>
                              <w:marTop w:val="0"/>
                              <w:marBottom w:val="0"/>
                              <w:divBdr>
                                <w:top w:val="none" w:sz="0" w:space="0" w:color="auto"/>
                                <w:left w:val="none" w:sz="0" w:space="0" w:color="auto"/>
                                <w:bottom w:val="none" w:sz="0" w:space="0" w:color="auto"/>
                                <w:right w:val="none" w:sz="0" w:space="0" w:color="auto"/>
                              </w:divBdr>
                              <w:divsChild>
                                <w:div w:id="816142148">
                                  <w:marLeft w:val="0"/>
                                  <w:marRight w:val="0"/>
                                  <w:marTop w:val="0"/>
                                  <w:marBottom w:val="0"/>
                                  <w:divBdr>
                                    <w:top w:val="none" w:sz="0" w:space="0" w:color="auto"/>
                                    <w:left w:val="none" w:sz="0" w:space="0" w:color="auto"/>
                                    <w:bottom w:val="none" w:sz="0" w:space="0" w:color="auto"/>
                                    <w:right w:val="none" w:sz="0" w:space="0" w:color="auto"/>
                                  </w:divBdr>
                                  <w:divsChild>
                                    <w:div w:id="1655256229">
                                      <w:marLeft w:val="0"/>
                                      <w:marRight w:val="0"/>
                                      <w:marTop w:val="0"/>
                                      <w:marBottom w:val="0"/>
                                      <w:divBdr>
                                        <w:top w:val="none" w:sz="0" w:space="0" w:color="auto"/>
                                        <w:left w:val="none" w:sz="0" w:space="0" w:color="auto"/>
                                        <w:bottom w:val="none" w:sz="0" w:space="0" w:color="auto"/>
                                        <w:right w:val="none" w:sz="0" w:space="0" w:color="auto"/>
                                      </w:divBdr>
                                      <w:divsChild>
                                        <w:div w:id="1395153715">
                                          <w:marLeft w:val="0"/>
                                          <w:marRight w:val="0"/>
                                          <w:marTop w:val="0"/>
                                          <w:marBottom w:val="0"/>
                                          <w:divBdr>
                                            <w:top w:val="none" w:sz="0" w:space="0" w:color="auto"/>
                                            <w:left w:val="none" w:sz="0" w:space="0" w:color="auto"/>
                                            <w:bottom w:val="none" w:sz="0" w:space="0" w:color="auto"/>
                                            <w:right w:val="none" w:sz="0" w:space="0" w:color="auto"/>
                                          </w:divBdr>
                                          <w:divsChild>
                                            <w:div w:id="319116149">
                                              <w:marLeft w:val="0"/>
                                              <w:marRight w:val="0"/>
                                              <w:marTop w:val="0"/>
                                              <w:marBottom w:val="0"/>
                                              <w:divBdr>
                                                <w:top w:val="none" w:sz="0" w:space="0" w:color="auto"/>
                                                <w:left w:val="none" w:sz="0" w:space="0" w:color="auto"/>
                                                <w:bottom w:val="none" w:sz="0" w:space="0" w:color="auto"/>
                                                <w:right w:val="none" w:sz="0" w:space="0" w:color="auto"/>
                                              </w:divBdr>
                                              <w:divsChild>
                                                <w:div w:id="767774195">
                                                  <w:marLeft w:val="0"/>
                                                  <w:marRight w:val="0"/>
                                                  <w:marTop w:val="0"/>
                                                  <w:marBottom w:val="0"/>
                                                  <w:divBdr>
                                                    <w:top w:val="none" w:sz="0" w:space="0" w:color="auto"/>
                                                    <w:left w:val="none" w:sz="0" w:space="0" w:color="auto"/>
                                                    <w:bottom w:val="none" w:sz="0" w:space="0" w:color="auto"/>
                                                    <w:right w:val="none" w:sz="0" w:space="0" w:color="auto"/>
                                                  </w:divBdr>
                                                  <w:divsChild>
                                                    <w:div w:id="1271740998">
                                                      <w:marLeft w:val="0"/>
                                                      <w:marRight w:val="0"/>
                                                      <w:marTop w:val="0"/>
                                                      <w:marBottom w:val="0"/>
                                                      <w:divBdr>
                                                        <w:top w:val="none" w:sz="0" w:space="0" w:color="auto"/>
                                                        <w:left w:val="none" w:sz="0" w:space="0" w:color="auto"/>
                                                        <w:bottom w:val="none" w:sz="0" w:space="0" w:color="auto"/>
                                                        <w:right w:val="none" w:sz="0" w:space="0" w:color="auto"/>
                                                      </w:divBdr>
                                                      <w:divsChild>
                                                        <w:div w:id="553274495">
                                                          <w:marLeft w:val="0"/>
                                                          <w:marRight w:val="0"/>
                                                          <w:marTop w:val="0"/>
                                                          <w:marBottom w:val="0"/>
                                                          <w:divBdr>
                                                            <w:top w:val="none" w:sz="0" w:space="0" w:color="auto"/>
                                                            <w:left w:val="none" w:sz="0" w:space="0" w:color="auto"/>
                                                            <w:bottom w:val="none" w:sz="0" w:space="0" w:color="auto"/>
                                                            <w:right w:val="none" w:sz="0" w:space="0" w:color="auto"/>
                                                          </w:divBdr>
                                                          <w:divsChild>
                                                            <w:div w:id="299848180">
                                                              <w:marLeft w:val="0"/>
                                                              <w:marRight w:val="0"/>
                                                              <w:marTop w:val="0"/>
                                                              <w:marBottom w:val="0"/>
                                                              <w:divBdr>
                                                                <w:top w:val="none" w:sz="0" w:space="0" w:color="auto"/>
                                                                <w:left w:val="none" w:sz="0" w:space="0" w:color="auto"/>
                                                                <w:bottom w:val="none" w:sz="0" w:space="0" w:color="auto"/>
                                                                <w:right w:val="none" w:sz="0" w:space="0" w:color="auto"/>
                                                              </w:divBdr>
                                                              <w:divsChild>
                                                                <w:div w:id="1026099334">
                                                                  <w:marLeft w:val="0"/>
                                                                  <w:marRight w:val="0"/>
                                                                  <w:marTop w:val="0"/>
                                                                  <w:marBottom w:val="0"/>
                                                                  <w:divBdr>
                                                                    <w:top w:val="none" w:sz="0" w:space="0" w:color="auto"/>
                                                                    <w:left w:val="none" w:sz="0" w:space="0" w:color="auto"/>
                                                                    <w:bottom w:val="none" w:sz="0" w:space="0" w:color="auto"/>
                                                                    <w:right w:val="none" w:sz="0" w:space="0" w:color="auto"/>
                                                                  </w:divBdr>
                                                                  <w:divsChild>
                                                                    <w:div w:id="1100879888">
                                                                      <w:marLeft w:val="0"/>
                                                                      <w:marRight w:val="0"/>
                                                                      <w:marTop w:val="0"/>
                                                                      <w:marBottom w:val="0"/>
                                                                      <w:divBdr>
                                                                        <w:top w:val="none" w:sz="0" w:space="0" w:color="auto"/>
                                                                        <w:left w:val="none" w:sz="0" w:space="0" w:color="auto"/>
                                                                        <w:bottom w:val="none" w:sz="0" w:space="0" w:color="auto"/>
                                                                        <w:right w:val="none" w:sz="0" w:space="0" w:color="auto"/>
                                                                      </w:divBdr>
                                                                      <w:divsChild>
                                                                        <w:div w:id="2023967631">
                                                                          <w:marLeft w:val="0"/>
                                                                          <w:marRight w:val="0"/>
                                                                          <w:marTop w:val="0"/>
                                                                          <w:marBottom w:val="0"/>
                                                                          <w:divBdr>
                                                                            <w:top w:val="none" w:sz="0" w:space="0" w:color="auto"/>
                                                                            <w:left w:val="none" w:sz="0" w:space="0" w:color="auto"/>
                                                                            <w:bottom w:val="none" w:sz="0" w:space="0" w:color="auto"/>
                                                                            <w:right w:val="none" w:sz="0" w:space="0" w:color="auto"/>
                                                                          </w:divBdr>
                                                                          <w:divsChild>
                                                                            <w:div w:id="1046951950">
                                                                              <w:marLeft w:val="0"/>
                                                                              <w:marRight w:val="0"/>
                                                                              <w:marTop w:val="0"/>
                                                                              <w:marBottom w:val="0"/>
                                                                              <w:divBdr>
                                                                                <w:top w:val="none" w:sz="0" w:space="0" w:color="auto"/>
                                                                                <w:left w:val="none" w:sz="0" w:space="0" w:color="auto"/>
                                                                                <w:bottom w:val="none" w:sz="0" w:space="0" w:color="auto"/>
                                                                                <w:right w:val="none" w:sz="0" w:space="0" w:color="auto"/>
                                                                              </w:divBdr>
                                                                              <w:divsChild>
                                                                                <w:div w:id="604121082">
                                                                                  <w:marLeft w:val="0"/>
                                                                                  <w:marRight w:val="0"/>
                                                                                  <w:marTop w:val="0"/>
                                                                                  <w:marBottom w:val="0"/>
                                                                                  <w:divBdr>
                                                                                    <w:top w:val="none" w:sz="0" w:space="0" w:color="auto"/>
                                                                                    <w:left w:val="none" w:sz="0" w:space="0" w:color="auto"/>
                                                                                    <w:bottom w:val="none" w:sz="0" w:space="0" w:color="auto"/>
                                                                                    <w:right w:val="none" w:sz="0" w:space="0" w:color="auto"/>
                                                                                  </w:divBdr>
                                                                                  <w:divsChild>
                                                                                    <w:div w:id="1967463053">
                                                                                      <w:marLeft w:val="0"/>
                                                                                      <w:marRight w:val="0"/>
                                                                                      <w:marTop w:val="0"/>
                                                                                      <w:marBottom w:val="0"/>
                                                                                      <w:divBdr>
                                                                                        <w:top w:val="none" w:sz="0" w:space="0" w:color="auto"/>
                                                                                        <w:left w:val="none" w:sz="0" w:space="0" w:color="auto"/>
                                                                                        <w:bottom w:val="none" w:sz="0" w:space="0" w:color="auto"/>
                                                                                        <w:right w:val="none" w:sz="0" w:space="0" w:color="auto"/>
                                                                                      </w:divBdr>
                                                                                      <w:divsChild>
                                                                                        <w:div w:id="970790376">
                                                                                          <w:marLeft w:val="0"/>
                                                                                          <w:marRight w:val="0"/>
                                                                                          <w:marTop w:val="0"/>
                                                                                          <w:marBottom w:val="0"/>
                                                                                          <w:divBdr>
                                                                                            <w:top w:val="none" w:sz="0" w:space="0" w:color="auto"/>
                                                                                            <w:left w:val="none" w:sz="0" w:space="0" w:color="auto"/>
                                                                                            <w:bottom w:val="none" w:sz="0" w:space="0" w:color="auto"/>
                                                                                            <w:right w:val="none" w:sz="0" w:space="0" w:color="auto"/>
                                                                                          </w:divBdr>
                                                                                          <w:divsChild>
                                                                                            <w:div w:id="1617834242">
                                                                                              <w:marLeft w:val="0"/>
                                                                                              <w:marRight w:val="0"/>
                                                                                              <w:marTop w:val="0"/>
                                                                                              <w:marBottom w:val="0"/>
                                                                                              <w:divBdr>
                                                                                                <w:top w:val="none" w:sz="0" w:space="0" w:color="auto"/>
                                                                                                <w:left w:val="none" w:sz="0" w:space="0" w:color="auto"/>
                                                                                                <w:bottom w:val="none" w:sz="0" w:space="0" w:color="auto"/>
                                                                                                <w:right w:val="none" w:sz="0" w:space="0" w:color="auto"/>
                                                                                              </w:divBdr>
                                                                                              <w:divsChild>
                                                                                                <w:div w:id="137459025">
                                                                                                  <w:marLeft w:val="0"/>
                                                                                                  <w:marRight w:val="0"/>
                                                                                                  <w:marTop w:val="0"/>
                                                                                                  <w:marBottom w:val="0"/>
                                                                                                  <w:divBdr>
                                                                                                    <w:top w:val="none" w:sz="0" w:space="0" w:color="auto"/>
                                                                                                    <w:left w:val="none" w:sz="0" w:space="0" w:color="auto"/>
                                                                                                    <w:bottom w:val="none" w:sz="0" w:space="0" w:color="auto"/>
                                                                                                    <w:right w:val="none" w:sz="0" w:space="0" w:color="auto"/>
                                                                                                  </w:divBdr>
                                                                                                  <w:divsChild>
                                                                                                    <w:div w:id="1295065247">
                                                                                                      <w:marLeft w:val="0"/>
                                                                                                      <w:marRight w:val="0"/>
                                                                                                      <w:marTop w:val="0"/>
                                                                                                      <w:marBottom w:val="0"/>
                                                                                                      <w:divBdr>
                                                                                                        <w:top w:val="none" w:sz="0" w:space="0" w:color="auto"/>
                                                                                                        <w:left w:val="none" w:sz="0" w:space="0" w:color="auto"/>
                                                                                                        <w:bottom w:val="none" w:sz="0" w:space="0" w:color="auto"/>
                                                                                                        <w:right w:val="none" w:sz="0" w:space="0" w:color="auto"/>
                                                                                                      </w:divBdr>
                                                                                                      <w:divsChild>
                                                                                                        <w:div w:id="161626682">
                                                                                                          <w:marLeft w:val="0"/>
                                                                                                          <w:marRight w:val="0"/>
                                                                                                          <w:marTop w:val="0"/>
                                                                                                          <w:marBottom w:val="0"/>
                                                                                                          <w:divBdr>
                                                                                                            <w:top w:val="none" w:sz="0" w:space="0" w:color="auto"/>
                                                                                                            <w:left w:val="none" w:sz="0" w:space="0" w:color="auto"/>
                                                                                                            <w:bottom w:val="none" w:sz="0" w:space="0" w:color="auto"/>
                                                                                                            <w:right w:val="none" w:sz="0" w:space="0" w:color="auto"/>
                                                                                                          </w:divBdr>
                                                                                                          <w:divsChild>
                                                                                                            <w:div w:id="9601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189717">
      <w:bodyDiv w:val="1"/>
      <w:marLeft w:val="0"/>
      <w:marRight w:val="0"/>
      <w:marTop w:val="0"/>
      <w:marBottom w:val="0"/>
      <w:divBdr>
        <w:top w:val="none" w:sz="0" w:space="0" w:color="auto"/>
        <w:left w:val="none" w:sz="0" w:space="0" w:color="auto"/>
        <w:bottom w:val="none" w:sz="0" w:space="0" w:color="auto"/>
        <w:right w:val="none" w:sz="0" w:space="0" w:color="auto"/>
      </w:divBdr>
    </w:div>
    <w:div w:id="1320304826">
      <w:bodyDiv w:val="1"/>
      <w:marLeft w:val="0"/>
      <w:marRight w:val="0"/>
      <w:marTop w:val="0"/>
      <w:marBottom w:val="0"/>
      <w:divBdr>
        <w:top w:val="none" w:sz="0" w:space="0" w:color="auto"/>
        <w:left w:val="none" w:sz="0" w:space="0" w:color="auto"/>
        <w:bottom w:val="none" w:sz="0" w:space="0" w:color="auto"/>
        <w:right w:val="none" w:sz="0" w:space="0" w:color="auto"/>
      </w:divBdr>
    </w:div>
    <w:div w:id="1321153876">
      <w:bodyDiv w:val="1"/>
      <w:marLeft w:val="0"/>
      <w:marRight w:val="0"/>
      <w:marTop w:val="0"/>
      <w:marBottom w:val="0"/>
      <w:divBdr>
        <w:top w:val="none" w:sz="0" w:space="0" w:color="auto"/>
        <w:left w:val="none" w:sz="0" w:space="0" w:color="auto"/>
        <w:bottom w:val="none" w:sz="0" w:space="0" w:color="auto"/>
        <w:right w:val="none" w:sz="0" w:space="0" w:color="auto"/>
      </w:divBdr>
    </w:div>
    <w:div w:id="1327513539">
      <w:bodyDiv w:val="1"/>
      <w:marLeft w:val="0"/>
      <w:marRight w:val="0"/>
      <w:marTop w:val="0"/>
      <w:marBottom w:val="0"/>
      <w:divBdr>
        <w:top w:val="none" w:sz="0" w:space="0" w:color="auto"/>
        <w:left w:val="none" w:sz="0" w:space="0" w:color="auto"/>
        <w:bottom w:val="none" w:sz="0" w:space="0" w:color="auto"/>
        <w:right w:val="none" w:sz="0" w:space="0" w:color="auto"/>
      </w:divBdr>
    </w:div>
    <w:div w:id="1327976265">
      <w:bodyDiv w:val="1"/>
      <w:marLeft w:val="0"/>
      <w:marRight w:val="0"/>
      <w:marTop w:val="0"/>
      <w:marBottom w:val="0"/>
      <w:divBdr>
        <w:top w:val="none" w:sz="0" w:space="0" w:color="auto"/>
        <w:left w:val="none" w:sz="0" w:space="0" w:color="auto"/>
        <w:bottom w:val="none" w:sz="0" w:space="0" w:color="auto"/>
        <w:right w:val="none" w:sz="0" w:space="0" w:color="auto"/>
      </w:divBdr>
    </w:div>
    <w:div w:id="1328249392">
      <w:bodyDiv w:val="1"/>
      <w:marLeft w:val="0"/>
      <w:marRight w:val="0"/>
      <w:marTop w:val="0"/>
      <w:marBottom w:val="0"/>
      <w:divBdr>
        <w:top w:val="none" w:sz="0" w:space="0" w:color="auto"/>
        <w:left w:val="none" w:sz="0" w:space="0" w:color="auto"/>
        <w:bottom w:val="none" w:sz="0" w:space="0" w:color="auto"/>
        <w:right w:val="none" w:sz="0" w:space="0" w:color="auto"/>
      </w:divBdr>
    </w:div>
    <w:div w:id="1331327951">
      <w:bodyDiv w:val="1"/>
      <w:marLeft w:val="0"/>
      <w:marRight w:val="0"/>
      <w:marTop w:val="0"/>
      <w:marBottom w:val="0"/>
      <w:divBdr>
        <w:top w:val="none" w:sz="0" w:space="0" w:color="auto"/>
        <w:left w:val="none" w:sz="0" w:space="0" w:color="auto"/>
        <w:bottom w:val="none" w:sz="0" w:space="0" w:color="auto"/>
        <w:right w:val="none" w:sz="0" w:space="0" w:color="auto"/>
      </w:divBdr>
    </w:div>
    <w:div w:id="1332413082">
      <w:bodyDiv w:val="1"/>
      <w:marLeft w:val="0"/>
      <w:marRight w:val="0"/>
      <w:marTop w:val="0"/>
      <w:marBottom w:val="0"/>
      <w:divBdr>
        <w:top w:val="none" w:sz="0" w:space="0" w:color="auto"/>
        <w:left w:val="none" w:sz="0" w:space="0" w:color="auto"/>
        <w:bottom w:val="none" w:sz="0" w:space="0" w:color="auto"/>
        <w:right w:val="none" w:sz="0" w:space="0" w:color="auto"/>
      </w:divBdr>
    </w:div>
    <w:div w:id="1332876062">
      <w:bodyDiv w:val="1"/>
      <w:marLeft w:val="0"/>
      <w:marRight w:val="0"/>
      <w:marTop w:val="0"/>
      <w:marBottom w:val="0"/>
      <w:divBdr>
        <w:top w:val="none" w:sz="0" w:space="0" w:color="auto"/>
        <w:left w:val="none" w:sz="0" w:space="0" w:color="auto"/>
        <w:bottom w:val="none" w:sz="0" w:space="0" w:color="auto"/>
        <w:right w:val="none" w:sz="0" w:space="0" w:color="auto"/>
      </w:divBdr>
    </w:div>
    <w:div w:id="1334991973">
      <w:bodyDiv w:val="1"/>
      <w:marLeft w:val="0"/>
      <w:marRight w:val="0"/>
      <w:marTop w:val="0"/>
      <w:marBottom w:val="0"/>
      <w:divBdr>
        <w:top w:val="none" w:sz="0" w:space="0" w:color="auto"/>
        <w:left w:val="none" w:sz="0" w:space="0" w:color="auto"/>
        <w:bottom w:val="none" w:sz="0" w:space="0" w:color="auto"/>
        <w:right w:val="none" w:sz="0" w:space="0" w:color="auto"/>
      </w:divBdr>
    </w:div>
    <w:div w:id="1335376396">
      <w:bodyDiv w:val="1"/>
      <w:marLeft w:val="0"/>
      <w:marRight w:val="0"/>
      <w:marTop w:val="0"/>
      <w:marBottom w:val="0"/>
      <w:divBdr>
        <w:top w:val="none" w:sz="0" w:space="0" w:color="auto"/>
        <w:left w:val="none" w:sz="0" w:space="0" w:color="auto"/>
        <w:bottom w:val="none" w:sz="0" w:space="0" w:color="auto"/>
        <w:right w:val="none" w:sz="0" w:space="0" w:color="auto"/>
      </w:divBdr>
    </w:div>
    <w:div w:id="1338001465">
      <w:bodyDiv w:val="1"/>
      <w:marLeft w:val="0"/>
      <w:marRight w:val="0"/>
      <w:marTop w:val="0"/>
      <w:marBottom w:val="0"/>
      <w:divBdr>
        <w:top w:val="none" w:sz="0" w:space="0" w:color="auto"/>
        <w:left w:val="none" w:sz="0" w:space="0" w:color="auto"/>
        <w:bottom w:val="none" w:sz="0" w:space="0" w:color="auto"/>
        <w:right w:val="none" w:sz="0" w:space="0" w:color="auto"/>
      </w:divBdr>
    </w:div>
    <w:div w:id="1338967403">
      <w:bodyDiv w:val="1"/>
      <w:marLeft w:val="0"/>
      <w:marRight w:val="0"/>
      <w:marTop w:val="0"/>
      <w:marBottom w:val="0"/>
      <w:divBdr>
        <w:top w:val="none" w:sz="0" w:space="0" w:color="auto"/>
        <w:left w:val="none" w:sz="0" w:space="0" w:color="auto"/>
        <w:bottom w:val="none" w:sz="0" w:space="0" w:color="auto"/>
        <w:right w:val="none" w:sz="0" w:space="0" w:color="auto"/>
      </w:divBdr>
    </w:div>
    <w:div w:id="1339650921">
      <w:bodyDiv w:val="1"/>
      <w:marLeft w:val="0"/>
      <w:marRight w:val="0"/>
      <w:marTop w:val="0"/>
      <w:marBottom w:val="0"/>
      <w:divBdr>
        <w:top w:val="none" w:sz="0" w:space="0" w:color="auto"/>
        <w:left w:val="none" w:sz="0" w:space="0" w:color="auto"/>
        <w:bottom w:val="none" w:sz="0" w:space="0" w:color="auto"/>
        <w:right w:val="none" w:sz="0" w:space="0" w:color="auto"/>
      </w:divBdr>
    </w:div>
    <w:div w:id="1342584642">
      <w:bodyDiv w:val="1"/>
      <w:marLeft w:val="0"/>
      <w:marRight w:val="0"/>
      <w:marTop w:val="0"/>
      <w:marBottom w:val="0"/>
      <w:divBdr>
        <w:top w:val="none" w:sz="0" w:space="0" w:color="auto"/>
        <w:left w:val="none" w:sz="0" w:space="0" w:color="auto"/>
        <w:bottom w:val="none" w:sz="0" w:space="0" w:color="auto"/>
        <w:right w:val="none" w:sz="0" w:space="0" w:color="auto"/>
      </w:divBdr>
    </w:div>
    <w:div w:id="1342774516">
      <w:bodyDiv w:val="1"/>
      <w:marLeft w:val="0"/>
      <w:marRight w:val="0"/>
      <w:marTop w:val="0"/>
      <w:marBottom w:val="0"/>
      <w:divBdr>
        <w:top w:val="none" w:sz="0" w:space="0" w:color="auto"/>
        <w:left w:val="none" w:sz="0" w:space="0" w:color="auto"/>
        <w:bottom w:val="none" w:sz="0" w:space="0" w:color="auto"/>
        <w:right w:val="none" w:sz="0" w:space="0" w:color="auto"/>
      </w:divBdr>
    </w:div>
    <w:div w:id="1345593928">
      <w:bodyDiv w:val="1"/>
      <w:marLeft w:val="0"/>
      <w:marRight w:val="0"/>
      <w:marTop w:val="0"/>
      <w:marBottom w:val="0"/>
      <w:divBdr>
        <w:top w:val="none" w:sz="0" w:space="0" w:color="auto"/>
        <w:left w:val="none" w:sz="0" w:space="0" w:color="auto"/>
        <w:bottom w:val="none" w:sz="0" w:space="0" w:color="auto"/>
        <w:right w:val="none" w:sz="0" w:space="0" w:color="auto"/>
      </w:divBdr>
    </w:div>
    <w:div w:id="1345787687">
      <w:bodyDiv w:val="1"/>
      <w:marLeft w:val="0"/>
      <w:marRight w:val="0"/>
      <w:marTop w:val="0"/>
      <w:marBottom w:val="0"/>
      <w:divBdr>
        <w:top w:val="none" w:sz="0" w:space="0" w:color="auto"/>
        <w:left w:val="none" w:sz="0" w:space="0" w:color="auto"/>
        <w:bottom w:val="none" w:sz="0" w:space="0" w:color="auto"/>
        <w:right w:val="none" w:sz="0" w:space="0" w:color="auto"/>
      </w:divBdr>
    </w:div>
    <w:div w:id="1346396761">
      <w:bodyDiv w:val="1"/>
      <w:marLeft w:val="0"/>
      <w:marRight w:val="0"/>
      <w:marTop w:val="0"/>
      <w:marBottom w:val="0"/>
      <w:divBdr>
        <w:top w:val="none" w:sz="0" w:space="0" w:color="auto"/>
        <w:left w:val="none" w:sz="0" w:space="0" w:color="auto"/>
        <w:bottom w:val="none" w:sz="0" w:space="0" w:color="auto"/>
        <w:right w:val="none" w:sz="0" w:space="0" w:color="auto"/>
      </w:divBdr>
    </w:div>
    <w:div w:id="1347714698">
      <w:bodyDiv w:val="1"/>
      <w:marLeft w:val="0"/>
      <w:marRight w:val="0"/>
      <w:marTop w:val="0"/>
      <w:marBottom w:val="0"/>
      <w:divBdr>
        <w:top w:val="none" w:sz="0" w:space="0" w:color="auto"/>
        <w:left w:val="none" w:sz="0" w:space="0" w:color="auto"/>
        <w:bottom w:val="none" w:sz="0" w:space="0" w:color="auto"/>
        <w:right w:val="none" w:sz="0" w:space="0" w:color="auto"/>
      </w:divBdr>
    </w:div>
    <w:div w:id="1349020131">
      <w:bodyDiv w:val="1"/>
      <w:marLeft w:val="0"/>
      <w:marRight w:val="0"/>
      <w:marTop w:val="0"/>
      <w:marBottom w:val="0"/>
      <w:divBdr>
        <w:top w:val="none" w:sz="0" w:space="0" w:color="auto"/>
        <w:left w:val="none" w:sz="0" w:space="0" w:color="auto"/>
        <w:bottom w:val="none" w:sz="0" w:space="0" w:color="auto"/>
        <w:right w:val="none" w:sz="0" w:space="0" w:color="auto"/>
      </w:divBdr>
      <w:divsChild>
        <w:div w:id="1945771015">
          <w:marLeft w:val="0"/>
          <w:marRight w:val="0"/>
          <w:marTop w:val="0"/>
          <w:marBottom w:val="0"/>
          <w:divBdr>
            <w:top w:val="none" w:sz="0" w:space="0" w:color="auto"/>
            <w:left w:val="none" w:sz="0" w:space="0" w:color="auto"/>
            <w:bottom w:val="none" w:sz="0" w:space="0" w:color="auto"/>
            <w:right w:val="none" w:sz="0" w:space="0" w:color="auto"/>
          </w:divBdr>
        </w:div>
      </w:divsChild>
    </w:div>
    <w:div w:id="1352301199">
      <w:bodyDiv w:val="1"/>
      <w:marLeft w:val="0"/>
      <w:marRight w:val="0"/>
      <w:marTop w:val="0"/>
      <w:marBottom w:val="0"/>
      <w:divBdr>
        <w:top w:val="none" w:sz="0" w:space="0" w:color="auto"/>
        <w:left w:val="none" w:sz="0" w:space="0" w:color="auto"/>
        <w:bottom w:val="none" w:sz="0" w:space="0" w:color="auto"/>
        <w:right w:val="none" w:sz="0" w:space="0" w:color="auto"/>
      </w:divBdr>
      <w:divsChild>
        <w:div w:id="202788768">
          <w:marLeft w:val="0"/>
          <w:marRight w:val="0"/>
          <w:marTop w:val="0"/>
          <w:marBottom w:val="0"/>
          <w:divBdr>
            <w:top w:val="none" w:sz="0" w:space="0" w:color="auto"/>
            <w:left w:val="none" w:sz="0" w:space="0" w:color="auto"/>
            <w:bottom w:val="none" w:sz="0" w:space="0" w:color="auto"/>
            <w:right w:val="none" w:sz="0" w:space="0" w:color="auto"/>
          </w:divBdr>
          <w:divsChild>
            <w:div w:id="1653559942">
              <w:marLeft w:val="0"/>
              <w:marRight w:val="0"/>
              <w:marTop w:val="0"/>
              <w:marBottom w:val="0"/>
              <w:divBdr>
                <w:top w:val="none" w:sz="0" w:space="0" w:color="auto"/>
                <w:left w:val="none" w:sz="0" w:space="0" w:color="auto"/>
                <w:bottom w:val="none" w:sz="0" w:space="0" w:color="auto"/>
                <w:right w:val="none" w:sz="0" w:space="0" w:color="auto"/>
              </w:divBdr>
              <w:divsChild>
                <w:div w:id="852763810">
                  <w:marLeft w:val="0"/>
                  <w:marRight w:val="0"/>
                  <w:marTop w:val="0"/>
                  <w:marBottom w:val="0"/>
                  <w:divBdr>
                    <w:top w:val="none" w:sz="0" w:space="0" w:color="auto"/>
                    <w:left w:val="none" w:sz="0" w:space="0" w:color="auto"/>
                    <w:bottom w:val="none" w:sz="0" w:space="0" w:color="auto"/>
                    <w:right w:val="none" w:sz="0" w:space="0" w:color="auto"/>
                  </w:divBdr>
                  <w:divsChild>
                    <w:div w:id="1704406544">
                      <w:marLeft w:val="0"/>
                      <w:marRight w:val="0"/>
                      <w:marTop w:val="0"/>
                      <w:marBottom w:val="0"/>
                      <w:divBdr>
                        <w:top w:val="none" w:sz="0" w:space="0" w:color="auto"/>
                        <w:left w:val="none" w:sz="0" w:space="0" w:color="auto"/>
                        <w:bottom w:val="none" w:sz="0" w:space="0" w:color="auto"/>
                        <w:right w:val="none" w:sz="0" w:space="0" w:color="auto"/>
                      </w:divBdr>
                      <w:divsChild>
                        <w:div w:id="995957377">
                          <w:marLeft w:val="0"/>
                          <w:marRight w:val="0"/>
                          <w:marTop w:val="0"/>
                          <w:marBottom w:val="0"/>
                          <w:divBdr>
                            <w:top w:val="none" w:sz="0" w:space="0" w:color="auto"/>
                            <w:left w:val="none" w:sz="0" w:space="0" w:color="auto"/>
                            <w:bottom w:val="none" w:sz="0" w:space="0" w:color="auto"/>
                            <w:right w:val="none" w:sz="0" w:space="0" w:color="auto"/>
                          </w:divBdr>
                          <w:divsChild>
                            <w:div w:id="608008509">
                              <w:marLeft w:val="0"/>
                              <w:marRight w:val="0"/>
                              <w:marTop w:val="0"/>
                              <w:marBottom w:val="0"/>
                              <w:divBdr>
                                <w:top w:val="none" w:sz="0" w:space="0" w:color="auto"/>
                                <w:left w:val="none" w:sz="0" w:space="0" w:color="auto"/>
                                <w:bottom w:val="none" w:sz="0" w:space="0" w:color="auto"/>
                                <w:right w:val="none" w:sz="0" w:space="0" w:color="auto"/>
                              </w:divBdr>
                              <w:divsChild>
                                <w:div w:id="713047599">
                                  <w:marLeft w:val="0"/>
                                  <w:marRight w:val="0"/>
                                  <w:marTop w:val="0"/>
                                  <w:marBottom w:val="0"/>
                                  <w:divBdr>
                                    <w:top w:val="none" w:sz="0" w:space="0" w:color="auto"/>
                                    <w:left w:val="none" w:sz="0" w:space="0" w:color="auto"/>
                                    <w:bottom w:val="none" w:sz="0" w:space="0" w:color="auto"/>
                                    <w:right w:val="none" w:sz="0" w:space="0" w:color="auto"/>
                                  </w:divBdr>
                                  <w:divsChild>
                                    <w:div w:id="1191918807">
                                      <w:marLeft w:val="0"/>
                                      <w:marRight w:val="0"/>
                                      <w:marTop w:val="0"/>
                                      <w:marBottom w:val="0"/>
                                      <w:divBdr>
                                        <w:top w:val="none" w:sz="0" w:space="0" w:color="auto"/>
                                        <w:left w:val="none" w:sz="0" w:space="0" w:color="auto"/>
                                        <w:bottom w:val="none" w:sz="0" w:space="0" w:color="auto"/>
                                        <w:right w:val="none" w:sz="0" w:space="0" w:color="auto"/>
                                      </w:divBdr>
                                      <w:divsChild>
                                        <w:div w:id="1445729530">
                                          <w:marLeft w:val="0"/>
                                          <w:marRight w:val="0"/>
                                          <w:marTop w:val="0"/>
                                          <w:marBottom w:val="0"/>
                                          <w:divBdr>
                                            <w:top w:val="none" w:sz="0" w:space="0" w:color="auto"/>
                                            <w:left w:val="none" w:sz="0" w:space="0" w:color="auto"/>
                                            <w:bottom w:val="none" w:sz="0" w:space="0" w:color="auto"/>
                                            <w:right w:val="none" w:sz="0" w:space="0" w:color="auto"/>
                                          </w:divBdr>
                                          <w:divsChild>
                                            <w:div w:id="443506033">
                                              <w:marLeft w:val="0"/>
                                              <w:marRight w:val="0"/>
                                              <w:marTop w:val="0"/>
                                              <w:marBottom w:val="0"/>
                                              <w:divBdr>
                                                <w:top w:val="none" w:sz="0" w:space="0" w:color="auto"/>
                                                <w:left w:val="none" w:sz="0" w:space="0" w:color="auto"/>
                                                <w:bottom w:val="none" w:sz="0" w:space="0" w:color="auto"/>
                                                <w:right w:val="none" w:sz="0" w:space="0" w:color="auto"/>
                                              </w:divBdr>
                                              <w:divsChild>
                                                <w:div w:id="1414934802">
                                                  <w:marLeft w:val="0"/>
                                                  <w:marRight w:val="0"/>
                                                  <w:marTop w:val="0"/>
                                                  <w:marBottom w:val="0"/>
                                                  <w:divBdr>
                                                    <w:top w:val="none" w:sz="0" w:space="0" w:color="auto"/>
                                                    <w:left w:val="none" w:sz="0" w:space="0" w:color="auto"/>
                                                    <w:bottom w:val="none" w:sz="0" w:space="0" w:color="auto"/>
                                                    <w:right w:val="none" w:sz="0" w:space="0" w:color="auto"/>
                                                  </w:divBdr>
                                                  <w:divsChild>
                                                    <w:div w:id="2010063790">
                                                      <w:marLeft w:val="0"/>
                                                      <w:marRight w:val="0"/>
                                                      <w:marTop w:val="0"/>
                                                      <w:marBottom w:val="0"/>
                                                      <w:divBdr>
                                                        <w:top w:val="none" w:sz="0" w:space="0" w:color="auto"/>
                                                        <w:left w:val="none" w:sz="0" w:space="0" w:color="auto"/>
                                                        <w:bottom w:val="none" w:sz="0" w:space="0" w:color="auto"/>
                                                        <w:right w:val="none" w:sz="0" w:space="0" w:color="auto"/>
                                                      </w:divBdr>
                                                      <w:divsChild>
                                                        <w:div w:id="770509704">
                                                          <w:marLeft w:val="0"/>
                                                          <w:marRight w:val="0"/>
                                                          <w:marTop w:val="0"/>
                                                          <w:marBottom w:val="0"/>
                                                          <w:divBdr>
                                                            <w:top w:val="none" w:sz="0" w:space="0" w:color="auto"/>
                                                            <w:left w:val="none" w:sz="0" w:space="0" w:color="auto"/>
                                                            <w:bottom w:val="none" w:sz="0" w:space="0" w:color="auto"/>
                                                            <w:right w:val="none" w:sz="0" w:space="0" w:color="auto"/>
                                                          </w:divBdr>
                                                          <w:divsChild>
                                                            <w:div w:id="709569487">
                                                              <w:marLeft w:val="0"/>
                                                              <w:marRight w:val="0"/>
                                                              <w:marTop w:val="0"/>
                                                              <w:marBottom w:val="0"/>
                                                              <w:divBdr>
                                                                <w:top w:val="none" w:sz="0" w:space="0" w:color="auto"/>
                                                                <w:left w:val="none" w:sz="0" w:space="0" w:color="auto"/>
                                                                <w:bottom w:val="none" w:sz="0" w:space="0" w:color="auto"/>
                                                                <w:right w:val="none" w:sz="0" w:space="0" w:color="auto"/>
                                                              </w:divBdr>
                                                              <w:divsChild>
                                                                <w:div w:id="1328241061">
                                                                  <w:marLeft w:val="0"/>
                                                                  <w:marRight w:val="0"/>
                                                                  <w:marTop w:val="0"/>
                                                                  <w:marBottom w:val="0"/>
                                                                  <w:divBdr>
                                                                    <w:top w:val="none" w:sz="0" w:space="0" w:color="auto"/>
                                                                    <w:left w:val="none" w:sz="0" w:space="0" w:color="auto"/>
                                                                    <w:bottom w:val="none" w:sz="0" w:space="0" w:color="auto"/>
                                                                    <w:right w:val="none" w:sz="0" w:space="0" w:color="auto"/>
                                                                  </w:divBdr>
                                                                  <w:divsChild>
                                                                    <w:div w:id="904993492">
                                                                      <w:marLeft w:val="0"/>
                                                                      <w:marRight w:val="0"/>
                                                                      <w:marTop w:val="0"/>
                                                                      <w:marBottom w:val="0"/>
                                                                      <w:divBdr>
                                                                        <w:top w:val="none" w:sz="0" w:space="0" w:color="auto"/>
                                                                        <w:left w:val="none" w:sz="0" w:space="0" w:color="auto"/>
                                                                        <w:bottom w:val="none" w:sz="0" w:space="0" w:color="auto"/>
                                                                        <w:right w:val="none" w:sz="0" w:space="0" w:color="auto"/>
                                                                      </w:divBdr>
                                                                      <w:divsChild>
                                                                        <w:div w:id="732198201">
                                                                          <w:marLeft w:val="0"/>
                                                                          <w:marRight w:val="0"/>
                                                                          <w:marTop w:val="0"/>
                                                                          <w:marBottom w:val="0"/>
                                                                          <w:divBdr>
                                                                            <w:top w:val="none" w:sz="0" w:space="0" w:color="auto"/>
                                                                            <w:left w:val="none" w:sz="0" w:space="0" w:color="auto"/>
                                                                            <w:bottom w:val="none" w:sz="0" w:space="0" w:color="auto"/>
                                                                            <w:right w:val="none" w:sz="0" w:space="0" w:color="auto"/>
                                                                          </w:divBdr>
                                                                          <w:divsChild>
                                                                            <w:div w:id="2113158119">
                                                                              <w:marLeft w:val="0"/>
                                                                              <w:marRight w:val="0"/>
                                                                              <w:marTop w:val="0"/>
                                                                              <w:marBottom w:val="0"/>
                                                                              <w:divBdr>
                                                                                <w:top w:val="none" w:sz="0" w:space="0" w:color="auto"/>
                                                                                <w:left w:val="none" w:sz="0" w:space="0" w:color="auto"/>
                                                                                <w:bottom w:val="none" w:sz="0" w:space="0" w:color="auto"/>
                                                                                <w:right w:val="none" w:sz="0" w:space="0" w:color="auto"/>
                                                                              </w:divBdr>
                                                                              <w:divsChild>
                                                                                <w:div w:id="2075614965">
                                                                                  <w:marLeft w:val="0"/>
                                                                                  <w:marRight w:val="0"/>
                                                                                  <w:marTop w:val="0"/>
                                                                                  <w:marBottom w:val="0"/>
                                                                                  <w:divBdr>
                                                                                    <w:top w:val="none" w:sz="0" w:space="0" w:color="auto"/>
                                                                                    <w:left w:val="none" w:sz="0" w:space="0" w:color="auto"/>
                                                                                    <w:bottom w:val="none" w:sz="0" w:space="0" w:color="auto"/>
                                                                                    <w:right w:val="none" w:sz="0" w:space="0" w:color="auto"/>
                                                                                  </w:divBdr>
                                                                                  <w:divsChild>
                                                                                    <w:div w:id="2001038417">
                                                                                      <w:marLeft w:val="0"/>
                                                                                      <w:marRight w:val="0"/>
                                                                                      <w:marTop w:val="0"/>
                                                                                      <w:marBottom w:val="0"/>
                                                                                      <w:divBdr>
                                                                                        <w:top w:val="none" w:sz="0" w:space="0" w:color="auto"/>
                                                                                        <w:left w:val="none" w:sz="0" w:space="0" w:color="auto"/>
                                                                                        <w:bottom w:val="none" w:sz="0" w:space="0" w:color="auto"/>
                                                                                        <w:right w:val="none" w:sz="0" w:space="0" w:color="auto"/>
                                                                                      </w:divBdr>
                                                                                      <w:divsChild>
                                                                                        <w:div w:id="495192314">
                                                                                          <w:marLeft w:val="0"/>
                                                                                          <w:marRight w:val="0"/>
                                                                                          <w:marTop w:val="0"/>
                                                                                          <w:marBottom w:val="0"/>
                                                                                          <w:divBdr>
                                                                                            <w:top w:val="none" w:sz="0" w:space="0" w:color="auto"/>
                                                                                            <w:left w:val="none" w:sz="0" w:space="0" w:color="auto"/>
                                                                                            <w:bottom w:val="none" w:sz="0" w:space="0" w:color="auto"/>
                                                                                            <w:right w:val="none" w:sz="0" w:space="0" w:color="auto"/>
                                                                                          </w:divBdr>
                                                                                          <w:divsChild>
                                                                                            <w:div w:id="1473790498">
                                                                                              <w:marLeft w:val="0"/>
                                                                                              <w:marRight w:val="0"/>
                                                                                              <w:marTop w:val="0"/>
                                                                                              <w:marBottom w:val="0"/>
                                                                                              <w:divBdr>
                                                                                                <w:top w:val="none" w:sz="0" w:space="0" w:color="auto"/>
                                                                                                <w:left w:val="none" w:sz="0" w:space="0" w:color="auto"/>
                                                                                                <w:bottom w:val="none" w:sz="0" w:space="0" w:color="auto"/>
                                                                                                <w:right w:val="none" w:sz="0" w:space="0" w:color="auto"/>
                                                                                              </w:divBdr>
                                                                                              <w:divsChild>
                                                                                                <w:div w:id="1012754915">
                                                                                                  <w:marLeft w:val="0"/>
                                                                                                  <w:marRight w:val="0"/>
                                                                                                  <w:marTop w:val="0"/>
                                                                                                  <w:marBottom w:val="0"/>
                                                                                                  <w:divBdr>
                                                                                                    <w:top w:val="none" w:sz="0" w:space="0" w:color="auto"/>
                                                                                                    <w:left w:val="none" w:sz="0" w:space="0" w:color="auto"/>
                                                                                                    <w:bottom w:val="none" w:sz="0" w:space="0" w:color="auto"/>
                                                                                                    <w:right w:val="none" w:sz="0" w:space="0" w:color="auto"/>
                                                                                                  </w:divBdr>
                                                                                                  <w:divsChild>
                                                                                                    <w:div w:id="2057386600">
                                                                                                      <w:marLeft w:val="0"/>
                                                                                                      <w:marRight w:val="0"/>
                                                                                                      <w:marTop w:val="0"/>
                                                                                                      <w:marBottom w:val="0"/>
                                                                                                      <w:divBdr>
                                                                                                        <w:top w:val="none" w:sz="0" w:space="0" w:color="auto"/>
                                                                                                        <w:left w:val="none" w:sz="0" w:space="0" w:color="auto"/>
                                                                                                        <w:bottom w:val="none" w:sz="0" w:space="0" w:color="auto"/>
                                                                                                        <w:right w:val="none" w:sz="0" w:space="0" w:color="auto"/>
                                                                                                      </w:divBdr>
                                                                                                      <w:divsChild>
                                                                                                        <w:div w:id="3622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3065379">
      <w:bodyDiv w:val="1"/>
      <w:marLeft w:val="0"/>
      <w:marRight w:val="0"/>
      <w:marTop w:val="0"/>
      <w:marBottom w:val="0"/>
      <w:divBdr>
        <w:top w:val="none" w:sz="0" w:space="0" w:color="auto"/>
        <w:left w:val="none" w:sz="0" w:space="0" w:color="auto"/>
        <w:bottom w:val="none" w:sz="0" w:space="0" w:color="auto"/>
        <w:right w:val="none" w:sz="0" w:space="0" w:color="auto"/>
      </w:divBdr>
    </w:div>
    <w:div w:id="1354305519">
      <w:bodyDiv w:val="1"/>
      <w:marLeft w:val="0"/>
      <w:marRight w:val="0"/>
      <w:marTop w:val="0"/>
      <w:marBottom w:val="0"/>
      <w:divBdr>
        <w:top w:val="none" w:sz="0" w:space="0" w:color="auto"/>
        <w:left w:val="none" w:sz="0" w:space="0" w:color="auto"/>
        <w:bottom w:val="none" w:sz="0" w:space="0" w:color="auto"/>
        <w:right w:val="none" w:sz="0" w:space="0" w:color="auto"/>
      </w:divBdr>
    </w:div>
    <w:div w:id="1354651431">
      <w:bodyDiv w:val="1"/>
      <w:marLeft w:val="0"/>
      <w:marRight w:val="0"/>
      <w:marTop w:val="0"/>
      <w:marBottom w:val="0"/>
      <w:divBdr>
        <w:top w:val="none" w:sz="0" w:space="0" w:color="auto"/>
        <w:left w:val="none" w:sz="0" w:space="0" w:color="auto"/>
        <w:bottom w:val="none" w:sz="0" w:space="0" w:color="auto"/>
        <w:right w:val="none" w:sz="0" w:space="0" w:color="auto"/>
      </w:divBdr>
      <w:divsChild>
        <w:div w:id="562133249">
          <w:marLeft w:val="0"/>
          <w:marRight w:val="0"/>
          <w:marTop w:val="0"/>
          <w:marBottom w:val="0"/>
          <w:divBdr>
            <w:top w:val="none" w:sz="0" w:space="0" w:color="auto"/>
            <w:left w:val="none" w:sz="0" w:space="0" w:color="auto"/>
            <w:bottom w:val="none" w:sz="0" w:space="0" w:color="auto"/>
            <w:right w:val="none" w:sz="0" w:space="0" w:color="auto"/>
          </w:divBdr>
        </w:div>
        <w:div w:id="1211188598">
          <w:marLeft w:val="0"/>
          <w:marRight w:val="0"/>
          <w:marTop w:val="0"/>
          <w:marBottom w:val="0"/>
          <w:divBdr>
            <w:top w:val="none" w:sz="0" w:space="0" w:color="auto"/>
            <w:left w:val="none" w:sz="0" w:space="0" w:color="auto"/>
            <w:bottom w:val="none" w:sz="0" w:space="0" w:color="auto"/>
            <w:right w:val="none" w:sz="0" w:space="0" w:color="auto"/>
          </w:divBdr>
        </w:div>
        <w:div w:id="1492284139">
          <w:marLeft w:val="0"/>
          <w:marRight w:val="0"/>
          <w:marTop w:val="0"/>
          <w:marBottom w:val="0"/>
          <w:divBdr>
            <w:top w:val="none" w:sz="0" w:space="0" w:color="auto"/>
            <w:left w:val="none" w:sz="0" w:space="0" w:color="auto"/>
            <w:bottom w:val="none" w:sz="0" w:space="0" w:color="auto"/>
            <w:right w:val="none" w:sz="0" w:space="0" w:color="auto"/>
          </w:divBdr>
        </w:div>
        <w:div w:id="1619872358">
          <w:marLeft w:val="0"/>
          <w:marRight w:val="0"/>
          <w:marTop w:val="0"/>
          <w:marBottom w:val="0"/>
          <w:divBdr>
            <w:top w:val="none" w:sz="0" w:space="0" w:color="auto"/>
            <w:left w:val="none" w:sz="0" w:space="0" w:color="auto"/>
            <w:bottom w:val="none" w:sz="0" w:space="0" w:color="auto"/>
            <w:right w:val="none" w:sz="0" w:space="0" w:color="auto"/>
          </w:divBdr>
        </w:div>
      </w:divsChild>
    </w:div>
    <w:div w:id="1354723991">
      <w:bodyDiv w:val="1"/>
      <w:marLeft w:val="0"/>
      <w:marRight w:val="0"/>
      <w:marTop w:val="0"/>
      <w:marBottom w:val="0"/>
      <w:divBdr>
        <w:top w:val="none" w:sz="0" w:space="0" w:color="auto"/>
        <w:left w:val="none" w:sz="0" w:space="0" w:color="auto"/>
        <w:bottom w:val="none" w:sz="0" w:space="0" w:color="auto"/>
        <w:right w:val="none" w:sz="0" w:space="0" w:color="auto"/>
      </w:divBdr>
    </w:div>
    <w:div w:id="1355351147">
      <w:bodyDiv w:val="1"/>
      <w:marLeft w:val="0"/>
      <w:marRight w:val="0"/>
      <w:marTop w:val="0"/>
      <w:marBottom w:val="0"/>
      <w:divBdr>
        <w:top w:val="none" w:sz="0" w:space="0" w:color="auto"/>
        <w:left w:val="none" w:sz="0" w:space="0" w:color="auto"/>
        <w:bottom w:val="none" w:sz="0" w:space="0" w:color="auto"/>
        <w:right w:val="none" w:sz="0" w:space="0" w:color="auto"/>
      </w:divBdr>
    </w:div>
    <w:div w:id="1356082831">
      <w:bodyDiv w:val="1"/>
      <w:marLeft w:val="0"/>
      <w:marRight w:val="0"/>
      <w:marTop w:val="0"/>
      <w:marBottom w:val="0"/>
      <w:divBdr>
        <w:top w:val="none" w:sz="0" w:space="0" w:color="auto"/>
        <w:left w:val="none" w:sz="0" w:space="0" w:color="auto"/>
        <w:bottom w:val="none" w:sz="0" w:space="0" w:color="auto"/>
        <w:right w:val="none" w:sz="0" w:space="0" w:color="auto"/>
      </w:divBdr>
    </w:div>
    <w:div w:id="1362323628">
      <w:bodyDiv w:val="1"/>
      <w:marLeft w:val="0"/>
      <w:marRight w:val="0"/>
      <w:marTop w:val="0"/>
      <w:marBottom w:val="0"/>
      <w:divBdr>
        <w:top w:val="none" w:sz="0" w:space="0" w:color="auto"/>
        <w:left w:val="none" w:sz="0" w:space="0" w:color="auto"/>
        <w:bottom w:val="none" w:sz="0" w:space="0" w:color="auto"/>
        <w:right w:val="none" w:sz="0" w:space="0" w:color="auto"/>
      </w:divBdr>
    </w:div>
    <w:div w:id="1363557146">
      <w:bodyDiv w:val="1"/>
      <w:marLeft w:val="0"/>
      <w:marRight w:val="0"/>
      <w:marTop w:val="0"/>
      <w:marBottom w:val="0"/>
      <w:divBdr>
        <w:top w:val="none" w:sz="0" w:space="0" w:color="auto"/>
        <w:left w:val="none" w:sz="0" w:space="0" w:color="auto"/>
        <w:bottom w:val="none" w:sz="0" w:space="0" w:color="auto"/>
        <w:right w:val="none" w:sz="0" w:space="0" w:color="auto"/>
      </w:divBdr>
    </w:div>
    <w:div w:id="1365323628">
      <w:bodyDiv w:val="1"/>
      <w:marLeft w:val="0"/>
      <w:marRight w:val="0"/>
      <w:marTop w:val="0"/>
      <w:marBottom w:val="0"/>
      <w:divBdr>
        <w:top w:val="none" w:sz="0" w:space="0" w:color="auto"/>
        <w:left w:val="none" w:sz="0" w:space="0" w:color="auto"/>
        <w:bottom w:val="none" w:sz="0" w:space="0" w:color="auto"/>
        <w:right w:val="none" w:sz="0" w:space="0" w:color="auto"/>
      </w:divBdr>
    </w:div>
    <w:div w:id="1366785069">
      <w:bodyDiv w:val="1"/>
      <w:marLeft w:val="0"/>
      <w:marRight w:val="0"/>
      <w:marTop w:val="0"/>
      <w:marBottom w:val="0"/>
      <w:divBdr>
        <w:top w:val="none" w:sz="0" w:space="0" w:color="auto"/>
        <w:left w:val="none" w:sz="0" w:space="0" w:color="auto"/>
        <w:bottom w:val="none" w:sz="0" w:space="0" w:color="auto"/>
        <w:right w:val="none" w:sz="0" w:space="0" w:color="auto"/>
      </w:divBdr>
    </w:div>
    <w:div w:id="1367756618">
      <w:bodyDiv w:val="1"/>
      <w:marLeft w:val="0"/>
      <w:marRight w:val="0"/>
      <w:marTop w:val="0"/>
      <w:marBottom w:val="0"/>
      <w:divBdr>
        <w:top w:val="none" w:sz="0" w:space="0" w:color="auto"/>
        <w:left w:val="none" w:sz="0" w:space="0" w:color="auto"/>
        <w:bottom w:val="none" w:sz="0" w:space="0" w:color="auto"/>
        <w:right w:val="none" w:sz="0" w:space="0" w:color="auto"/>
      </w:divBdr>
    </w:div>
    <w:div w:id="1368720002">
      <w:bodyDiv w:val="1"/>
      <w:marLeft w:val="0"/>
      <w:marRight w:val="0"/>
      <w:marTop w:val="0"/>
      <w:marBottom w:val="0"/>
      <w:divBdr>
        <w:top w:val="none" w:sz="0" w:space="0" w:color="auto"/>
        <w:left w:val="none" w:sz="0" w:space="0" w:color="auto"/>
        <w:bottom w:val="none" w:sz="0" w:space="0" w:color="auto"/>
        <w:right w:val="none" w:sz="0" w:space="0" w:color="auto"/>
      </w:divBdr>
    </w:div>
    <w:div w:id="1368945589">
      <w:bodyDiv w:val="1"/>
      <w:marLeft w:val="0"/>
      <w:marRight w:val="0"/>
      <w:marTop w:val="0"/>
      <w:marBottom w:val="0"/>
      <w:divBdr>
        <w:top w:val="none" w:sz="0" w:space="0" w:color="auto"/>
        <w:left w:val="none" w:sz="0" w:space="0" w:color="auto"/>
        <w:bottom w:val="none" w:sz="0" w:space="0" w:color="auto"/>
        <w:right w:val="none" w:sz="0" w:space="0" w:color="auto"/>
      </w:divBdr>
    </w:div>
    <w:div w:id="1369994121">
      <w:bodyDiv w:val="1"/>
      <w:marLeft w:val="0"/>
      <w:marRight w:val="0"/>
      <w:marTop w:val="0"/>
      <w:marBottom w:val="0"/>
      <w:divBdr>
        <w:top w:val="none" w:sz="0" w:space="0" w:color="auto"/>
        <w:left w:val="none" w:sz="0" w:space="0" w:color="auto"/>
        <w:bottom w:val="none" w:sz="0" w:space="0" w:color="auto"/>
        <w:right w:val="none" w:sz="0" w:space="0" w:color="auto"/>
      </w:divBdr>
    </w:div>
    <w:div w:id="1370228325">
      <w:bodyDiv w:val="1"/>
      <w:marLeft w:val="0"/>
      <w:marRight w:val="0"/>
      <w:marTop w:val="0"/>
      <w:marBottom w:val="0"/>
      <w:divBdr>
        <w:top w:val="none" w:sz="0" w:space="0" w:color="auto"/>
        <w:left w:val="none" w:sz="0" w:space="0" w:color="auto"/>
        <w:bottom w:val="none" w:sz="0" w:space="0" w:color="auto"/>
        <w:right w:val="none" w:sz="0" w:space="0" w:color="auto"/>
      </w:divBdr>
    </w:div>
    <w:div w:id="1370766380">
      <w:bodyDiv w:val="1"/>
      <w:marLeft w:val="0"/>
      <w:marRight w:val="0"/>
      <w:marTop w:val="0"/>
      <w:marBottom w:val="0"/>
      <w:divBdr>
        <w:top w:val="none" w:sz="0" w:space="0" w:color="auto"/>
        <w:left w:val="none" w:sz="0" w:space="0" w:color="auto"/>
        <w:bottom w:val="none" w:sz="0" w:space="0" w:color="auto"/>
        <w:right w:val="none" w:sz="0" w:space="0" w:color="auto"/>
      </w:divBdr>
    </w:div>
    <w:div w:id="1372221000">
      <w:bodyDiv w:val="1"/>
      <w:marLeft w:val="0"/>
      <w:marRight w:val="0"/>
      <w:marTop w:val="0"/>
      <w:marBottom w:val="0"/>
      <w:divBdr>
        <w:top w:val="none" w:sz="0" w:space="0" w:color="auto"/>
        <w:left w:val="none" w:sz="0" w:space="0" w:color="auto"/>
        <w:bottom w:val="none" w:sz="0" w:space="0" w:color="auto"/>
        <w:right w:val="none" w:sz="0" w:space="0" w:color="auto"/>
      </w:divBdr>
    </w:div>
    <w:div w:id="1375619881">
      <w:bodyDiv w:val="1"/>
      <w:marLeft w:val="0"/>
      <w:marRight w:val="0"/>
      <w:marTop w:val="0"/>
      <w:marBottom w:val="0"/>
      <w:divBdr>
        <w:top w:val="none" w:sz="0" w:space="0" w:color="auto"/>
        <w:left w:val="none" w:sz="0" w:space="0" w:color="auto"/>
        <w:bottom w:val="none" w:sz="0" w:space="0" w:color="auto"/>
        <w:right w:val="none" w:sz="0" w:space="0" w:color="auto"/>
      </w:divBdr>
    </w:div>
    <w:div w:id="1376126362">
      <w:bodyDiv w:val="1"/>
      <w:marLeft w:val="0"/>
      <w:marRight w:val="0"/>
      <w:marTop w:val="0"/>
      <w:marBottom w:val="0"/>
      <w:divBdr>
        <w:top w:val="none" w:sz="0" w:space="0" w:color="auto"/>
        <w:left w:val="none" w:sz="0" w:space="0" w:color="auto"/>
        <w:bottom w:val="none" w:sz="0" w:space="0" w:color="auto"/>
        <w:right w:val="none" w:sz="0" w:space="0" w:color="auto"/>
      </w:divBdr>
    </w:div>
    <w:div w:id="1377926943">
      <w:bodyDiv w:val="1"/>
      <w:marLeft w:val="0"/>
      <w:marRight w:val="0"/>
      <w:marTop w:val="0"/>
      <w:marBottom w:val="0"/>
      <w:divBdr>
        <w:top w:val="none" w:sz="0" w:space="0" w:color="auto"/>
        <w:left w:val="none" w:sz="0" w:space="0" w:color="auto"/>
        <w:bottom w:val="none" w:sz="0" w:space="0" w:color="auto"/>
        <w:right w:val="none" w:sz="0" w:space="0" w:color="auto"/>
      </w:divBdr>
    </w:div>
    <w:div w:id="1378552976">
      <w:bodyDiv w:val="1"/>
      <w:marLeft w:val="0"/>
      <w:marRight w:val="0"/>
      <w:marTop w:val="0"/>
      <w:marBottom w:val="0"/>
      <w:divBdr>
        <w:top w:val="none" w:sz="0" w:space="0" w:color="auto"/>
        <w:left w:val="none" w:sz="0" w:space="0" w:color="auto"/>
        <w:bottom w:val="none" w:sz="0" w:space="0" w:color="auto"/>
        <w:right w:val="none" w:sz="0" w:space="0" w:color="auto"/>
      </w:divBdr>
    </w:div>
    <w:div w:id="1378623429">
      <w:bodyDiv w:val="1"/>
      <w:marLeft w:val="0"/>
      <w:marRight w:val="0"/>
      <w:marTop w:val="0"/>
      <w:marBottom w:val="0"/>
      <w:divBdr>
        <w:top w:val="none" w:sz="0" w:space="0" w:color="auto"/>
        <w:left w:val="none" w:sz="0" w:space="0" w:color="auto"/>
        <w:bottom w:val="none" w:sz="0" w:space="0" w:color="auto"/>
        <w:right w:val="none" w:sz="0" w:space="0" w:color="auto"/>
      </w:divBdr>
    </w:div>
    <w:div w:id="1382094375">
      <w:bodyDiv w:val="1"/>
      <w:marLeft w:val="0"/>
      <w:marRight w:val="0"/>
      <w:marTop w:val="0"/>
      <w:marBottom w:val="0"/>
      <w:divBdr>
        <w:top w:val="none" w:sz="0" w:space="0" w:color="auto"/>
        <w:left w:val="none" w:sz="0" w:space="0" w:color="auto"/>
        <w:bottom w:val="none" w:sz="0" w:space="0" w:color="auto"/>
        <w:right w:val="none" w:sz="0" w:space="0" w:color="auto"/>
      </w:divBdr>
    </w:div>
    <w:div w:id="1382436380">
      <w:bodyDiv w:val="1"/>
      <w:marLeft w:val="0"/>
      <w:marRight w:val="0"/>
      <w:marTop w:val="0"/>
      <w:marBottom w:val="0"/>
      <w:divBdr>
        <w:top w:val="none" w:sz="0" w:space="0" w:color="auto"/>
        <w:left w:val="none" w:sz="0" w:space="0" w:color="auto"/>
        <w:bottom w:val="none" w:sz="0" w:space="0" w:color="auto"/>
        <w:right w:val="none" w:sz="0" w:space="0" w:color="auto"/>
      </w:divBdr>
    </w:div>
    <w:div w:id="1383560099">
      <w:bodyDiv w:val="1"/>
      <w:marLeft w:val="0"/>
      <w:marRight w:val="0"/>
      <w:marTop w:val="0"/>
      <w:marBottom w:val="0"/>
      <w:divBdr>
        <w:top w:val="none" w:sz="0" w:space="0" w:color="auto"/>
        <w:left w:val="none" w:sz="0" w:space="0" w:color="auto"/>
        <w:bottom w:val="none" w:sz="0" w:space="0" w:color="auto"/>
        <w:right w:val="none" w:sz="0" w:space="0" w:color="auto"/>
      </w:divBdr>
    </w:div>
    <w:div w:id="1383793741">
      <w:bodyDiv w:val="1"/>
      <w:marLeft w:val="0"/>
      <w:marRight w:val="0"/>
      <w:marTop w:val="0"/>
      <w:marBottom w:val="0"/>
      <w:divBdr>
        <w:top w:val="none" w:sz="0" w:space="0" w:color="auto"/>
        <w:left w:val="none" w:sz="0" w:space="0" w:color="auto"/>
        <w:bottom w:val="none" w:sz="0" w:space="0" w:color="auto"/>
        <w:right w:val="none" w:sz="0" w:space="0" w:color="auto"/>
      </w:divBdr>
    </w:div>
    <w:div w:id="1385719893">
      <w:bodyDiv w:val="1"/>
      <w:marLeft w:val="0"/>
      <w:marRight w:val="0"/>
      <w:marTop w:val="0"/>
      <w:marBottom w:val="0"/>
      <w:divBdr>
        <w:top w:val="none" w:sz="0" w:space="0" w:color="auto"/>
        <w:left w:val="none" w:sz="0" w:space="0" w:color="auto"/>
        <w:bottom w:val="none" w:sz="0" w:space="0" w:color="auto"/>
        <w:right w:val="none" w:sz="0" w:space="0" w:color="auto"/>
      </w:divBdr>
    </w:div>
    <w:div w:id="1386831090">
      <w:bodyDiv w:val="1"/>
      <w:marLeft w:val="0"/>
      <w:marRight w:val="0"/>
      <w:marTop w:val="0"/>
      <w:marBottom w:val="0"/>
      <w:divBdr>
        <w:top w:val="none" w:sz="0" w:space="0" w:color="auto"/>
        <w:left w:val="none" w:sz="0" w:space="0" w:color="auto"/>
        <w:bottom w:val="none" w:sz="0" w:space="0" w:color="auto"/>
        <w:right w:val="none" w:sz="0" w:space="0" w:color="auto"/>
      </w:divBdr>
    </w:div>
    <w:div w:id="1387727259">
      <w:bodyDiv w:val="1"/>
      <w:marLeft w:val="0"/>
      <w:marRight w:val="0"/>
      <w:marTop w:val="0"/>
      <w:marBottom w:val="0"/>
      <w:divBdr>
        <w:top w:val="none" w:sz="0" w:space="0" w:color="auto"/>
        <w:left w:val="none" w:sz="0" w:space="0" w:color="auto"/>
        <w:bottom w:val="none" w:sz="0" w:space="0" w:color="auto"/>
        <w:right w:val="none" w:sz="0" w:space="0" w:color="auto"/>
      </w:divBdr>
    </w:div>
    <w:div w:id="1389525061">
      <w:bodyDiv w:val="1"/>
      <w:marLeft w:val="0"/>
      <w:marRight w:val="0"/>
      <w:marTop w:val="0"/>
      <w:marBottom w:val="0"/>
      <w:divBdr>
        <w:top w:val="none" w:sz="0" w:space="0" w:color="auto"/>
        <w:left w:val="none" w:sz="0" w:space="0" w:color="auto"/>
        <w:bottom w:val="none" w:sz="0" w:space="0" w:color="auto"/>
        <w:right w:val="none" w:sz="0" w:space="0" w:color="auto"/>
      </w:divBdr>
    </w:div>
    <w:div w:id="1390417996">
      <w:bodyDiv w:val="1"/>
      <w:marLeft w:val="0"/>
      <w:marRight w:val="0"/>
      <w:marTop w:val="0"/>
      <w:marBottom w:val="0"/>
      <w:divBdr>
        <w:top w:val="none" w:sz="0" w:space="0" w:color="auto"/>
        <w:left w:val="none" w:sz="0" w:space="0" w:color="auto"/>
        <w:bottom w:val="none" w:sz="0" w:space="0" w:color="auto"/>
        <w:right w:val="none" w:sz="0" w:space="0" w:color="auto"/>
      </w:divBdr>
      <w:divsChild>
        <w:div w:id="1387489543">
          <w:marLeft w:val="0"/>
          <w:marRight w:val="0"/>
          <w:marTop w:val="0"/>
          <w:marBottom w:val="0"/>
          <w:divBdr>
            <w:top w:val="none" w:sz="0" w:space="0" w:color="auto"/>
            <w:left w:val="none" w:sz="0" w:space="0" w:color="auto"/>
            <w:bottom w:val="none" w:sz="0" w:space="0" w:color="auto"/>
            <w:right w:val="none" w:sz="0" w:space="0" w:color="auto"/>
          </w:divBdr>
        </w:div>
      </w:divsChild>
    </w:div>
    <w:div w:id="1391146602">
      <w:bodyDiv w:val="1"/>
      <w:marLeft w:val="0"/>
      <w:marRight w:val="0"/>
      <w:marTop w:val="0"/>
      <w:marBottom w:val="0"/>
      <w:divBdr>
        <w:top w:val="none" w:sz="0" w:space="0" w:color="auto"/>
        <w:left w:val="none" w:sz="0" w:space="0" w:color="auto"/>
        <w:bottom w:val="none" w:sz="0" w:space="0" w:color="auto"/>
        <w:right w:val="none" w:sz="0" w:space="0" w:color="auto"/>
      </w:divBdr>
    </w:div>
    <w:div w:id="1391731261">
      <w:bodyDiv w:val="1"/>
      <w:marLeft w:val="0"/>
      <w:marRight w:val="0"/>
      <w:marTop w:val="0"/>
      <w:marBottom w:val="0"/>
      <w:divBdr>
        <w:top w:val="none" w:sz="0" w:space="0" w:color="auto"/>
        <w:left w:val="none" w:sz="0" w:space="0" w:color="auto"/>
        <w:bottom w:val="none" w:sz="0" w:space="0" w:color="auto"/>
        <w:right w:val="none" w:sz="0" w:space="0" w:color="auto"/>
      </w:divBdr>
      <w:divsChild>
        <w:div w:id="1039285341">
          <w:marLeft w:val="0"/>
          <w:marRight w:val="0"/>
          <w:marTop w:val="0"/>
          <w:marBottom w:val="0"/>
          <w:divBdr>
            <w:top w:val="none" w:sz="0" w:space="0" w:color="auto"/>
            <w:left w:val="none" w:sz="0" w:space="0" w:color="auto"/>
            <w:bottom w:val="none" w:sz="0" w:space="0" w:color="auto"/>
            <w:right w:val="none" w:sz="0" w:space="0" w:color="auto"/>
          </w:divBdr>
        </w:div>
      </w:divsChild>
    </w:div>
    <w:div w:id="1392995418">
      <w:bodyDiv w:val="1"/>
      <w:marLeft w:val="0"/>
      <w:marRight w:val="0"/>
      <w:marTop w:val="0"/>
      <w:marBottom w:val="0"/>
      <w:divBdr>
        <w:top w:val="none" w:sz="0" w:space="0" w:color="auto"/>
        <w:left w:val="none" w:sz="0" w:space="0" w:color="auto"/>
        <w:bottom w:val="none" w:sz="0" w:space="0" w:color="auto"/>
        <w:right w:val="none" w:sz="0" w:space="0" w:color="auto"/>
      </w:divBdr>
    </w:div>
    <w:div w:id="1393043677">
      <w:bodyDiv w:val="1"/>
      <w:marLeft w:val="0"/>
      <w:marRight w:val="0"/>
      <w:marTop w:val="0"/>
      <w:marBottom w:val="0"/>
      <w:divBdr>
        <w:top w:val="none" w:sz="0" w:space="0" w:color="auto"/>
        <w:left w:val="none" w:sz="0" w:space="0" w:color="auto"/>
        <w:bottom w:val="none" w:sz="0" w:space="0" w:color="auto"/>
        <w:right w:val="none" w:sz="0" w:space="0" w:color="auto"/>
      </w:divBdr>
    </w:div>
    <w:div w:id="1394158613">
      <w:bodyDiv w:val="1"/>
      <w:marLeft w:val="0"/>
      <w:marRight w:val="0"/>
      <w:marTop w:val="0"/>
      <w:marBottom w:val="0"/>
      <w:divBdr>
        <w:top w:val="none" w:sz="0" w:space="0" w:color="auto"/>
        <w:left w:val="none" w:sz="0" w:space="0" w:color="auto"/>
        <w:bottom w:val="none" w:sz="0" w:space="0" w:color="auto"/>
        <w:right w:val="none" w:sz="0" w:space="0" w:color="auto"/>
      </w:divBdr>
    </w:div>
    <w:div w:id="1395735276">
      <w:bodyDiv w:val="1"/>
      <w:marLeft w:val="0"/>
      <w:marRight w:val="0"/>
      <w:marTop w:val="0"/>
      <w:marBottom w:val="0"/>
      <w:divBdr>
        <w:top w:val="none" w:sz="0" w:space="0" w:color="auto"/>
        <w:left w:val="none" w:sz="0" w:space="0" w:color="auto"/>
        <w:bottom w:val="none" w:sz="0" w:space="0" w:color="auto"/>
        <w:right w:val="none" w:sz="0" w:space="0" w:color="auto"/>
      </w:divBdr>
    </w:div>
    <w:div w:id="1396078057">
      <w:bodyDiv w:val="1"/>
      <w:marLeft w:val="0"/>
      <w:marRight w:val="0"/>
      <w:marTop w:val="0"/>
      <w:marBottom w:val="0"/>
      <w:divBdr>
        <w:top w:val="none" w:sz="0" w:space="0" w:color="auto"/>
        <w:left w:val="none" w:sz="0" w:space="0" w:color="auto"/>
        <w:bottom w:val="none" w:sz="0" w:space="0" w:color="auto"/>
        <w:right w:val="none" w:sz="0" w:space="0" w:color="auto"/>
      </w:divBdr>
    </w:div>
    <w:div w:id="1396200604">
      <w:bodyDiv w:val="1"/>
      <w:marLeft w:val="0"/>
      <w:marRight w:val="0"/>
      <w:marTop w:val="0"/>
      <w:marBottom w:val="0"/>
      <w:divBdr>
        <w:top w:val="none" w:sz="0" w:space="0" w:color="auto"/>
        <w:left w:val="none" w:sz="0" w:space="0" w:color="auto"/>
        <w:bottom w:val="none" w:sz="0" w:space="0" w:color="auto"/>
        <w:right w:val="none" w:sz="0" w:space="0" w:color="auto"/>
      </w:divBdr>
    </w:div>
    <w:div w:id="1400636565">
      <w:bodyDiv w:val="1"/>
      <w:marLeft w:val="0"/>
      <w:marRight w:val="0"/>
      <w:marTop w:val="0"/>
      <w:marBottom w:val="0"/>
      <w:divBdr>
        <w:top w:val="none" w:sz="0" w:space="0" w:color="auto"/>
        <w:left w:val="none" w:sz="0" w:space="0" w:color="auto"/>
        <w:bottom w:val="none" w:sz="0" w:space="0" w:color="auto"/>
        <w:right w:val="none" w:sz="0" w:space="0" w:color="auto"/>
      </w:divBdr>
    </w:div>
    <w:div w:id="1400667617">
      <w:bodyDiv w:val="1"/>
      <w:marLeft w:val="0"/>
      <w:marRight w:val="0"/>
      <w:marTop w:val="0"/>
      <w:marBottom w:val="0"/>
      <w:divBdr>
        <w:top w:val="none" w:sz="0" w:space="0" w:color="auto"/>
        <w:left w:val="none" w:sz="0" w:space="0" w:color="auto"/>
        <w:bottom w:val="none" w:sz="0" w:space="0" w:color="auto"/>
        <w:right w:val="none" w:sz="0" w:space="0" w:color="auto"/>
      </w:divBdr>
    </w:div>
    <w:div w:id="1400975984">
      <w:bodyDiv w:val="1"/>
      <w:marLeft w:val="0"/>
      <w:marRight w:val="0"/>
      <w:marTop w:val="0"/>
      <w:marBottom w:val="0"/>
      <w:divBdr>
        <w:top w:val="none" w:sz="0" w:space="0" w:color="auto"/>
        <w:left w:val="none" w:sz="0" w:space="0" w:color="auto"/>
        <w:bottom w:val="none" w:sz="0" w:space="0" w:color="auto"/>
        <w:right w:val="none" w:sz="0" w:space="0" w:color="auto"/>
      </w:divBdr>
    </w:div>
    <w:div w:id="1401051896">
      <w:bodyDiv w:val="1"/>
      <w:marLeft w:val="0"/>
      <w:marRight w:val="0"/>
      <w:marTop w:val="0"/>
      <w:marBottom w:val="0"/>
      <w:divBdr>
        <w:top w:val="none" w:sz="0" w:space="0" w:color="auto"/>
        <w:left w:val="none" w:sz="0" w:space="0" w:color="auto"/>
        <w:bottom w:val="none" w:sz="0" w:space="0" w:color="auto"/>
        <w:right w:val="none" w:sz="0" w:space="0" w:color="auto"/>
      </w:divBdr>
    </w:div>
    <w:div w:id="1402172904">
      <w:bodyDiv w:val="1"/>
      <w:marLeft w:val="0"/>
      <w:marRight w:val="0"/>
      <w:marTop w:val="0"/>
      <w:marBottom w:val="0"/>
      <w:divBdr>
        <w:top w:val="none" w:sz="0" w:space="0" w:color="auto"/>
        <w:left w:val="none" w:sz="0" w:space="0" w:color="auto"/>
        <w:bottom w:val="none" w:sz="0" w:space="0" w:color="auto"/>
        <w:right w:val="none" w:sz="0" w:space="0" w:color="auto"/>
      </w:divBdr>
    </w:div>
    <w:div w:id="1403598109">
      <w:bodyDiv w:val="1"/>
      <w:marLeft w:val="0"/>
      <w:marRight w:val="0"/>
      <w:marTop w:val="0"/>
      <w:marBottom w:val="0"/>
      <w:divBdr>
        <w:top w:val="none" w:sz="0" w:space="0" w:color="auto"/>
        <w:left w:val="none" w:sz="0" w:space="0" w:color="auto"/>
        <w:bottom w:val="none" w:sz="0" w:space="0" w:color="auto"/>
        <w:right w:val="none" w:sz="0" w:space="0" w:color="auto"/>
      </w:divBdr>
    </w:div>
    <w:div w:id="1404180862">
      <w:bodyDiv w:val="1"/>
      <w:marLeft w:val="0"/>
      <w:marRight w:val="0"/>
      <w:marTop w:val="0"/>
      <w:marBottom w:val="0"/>
      <w:divBdr>
        <w:top w:val="none" w:sz="0" w:space="0" w:color="auto"/>
        <w:left w:val="none" w:sz="0" w:space="0" w:color="auto"/>
        <w:bottom w:val="none" w:sz="0" w:space="0" w:color="auto"/>
        <w:right w:val="none" w:sz="0" w:space="0" w:color="auto"/>
      </w:divBdr>
    </w:div>
    <w:div w:id="1405487405">
      <w:bodyDiv w:val="1"/>
      <w:marLeft w:val="0"/>
      <w:marRight w:val="0"/>
      <w:marTop w:val="0"/>
      <w:marBottom w:val="0"/>
      <w:divBdr>
        <w:top w:val="none" w:sz="0" w:space="0" w:color="auto"/>
        <w:left w:val="none" w:sz="0" w:space="0" w:color="auto"/>
        <w:bottom w:val="none" w:sz="0" w:space="0" w:color="auto"/>
        <w:right w:val="none" w:sz="0" w:space="0" w:color="auto"/>
      </w:divBdr>
    </w:div>
    <w:div w:id="1407848799">
      <w:bodyDiv w:val="1"/>
      <w:marLeft w:val="0"/>
      <w:marRight w:val="0"/>
      <w:marTop w:val="0"/>
      <w:marBottom w:val="0"/>
      <w:divBdr>
        <w:top w:val="none" w:sz="0" w:space="0" w:color="auto"/>
        <w:left w:val="none" w:sz="0" w:space="0" w:color="auto"/>
        <w:bottom w:val="none" w:sz="0" w:space="0" w:color="auto"/>
        <w:right w:val="none" w:sz="0" w:space="0" w:color="auto"/>
      </w:divBdr>
    </w:div>
    <w:div w:id="1408334280">
      <w:bodyDiv w:val="1"/>
      <w:marLeft w:val="0"/>
      <w:marRight w:val="0"/>
      <w:marTop w:val="0"/>
      <w:marBottom w:val="0"/>
      <w:divBdr>
        <w:top w:val="none" w:sz="0" w:space="0" w:color="auto"/>
        <w:left w:val="none" w:sz="0" w:space="0" w:color="auto"/>
        <w:bottom w:val="none" w:sz="0" w:space="0" w:color="auto"/>
        <w:right w:val="none" w:sz="0" w:space="0" w:color="auto"/>
      </w:divBdr>
    </w:div>
    <w:div w:id="1409962131">
      <w:bodyDiv w:val="1"/>
      <w:marLeft w:val="0"/>
      <w:marRight w:val="0"/>
      <w:marTop w:val="0"/>
      <w:marBottom w:val="0"/>
      <w:divBdr>
        <w:top w:val="none" w:sz="0" w:space="0" w:color="auto"/>
        <w:left w:val="none" w:sz="0" w:space="0" w:color="auto"/>
        <w:bottom w:val="none" w:sz="0" w:space="0" w:color="auto"/>
        <w:right w:val="none" w:sz="0" w:space="0" w:color="auto"/>
      </w:divBdr>
    </w:div>
    <w:div w:id="1411318295">
      <w:bodyDiv w:val="1"/>
      <w:marLeft w:val="0"/>
      <w:marRight w:val="0"/>
      <w:marTop w:val="0"/>
      <w:marBottom w:val="0"/>
      <w:divBdr>
        <w:top w:val="none" w:sz="0" w:space="0" w:color="auto"/>
        <w:left w:val="none" w:sz="0" w:space="0" w:color="auto"/>
        <w:bottom w:val="none" w:sz="0" w:space="0" w:color="auto"/>
        <w:right w:val="none" w:sz="0" w:space="0" w:color="auto"/>
      </w:divBdr>
    </w:div>
    <w:div w:id="1411848645">
      <w:bodyDiv w:val="1"/>
      <w:marLeft w:val="0"/>
      <w:marRight w:val="0"/>
      <w:marTop w:val="0"/>
      <w:marBottom w:val="0"/>
      <w:divBdr>
        <w:top w:val="none" w:sz="0" w:space="0" w:color="auto"/>
        <w:left w:val="none" w:sz="0" w:space="0" w:color="auto"/>
        <w:bottom w:val="none" w:sz="0" w:space="0" w:color="auto"/>
        <w:right w:val="none" w:sz="0" w:space="0" w:color="auto"/>
      </w:divBdr>
    </w:div>
    <w:div w:id="1413890751">
      <w:bodyDiv w:val="1"/>
      <w:marLeft w:val="0"/>
      <w:marRight w:val="0"/>
      <w:marTop w:val="0"/>
      <w:marBottom w:val="0"/>
      <w:divBdr>
        <w:top w:val="none" w:sz="0" w:space="0" w:color="auto"/>
        <w:left w:val="none" w:sz="0" w:space="0" w:color="auto"/>
        <w:bottom w:val="none" w:sz="0" w:space="0" w:color="auto"/>
        <w:right w:val="none" w:sz="0" w:space="0" w:color="auto"/>
      </w:divBdr>
    </w:div>
    <w:div w:id="1416442149">
      <w:bodyDiv w:val="1"/>
      <w:marLeft w:val="0"/>
      <w:marRight w:val="0"/>
      <w:marTop w:val="0"/>
      <w:marBottom w:val="0"/>
      <w:divBdr>
        <w:top w:val="none" w:sz="0" w:space="0" w:color="auto"/>
        <w:left w:val="none" w:sz="0" w:space="0" w:color="auto"/>
        <w:bottom w:val="none" w:sz="0" w:space="0" w:color="auto"/>
        <w:right w:val="none" w:sz="0" w:space="0" w:color="auto"/>
      </w:divBdr>
    </w:div>
    <w:div w:id="1417168977">
      <w:bodyDiv w:val="1"/>
      <w:marLeft w:val="0"/>
      <w:marRight w:val="0"/>
      <w:marTop w:val="0"/>
      <w:marBottom w:val="0"/>
      <w:divBdr>
        <w:top w:val="none" w:sz="0" w:space="0" w:color="auto"/>
        <w:left w:val="none" w:sz="0" w:space="0" w:color="auto"/>
        <w:bottom w:val="none" w:sz="0" w:space="0" w:color="auto"/>
        <w:right w:val="none" w:sz="0" w:space="0" w:color="auto"/>
      </w:divBdr>
    </w:div>
    <w:div w:id="1417365143">
      <w:bodyDiv w:val="1"/>
      <w:marLeft w:val="0"/>
      <w:marRight w:val="0"/>
      <w:marTop w:val="0"/>
      <w:marBottom w:val="0"/>
      <w:divBdr>
        <w:top w:val="none" w:sz="0" w:space="0" w:color="auto"/>
        <w:left w:val="none" w:sz="0" w:space="0" w:color="auto"/>
        <w:bottom w:val="none" w:sz="0" w:space="0" w:color="auto"/>
        <w:right w:val="none" w:sz="0" w:space="0" w:color="auto"/>
      </w:divBdr>
    </w:div>
    <w:div w:id="1418087921">
      <w:bodyDiv w:val="1"/>
      <w:marLeft w:val="0"/>
      <w:marRight w:val="0"/>
      <w:marTop w:val="0"/>
      <w:marBottom w:val="0"/>
      <w:divBdr>
        <w:top w:val="none" w:sz="0" w:space="0" w:color="auto"/>
        <w:left w:val="none" w:sz="0" w:space="0" w:color="auto"/>
        <w:bottom w:val="none" w:sz="0" w:space="0" w:color="auto"/>
        <w:right w:val="none" w:sz="0" w:space="0" w:color="auto"/>
      </w:divBdr>
    </w:div>
    <w:div w:id="1420298720">
      <w:bodyDiv w:val="1"/>
      <w:marLeft w:val="0"/>
      <w:marRight w:val="0"/>
      <w:marTop w:val="0"/>
      <w:marBottom w:val="0"/>
      <w:divBdr>
        <w:top w:val="none" w:sz="0" w:space="0" w:color="auto"/>
        <w:left w:val="none" w:sz="0" w:space="0" w:color="auto"/>
        <w:bottom w:val="none" w:sz="0" w:space="0" w:color="auto"/>
        <w:right w:val="none" w:sz="0" w:space="0" w:color="auto"/>
      </w:divBdr>
    </w:div>
    <w:div w:id="1423793048">
      <w:bodyDiv w:val="1"/>
      <w:marLeft w:val="0"/>
      <w:marRight w:val="0"/>
      <w:marTop w:val="0"/>
      <w:marBottom w:val="0"/>
      <w:divBdr>
        <w:top w:val="none" w:sz="0" w:space="0" w:color="auto"/>
        <w:left w:val="none" w:sz="0" w:space="0" w:color="auto"/>
        <w:bottom w:val="none" w:sz="0" w:space="0" w:color="auto"/>
        <w:right w:val="none" w:sz="0" w:space="0" w:color="auto"/>
      </w:divBdr>
    </w:div>
    <w:div w:id="1425032306">
      <w:bodyDiv w:val="1"/>
      <w:marLeft w:val="0"/>
      <w:marRight w:val="0"/>
      <w:marTop w:val="0"/>
      <w:marBottom w:val="0"/>
      <w:divBdr>
        <w:top w:val="none" w:sz="0" w:space="0" w:color="auto"/>
        <w:left w:val="none" w:sz="0" w:space="0" w:color="auto"/>
        <w:bottom w:val="none" w:sz="0" w:space="0" w:color="auto"/>
        <w:right w:val="none" w:sz="0" w:space="0" w:color="auto"/>
      </w:divBdr>
    </w:div>
    <w:div w:id="1426418669">
      <w:bodyDiv w:val="1"/>
      <w:marLeft w:val="0"/>
      <w:marRight w:val="0"/>
      <w:marTop w:val="0"/>
      <w:marBottom w:val="0"/>
      <w:divBdr>
        <w:top w:val="none" w:sz="0" w:space="0" w:color="auto"/>
        <w:left w:val="none" w:sz="0" w:space="0" w:color="auto"/>
        <w:bottom w:val="none" w:sz="0" w:space="0" w:color="auto"/>
        <w:right w:val="none" w:sz="0" w:space="0" w:color="auto"/>
      </w:divBdr>
    </w:div>
    <w:div w:id="1429813143">
      <w:bodyDiv w:val="1"/>
      <w:marLeft w:val="0"/>
      <w:marRight w:val="0"/>
      <w:marTop w:val="0"/>
      <w:marBottom w:val="0"/>
      <w:divBdr>
        <w:top w:val="none" w:sz="0" w:space="0" w:color="auto"/>
        <w:left w:val="none" w:sz="0" w:space="0" w:color="auto"/>
        <w:bottom w:val="none" w:sz="0" w:space="0" w:color="auto"/>
        <w:right w:val="none" w:sz="0" w:space="0" w:color="auto"/>
      </w:divBdr>
    </w:div>
    <w:div w:id="1432161973">
      <w:bodyDiv w:val="1"/>
      <w:marLeft w:val="0"/>
      <w:marRight w:val="0"/>
      <w:marTop w:val="0"/>
      <w:marBottom w:val="0"/>
      <w:divBdr>
        <w:top w:val="none" w:sz="0" w:space="0" w:color="auto"/>
        <w:left w:val="none" w:sz="0" w:space="0" w:color="auto"/>
        <w:bottom w:val="none" w:sz="0" w:space="0" w:color="auto"/>
        <w:right w:val="none" w:sz="0" w:space="0" w:color="auto"/>
      </w:divBdr>
    </w:div>
    <w:div w:id="1434982715">
      <w:bodyDiv w:val="1"/>
      <w:marLeft w:val="0"/>
      <w:marRight w:val="0"/>
      <w:marTop w:val="0"/>
      <w:marBottom w:val="0"/>
      <w:divBdr>
        <w:top w:val="none" w:sz="0" w:space="0" w:color="auto"/>
        <w:left w:val="none" w:sz="0" w:space="0" w:color="auto"/>
        <w:bottom w:val="none" w:sz="0" w:space="0" w:color="auto"/>
        <w:right w:val="none" w:sz="0" w:space="0" w:color="auto"/>
      </w:divBdr>
    </w:div>
    <w:div w:id="1435438440">
      <w:bodyDiv w:val="1"/>
      <w:marLeft w:val="0"/>
      <w:marRight w:val="0"/>
      <w:marTop w:val="0"/>
      <w:marBottom w:val="0"/>
      <w:divBdr>
        <w:top w:val="none" w:sz="0" w:space="0" w:color="auto"/>
        <w:left w:val="none" w:sz="0" w:space="0" w:color="auto"/>
        <w:bottom w:val="none" w:sz="0" w:space="0" w:color="auto"/>
        <w:right w:val="none" w:sz="0" w:space="0" w:color="auto"/>
      </w:divBdr>
    </w:div>
    <w:div w:id="1436100537">
      <w:bodyDiv w:val="1"/>
      <w:marLeft w:val="0"/>
      <w:marRight w:val="0"/>
      <w:marTop w:val="0"/>
      <w:marBottom w:val="0"/>
      <w:divBdr>
        <w:top w:val="none" w:sz="0" w:space="0" w:color="auto"/>
        <w:left w:val="none" w:sz="0" w:space="0" w:color="auto"/>
        <w:bottom w:val="none" w:sz="0" w:space="0" w:color="auto"/>
        <w:right w:val="none" w:sz="0" w:space="0" w:color="auto"/>
      </w:divBdr>
    </w:div>
    <w:div w:id="1436242064">
      <w:bodyDiv w:val="1"/>
      <w:marLeft w:val="0"/>
      <w:marRight w:val="0"/>
      <w:marTop w:val="0"/>
      <w:marBottom w:val="0"/>
      <w:divBdr>
        <w:top w:val="none" w:sz="0" w:space="0" w:color="auto"/>
        <w:left w:val="none" w:sz="0" w:space="0" w:color="auto"/>
        <w:bottom w:val="none" w:sz="0" w:space="0" w:color="auto"/>
        <w:right w:val="none" w:sz="0" w:space="0" w:color="auto"/>
      </w:divBdr>
    </w:div>
    <w:div w:id="1438215244">
      <w:bodyDiv w:val="1"/>
      <w:marLeft w:val="0"/>
      <w:marRight w:val="0"/>
      <w:marTop w:val="0"/>
      <w:marBottom w:val="0"/>
      <w:divBdr>
        <w:top w:val="none" w:sz="0" w:space="0" w:color="auto"/>
        <w:left w:val="none" w:sz="0" w:space="0" w:color="auto"/>
        <w:bottom w:val="none" w:sz="0" w:space="0" w:color="auto"/>
        <w:right w:val="none" w:sz="0" w:space="0" w:color="auto"/>
      </w:divBdr>
    </w:div>
    <w:div w:id="1438328113">
      <w:bodyDiv w:val="1"/>
      <w:marLeft w:val="0"/>
      <w:marRight w:val="0"/>
      <w:marTop w:val="0"/>
      <w:marBottom w:val="0"/>
      <w:divBdr>
        <w:top w:val="none" w:sz="0" w:space="0" w:color="auto"/>
        <w:left w:val="none" w:sz="0" w:space="0" w:color="auto"/>
        <w:bottom w:val="none" w:sz="0" w:space="0" w:color="auto"/>
        <w:right w:val="none" w:sz="0" w:space="0" w:color="auto"/>
      </w:divBdr>
    </w:div>
    <w:div w:id="1441679390">
      <w:bodyDiv w:val="1"/>
      <w:marLeft w:val="0"/>
      <w:marRight w:val="0"/>
      <w:marTop w:val="0"/>
      <w:marBottom w:val="0"/>
      <w:divBdr>
        <w:top w:val="none" w:sz="0" w:space="0" w:color="auto"/>
        <w:left w:val="none" w:sz="0" w:space="0" w:color="auto"/>
        <w:bottom w:val="none" w:sz="0" w:space="0" w:color="auto"/>
        <w:right w:val="none" w:sz="0" w:space="0" w:color="auto"/>
      </w:divBdr>
    </w:div>
    <w:div w:id="1441876653">
      <w:bodyDiv w:val="1"/>
      <w:marLeft w:val="0"/>
      <w:marRight w:val="0"/>
      <w:marTop w:val="0"/>
      <w:marBottom w:val="0"/>
      <w:divBdr>
        <w:top w:val="none" w:sz="0" w:space="0" w:color="auto"/>
        <w:left w:val="none" w:sz="0" w:space="0" w:color="auto"/>
        <w:bottom w:val="none" w:sz="0" w:space="0" w:color="auto"/>
        <w:right w:val="none" w:sz="0" w:space="0" w:color="auto"/>
      </w:divBdr>
    </w:div>
    <w:div w:id="1443964026">
      <w:bodyDiv w:val="1"/>
      <w:marLeft w:val="0"/>
      <w:marRight w:val="0"/>
      <w:marTop w:val="0"/>
      <w:marBottom w:val="0"/>
      <w:divBdr>
        <w:top w:val="none" w:sz="0" w:space="0" w:color="auto"/>
        <w:left w:val="none" w:sz="0" w:space="0" w:color="auto"/>
        <w:bottom w:val="none" w:sz="0" w:space="0" w:color="auto"/>
        <w:right w:val="none" w:sz="0" w:space="0" w:color="auto"/>
      </w:divBdr>
    </w:div>
    <w:div w:id="1447044190">
      <w:bodyDiv w:val="1"/>
      <w:marLeft w:val="0"/>
      <w:marRight w:val="0"/>
      <w:marTop w:val="0"/>
      <w:marBottom w:val="0"/>
      <w:divBdr>
        <w:top w:val="none" w:sz="0" w:space="0" w:color="auto"/>
        <w:left w:val="none" w:sz="0" w:space="0" w:color="auto"/>
        <w:bottom w:val="none" w:sz="0" w:space="0" w:color="auto"/>
        <w:right w:val="none" w:sz="0" w:space="0" w:color="auto"/>
      </w:divBdr>
    </w:div>
    <w:div w:id="1448743470">
      <w:bodyDiv w:val="1"/>
      <w:marLeft w:val="0"/>
      <w:marRight w:val="0"/>
      <w:marTop w:val="0"/>
      <w:marBottom w:val="0"/>
      <w:divBdr>
        <w:top w:val="none" w:sz="0" w:space="0" w:color="auto"/>
        <w:left w:val="none" w:sz="0" w:space="0" w:color="auto"/>
        <w:bottom w:val="none" w:sz="0" w:space="0" w:color="auto"/>
        <w:right w:val="none" w:sz="0" w:space="0" w:color="auto"/>
      </w:divBdr>
    </w:div>
    <w:div w:id="1449357034">
      <w:bodyDiv w:val="1"/>
      <w:marLeft w:val="0"/>
      <w:marRight w:val="0"/>
      <w:marTop w:val="0"/>
      <w:marBottom w:val="0"/>
      <w:divBdr>
        <w:top w:val="none" w:sz="0" w:space="0" w:color="auto"/>
        <w:left w:val="none" w:sz="0" w:space="0" w:color="auto"/>
        <w:bottom w:val="none" w:sz="0" w:space="0" w:color="auto"/>
        <w:right w:val="none" w:sz="0" w:space="0" w:color="auto"/>
      </w:divBdr>
    </w:div>
    <w:div w:id="1450932021">
      <w:bodyDiv w:val="1"/>
      <w:marLeft w:val="0"/>
      <w:marRight w:val="0"/>
      <w:marTop w:val="0"/>
      <w:marBottom w:val="0"/>
      <w:divBdr>
        <w:top w:val="none" w:sz="0" w:space="0" w:color="auto"/>
        <w:left w:val="none" w:sz="0" w:space="0" w:color="auto"/>
        <w:bottom w:val="none" w:sz="0" w:space="0" w:color="auto"/>
        <w:right w:val="none" w:sz="0" w:space="0" w:color="auto"/>
      </w:divBdr>
    </w:div>
    <w:div w:id="1451703360">
      <w:bodyDiv w:val="1"/>
      <w:marLeft w:val="0"/>
      <w:marRight w:val="0"/>
      <w:marTop w:val="0"/>
      <w:marBottom w:val="0"/>
      <w:divBdr>
        <w:top w:val="none" w:sz="0" w:space="0" w:color="auto"/>
        <w:left w:val="none" w:sz="0" w:space="0" w:color="auto"/>
        <w:bottom w:val="none" w:sz="0" w:space="0" w:color="auto"/>
        <w:right w:val="none" w:sz="0" w:space="0" w:color="auto"/>
      </w:divBdr>
    </w:div>
    <w:div w:id="1455439052">
      <w:bodyDiv w:val="1"/>
      <w:marLeft w:val="0"/>
      <w:marRight w:val="0"/>
      <w:marTop w:val="0"/>
      <w:marBottom w:val="0"/>
      <w:divBdr>
        <w:top w:val="none" w:sz="0" w:space="0" w:color="auto"/>
        <w:left w:val="none" w:sz="0" w:space="0" w:color="auto"/>
        <w:bottom w:val="none" w:sz="0" w:space="0" w:color="auto"/>
        <w:right w:val="none" w:sz="0" w:space="0" w:color="auto"/>
      </w:divBdr>
    </w:div>
    <w:div w:id="1455640277">
      <w:bodyDiv w:val="1"/>
      <w:marLeft w:val="0"/>
      <w:marRight w:val="0"/>
      <w:marTop w:val="0"/>
      <w:marBottom w:val="0"/>
      <w:divBdr>
        <w:top w:val="none" w:sz="0" w:space="0" w:color="auto"/>
        <w:left w:val="none" w:sz="0" w:space="0" w:color="auto"/>
        <w:bottom w:val="none" w:sz="0" w:space="0" w:color="auto"/>
        <w:right w:val="none" w:sz="0" w:space="0" w:color="auto"/>
      </w:divBdr>
    </w:div>
    <w:div w:id="1456866547">
      <w:bodyDiv w:val="1"/>
      <w:marLeft w:val="0"/>
      <w:marRight w:val="0"/>
      <w:marTop w:val="0"/>
      <w:marBottom w:val="0"/>
      <w:divBdr>
        <w:top w:val="none" w:sz="0" w:space="0" w:color="auto"/>
        <w:left w:val="none" w:sz="0" w:space="0" w:color="auto"/>
        <w:bottom w:val="none" w:sz="0" w:space="0" w:color="auto"/>
        <w:right w:val="none" w:sz="0" w:space="0" w:color="auto"/>
      </w:divBdr>
    </w:div>
    <w:div w:id="1457411275">
      <w:bodyDiv w:val="1"/>
      <w:marLeft w:val="0"/>
      <w:marRight w:val="0"/>
      <w:marTop w:val="0"/>
      <w:marBottom w:val="0"/>
      <w:divBdr>
        <w:top w:val="none" w:sz="0" w:space="0" w:color="auto"/>
        <w:left w:val="none" w:sz="0" w:space="0" w:color="auto"/>
        <w:bottom w:val="none" w:sz="0" w:space="0" w:color="auto"/>
        <w:right w:val="none" w:sz="0" w:space="0" w:color="auto"/>
      </w:divBdr>
    </w:div>
    <w:div w:id="1459567262">
      <w:bodyDiv w:val="1"/>
      <w:marLeft w:val="0"/>
      <w:marRight w:val="0"/>
      <w:marTop w:val="0"/>
      <w:marBottom w:val="0"/>
      <w:divBdr>
        <w:top w:val="none" w:sz="0" w:space="0" w:color="auto"/>
        <w:left w:val="none" w:sz="0" w:space="0" w:color="auto"/>
        <w:bottom w:val="none" w:sz="0" w:space="0" w:color="auto"/>
        <w:right w:val="none" w:sz="0" w:space="0" w:color="auto"/>
      </w:divBdr>
    </w:div>
    <w:div w:id="1459643874">
      <w:bodyDiv w:val="1"/>
      <w:marLeft w:val="0"/>
      <w:marRight w:val="0"/>
      <w:marTop w:val="0"/>
      <w:marBottom w:val="0"/>
      <w:divBdr>
        <w:top w:val="none" w:sz="0" w:space="0" w:color="auto"/>
        <w:left w:val="none" w:sz="0" w:space="0" w:color="auto"/>
        <w:bottom w:val="none" w:sz="0" w:space="0" w:color="auto"/>
        <w:right w:val="none" w:sz="0" w:space="0" w:color="auto"/>
      </w:divBdr>
    </w:div>
    <w:div w:id="1461264104">
      <w:bodyDiv w:val="1"/>
      <w:marLeft w:val="0"/>
      <w:marRight w:val="0"/>
      <w:marTop w:val="0"/>
      <w:marBottom w:val="0"/>
      <w:divBdr>
        <w:top w:val="none" w:sz="0" w:space="0" w:color="auto"/>
        <w:left w:val="none" w:sz="0" w:space="0" w:color="auto"/>
        <w:bottom w:val="none" w:sz="0" w:space="0" w:color="auto"/>
        <w:right w:val="none" w:sz="0" w:space="0" w:color="auto"/>
      </w:divBdr>
    </w:div>
    <w:div w:id="1462530920">
      <w:bodyDiv w:val="1"/>
      <w:marLeft w:val="0"/>
      <w:marRight w:val="0"/>
      <w:marTop w:val="0"/>
      <w:marBottom w:val="0"/>
      <w:divBdr>
        <w:top w:val="none" w:sz="0" w:space="0" w:color="auto"/>
        <w:left w:val="none" w:sz="0" w:space="0" w:color="auto"/>
        <w:bottom w:val="none" w:sz="0" w:space="0" w:color="auto"/>
        <w:right w:val="none" w:sz="0" w:space="0" w:color="auto"/>
      </w:divBdr>
      <w:divsChild>
        <w:div w:id="1760055747">
          <w:marLeft w:val="0"/>
          <w:marRight w:val="0"/>
          <w:marTop w:val="0"/>
          <w:marBottom w:val="0"/>
          <w:divBdr>
            <w:top w:val="none" w:sz="0" w:space="0" w:color="auto"/>
            <w:left w:val="none" w:sz="0" w:space="0" w:color="auto"/>
            <w:bottom w:val="none" w:sz="0" w:space="0" w:color="auto"/>
            <w:right w:val="none" w:sz="0" w:space="0" w:color="auto"/>
          </w:divBdr>
        </w:div>
      </w:divsChild>
    </w:div>
    <w:div w:id="1463187808">
      <w:bodyDiv w:val="1"/>
      <w:marLeft w:val="0"/>
      <w:marRight w:val="0"/>
      <w:marTop w:val="0"/>
      <w:marBottom w:val="0"/>
      <w:divBdr>
        <w:top w:val="none" w:sz="0" w:space="0" w:color="auto"/>
        <w:left w:val="none" w:sz="0" w:space="0" w:color="auto"/>
        <w:bottom w:val="none" w:sz="0" w:space="0" w:color="auto"/>
        <w:right w:val="none" w:sz="0" w:space="0" w:color="auto"/>
      </w:divBdr>
    </w:div>
    <w:div w:id="1464271918">
      <w:bodyDiv w:val="1"/>
      <w:marLeft w:val="0"/>
      <w:marRight w:val="0"/>
      <w:marTop w:val="0"/>
      <w:marBottom w:val="0"/>
      <w:divBdr>
        <w:top w:val="none" w:sz="0" w:space="0" w:color="auto"/>
        <w:left w:val="none" w:sz="0" w:space="0" w:color="auto"/>
        <w:bottom w:val="none" w:sz="0" w:space="0" w:color="auto"/>
        <w:right w:val="none" w:sz="0" w:space="0" w:color="auto"/>
      </w:divBdr>
      <w:divsChild>
        <w:div w:id="1531918772">
          <w:marLeft w:val="0"/>
          <w:marRight w:val="0"/>
          <w:marTop w:val="0"/>
          <w:marBottom w:val="0"/>
          <w:divBdr>
            <w:top w:val="none" w:sz="0" w:space="0" w:color="auto"/>
            <w:left w:val="none" w:sz="0" w:space="0" w:color="auto"/>
            <w:bottom w:val="none" w:sz="0" w:space="0" w:color="auto"/>
            <w:right w:val="none" w:sz="0" w:space="0" w:color="auto"/>
          </w:divBdr>
        </w:div>
      </w:divsChild>
    </w:div>
    <w:div w:id="1465735566">
      <w:bodyDiv w:val="1"/>
      <w:marLeft w:val="0"/>
      <w:marRight w:val="0"/>
      <w:marTop w:val="0"/>
      <w:marBottom w:val="0"/>
      <w:divBdr>
        <w:top w:val="none" w:sz="0" w:space="0" w:color="auto"/>
        <w:left w:val="none" w:sz="0" w:space="0" w:color="auto"/>
        <w:bottom w:val="none" w:sz="0" w:space="0" w:color="auto"/>
        <w:right w:val="none" w:sz="0" w:space="0" w:color="auto"/>
      </w:divBdr>
    </w:div>
    <w:div w:id="1467434312">
      <w:bodyDiv w:val="1"/>
      <w:marLeft w:val="0"/>
      <w:marRight w:val="0"/>
      <w:marTop w:val="0"/>
      <w:marBottom w:val="0"/>
      <w:divBdr>
        <w:top w:val="none" w:sz="0" w:space="0" w:color="auto"/>
        <w:left w:val="none" w:sz="0" w:space="0" w:color="auto"/>
        <w:bottom w:val="none" w:sz="0" w:space="0" w:color="auto"/>
        <w:right w:val="none" w:sz="0" w:space="0" w:color="auto"/>
      </w:divBdr>
    </w:div>
    <w:div w:id="1469317876">
      <w:bodyDiv w:val="1"/>
      <w:marLeft w:val="0"/>
      <w:marRight w:val="0"/>
      <w:marTop w:val="0"/>
      <w:marBottom w:val="0"/>
      <w:divBdr>
        <w:top w:val="none" w:sz="0" w:space="0" w:color="auto"/>
        <w:left w:val="none" w:sz="0" w:space="0" w:color="auto"/>
        <w:bottom w:val="none" w:sz="0" w:space="0" w:color="auto"/>
        <w:right w:val="none" w:sz="0" w:space="0" w:color="auto"/>
      </w:divBdr>
    </w:div>
    <w:div w:id="1469786301">
      <w:bodyDiv w:val="1"/>
      <w:marLeft w:val="0"/>
      <w:marRight w:val="0"/>
      <w:marTop w:val="0"/>
      <w:marBottom w:val="0"/>
      <w:divBdr>
        <w:top w:val="none" w:sz="0" w:space="0" w:color="auto"/>
        <w:left w:val="none" w:sz="0" w:space="0" w:color="auto"/>
        <w:bottom w:val="none" w:sz="0" w:space="0" w:color="auto"/>
        <w:right w:val="none" w:sz="0" w:space="0" w:color="auto"/>
      </w:divBdr>
    </w:div>
    <w:div w:id="1472096598">
      <w:bodyDiv w:val="1"/>
      <w:marLeft w:val="0"/>
      <w:marRight w:val="0"/>
      <w:marTop w:val="0"/>
      <w:marBottom w:val="0"/>
      <w:divBdr>
        <w:top w:val="none" w:sz="0" w:space="0" w:color="auto"/>
        <w:left w:val="none" w:sz="0" w:space="0" w:color="auto"/>
        <w:bottom w:val="none" w:sz="0" w:space="0" w:color="auto"/>
        <w:right w:val="none" w:sz="0" w:space="0" w:color="auto"/>
      </w:divBdr>
    </w:div>
    <w:div w:id="1475217221">
      <w:bodyDiv w:val="1"/>
      <w:marLeft w:val="0"/>
      <w:marRight w:val="0"/>
      <w:marTop w:val="0"/>
      <w:marBottom w:val="0"/>
      <w:divBdr>
        <w:top w:val="none" w:sz="0" w:space="0" w:color="auto"/>
        <w:left w:val="none" w:sz="0" w:space="0" w:color="auto"/>
        <w:bottom w:val="none" w:sz="0" w:space="0" w:color="auto"/>
        <w:right w:val="none" w:sz="0" w:space="0" w:color="auto"/>
      </w:divBdr>
    </w:div>
    <w:div w:id="1475441073">
      <w:bodyDiv w:val="1"/>
      <w:marLeft w:val="0"/>
      <w:marRight w:val="0"/>
      <w:marTop w:val="0"/>
      <w:marBottom w:val="0"/>
      <w:divBdr>
        <w:top w:val="none" w:sz="0" w:space="0" w:color="auto"/>
        <w:left w:val="none" w:sz="0" w:space="0" w:color="auto"/>
        <w:bottom w:val="none" w:sz="0" w:space="0" w:color="auto"/>
        <w:right w:val="none" w:sz="0" w:space="0" w:color="auto"/>
      </w:divBdr>
    </w:div>
    <w:div w:id="1476795359">
      <w:bodyDiv w:val="1"/>
      <w:marLeft w:val="0"/>
      <w:marRight w:val="0"/>
      <w:marTop w:val="0"/>
      <w:marBottom w:val="0"/>
      <w:divBdr>
        <w:top w:val="none" w:sz="0" w:space="0" w:color="auto"/>
        <w:left w:val="none" w:sz="0" w:space="0" w:color="auto"/>
        <w:bottom w:val="none" w:sz="0" w:space="0" w:color="auto"/>
        <w:right w:val="none" w:sz="0" w:space="0" w:color="auto"/>
      </w:divBdr>
    </w:div>
    <w:div w:id="1477379849">
      <w:bodyDiv w:val="1"/>
      <w:marLeft w:val="0"/>
      <w:marRight w:val="0"/>
      <w:marTop w:val="0"/>
      <w:marBottom w:val="0"/>
      <w:divBdr>
        <w:top w:val="none" w:sz="0" w:space="0" w:color="auto"/>
        <w:left w:val="none" w:sz="0" w:space="0" w:color="auto"/>
        <w:bottom w:val="none" w:sz="0" w:space="0" w:color="auto"/>
        <w:right w:val="none" w:sz="0" w:space="0" w:color="auto"/>
      </w:divBdr>
    </w:div>
    <w:div w:id="1477644376">
      <w:bodyDiv w:val="1"/>
      <w:marLeft w:val="0"/>
      <w:marRight w:val="0"/>
      <w:marTop w:val="0"/>
      <w:marBottom w:val="0"/>
      <w:divBdr>
        <w:top w:val="none" w:sz="0" w:space="0" w:color="auto"/>
        <w:left w:val="none" w:sz="0" w:space="0" w:color="auto"/>
        <w:bottom w:val="none" w:sz="0" w:space="0" w:color="auto"/>
        <w:right w:val="none" w:sz="0" w:space="0" w:color="auto"/>
      </w:divBdr>
    </w:div>
    <w:div w:id="1480460042">
      <w:bodyDiv w:val="1"/>
      <w:marLeft w:val="0"/>
      <w:marRight w:val="0"/>
      <w:marTop w:val="0"/>
      <w:marBottom w:val="0"/>
      <w:divBdr>
        <w:top w:val="none" w:sz="0" w:space="0" w:color="auto"/>
        <w:left w:val="none" w:sz="0" w:space="0" w:color="auto"/>
        <w:bottom w:val="none" w:sz="0" w:space="0" w:color="auto"/>
        <w:right w:val="none" w:sz="0" w:space="0" w:color="auto"/>
      </w:divBdr>
    </w:div>
    <w:div w:id="1481649935">
      <w:bodyDiv w:val="1"/>
      <w:marLeft w:val="0"/>
      <w:marRight w:val="0"/>
      <w:marTop w:val="0"/>
      <w:marBottom w:val="0"/>
      <w:divBdr>
        <w:top w:val="none" w:sz="0" w:space="0" w:color="auto"/>
        <w:left w:val="none" w:sz="0" w:space="0" w:color="auto"/>
        <w:bottom w:val="none" w:sz="0" w:space="0" w:color="auto"/>
        <w:right w:val="none" w:sz="0" w:space="0" w:color="auto"/>
      </w:divBdr>
    </w:div>
    <w:div w:id="1482966777">
      <w:bodyDiv w:val="1"/>
      <w:marLeft w:val="0"/>
      <w:marRight w:val="0"/>
      <w:marTop w:val="0"/>
      <w:marBottom w:val="0"/>
      <w:divBdr>
        <w:top w:val="none" w:sz="0" w:space="0" w:color="auto"/>
        <w:left w:val="none" w:sz="0" w:space="0" w:color="auto"/>
        <w:bottom w:val="none" w:sz="0" w:space="0" w:color="auto"/>
        <w:right w:val="none" w:sz="0" w:space="0" w:color="auto"/>
      </w:divBdr>
    </w:div>
    <w:div w:id="1484539023">
      <w:bodyDiv w:val="1"/>
      <w:marLeft w:val="0"/>
      <w:marRight w:val="0"/>
      <w:marTop w:val="0"/>
      <w:marBottom w:val="0"/>
      <w:divBdr>
        <w:top w:val="none" w:sz="0" w:space="0" w:color="auto"/>
        <w:left w:val="none" w:sz="0" w:space="0" w:color="auto"/>
        <w:bottom w:val="none" w:sz="0" w:space="0" w:color="auto"/>
        <w:right w:val="none" w:sz="0" w:space="0" w:color="auto"/>
      </w:divBdr>
    </w:div>
    <w:div w:id="1484548187">
      <w:bodyDiv w:val="1"/>
      <w:marLeft w:val="0"/>
      <w:marRight w:val="0"/>
      <w:marTop w:val="0"/>
      <w:marBottom w:val="0"/>
      <w:divBdr>
        <w:top w:val="none" w:sz="0" w:space="0" w:color="auto"/>
        <w:left w:val="none" w:sz="0" w:space="0" w:color="auto"/>
        <w:bottom w:val="none" w:sz="0" w:space="0" w:color="auto"/>
        <w:right w:val="none" w:sz="0" w:space="0" w:color="auto"/>
      </w:divBdr>
    </w:div>
    <w:div w:id="1486513433">
      <w:bodyDiv w:val="1"/>
      <w:marLeft w:val="0"/>
      <w:marRight w:val="0"/>
      <w:marTop w:val="0"/>
      <w:marBottom w:val="0"/>
      <w:divBdr>
        <w:top w:val="none" w:sz="0" w:space="0" w:color="auto"/>
        <w:left w:val="none" w:sz="0" w:space="0" w:color="auto"/>
        <w:bottom w:val="none" w:sz="0" w:space="0" w:color="auto"/>
        <w:right w:val="none" w:sz="0" w:space="0" w:color="auto"/>
      </w:divBdr>
    </w:div>
    <w:div w:id="1487823695">
      <w:bodyDiv w:val="1"/>
      <w:marLeft w:val="0"/>
      <w:marRight w:val="0"/>
      <w:marTop w:val="0"/>
      <w:marBottom w:val="0"/>
      <w:divBdr>
        <w:top w:val="none" w:sz="0" w:space="0" w:color="auto"/>
        <w:left w:val="none" w:sz="0" w:space="0" w:color="auto"/>
        <w:bottom w:val="none" w:sz="0" w:space="0" w:color="auto"/>
        <w:right w:val="none" w:sz="0" w:space="0" w:color="auto"/>
      </w:divBdr>
    </w:div>
    <w:div w:id="1488207032">
      <w:bodyDiv w:val="1"/>
      <w:marLeft w:val="0"/>
      <w:marRight w:val="0"/>
      <w:marTop w:val="0"/>
      <w:marBottom w:val="0"/>
      <w:divBdr>
        <w:top w:val="none" w:sz="0" w:space="0" w:color="auto"/>
        <w:left w:val="none" w:sz="0" w:space="0" w:color="auto"/>
        <w:bottom w:val="none" w:sz="0" w:space="0" w:color="auto"/>
        <w:right w:val="none" w:sz="0" w:space="0" w:color="auto"/>
      </w:divBdr>
    </w:div>
    <w:div w:id="1492600967">
      <w:bodyDiv w:val="1"/>
      <w:marLeft w:val="0"/>
      <w:marRight w:val="0"/>
      <w:marTop w:val="0"/>
      <w:marBottom w:val="0"/>
      <w:divBdr>
        <w:top w:val="none" w:sz="0" w:space="0" w:color="auto"/>
        <w:left w:val="none" w:sz="0" w:space="0" w:color="auto"/>
        <w:bottom w:val="none" w:sz="0" w:space="0" w:color="auto"/>
        <w:right w:val="none" w:sz="0" w:space="0" w:color="auto"/>
      </w:divBdr>
    </w:div>
    <w:div w:id="1495343331">
      <w:bodyDiv w:val="1"/>
      <w:marLeft w:val="0"/>
      <w:marRight w:val="0"/>
      <w:marTop w:val="0"/>
      <w:marBottom w:val="0"/>
      <w:divBdr>
        <w:top w:val="none" w:sz="0" w:space="0" w:color="auto"/>
        <w:left w:val="none" w:sz="0" w:space="0" w:color="auto"/>
        <w:bottom w:val="none" w:sz="0" w:space="0" w:color="auto"/>
        <w:right w:val="none" w:sz="0" w:space="0" w:color="auto"/>
      </w:divBdr>
    </w:div>
    <w:div w:id="1496993363">
      <w:bodyDiv w:val="1"/>
      <w:marLeft w:val="0"/>
      <w:marRight w:val="0"/>
      <w:marTop w:val="0"/>
      <w:marBottom w:val="0"/>
      <w:divBdr>
        <w:top w:val="none" w:sz="0" w:space="0" w:color="auto"/>
        <w:left w:val="none" w:sz="0" w:space="0" w:color="auto"/>
        <w:bottom w:val="none" w:sz="0" w:space="0" w:color="auto"/>
        <w:right w:val="none" w:sz="0" w:space="0" w:color="auto"/>
      </w:divBdr>
    </w:div>
    <w:div w:id="1497455550">
      <w:bodyDiv w:val="1"/>
      <w:marLeft w:val="0"/>
      <w:marRight w:val="0"/>
      <w:marTop w:val="0"/>
      <w:marBottom w:val="0"/>
      <w:divBdr>
        <w:top w:val="none" w:sz="0" w:space="0" w:color="auto"/>
        <w:left w:val="none" w:sz="0" w:space="0" w:color="auto"/>
        <w:bottom w:val="none" w:sz="0" w:space="0" w:color="auto"/>
        <w:right w:val="none" w:sz="0" w:space="0" w:color="auto"/>
      </w:divBdr>
    </w:div>
    <w:div w:id="1497769361">
      <w:bodyDiv w:val="1"/>
      <w:marLeft w:val="0"/>
      <w:marRight w:val="0"/>
      <w:marTop w:val="0"/>
      <w:marBottom w:val="0"/>
      <w:divBdr>
        <w:top w:val="none" w:sz="0" w:space="0" w:color="auto"/>
        <w:left w:val="none" w:sz="0" w:space="0" w:color="auto"/>
        <w:bottom w:val="none" w:sz="0" w:space="0" w:color="auto"/>
        <w:right w:val="none" w:sz="0" w:space="0" w:color="auto"/>
      </w:divBdr>
    </w:div>
    <w:div w:id="1497964127">
      <w:bodyDiv w:val="1"/>
      <w:marLeft w:val="0"/>
      <w:marRight w:val="0"/>
      <w:marTop w:val="0"/>
      <w:marBottom w:val="0"/>
      <w:divBdr>
        <w:top w:val="none" w:sz="0" w:space="0" w:color="auto"/>
        <w:left w:val="none" w:sz="0" w:space="0" w:color="auto"/>
        <w:bottom w:val="none" w:sz="0" w:space="0" w:color="auto"/>
        <w:right w:val="none" w:sz="0" w:space="0" w:color="auto"/>
      </w:divBdr>
      <w:divsChild>
        <w:div w:id="287859384">
          <w:marLeft w:val="0"/>
          <w:marRight w:val="0"/>
          <w:marTop w:val="0"/>
          <w:marBottom w:val="0"/>
          <w:divBdr>
            <w:top w:val="none" w:sz="0" w:space="0" w:color="auto"/>
            <w:left w:val="none" w:sz="0" w:space="0" w:color="auto"/>
            <w:bottom w:val="none" w:sz="0" w:space="0" w:color="auto"/>
            <w:right w:val="none" w:sz="0" w:space="0" w:color="auto"/>
          </w:divBdr>
        </w:div>
      </w:divsChild>
    </w:div>
    <w:div w:id="1500391755">
      <w:bodyDiv w:val="1"/>
      <w:marLeft w:val="0"/>
      <w:marRight w:val="0"/>
      <w:marTop w:val="0"/>
      <w:marBottom w:val="0"/>
      <w:divBdr>
        <w:top w:val="none" w:sz="0" w:space="0" w:color="auto"/>
        <w:left w:val="none" w:sz="0" w:space="0" w:color="auto"/>
        <w:bottom w:val="none" w:sz="0" w:space="0" w:color="auto"/>
        <w:right w:val="none" w:sz="0" w:space="0" w:color="auto"/>
      </w:divBdr>
    </w:div>
    <w:div w:id="1503425512">
      <w:bodyDiv w:val="1"/>
      <w:marLeft w:val="0"/>
      <w:marRight w:val="0"/>
      <w:marTop w:val="0"/>
      <w:marBottom w:val="0"/>
      <w:divBdr>
        <w:top w:val="none" w:sz="0" w:space="0" w:color="auto"/>
        <w:left w:val="none" w:sz="0" w:space="0" w:color="auto"/>
        <w:bottom w:val="none" w:sz="0" w:space="0" w:color="auto"/>
        <w:right w:val="none" w:sz="0" w:space="0" w:color="auto"/>
      </w:divBdr>
    </w:div>
    <w:div w:id="1503622886">
      <w:bodyDiv w:val="1"/>
      <w:marLeft w:val="0"/>
      <w:marRight w:val="0"/>
      <w:marTop w:val="0"/>
      <w:marBottom w:val="0"/>
      <w:divBdr>
        <w:top w:val="none" w:sz="0" w:space="0" w:color="auto"/>
        <w:left w:val="none" w:sz="0" w:space="0" w:color="auto"/>
        <w:bottom w:val="none" w:sz="0" w:space="0" w:color="auto"/>
        <w:right w:val="none" w:sz="0" w:space="0" w:color="auto"/>
      </w:divBdr>
    </w:div>
    <w:div w:id="1504472571">
      <w:bodyDiv w:val="1"/>
      <w:marLeft w:val="0"/>
      <w:marRight w:val="0"/>
      <w:marTop w:val="0"/>
      <w:marBottom w:val="0"/>
      <w:divBdr>
        <w:top w:val="none" w:sz="0" w:space="0" w:color="auto"/>
        <w:left w:val="none" w:sz="0" w:space="0" w:color="auto"/>
        <w:bottom w:val="none" w:sz="0" w:space="0" w:color="auto"/>
        <w:right w:val="none" w:sz="0" w:space="0" w:color="auto"/>
      </w:divBdr>
      <w:divsChild>
        <w:div w:id="718632964">
          <w:marLeft w:val="0"/>
          <w:marRight w:val="0"/>
          <w:marTop w:val="0"/>
          <w:marBottom w:val="0"/>
          <w:divBdr>
            <w:top w:val="none" w:sz="0" w:space="0" w:color="auto"/>
            <w:left w:val="none" w:sz="0" w:space="0" w:color="auto"/>
            <w:bottom w:val="none" w:sz="0" w:space="0" w:color="auto"/>
            <w:right w:val="none" w:sz="0" w:space="0" w:color="auto"/>
          </w:divBdr>
        </w:div>
      </w:divsChild>
    </w:div>
    <w:div w:id="1507207174">
      <w:bodyDiv w:val="1"/>
      <w:marLeft w:val="0"/>
      <w:marRight w:val="0"/>
      <w:marTop w:val="0"/>
      <w:marBottom w:val="0"/>
      <w:divBdr>
        <w:top w:val="none" w:sz="0" w:space="0" w:color="auto"/>
        <w:left w:val="none" w:sz="0" w:space="0" w:color="auto"/>
        <w:bottom w:val="none" w:sz="0" w:space="0" w:color="auto"/>
        <w:right w:val="none" w:sz="0" w:space="0" w:color="auto"/>
      </w:divBdr>
    </w:div>
    <w:div w:id="1509441172">
      <w:bodyDiv w:val="1"/>
      <w:marLeft w:val="0"/>
      <w:marRight w:val="0"/>
      <w:marTop w:val="0"/>
      <w:marBottom w:val="0"/>
      <w:divBdr>
        <w:top w:val="none" w:sz="0" w:space="0" w:color="auto"/>
        <w:left w:val="none" w:sz="0" w:space="0" w:color="auto"/>
        <w:bottom w:val="none" w:sz="0" w:space="0" w:color="auto"/>
        <w:right w:val="none" w:sz="0" w:space="0" w:color="auto"/>
      </w:divBdr>
    </w:div>
    <w:div w:id="1509825729">
      <w:bodyDiv w:val="1"/>
      <w:marLeft w:val="0"/>
      <w:marRight w:val="0"/>
      <w:marTop w:val="0"/>
      <w:marBottom w:val="0"/>
      <w:divBdr>
        <w:top w:val="none" w:sz="0" w:space="0" w:color="auto"/>
        <w:left w:val="none" w:sz="0" w:space="0" w:color="auto"/>
        <w:bottom w:val="none" w:sz="0" w:space="0" w:color="auto"/>
        <w:right w:val="none" w:sz="0" w:space="0" w:color="auto"/>
      </w:divBdr>
    </w:div>
    <w:div w:id="1510439279">
      <w:bodyDiv w:val="1"/>
      <w:marLeft w:val="0"/>
      <w:marRight w:val="0"/>
      <w:marTop w:val="0"/>
      <w:marBottom w:val="0"/>
      <w:divBdr>
        <w:top w:val="none" w:sz="0" w:space="0" w:color="auto"/>
        <w:left w:val="none" w:sz="0" w:space="0" w:color="auto"/>
        <w:bottom w:val="none" w:sz="0" w:space="0" w:color="auto"/>
        <w:right w:val="none" w:sz="0" w:space="0" w:color="auto"/>
      </w:divBdr>
    </w:div>
    <w:div w:id="1510485768">
      <w:bodyDiv w:val="1"/>
      <w:marLeft w:val="0"/>
      <w:marRight w:val="0"/>
      <w:marTop w:val="0"/>
      <w:marBottom w:val="0"/>
      <w:divBdr>
        <w:top w:val="none" w:sz="0" w:space="0" w:color="auto"/>
        <w:left w:val="none" w:sz="0" w:space="0" w:color="auto"/>
        <w:bottom w:val="none" w:sz="0" w:space="0" w:color="auto"/>
        <w:right w:val="none" w:sz="0" w:space="0" w:color="auto"/>
      </w:divBdr>
    </w:div>
    <w:div w:id="1510683021">
      <w:bodyDiv w:val="1"/>
      <w:marLeft w:val="0"/>
      <w:marRight w:val="0"/>
      <w:marTop w:val="0"/>
      <w:marBottom w:val="0"/>
      <w:divBdr>
        <w:top w:val="none" w:sz="0" w:space="0" w:color="auto"/>
        <w:left w:val="none" w:sz="0" w:space="0" w:color="auto"/>
        <w:bottom w:val="none" w:sz="0" w:space="0" w:color="auto"/>
        <w:right w:val="none" w:sz="0" w:space="0" w:color="auto"/>
      </w:divBdr>
    </w:div>
    <w:div w:id="1511523332">
      <w:bodyDiv w:val="1"/>
      <w:marLeft w:val="0"/>
      <w:marRight w:val="0"/>
      <w:marTop w:val="0"/>
      <w:marBottom w:val="0"/>
      <w:divBdr>
        <w:top w:val="none" w:sz="0" w:space="0" w:color="auto"/>
        <w:left w:val="none" w:sz="0" w:space="0" w:color="auto"/>
        <w:bottom w:val="none" w:sz="0" w:space="0" w:color="auto"/>
        <w:right w:val="none" w:sz="0" w:space="0" w:color="auto"/>
      </w:divBdr>
    </w:div>
    <w:div w:id="1511943391">
      <w:bodyDiv w:val="1"/>
      <w:marLeft w:val="0"/>
      <w:marRight w:val="0"/>
      <w:marTop w:val="0"/>
      <w:marBottom w:val="0"/>
      <w:divBdr>
        <w:top w:val="none" w:sz="0" w:space="0" w:color="auto"/>
        <w:left w:val="none" w:sz="0" w:space="0" w:color="auto"/>
        <w:bottom w:val="none" w:sz="0" w:space="0" w:color="auto"/>
        <w:right w:val="none" w:sz="0" w:space="0" w:color="auto"/>
      </w:divBdr>
    </w:div>
    <w:div w:id="1514566740">
      <w:bodyDiv w:val="1"/>
      <w:marLeft w:val="0"/>
      <w:marRight w:val="0"/>
      <w:marTop w:val="0"/>
      <w:marBottom w:val="0"/>
      <w:divBdr>
        <w:top w:val="none" w:sz="0" w:space="0" w:color="auto"/>
        <w:left w:val="none" w:sz="0" w:space="0" w:color="auto"/>
        <w:bottom w:val="none" w:sz="0" w:space="0" w:color="auto"/>
        <w:right w:val="none" w:sz="0" w:space="0" w:color="auto"/>
      </w:divBdr>
    </w:div>
    <w:div w:id="1515339944">
      <w:bodyDiv w:val="1"/>
      <w:marLeft w:val="0"/>
      <w:marRight w:val="0"/>
      <w:marTop w:val="0"/>
      <w:marBottom w:val="0"/>
      <w:divBdr>
        <w:top w:val="none" w:sz="0" w:space="0" w:color="auto"/>
        <w:left w:val="none" w:sz="0" w:space="0" w:color="auto"/>
        <w:bottom w:val="none" w:sz="0" w:space="0" w:color="auto"/>
        <w:right w:val="none" w:sz="0" w:space="0" w:color="auto"/>
      </w:divBdr>
    </w:div>
    <w:div w:id="1515728933">
      <w:bodyDiv w:val="1"/>
      <w:marLeft w:val="0"/>
      <w:marRight w:val="0"/>
      <w:marTop w:val="0"/>
      <w:marBottom w:val="0"/>
      <w:divBdr>
        <w:top w:val="none" w:sz="0" w:space="0" w:color="auto"/>
        <w:left w:val="none" w:sz="0" w:space="0" w:color="auto"/>
        <w:bottom w:val="none" w:sz="0" w:space="0" w:color="auto"/>
        <w:right w:val="none" w:sz="0" w:space="0" w:color="auto"/>
      </w:divBdr>
    </w:div>
    <w:div w:id="1518352540">
      <w:bodyDiv w:val="1"/>
      <w:marLeft w:val="0"/>
      <w:marRight w:val="0"/>
      <w:marTop w:val="0"/>
      <w:marBottom w:val="0"/>
      <w:divBdr>
        <w:top w:val="none" w:sz="0" w:space="0" w:color="auto"/>
        <w:left w:val="none" w:sz="0" w:space="0" w:color="auto"/>
        <w:bottom w:val="none" w:sz="0" w:space="0" w:color="auto"/>
        <w:right w:val="none" w:sz="0" w:space="0" w:color="auto"/>
      </w:divBdr>
    </w:div>
    <w:div w:id="1519001102">
      <w:bodyDiv w:val="1"/>
      <w:marLeft w:val="0"/>
      <w:marRight w:val="0"/>
      <w:marTop w:val="0"/>
      <w:marBottom w:val="0"/>
      <w:divBdr>
        <w:top w:val="none" w:sz="0" w:space="0" w:color="auto"/>
        <w:left w:val="none" w:sz="0" w:space="0" w:color="auto"/>
        <w:bottom w:val="none" w:sz="0" w:space="0" w:color="auto"/>
        <w:right w:val="none" w:sz="0" w:space="0" w:color="auto"/>
      </w:divBdr>
    </w:div>
    <w:div w:id="1520046659">
      <w:bodyDiv w:val="1"/>
      <w:marLeft w:val="0"/>
      <w:marRight w:val="0"/>
      <w:marTop w:val="0"/>
      <w:marBottom w:val="0"/>
      <w:divBdr>
        <w:top w:val="none" w:sz="0" w:space="0" w:color="auto"/>
        <w:left w:val="none" w:sz="0" w:space="0" w:color="auto"/>
        <w:bottom w:val="none" w:sz="0" w:space="0" w:color="auto"/>
        <w:right w:val="none" w:sz="0" w:space="0" w:color="auto"/>
      </w:divBdr>
    </w:div>
    <w:div w:id="1521048407">
      <w:bodyDiv w:val="1"/>
      <w:marLeft w:val="0"/>
      <w:marRight w:val="0"/>
      <w:marTop w:val="0"/>
      <w:marBottom w:val="0"/>
      <w:divBdr>
        <w:top w:val="none" w:sz="0" w:space="0" w:color="auto"/>
        <w:left w:val="none" w:sz="0" w:space="0" w:color="auto"/>
        <w:bottom w:val="none" w:sz="0" w:space="0" w:color="auto"/>
        <w:right w:val="none" w:sz="0" w:space="0" w:color="auto"/>
      </w:divBdr>
    </w:div>
    <w:div w:id="1521233864">
      <w:bodyDiv w:val="1"/>
      <w:marLeft w:val="0"/>
      <w:marRight w:val="0"/>
      <w:marTop w:val="0"/>
      <w:marBottom w:val="0"/>
      <w:divBdr>
        <w:top w:val="none" w:sz="0" w:space="0" w:color="auto"/>
        <w:left w:val="none" w:sz="0" w:space="0" w:color="auto"/>
        <w:bottom w:val="none" w:sz="0" w:space="0" w:color="auto"/>
        <w:right w:val="none" w:sz="0" w:space="0" w:color="auto"/>
      </w:divBdr>
    </w:div>
    <w:div w:id="1523518608">
      <w:bodyDiv w:val="1"/>
      <w:marLeft w:val="0"/>
      <w:marRight w:val="0"/>
      <w:marTop w:val="0"/>
      <w:marBottom w:val="0"/>
      <w:divBdr>
        <w:top w:val="none" w:sz="0" w:space="0" w:color="auto"/>
        <w:left w:val="none" w:sz="0" w:space="0" w:color="auto"/>
        <w:bottom w:val="none" w:sz="0" w:space="0" w:color="auto"/>
        <w:right w:val="none" w:sz="0" w:space="0" w:color="auto"/>
      </w:divBdr>
    </w:div>
    <w:div w:id="1523936349">
      <w:bodyDiv w:val="1"/>
      <w:marLeft w:val="0"/>
      <w:marRight w:val="0"/>
      <w:marTop w:val="0"/>
      <w:marBottom w:val="0"/>
      <w:divBdr>
        <w:top w:val="none" w:sz="0" w:space="0" w:color="auto"/>
        <w:left w:val="none" w:sz="0" w:space="0" w:color="auto"/>
        <w:bottom w:val="none" w:sz="0" w:space="0" w:color="auto"/>
        <w:right w:val="none" w:sz="0" w:space="0" w:color="auto"/>
      </w:divBdr>
    </w:div>
    <w:div w:id="1524173780">
      <w:bodyDiv w:val="1"/>
      <w:marLeft w:val="0"/>
      <w:marRight w:val="0"/>
      <w:marTop w:val="0"/>
      <w:marBottom w:val="0"/>
      <w:divBdr>
        <w:top w:val="none" w:sz="0" w:space="0" w:color="auto"/>
        <w:left w:val="none" w:sz="0" w:space="0" w:color="auto"/>
        <w:bottom w:val="none" w:sz="0" w:space="0" w:color="auto"/>
        <w:right w:val="none" w:sz="0" w:space="0" w:color="auto"/>
      </w:divBdr>
    </w:div>
    <w:div w:id="1526602435">
      <w:bodyDiv w:val="1"/>
      <w:marLeft w:val="0"/>
      <w:marRight w:val="0"/>
      <w:marTop w:val="0"/>
      <w:marBottom w:val="0"/>
      <w:divBdr>
        <w:top w:val="none" w:sz="0" w:space="0" w:color="auto"/>
        <w:left w:val="none" w:sz="0" w:space="0" w:color="auto"/>
        <w:bottom w:val="none" w:sz="0" w:space="0" w:color="auto"/>
        <w:right w:val="none" w:sz="0" w:space="0" w:color="auto"/>
      </w:divBdr>
    </w:div>
    <w:div w:id="1526750210">
      <w:bodyDiv w:val="1"/>
      <w:marLeft w:val="0"/>
      <w:marRight w:val="0"/>
      <w:marTop w:val="0"/>
      <w:marBottom w:val="0"/>
      <w:divBdr>
        <w:top w:val="none" w:sz="0" w:space="0" w:color="auto"/>
        <w:left w:val="none" w:sz="0" w:space="0" w:color="auto"/>
        <w:bottom w:val="none" w:sz="0" w:space="0" w:color="auto"/>
        <w:right w:val="none" w:sz="0" w:space="0" w:color="auto"/>
      </w:divBdr>
    </w:div>
    <w:div w:id="1527602483">
      <w:bodyDiv w:val="1"/>
      <w:marLeft w:val="0"/>
      <w:marRight w:val="0"/>
      <w:marTop w:val="0"/>
      <w:marBottom w:val="0"/>
      <w:divBdr>
        <w:top w:val="none" w:sz="0" w:space="0" w:color="auto"/>
        <w:left w:val="none" w:sz="0" w:space="0" w:color="auto"/>
        <w:bottom w:val="none" w:sz="0" w:space="0" w:color="auto"/>
        <w:right w:val="none" w:sz="0" w:space="0" w:color="auto"/>
      </w:divBdr>
    </w:div>
    <w:div w:id="1528329289">
      <w:bodyDiv w:val="1"/>
      <w:marLeft w:val="0"/>
      <w:marRight w:val="0"/>
      <w:marTop w:val="0"/>
      <w:marBottom w:val="0"/>
      <w:divBdr>
        <w:top w:val="none" w:sz="0" w:space="0" w:color="auto"/>
        <w:left w:val="none" w:sz="0" w:space="0" w:color="auto"/>
        <w:bottom w:val="none" w:sz="0" w:space="0" w:color="auto"/>
        <w:right w:val="none" w:sz="0" w:space="0" w:color="auto"/>
      </w:divBdr>
    </w:div>
    <w:div w:id="1531793478">
      <w:bodyDiv w:val="1"/>
      <w:marLeft w:val="0"/>
      <w:marRight w:val="0"/>
      <w:marTop w:val="0"/>
      <w:marBottom w:val="0"/>
      <w:divBdr>
        <w:top w:val="none" w:sz="0" w:space="0" w:color="auto"/>
        <w:left w:val="none" w:sz="0" w:space="0" w:color="auto"/>
        <w:bottom w:val="none" w:sz="0" w:space="0" w:color="auto"/>
        <w:right w:val="none" w:sz="0" w:space="0" w:color="auto"/>
      </w:divBdr>
    </w:div>
    <w:div w:id="1532305559">
      <w:bodyDiv w:val="1"/>
      <w:marLeft w:val="0"/>
      <w:marRight w:val="0"/>
      <w:marTop w:val="0"/>
      <w:marBottom w:val="0"/>
      <w:divBdr>
        <w:top w:val="none" w:sz="0" w:space="0" w:color="auto"/>
        <w:left w:val="none" w:sz="0" w:space="0" w:color="auto"/>
        <w:bottom w:val="none" w:sz="0" w:space="0" w:color="auto"/>
        <w:right w:val="none" w:sz="0" w:space="0" w:color="auto"/>
      </w:divBdr>
    </w:div>
    <w:div w:id="1533617565">
      <w:bodyDiv w:val="1"/>
      <w:marLeft w:val="0"/>
      <w:marRight w:val="0"/>
      <w:marTop w:val="0"/>
      <w:marBottom w:val="0"/>
      <w:divBdr>
        <w:top w:val="none" w:sz="0" w:space="0" w:color="auto"/>
        <w:left w:val="none" w:sz="0" w:space="0" w:color="auto"/>
        <w:bottom w:val="none" w:sz="0" w:space="0" w:color="auto"/>
        <w:right w:val="none" w:sz="0" w:space="0" w:color="auto"/>
      </w:divBdr>
    </w:div>
    <w:div w:id="1534227539">
      <w:bodyDiv w:val="1"/>
      <w:marLeft w:val="0"/>
      <w:marRight w:val="0"/>
      <w:marTop w:val="0"/>
      <w:marBottom w:val="0"/>
      <w:divBdr>
        <w:top w:val="none" w:sz="0" w:space="0" w:color="auto"/>
        <w:left w:val="none" w:sz="0" w:space="0" w:color="auto"/>
        <w:bottom w:val="none" w:sz="0" w:space="0" w:color="auto"/>
        <w:right w:val="none" w:sz="0" w:space="0" w:color="auto"/>
      </w:divBdr>
    </w:div>
    <w:div w:id="1537933820">
      <w:bodyDiv w:val="1"/>
      <w:marLeft w:val="0"/>
      <w:marRight w:val="0"/>
      <w:marTop w:val="0"/>
      <w:marBottom w:val="0"/>
      <w:divBdr>
        <w:top w:val="none" w:sz="0" w:space="0" w:color="auto"/>
        <w:left w:val="none" w:sz="0" w:space="0" w:color="auto"/>
        <w:bottom w:val="none" w:sz="0" w:space="0" w:color="auto"/>
        <w:right w:val="none" w:sz="0" w:space="0" w:color="auto"/>
      </w:divBdr>
    </w:div>
    <w:div w:id="1538353453">
      <w:bodyDiv w:val="1"/>
      <w:marLeft w:val="0"/>
      <w:marRight w:val="0"/>
      <w:marTop w:val="0"/>
      <w:marBottom w:val="0"/>
      <w:divBdr>
        <w:top w:val="none" w:sz="0" w:space="0" w:color="auto"/>
        <w:left w:val="none" w:sz="0" w:space="0" w:color="auto"/>
        <w:bottom w:val="none" w:sz="0" w:space="0" w:color="auto"/>
        <w:right w:val="none" w:sz="0" w:space="0" w:color="auto"/>
      </w:divBdr>
      <w:divsChild>
        <w:div w:id="532620893">
          <w:marLeft w:val="0"/>
          <w:marRight w:val="0"/>
          <w:marTop w:val="0"/>
          <w:marBottom w:val="0"/>
          <w:divBdr>
            <w:top w:val="none" w:sz="0" w:space="0" w:color="auto"/>
            <w:left w:val="none" w:sz="0" w:space="0" w:color="auto"/>
            <w:bottom w:val="none" w:sz="0" w:space="0" w:color="auto"/>
            <w:right w:val="none" w:sz="0" w:space="0" w:color="auto"/>
          </w:divBdr>
          <w:divsChild>
            <w:div w:id="393117098">
              <w:marLeft w:val="0"/>
              <w:marRight w:val="0"/>
              <w:marTop w:val="0"/>
              <w:marBottom w:val="0"/>
              <w:divBdr>
                <w:top w:val="none" w:sz="0" w:space="0" w:color="auto"/>
                <w:left w:val="none" w:sz="0" w:space="0" w:color="auto"/>
                <w:bottom w:val="none" w:sz="0" w:space="0" w:color="auto"/>
                <w:right w:val="none" w:sz="0" w:space="0" w:color="auto"/>
              </w:divBdr>
              <w:divsChild>
                <w:div w:id="851073107">
                  <w:marLeft w:val="0"/>
                  <w:marRight w:val="0"/>
                  <w:marTop w:val="0"/>
                  <w:marBottom w:val="0"/>
                  <w:divBdr>
                    <w:top w:val="none" w:sz="0" w:space="0" w:color="auto"/>
                    <w:left w:val="none" w:sz="0" w:space="0" w:color="auto"/>
                    <w:bottom w:val="none" w:sz="0" w:space="0" w:color="auto"/>
                    <w:right w:val="none" w:sz="0" w:space="0" w:color="auto"/>
                  </w:divBdr>
                  <w:divsChild>
                    <w:div w:id="518469670">
                      <w:marLeft w:val="0"/>
                      <w:marRight w:val="0"/>
                      <w:marTop w:val="0"/>
                      <w:marBottom w:val="0"/>
                      <w:divBdr>
                        <w:top w:val="none" w:sz="0" w:space="0" w:color="auto"/>
                        <w:left w:val="none" w:sz="0" w:space="0" w:color="auto"/>
                        <w:bottom w:val="none" w:sz="0" w:space="0" w:color="auto"/>
                        <w:right w:val="none" w:sz="0" w:space="0" w:color="auto"/>
                      </w:divBdr>
                      <w:divsChild>
                        <w:div w:id="21335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270381">
      <w:bodyDiv w:val="1"/>
      <w:marLeft w:val="0"/>
      <w:marRight w:val="0"/>
      <w:marTop w:val="0"/>
      <w:marBottom w:val="0"/>
      <w:divBdr>
        <w:top w:val="none" w:sz="0" w:space="0" w:color="auto"/>
        <w:left w:val="none" w:sz="0" w:space="0" w:color="auto"/>
        <w:bottom w:val="none" w:sz="0" w:space="0" w:color="auto"/>
        <w:right w:val="none" w:sz="0" w:space="0" w:color="auto"/>
      </w:divBdr>
    </w:div>
    <w:div w:id="1541282644">
      <w:bodyDiv w:val="1"/>
      <w:marLeft w:val="0"/>
      <w:marRight w:val="0"/>
      <w:marTop w:val="0"/>
      <w:marBottom w:val="0"/>
      <w:divBdr>
        <w:top w:val="none" w:sz="0" w:space="0" w:color="auto"/>
        <w:left w:val="none" w:sz="0" w:space="0" w:color="auto"/>
        <w:bottom w:val="none" w:sz="0" w:space="0" w:color="auto"/>
        <w:right w:val="none" w:sz="0" w:space="0" w:color="auto"/>
      </w:divBdr>
    </w:div>
    <w:div w:id="1541549224">
      <w:bodyDiv w:val="1"/>
      <w:marLeft w:val="0"/>
      <w:marRight w:val="0"/>
      <w:marTop w:val="0"/>
      <w:marBottom w:val="0"/>
      <w:divBdr>
        <w:top w:val="none" w:sz="0" w:space="0" w:color="auto"/>
        <w:left w:val="none" w:sz="0" w:space="0" w:color="auto"/>
        <w:bottom w:val="none" w:sz="0" w:space="0" w:color="auto"/>
        <w:right w:val="none" w:sz="0" w:space="0" w:color="auto"/>
      </w:divBdr>
    </w:div>
    <w:div w:id="1541700654">
      <w:bodyDiv w:val="1"/>
      <w:marLeft w:val="0"/>
      <w:marRight w:val="0"/>
      <w:marTop w:val="0"/>
      <w:marBottom w:val="0"/>
      <w:divBdr>
        <w:top w:val="none" w:sz="0" w:space="0" w:color="auto"/>
        <w:left w:val="none" w:sz="0" w:space="0" w:color="auto"/>
        <w:bottom w:val="none" w:sz="0" w:space="0" w:color="auto"/>
        <w:right w:val="none" w:sz="0" w:space="0" w:color="auto"/>
      </w:divBdr>
    </w:div>
    <w:div w:id="1543832346">
      <w:bodyDiv w:val="1"/>
      <w:marLeft w:val="0"/>
      <w:marRight w:val="0"/>
      <w:marTop w:val="0"/>
      <w:marBottom w:val="0"/>
      <w:divBdr>
        <w:top w:val="none" w:sz="0" w:space="0" w:color="auto"/>
        <w:left w:val="none" w:sz="0" w:space="0" w:color="auto"/>
        <w:bottom w:val="none" w:sz="0" w:space="0" w:color="auto"/>
        <w:right w:val="none" w:sz="0" w:space="0" w:color="auto"/>
      </w:divBdr>
    </w:div>
    <w:div w:id="1543983695">
      <w:bodyDiv w:val="1"/>
      <w:marLeft w:val="0"/>
      <w:marRight w:val="0"/>
      <w:marTop w:val="0"/>
      <w:marBottom w:val="0"/>
      <w:divBdr>
        <w:top w:val="none" w:sz="0" w:space="0" w:color="auto"/>
        <w:left w:val="none" w:sz="0" w:space="0" w:color="auto"/>
        <w:bottom w:val="none" w:sz="0" w:space="0" w:color="auto"/>
        <w:right w:val="none" w:sz="0" w:space="0" w:color="auto"/>
      </w:divBdr>
    </w:div>
    <w:div w:id="1544945963">
      <w:bodyDiv w:val="1"/>
      <w:marLeft w:val="0"/>
      <w:marRight w:val="0"/>
      <w:marTop w:val="0"/>
      <w:marBottom w:val="0"/>
      <w:divBdr>
        <w:top w:val="none" w:sz="0" w:space="0" w:color="auto"/>
        <w:left w:val="none" w:sz="0" w:space="0" w:color="auto"/>
        <w:bottom w:val="none" w:sz="0" w:space="0" w:color="auto"/>
        <w:right w:val="none" w:sz="0" w:space="0" w:color="auto"/>
      </w:divBdr>
    </w:div>
    <w:div w:id="1547184234">
      <w:bodyDiv w:val="1"/>
      <w:marLeft w:val="0"/>
      <w:marRight w:val="0"/>
      <w:marTop w:val="0"/>
      <w:marBottom w:val="0"/>
      <w:divBdr>
        <w:top w:val="none" w:sz="0" w:space="0" w:color="auto"/>
        <w:left w:val="none" w:sz="0" w:space="0" w:color="auto"/>
        <w:bottom w:val="none" w:sz="0" w:space="0" w:color="auto"/>
        <w:right w:val="none" w:sz="0" w:space="0" w:color="auto"/>
      </w:divBdr>
    </w:div>
    <w:div w:id="1547914350">
      <w:bodyDiv w:val="1"/>
      <w:marLeft w:val="0"/>
      <w:marRight w:val="0"/>
      <w:marTop w:val="0"/>
      <w:marBottom w:val="0"/>
      <w:divBdr>
        <w:top w:val="none" w:sz="0" w:space="0" w:color="auto"/>
        <w:left w:val="none" w:sz="0" w:space="0" w:color="auto"/>
        <w:bottom w:val="none" w:sz="0" w:space="0" w:color="auto"/>
        <w:right w:val="none" w:sz="0" w:space="0" w:color="auto"/>
      </w:divBdr>
      <w:divsChild>
        <w:div w:id="1498692624">
          <w:marLeft w:val="0"/>
          <w:marRight w:val="0"/>
          <w:marTop w:val="0"/>
          <w:marBottom w:val="0"/>
          <w:divBdr>
            <w:top w:val="none" w:sz="0" w:space="0" w:color="auto"/>
            <w:left w:val="none" w:sz="0" w:space="0" w:color="auto"/>
            <w:bottom w:val="none" w:sz="0" w:space="0" w:color="auto"/>
            <w:right w:val="none" w:sz="0" w:space="0" w:color="auto"/>
          </w:divBdr>
          <w:divsChild>
            <w:div w:id="865942694">
              <w:marLeft w:val="0"/>
              <w:marRight w:val="0"/>
              <w:marTop w:val="0"/>
              <w:marBottom w:val="0"/>
              <w:divBdr>
                <w:top w:val="none" w:sz="0" w:space="0" w:color="auto"/>
                <w:left w:val="none" w:sz="0" w:space="0" w:color="auto"/>
                <w:bottom w:val="none" w:sz="0" w:space="0" w:color="auto"/>
                <w:right w:val="none" w:sz="0" w:space="0" w:color="auto"/>
              </w:divBdr>
              <w:divsChild>
                <w:div w:id="1553158197">
                  <w:marLeft w:val="0"/>
                  <w:marRight w:val="0"/>
                  <w:marTop w:val="0"/>
                  <w:marBottom w:val="0"/>
                  <w:divBdr>
                    <w:top w:val="none" w:sz="0" w:space="0" w:color="auto"/>
                    <w:left w:val="none" w:sz="0" w:space="0" w:color="auto"/>
                    <w:bottom w:val="none" w:sz="0" w:space="0" w:color="auto"/>
                    <w:right w:val="none" w:sz="0" w:space="0" w:color="auto"/>
                  </w:divBdr>
                  <w:divsChild>
                    <w:div w:id="1858495350">
                      <w:marLeft w:val="0"/>
                      <w:marRight w:val="0"/>
                      <w:marTop w:val="0"/>
                      <w:marBottom w:val="0"/>
                      <w:divBdr>
                        <w:top w:val="none" w:sz="0" w:space="0" w:color="auto"/>
                        <w:left w:val="none" w:sz="0" w:space="0" w:color="auto"/>
                        <w:bottom w:val="none" w:sz="0" w:space="0" w:color="auto"/>
                        <w:right w:val="none" w:sz="0" w:space="0" w:color="auto"/>
                      </w:divBdr>
                      <w:divsChild>
                        <w:div w:id="35935047">
                          <w:marLeft w:val="0"/>
                          <w:marRight w:val="0"/>
                          <w:marTop w:val="0"/>
                          <w:marBottom w:val="0"/>
                          <w:divBdr>
                            <w:top w:val="none" w:sz="0" w:space="0" w:color="auto"/>
                            <w:left w:val="none" w:sz="0" w:space="0" w:color="auto"/>
                            <w:bottom w:val="none" w:sz="0" w:space="0" w:color="auto"/>
                            <w:right w:val="none" w:sz="0" w:space="0" w:color="auto"/>
                          </w:divBdr>
                          <w:divsChild>
                            <w:div w:id="1574971571">
                              <w:marLeft w:val="0"/>
                              <w:marRight w:val="0"/>
                              <w:marTop w:val="0"/>
                              <w:marBottom w:val="0"/>
                              <w:divBdr>
                                <w:top w:val="none" w:sz="0" w:space="0" w:color="auto"/>
                                <w:left w:val="none" w:sz="0" w:space="0" w:color="auto"/>
                                <w:bottom w:val="none" w:sz="0" w:space="0" w:color="auto"/>
                                <w:right w:val="none" w:sz="0" w:space="0" w:color="auto"/>
                              </w:divBdr>
                              <w:divsChild>
                                <w:div w:id="854883035">
                                  <w:marLeft w:val="0"/>
                                  <w:marRight w:val="0"/>
                                  <w:marTop w:val="0"/>
                                  <w:marBottom w:val="0"/>
                                  <w:divBdr>
                                    <w:top w:val="none" w:sz="0" w:space="0" w:color="auto"/>
                                    <w:left w:val="none" w:sz="0" w:space="0" w:color="auto"/>
                                    <w:bottom w:val="none" w:sz="0" w:space="0" w:color="auto"/>
                                    <w:right w:val="none" w:sz="0" w:space="0" w:color="auto"/>
                                  </w:divBdr>
                                  <w:divsChild>
                                    <w:div w:id="1092553296">
                                      <w:marLeft w:val="0"/>
                                      <w:marRight w:val="0"/>
                                      <w:marTop w:val="0"/>
                                      <w:marBottom w:val="0"/>
                                      <w:divBdr>
                                        <w:top w:val="none" w:sz="0" w:space="0" w:color="auto"/>
                                        <w:left w:val="none" w:sz="0" w:space="0" w:color="auto"/>
                                        <w:bottom w:val="none" w:sz="0" w:space="0" w:color="auto"/>
                                        <w:right w:val="none" w:sz="0" w:space="0" w:color="auto"/>
                                      </w:divBdr>
                                      <w:divsChild>
                                        <w:div w:id="351806808">
                                          <w:marLeft w:val="0"/>
                                          <w:marRight w:val="0"/>
                                          <w:marTop w:val="0"/>
                                          <w:marBottom w:val="0"/>
                                          <w:divBdr>
                                            <w:top w:val="none" w:sz="0" w:space="0" w:color="auto"/>
                                            <w:left w:val="none" w:sz="0" w:space="0" w:color="auto"/>
                                            <w:bottom w:val="none" w:sz="0" w:space="0" w:color="auto"/>
                                            <w:right w:val="none" w:sz="0" w:space="0" w:color="auto"/>
                                          </w:divBdr>
                                          <w:divsChild>
                                            <w:div w:id="966814655">
                                              <w:marLeft w:val="0"/>
                                              <w:marRight w:val="0"/>
                                              <w:marTop w:val="0"/>
                                              <w:marBottom w:val="0"/>
                                              <w:divBdr>
                                                <w:top w:val="none" w:sz="0" w:space="0" w:color="auto"/>
                                                <w:left w:val="none" w:sz="0" w:space="0" w:color="auto"/>
                                                <w:bottom w:val="none" w:sz="0" w:space="0" w:color="auto"/>
                                                <w:right w:val="none" w:sz="0" w:space="0" w:color="auto"/>
                                              </w:divBdr>
                                              <w:divsChild>
                                                <w:div w:id="797532161">
                                                  <w:marLeft w:val="0"/>
                                                  <w:marRight w:val="195"/>
                                                  <w:marTop w:val="0"/>
                                                  <w:marBottom w:val="0"/>
                                                  <w:divBdr>
                                                    <w:top w:val="none" w:sz="0" w:space="0" w:color="auto"/>
                                                    <w:left w:val="none" w:sz="0" w:space="0" w:color="auto"/>
                                                    <w:bottom w:val="none" w:sz="0" w:space="0" w:color="auto"/>
                                                    <w:right w:val="none" w:sz="0" w:space="0" w:color="auto"/>
                                                  </w:divBdr>
                                                  <w:divsChild>
                                                    <w:div w:id="1465344865">
                                                      <w:marLeft w:val="0"/>
                                                      <w:marRight w:val="0"/>
                                                      <w:marTop w:val="0"/>
                                                      <w:marBottom w:val="0"/>
                                                      <w:divBdr>
                                                        <w:top w:val="none" w:sz="0" w:space="0" w:color="auto"/>
                                                        <w:left w:val="none" w:sz="0" w:space="0" w:color="auto"/>
                                                        <w:bottom w:val="none" w:sz="0" w:space="0" w:color="auto"/>
                                                        <w:right w:val="none" w:sz="0" w:space="0" w:color="auto"/>
                                                      </w:divBdr>
                                                      <w:divsChild>
                                                        <w:div w:id="1938710096">
                                                          <w:marLeft w:val="0"/>
                                                          <w:marRight w:val="0"/>
                                                          <w:marTop w:val="0"/>
                                                          <w:marBottom w:val="0"/>
                                                          <w:divBdr>
                                                            <w:top w:val="none" w:sz="0" w:space="0" w:color="auto"/>
                                                            <w:left w:val="none" w:sz="0" w:space="0" w:color="auto"/>
                                                            <w:bottom w:val="none" w:sz="0" w:space="0" w:color="auto"/>
                                                            <w:right w:val="none" w:sz="0" w:space="0" w:color="auto"/>
                                                          </w:divBdr>
                                                          <w:divsChild>
                                                            <w:div w:id="2075885503">
                                                              <w:marLeft w:val="0"/>
                                                              <w:marRight w:val="0"/>
                                                              <w:marTop w:val="0"/>
                                                              <w:marBottom w:val="0"/>
                                                              <w:divBdr>
                                                                <w:top w:val="none" w:sz="0" w:space="0" w:color="auto"/>
                                                                <w:left w:val="none" w:sz="0" w:space="0" w:color="auto"/>
                                                                <w:bottom w:val="none" w:sz="0" w:space="0" w:color="auto"/>
                                                                <w:right w:val="none" w:sz="0" w:space="0" w:color="auto"/>
                                                              </w:divBdr>
                                                              <w:divsChild>
                                                                <w:div w:id="1234661454">
                                                                  <w:marLeft w:val="0"/>
                                                                  <w:marRight w:val="0"/>
                                                                  <w:marTop w:val="0"/>
                                                                  <w:marBottom w:val="0"/>
                                                                  <w:divBdr>
                                                                    <w:top w:val="none" w:sz="0" w:space="0" w:color="auto"/>
                                                                    <w:left w:val="none" w:sz="0" w:space="0" w:color="auto"/>
                                                                    <w:bottom w:val="none" w:sz="0" w:space="0" w:color="auto"/>
                                                                    <w:right w:val="none" w:sz="0" w:space="0" w:color="auto"/>
                                                                  </w:divBdr>
                                                                  <w:divsChild>
                                                                    <w:div w:id="427967364">
                                                                      <w:marLeft w:val="405"/>
                                                                      <w:marRight w:val="0"/>
                                                                      <w:marTop w:val="0"/>
                                                                      <w:marBottom w:val="0"/>
                                                                      <w:divBdr>
                                                                        <w:top w:val="none" w:sz="0" w:space="0" w:color="auto"/>
                                                                        <w:left w:val="none" w:sz="0" w:space="0" w:color="auto"/>
                                                                        <w:bottom w:val="none" w:sz="0" w:space="0" w:color="auto"/>
                                                                        <w:right w:val="none" w:sz="0" w:space="0" w:color="auto"/>
                                                                      </w:divBdr>
                                                                      <w:divsChild>
                                                                        <w:div w:id="1797602796">
                                                                          <w:marLeft w:val="0"/>
                                                                          <w:marRight w:val="0"/>
                                                                          <w:marTop w:val="0"/>
                                                                          <w:marBottom w:val="0"/>
                                                                          <w:divBdr>
                                                                            <w:top w:val="none" w:sz="0" w:space="0" w:color="auto"/>
                                                                            <w:left w:val="none" w:sz="0" w:space="0" w:color="auto"/>
                                                                            <w:bottom w:val="none" w:sz="0" w:space="0" w:color="auto"/>
                                                                            <w:right w:val="none" w:sz="0" w:space="0" w:color="auto"/>
                                                                          </w:divBdr>
                                                                          <w:divsChild>
                                                                            <w:div w:id="380058577">
                                                                              <w:marLeft w:val="0"/>
                                                                              <w:marRight w:val="0"/>
                                                                              <w:marTop w:val="0"/>
                                                                              <w:marBottom w:val="0"/>
                                                                              <w:divBdr>
                                                                                <w:top w:val="none" w:sz="0" w:space="0" w:color="auto"/>
                                                                                <w:left w:val="none" w:sz="0" w:space="0" w:color="auto"/>
                                                                                <w:bottom w:val="none" w:sz="0" w:space="0" w:color="auto"/>
                                                                                <w:right w:val="none" w:sz="0" w:space="0" w:color="auto"/>
                                                                              </w:divBdr>
                                                                              <w:divsChild>
                                                                                <w:div w:id="1976376005">
                                                                                  <w:marLeft w:val="0"/>
                                                                                  <w:marRight w:val="0"/>
                                                                                  <w:marTop w:val="0"/>
                                                                                  <w:marBottom w:val="0"/>
                                                                                  <w:divBdr>
                                                                                    <w:top w:val="none" w:sz="0" w:space="0" w:color="auto"/>
                                                                                    <w:left w:val="none" w:sz="0" w:space="0" w:color="auto"/>
                                                                                    <w:bottom w:val="none" w:sz="0" w:space="0" w:color="auto"/>
                                                                                    <w:right w:val="none" w:sz="0" w:space="0" w:color="auto"/>
                                                                                  </w:divBdr>
                                                                                  <w:divsChild>
                                                                                    <w:div w:id="1276062689">
                                                                                      <w:marLeft w:val="0"/>
                                                                                      <w:marRight w:val="0"/>
                                                                                      <w:marTop w:val="0"/>
                                                                                      <w:marBottom w:val="0"/>
                                                                                      <w:divBdr>
                                                                                        <w:top w:val="none" w:sz="0" w:space="0" w:color="auto"/>
                                                                                        <w:left w:val="none" w:sz="0" w:space="0" w:color="auto"/>
                                                                                        <w:bottom w:val="none" w:sz="0" w:space="0" w:color="auto"/>
                                                                                        <w:right w:val="none" w:sz="0" w:space="0" w:color="auto"/>
                                                                                      </w:divBdr>
                                                                                      <w:divsChild>
                                                                                        <w:div w:id="1418211834">
                                                                                          <w:marLeft w:val="0"/>
                                                                                          <w:marRight w:val="0"/>
                                                                                          <w:marTop w:val="0"/>
                                                                                          <w:marBottom w:val="0"/>
                                                                                          <w:divBdr>
                                                                                            <w:top w:val="none" w:sz="0" w:space="0" w:color="auto"/>
                                                                                            <w:left w:val="none" w:sz="0" w:space="0" w:color="auto"/>
                                                                                            <w:bottom w:val="none" w:sz="0" w:space="0" w:color="auto"/>
                                                                                            <w:right w:val="none" w:sz="0" w:space="0" w:color="auto"/>
                                                                                          </w:divBdr>
                                                                                          <w:divsChild>
                                                                                            <w:div w:id="1687438900">
                                                                                              <w:marLeft w:val="0"/>
                                                                                              <w:marRight w:val="0"/>
                                                                                              <w:marTop w:val="0"/>
                                                                                              <w:marBottom w:val="0"/>
                                                                                              <w:divBdr>
                                                                                                <w:top w:val="none" w:sz="0" w:space="0" w:color="auto"/>
                                                                                                <w:left w:val="none" w:sz="0" w:space="0" w:color="auto"/>
                                                                                                <w:bottom w:val="none" w:sz="0" w:space="0" w:color="auto"/>
                                                                                                <w:right w:val="none" w:sz="0" w:space="0" w:color="auto"/>
                                                                                              </w:divBdr>
                                                                                              <w:divsChild>
                                                                                                <w:div w:id="1766918701">
                                                                                                  <w:marLeft w:val="0"/>
                                                                                                  <w:marRight w:val="0"/>
                                                                                                  <w:marTop w:val="15"/>
                                                                                                  <w:marBottom w:val="0"/>
                                                                                                  <w:divBdr>
                                                                                                    <w:top w:val="none" w:sz="0" w:space="0" w:color="auto"/>
                                                                                                    <w:left w:val="none" w:sz="0" w:space="0" w:color="auto"/>
                                                                                                    <w:bottom w:val="single" w:sz="6" w:space="15" w:color="auto"/>
                                                                                                    <w:right w:val="none" w:sz="0" w:space="0" w:color="auto"/>
                                                                                                  </w:divBdr>
                                                                                                  <w:divsChild>
                                                                                                    <w:div w:id="1354304539">
                                                                                                      <w:marLeft w:val="0"/>
                                                                                                      <w:marRight w:val="0"/>
                                                                                                      <w:marTop w:val="180"/>
                                                                                                      <w:marBottom w:val="0"/>
                                                                                                      <w:divBdr>
                                                                                                        <w:top w:val="none" w:sz="0" w:space="0" w:color="auto"/>
                                                                                                        <w:left w:val="none" w:sz="0" w:space="0" w:color="auto"/>
                                                                                                        <w:bottom w:val="none" w:sz="0" w:space="0" w:color="auto"/>
                                                                                                        <w:right w:val="none" w:sz="0" w:space="0" w:color="auto"/>
                                                                                                      </w:divBdr>
                                                                                                      <w:divsChild>
                                                                                                        <w:div w:id="1580868496">
                                                                                                          <w:marLeft w:val="0"/>
                                                                                                          <w:marRight w:val="0"/>
                                                                                                          <w:marTop w:val="0"/>
                                                                                                          <w:marBottom w:val="0"/>
                                                                                                          <w:divBdr>
                                                                                                            <w:top w:val="none" w:sz="0" w:space="0" w:color="auto"/>
                                                                                                            <w:left w:val="none" w:sz="0" w:space="0" w:color="auto"/>
                                                                                                            <w:bottom w:val="none" w:sz="0" w:space="0" w:color="auto"/>
                                                                                                            <w:right w:val="none" w:sz="0" w:space="0" w:color="auto"/>
                                                                                                          </w:divBdr>
                                                                                                          <w:divsChild>
                                                                                                            <w:div w:id="586423107">
                                                                                                              <w:marLeft w:val="0"/>
                                                                                                              <w:marRight w:val="0"/>
                                                                                                              <w:marTop w:val="0"/>
                                                                                                              <w:marBottom w:val="0"/>
                                                                                                              <w:divBdr>
                                                                                                                <w:top w:val="none" w:sz="0" w:space="0" w:color="auto"/>
                                                                                                                <w:left w:val="none" w:sz="0" w:space="0" w:color="auto"/>
                                                                                                                <w:bottom w:val="none" w:sz="0" w:space="0" w:color="auto"/>
                                                                                                                <w:right w:val="none" w:sz="0" w:space="0" w:color="auto"/>
                                                                                                              </w:divBdr>
                                                                                                              <w:divsChild>
                                                                                                                <w:div w:id="1952323997">
                                                                                                                  <w:marLeft w:val="0"/>
                                                                                                                  <w:marRight w:val="0"/>
                                                                                                                  <w:marTop w:val="30"/>
                                                                                                                  <w:marBottom w:val="0"/>
                                                                                                                  <w:divBdr>
                                                                                                                    <w:top w:val="none" w:sz="0" w:space="0" w:color="auto"/>
                                                                                                                    <w:left w:val="none" w:sz="0" w:space="0" w:color="auto"/>
                                                                                                                    <w:bottom w:val="none" w:sz="0" w:space="0" w:color="auto"/>
                                                                                                                    <w:right w:val="none" w:sz="0" w:space="0" w:color="auto"/>
                                                                                                                  </w:divBdr>
                                                                                                                  <w:divsChild>
                                                                                                                    <w:div w:id="2050371587">
                                                                                                                      <w:marLeft w:val="0"/>
                                                                                                                      <w:marRight w:val="0"/>
                                                                                                                      <w:marTop w:val="0"/>
                                                                                                                      <w:marBottom w:val="0"/>
                                                                                                                      <w:divBdr>
                                                                                                                        <w:top w:val="none" w:sz="0" w:space="0" w:color="auto"/>
                                                                                                                        <w:left w:val="none" w:sz="0" w:space="0" w:color="auto"/>
                                                                                                                        <w:bottom w:val="none" w:sz="0" w:space="0" w:color="auto"/>
                                                                                                                        <w:right w:val="none" w:sz="0" w:space="0" w:color="auto"/>
                                                                                                                      </w:divBdr>
                                                                                                                      <w:divsChild>
                                                                                                                        <w:div w:id="1415320077">
                                                                                                                          <w:marLeft w:val="0"/>
                                                                                                                          <w:marRight w:val="0"/>
                                                                                                                          <w:marTop w:val="0"/>
                                                                                                                          <w:marBottom w:val="0"/>
                                                                                                                          <w:divBdr>
                                                                                                                            <w:top w:val="none" w:sz="0" w:space="0" w:color="auto"/>
                                                                                                                            <w:left w:val="none" w:sz="0" w:space="0" w:color="auto"/>
                                                                                                                            <w:bottom w:val="none" w:sz="0" w:space="0" w:color="auto"/>
                                                                                                                            <w:right w:val="none" w:sz="0" w:space="0" w:color="auto"/>
                                                                                                                          </w:divBdr>
                                                                                                                          <w:divsChild>
                                                                                                                            <w:div w:id="433324134">
                                                                                                                              <w:marLeft w:val="0"/>
                                                                                                                              <w:marRight w:val="0"/>
                                                                                                                              <w:marTop w:val="0"/>
                                                                                                                              <w:marBottom w:val="0"/>
                                                                                                                              <w:divBdr>
                                                                                                                                <w:top w:val="none" w:sz="0" w:space="0" w:color="auto"/>
                                                                                                                                <w:left w:val="none" w:sz="0" w:space="0" w:color="auto"/>
                                                                                                                                <w:bottom w:val="none" w:sz="0" w:space="0" w:color="auto"/>
                                                                                                                                <w:right w:val="none" w:sz="0" w:space="0" w:color="auto"/>
                                                                                                                              </w:divBdr>
                                                                                                                              <w:divsChild>
                                                                                                                                <w:div w:id="535384954">
                                                                                                                                  <w:marLeft w:val="0"/>
                                                                                                                                  <w:marRight w:val="0"/>
                                                                                                                                  <w:marTop w:val="0"/>
                                                                                                                                  <w:marBottom w:val="0"/>
                                                                                                                                  <w:divBdr>
                                                                                                                                    <w:top w:val="none" w:sz="0" w:space="0" w:color="auto"/>
                                                                                                                                    <w:left w:val="none" w:sz="0" w:space="0" w:color="auto"/>
                                                                                                                                    <w:bottom w:val="none" w:sz="0" w:space="0" w:color="auto"/>
                                                                                                                                    <w:right w:val="none" w:sz="0" w:space="0" w:color="auto"/>
                                                                                                                                  </w:divBdr>
                                                                                                                                  <w:divsChild>
                                                                                                                                    <w:div w:id="442772220">
                                                                                                                                      <w:marLeft w:val="0"/>
                                                                                                                                      <w:marRight w:val="0"/>
                                                                                                                                      <w:marTop w:val="0"/>
                                                                                                                                      <w:marBottom w:val="0"/>
                                                                                                                                      <w:divBdr>
                                                                                                                                        <w:top w:val="none" w:sz="0" w:space="0" w:color="auto"/>
                                                                                                                                        <w:left w:val="none" w:sz="0" w:space="0" w:color="auto"/>
                                                                                                                                        <w:bottom w:val="none" w:sz="0" w:space="0" w:color="auto"/>
                                                                                                                                        <w:right w:val="none" w:sz="0" w:space="0" w:color="auto"/>
                                                                                                                                      </w:divBdr>
                                                                                                                                      <w:divsChild>
                                                                                                                                        <w:div w:id="617684604">
                                                                                                                                          <w:marLeft w:val="0"/>
                                                                                                                                          <w:marRight w:val="0"/>
                                                                                                                                          <w:marTop w:val="0"/>
                                                                                                                                          <w:marBottom w:val="0"/>
                                                                                                                                          <w:divBdr>
                                                                                                                                            <w:top w:val="none" w:sz="0" w:space="0" w:color="auto"/>
                                                                                                                                            <w:left w:val="none" w:sz="0" w:space="0" w:color="auto"/>
                                                                                                                                            <w:bottom w:val="none" w:sz="0" w:space="0" w:color="auto"/>
                                                                                                                                            <w:right w:val="none" w:sz="0" w:space="0" w:color="auto"/>
                                                                                                                                          </w:divBdr>
                                                                                                                                          <w:divsChild>
                                                                                                                                            <w:div w:id="199695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983794">
      <w:bodyDiv w:val="1"/>
      <w:marLeft w:val="0"/>
      <w:marRight w:val="0"/>
      <w:marTop w:val="0"/>
      <w:marBottom w:val="0"/>
      <w:divBdr>
        <w:top w:val="none" w:sz="0" w:space="0" w:color="auto"/>
        <w:left w:val="none" w:sz="0" w:space="0" w:color="auto"/>
        <w:bottom w:val="none" w:sz="0" w:space="0" w:color="auto"/>
        <w:right w:val="none" w:sz="0" w:space="0" w:color="auto"/>
      </w:divBdr>
    </w:div>
    <w:div w:id="1548877882">
      <w:bodyDiv w:val="1"/>
      <w:marLeft w:val="0"/>
      <w:marRight w:val="0"/>
      <w:marTop w:val="0"/>
      <w:marBottom w:val="0"/>
      <w:divBdr>
        <w:top w:val="none" w:sz="0" w:space="0" w:color="auto"/>
        <w:left w:val="none" w:sz="0" w:space="0" w:color="auto"/>
        <w:bottom w:val="none" w:sz="0" w:space="0" w:color="auto"/>
        <w:right w:val="none" w:sz="0" w:space="0" w:color="auto"/>
      </w:divBdr>
    </w:div>
    <w:div w:id="1548956125">
      <w:bodyDiv w:val="1"/>
      <w:marLeft w:val="0"/>
      <w:marRight w:val="0"/>
      <w:marTop w:val="0"/>
      <w:marBottom w:val="0"/>
      <w:divBdr>
        <w:top w:val="none" w:sz="0" w:space="0" w:color="auto"/>
        <w:left w:val="none" w:sz="0" w:space="0" w:color="auto"/>
        <w:bottom w:val="none" w:sz="0" w:space="0" w:color="auto"/>
        <w:right w:val="none" w:sz="0" w:space="0" w:color="auto"/>
      </w:divBdr>
      <w:divsChild>
        <w:div w:id="15204762">
          <w:marLeft w:val="0"/>
          <w:marRight w:val="0"/>
          <w:marTop w:val="0"/>
          <w:marBottom w:val="0"/>
          <w:divBdr>
            <w:top w:val="none" w:sz="0" w:space="0" w:color="auto"/>
            <w:left w:val="none" w:sz="0" w:space="0" w:color="auto"/>
            <w:bottom w:val="none" w:sz="0" w:space="0" w:color="auto"/>
            <w:right w:val="none" w:sz="0" w:space="0" w:color="auto"/>
          </w:divBdr>
        </w:div>
        <w:div w:id="65960110">
          <w:marLeft w:val="0"/>
          <w:marRight w:val="0"/>
          <w:marTop w:val="0"/>
          <w:marBottom w:val="0"/>
          <w:divBdr>
            <w:top w:val="none" w:sz="0" w:space="0" w:color="auto"/>
            <w:left w:val="none" w:sz="0" w:space="0" w:color="auto"/>
            <w:bottom w:val="none" w:sz="0" w:space="0" w:color="auto"/>
            <w:right w:val="none" w:sz="0" w:space="0" w:color="auto"/>
          </w:divBdr>
        </w:div>
        <w:div w:id="197163240">
          <w:marLeft w:val="0"/>
          <w:marRight w:val="0"/>
          <w:marTop w:val="0"/>
          <w:marBottom w:val="0"/>
          <w:divBdr>
            <w:top w:val="none" w:sz="0" w:space="0" w:color="auto"/>
            <w:left w:val="none" w:sz="0" w:space="0" w:color="auto"/>
            <w:bottom w:val="none" w:sz="0" w:space="0" w:color="auto"/>
            <w:right w:val="none" w:sz="0" w:space="0" w:color="auto"/>
          </w:divBdr>
        </w:div>
        <w:div w:id="206110937">
          <w:marLeft w:val="0"/>
          <w:marRight w:val="0"/>
          <w:marTop w:val="0"/>
          <w:marBottom w:val="0"/>
          <w:divBdr>
            <w:top w:val="none" w:sz="0" w:space="0" w:color="auto"/>
            <w:left w:val="none" w:sz="0" w:space="0" w:color="auto"/>
            <w:bottom w:val="none" w:sz="0" w:space="0" w:color="auto"/>
            <w:right w:val="none" w:sz="0" w:space="0" w:color="auto"/>
          </w:divBdr>
        </w:div>
        <w:div w:id="319425699">
          <w:marLeft w:val="0"/>
          <w:marRight w:val="0"/>
          <w:marTop w:val="0"/>
          <w:marBottom w:val="0"/>
          <w:divBdr>
            <w:top w:val="none" w:sz="0" w:space="0" w:color="auto"/>
            <w:left w:val="none" w:sz="0" w:space="0" w:color="auto"/>
            <w:bottom w:val="none" w:sz="0" w:space="0" w:color="auto"/>
            <w:right w:val="none" w:sz="0" w:space="0" w:color="auto"/>
          </w:divBdr>
        </w:div>
        <w:div w:id="325522270">
          <w:marLeft w:val="0"/>
          <w:marRight w:val="0"/>
          <w:marTop w:val="0"/>
          <w:marBottom w:val="0"/>
          <w:divBdr>
            <w:top w:val="none" w:sz="0" w:space="0" w:color="auto"/>
            <w:left w:val="none" w:sz="0" w:space="0" w:color="auto"/>
            <w:bottom w:val="none" w:sz="0" w:space="0" w:color="auto"/>
            <w:right w:val="none" w:sz="0" w:space="0" w:color="auto"/>
          </w:divBdr>
        </w:div>
        <w:div w:id="1256282946">
          <w:marLeft w:val="0"/>
          <w:marRight w:val="0"/>
          <w:marTop w:val="0"/>
          <w:marBottom w:val="0"/>
          <w:divBdr>
            <w:top w:val="none" w:sz="0" w:space="0" w:color="auto"/>
            <w:left w:val="none" w:sz="0" w:space="0" w:color="auto"/>
            <w:bottom w:val="none" w:sz="0" w:space="0" w:color="auto"/>
            <w:right w:val="none" w:sz="0" w:space="0" w:color="auto"/>
          </w:divBdr>
        </w:div>
      </w:divsChild>
    </w:div>
    <w:div w:id="1549561555">
      <w:bodyDiv w:val="1"/>
      <w:marLeft w:val="0"/>
      <w:marRight w:val="0"/>
      <w:marTop w:val="0"/>
      <w:marBottom w:val="0"/>
      <w:divBdr>
        <w:top w:val="none" w:sz="0" w:space="0" w:color="auto"/>
        <w:left w:val="none" w:sz="0" w:space="0" w:color="auto"/>
        <w:bottom w:val="none" w:sz="0" w:space="0" w:color="auto"/>
        <w:right w:val="none" w:sz="0" w:space="0" w:color="auto"/>
      </w:divBdr>
    </w:div>
    <w:div w:id="1550993107">
      <w:bodyDiv w:val="1"/>
      <w:marLeft w:val="0"/>
      <w:marRight w:val="0"/>
      <w:marTop w:val="0"/>
      <w:marBottom w:val="0"/>
      <w:divBdr>
        <w:top w:val="none" w:sz="0" w:space="0" w:color="auto"/>
        <w:left w:val="none" w:sz="0" w:space="0" w:color="auto"/>
        <w:bottom w:val="none" w:sz="0" w:space="0" w:color="auto"/>
        <w:right w:val="none" w:sz="0" w:space="0" w:color="auto"/>
      </w:divBdr>
    </w:div>
    <w:div w:id="1552499643">
      <w:bodyDiv w:val="1"/>
      <w:marLeft w:val="0"/>
      <w:marRight w:val="0"/>
      <w:marTop w:val="0"/>
      <w:marBottom w:val="0"/>
      <w:divBdr>
        <w:top w:val="none" w:sz="0" w:space="0" w:color="auto"/>
        <w:left w:val="none" w:sz="0" w:space="0" w:color="auto"/>
        <w:bottom w:val="none" w:sz="0" w:space="0" w:color="auto"/>
        <w:right w:val="none" w:sz="0" w:space="0" w:color="auto"/>
      </w:divBdr>
    </w:div>
    <w:div w:id="1553613013">
      <w:bodyDiv w:val="1"/>
      <w:marLeft w:val="0"/>
      <w:marRight w:val="0"/>
      <w:marTop w:val="0"/>
      <w:marBottom w:val="0"/>
      <w:divBdr>
        <w:top w:val="none" w:sz="0" w:space="0" w:color="auto"/>
        <w:left w:val="none" w:sz="0" w:space="0" w:color="auto"/>
        <w:bottom w:val="none" w:sz="0" w:space="0" w:color="auto"/>
        <w:right w:val="none" w:sz="0" w:space="0" w:color="auto"/>
      </w:divBdr>
    </w:div>
    <w:div w:id="1558664553">
      <w:bodyDiv w:val="1"/>
      <w:marLeft w:val="0"/>
      <w:marRight w:val="0"/>
      <w:marTop w:val="0"/>
      <w:marBottom w:val="0"/>
      <w:divBdr>
        <w:top w:val="none" w:sz="0" w:space="0" w:color="auto"/>
        <w:left w:val="none" w:sz="0" w:space="0" w:color="auto"/>
        <w:bottom w:val="none" w:sz="0" w:space="0" w:color="auto"/>
        <w:right w:val="none" w:sz="0" w:space="0" w:color="auto"/>
      </w:divBdr>
    </w:div>
    <w:div w:id="1560171247">
      <w:bodyDiv w:val="1"/>
      <w:marLeft w:val="0"/>
      <w:marRight w:val="0"/>
      <w:marTop w:val="0"/>
      <w:marBottom w:val="0"/>
      <w:divBdr>
        <w:top w:val="none" w:sz="0" w:space="0" w:color="auto"/>
        <w:left w:val="none" w:sz="0" w:space="0" w:color="auto"/>
        <w:bottom w:val="none" w:sz="0" w:space="0" w:color="auto"/>
        <w:right w:val="none" w:sz="0" w:space="0" w:color="auto"/>
      </w:divBdr>
    </w:div>
    <w:div w:id="1560440221">
      <w:bodyDiv w:val="1"/>
      <w:marLeft w:val="0"/>
      <w:marRight w:val="0"/>
      <w:marTop w:val="0"/>
      <w:marBottom w:val="0"/>
      <w:divBdr>
        <w:top w:val="none" w:sz="0" w:space="0" w:color="auto"/>
        <w:left w:val="none" w:sz="0" w:space="0" w:color="auto"/>
        <w:bottom w:val="none" w:sz="0" w:space="0" w:color="auto"/>
        <w:right w:val="none" w:sz="0" w:space="0" w:color="auto"/>
      </w:divBdr>
    </w:div>
    <w:div w:id="1560746509">
      <w:bodyDiv w:val="1"/>
      <w:marLeft w:val="0"/>
      <w:marRight w:val="0"/>
      <w:marTop w:val="0"/>
      <w:marBottom w:val="0"/>
      <w:divBdr>
        <w:top w:val="none" w:sz="0" w:space="0" w:color="auto"/>
        <w:left w:val="none" w:sz="0" w:space="0" w:color="auto"/>
        <w:bottom w:val="none" w:sz="0" w:space="0" w:color="auto"/>
        <w:right w:val="none" w:sz="0" w:space="0" w:color="auto"/>
      </w:divBdr>
    </w:div>
    <w:div w:id="1561936358">
      <w:bodyDiv w:val="1"/>
      <w:marLeft w:val="0"/>
      <w:marRight w:val="0"/>
      <w:marTop w:val="0"/>
      <w:marBottom w:val="0"/>
      <w:divBdr>
        <w:top w:val="none" w:sz="0" w:space="0" w:color="auto"/>
        <w:left w:val="none" w:sz="0" w:space="0" w:color="auto"/>
        <w:bottom w:val="none" w:sz="0" w:space="0" w:color="auto"/>
        <w:right w:val="none" w:sz="0" w:space="0" w:color="auto"/>
      </w:divBdr>
    </w:div>
    <w:div w:id="1563371412">
      <w:bodyDiv w:val="1"/>
      <w:marLeft w:val="0"/>
      <w:marRight w:val="0"/>
      <w:marTop w:val="0"/>
      <w:marBottom w:val="0"/>
      <w:divBdr>
        <w:top w:val="none" w:sz="0" w:space="0" w:color="auto"/>
        <w:left w:val="none" w:sz="0" w:space="0" w:color="auto"/>
        <w:bottom w:val="none" w:sz="0" w:space="0" w:color="auto"/>
        <w:right w:val="none" w:sz="0" w:space="0" w:color="auto"/>
      </w:divBdr>
    </w:div>
    <w:div w:id="1564608819">
      <w:bodyDiv w:val="1"/>
      <w:marLeft w:val="0"/>
      <w:marRight w:val="0"/>
      <w:marTop w:val="0"/>
      <w:marBottom w:val="0"/>
      <w:divBdr>
        <w:top w:val="none" w:sz="0" w:space="0" w:color="auto"/>
        <w:left w:val="none" w:sz="0" w:space="0" w:color="auto"/>
        <w:bottom w:val="none" w:sz="0" w:space="0" w:color="auto"/>
        <w:right w:val="none" w:sz="0" w:space="0" w:color="auto"/>
      </w:divBdr>
      <w:divsChild>
        <w:div w:id="1546136802">
          <w:marLeft w:val="0"/>
          <w:marRight w:val="0"/>
          <w:marTop w:val="0"/>
          <w:marBottom w:val="0"/>
          <w:divBdr>
            <w:top w:val="none" w:sz="0" w:space="0" w:color="auto"/>
            <w:left w:val="none" w:sz="0" w:space="0" w:color="auto"/>
            <w:bottom w:val="none" w:sz="0" w:space="0" w:color="auto"/>
            <w:right w:val="none" w:sz="0" w:space="0" w:color="auto"/>
          </w:divBdr>
        </w:div>
      </w:divsChild>
    </w:div>
    <w:div w:id="1566332273">
      <w:bodyDiv w:val="1"/>
      <w:marLeft w:val="0"/>
      <w:marRight w:val="0"/>
      <w:marTop w:val="0"/>
      <w:marBottom w:val="0"/>
      <w:divBdr>
        <w:top w:val="none" w:sz="0" w:space="0" w:color="auto"/>
        <w:left w:val="none" w:sz="0" w:space="0" w:color="auto"/>
        <w:bottom w:val="none" w:sz="0" w:space="0" w:color="auto"/>
        <w:right w:val="none" w:sz="0" w:space="0" w:color="auto"/>
      </w:divBdr>
    </w:div>
    <w:div w:id="1566984609">
      <w:bodyDiv w:val="1"/>
      <w:marLeft w:val="0"/>
      <w:marRight w:val="0"/>
      <w:marTop w:val="0"/>
      <w:marBottom w:val="0"/>
      <w:divBdr>
        <w:top w:val="none" w:sz="0" w:space="0" w:color="auto"/>
        <w:left w:val="none" w:sz="0" w:space="0" w:color="auto"/>
        <w:bottom w:val="none" w:sz="0" w:space="0" w:color="auto"/>
        <w:right w:val="none" w:sz="0" w:space="0" w:color="auto"/>
      </w:divBdr>
    </w:div>
    <w:div w:id="1567379857">
      <w:bodyDiv w:val="1"/>
      <w:marLeft w:val="0"/>
      <w:marRight w:val="0"/>
      <w:marTop w:val="0"/>
      <w:marBottom w:val="0"/>
      <w:divBdr>
        <w:top w:val="none" w:sz="0" w:space="0" w:color="auto"/>
        <w:left w:val="none" w:sz="0" w:space="0" w:color="auto"/>
        <w:bottom w:val="none" w:sz="0" w:space="0" w:color="auto"/>
        <w:right w:val="none" w:sz="0" w:space="0" w:color="auto"/>
      </w:divBdr>
    </w:div>
    <w:div w:id="1568762576">
      <w:bodyDiv w:val="1"/>
      <w:marLeft w:val="0"/>
      <w:marRight w:val="0"/>
      <w:marTop w:val="0"/>
      <w:marBottom w:val="0"/>
      <w:divBdr>
        <w:top w:val="none" w:sz="0" w:space="0" w:color="auto"/>
        <w:left w:val="none" w:sz="0" w:space="0" w:color="auto"/>
        <w:bottom w:val="none" w:sz="0" w:space="0" w:color="auto"/>
        <w:right w:val="none" w:sz="0" w:space="0" w:color="auto"/>
      </w:divBdr>
    </w:div>
    <w:div w:id="1569881949">
      <w:bodyDiv w:val="1"/>
      <w:marLeft w:val="0"/>
      <w:marRight w:val="0"/>
      <w:marTop w:val="0"/>
      <w:marBottom w:val="0"/>
      <w:divBdr>
        <w:top w:val="none" w:sz="0" w:space="0" w:color="auto"/>
        <w:left w:val="none" w:sz="0" w:space="0" w:color="auto"/>
        <w:bottom w:val="none" w:sz="0" w:space="0" w:color="auto"/>
        <w:right w:val="none" w:sz="0" w:space="0" w:color="auto"/>
      </w:divBdr>
    </w:div>
    <w:div w:id="1569920468">
      <w:bodyDiv w:val="1"/>
      <w:marLeft w:val="0"/>
      <w:marRight w:val="0"/>
      <w:marTop w:val="0"/>
      <w:marBottom w:val="0"/>
      <w:divBdr>
        <w:top w:val="none" w:sz="0" w:space="0" w:color="auto"/>
        <w:left w:val="none" w:sz="0" w:space="0" w:color="auto"/>
        <w:bottom w:val="none" w:sz="0" w:space="0" w:color="auto"/>
        <w:right w:val="none" w:sz="0" w:space="0" w:color="auto"/>
      </w:divBdr>
    </w:div>
    <w:div w:id="1571816908">
      <w:bodyDiv w:val="1"/>
      <w:marLeft w:val="0"/>
      <w:marRight w:val="0"/>
      <w:marTop w:val="0"/>
      <w:marBottom w:val="0"/>
      <w:divBdr>
        <w:top w:val="none" w:sz="0" w:space="0" w:color="auto"/>
        <w:left w:val="none" w:sz="0" w:space="0" w:color="auto"/>
        <w:bottom w:val="none" w:sz="0" w:space="0" w:color="auto"/>
        <w:right w:val="none" w:sz="0" w:space="0" w:color="auto"/>
      </w:divBdr>
    </w:div>
    <w:div w:id="1572035881">
      <w:bodyDiv w:val="1"/>
      <w:marLeft w:val="0"/>
      <w:marRight w:val="0"/>
      <w:marTop w:val="0"/>
      <w:marBottom w:val="0"/>
      <w:divBdr>
        <w:top w:val="none" w:sz="0" w:space="0" w:color="auto"/>
        <w:left w:val="none" w:sz="0" w:space="0" w:color="auto"/>
        <w:bottom w:val="none" w:sz="0" w:space="0" w:color="auto"/>
        <w:right w:val="none" w:sz="0" w:space="0" w:color="auto"/>
      </w:divBdr>
    </w:div>
    <w:div w:id="1574242230">
      <w:bodyDiv w:val="1"/>
      <w:marLeft w:val="0"/>
      <w:marRight w:val="0"/>
      <w:marTop w:val="0"/>
      <w:marBottom w:val="0"/>
      <w:divBdr>
        <w:top w:val="none" w:sz="0" w:space="0" w:color="auto"/>
        <w:left w:val="none" w:sz="0" w:space="0" w:color="auto"/>
        <w:bottom w:val="none" w:sz="0" w:space="0" w:color="auto"/>
        <w:right w:val="none" w:sz="0" w:space="0" w:color="auto"/>
      </w:divBdr>
    </w:div>
    <w:div w:id="1577864340">
      <w:bodyDiv w:val="1"/>
      <w:marLeft w:val="0"/>
      <w:marRight w:val="0"/>
      <w:marTop w:val="0"/>
      <w:marBottom w:val="0"/>
      <w:divBdr>
        <w:top w:val="none" w:sz="0" w:space="0" w:color="auto"/>
        <w:left w:val="none" w:sz="0" w:space="0" w:color="auto"/>
        <w:bottom w:val="none" w:sz="0" w:space="0" w:color="auto"/>
        <w:right w:val="none" w:sz="0" w:space="0" w:color="auto"/>
      </w:divBdr>
    </w:div>
    <w:div w:id="1580366192">
      <w:bodyDiv w:val="1"/>
      <w:marLeft w:val="0"/>
      <w:marRight w:val="0"/>
      <w:marTop w:val="0"/>
      <w:marBottom w:val="0"/>
      <w:divBdr>
        <w:top w:val="none" w:sz="0" w:space="0" w:color="auto"/>
        <w:left w:val="none" w:sz="0" w:space="0" w:color="auto"/>
        <w:bottom w:val="none" w:sz="0" w:space="0" w:color="auto"/>
        <w:right w:val="none" w:sz="0" w:space="0" w:color="auto"/>
      </w:divBdr>
    </w:div>
    <w:div w:id="1584954239">
      <w:bodyDiv w:val="1"/>
      <w:marLeft w:val="0"/>
      <w:marRight w:val="0"/>
      <w:marTop w:val="0"/>
      <w:marBottom w:val="0"/>
      <w:divBdr>
        <w:top w:val="none" w:sz="0" w:space="0" w:color="auto"/>
        <w:left w:val="none" w:sz="0" w:space="0" w:color="auto"/>
        <w:bottom w:val="none" w:sz="0" w:space="0" w:color="auto"/>
        <w:right w:val="none" w:sz="0" w:space="0" w:color="auto"/>
      </w:divBdr>
    </w:div>
    <w:div w:id="1585646547">
      <w:bodyDiv w:val="1"/>
      <w:marLeft w:val="0"/>
      <w:marRight w:val="0"/>
      <w:marTop w:val="0"/>
      <w:marBottom w:val="0"/>
      <w:divBdr>
        <w:top w:val="none" w:sz="0" w:space="0" w:color="auto"/>
        <w:left w:val="none" w:sz="0" w:space="0" w:color="auto"/>
        <w:bottom w:val="none" w:sz="0" w:space="0" w:color="auto"/>
        <w:right w:val="none" w:sz="0" w:space="0" w:color="auto"/>
      </w:divBdr>
    </w:div>
    <w:div w:id="1587373315">
      <w:bodyDiv w:val="1"/>
      <w:marLeft w:val="0"/>
      <w:marRight w:val="0"/>
      <w:marTop w:val="0"/>
      <w:marBottom w:val="0"/>
      <w:divBdr>
        <w:top w:val="none" w:sz="0" w:space="0" w:color="auto"/>
        <w:left w:val="none" w:sz="0" w:space="0" w:color="auto"/>
        <w:bottom w:val="none" w:sz="0" w:space="0" w:color="auto"/>
        <w:right w:val="none" w:sz="0" w:space="0" w:color="auto"/>
      </w:divBdr>
    </w:div>
    <w:div w:id="1590119604">
      <w:bodyDiv w:val="1"/>
      <w:marLeft w:val="0"/>
      <w:marRight w:val="0"/>
      <w:marTop w:val="0"/>
      <w:marBottom w:val="0"/>
      <w:divBdr>
        <w:top w:val="none" w:sz="0" w:space="0" w:color="auto"/>
        <w:left w:val="none" w:sz="0" w:space="0" w:color="auto"/>
        <w:bottom w:val="none" w:sz="0" w:space="0" w:color="auto"/>
        <w:right w:val="none" w:sz="0" w:space="0" w:color="auto"/>
      </w:divBdr>
    </w:div>
    <w:div w:id="1590501196">
      <w:bodyDiv w:val="1"/>
      <w:marLeft w:val="0"/>
      <w:marRight w:val="0"/>
      <w:marTop w:val="0"/>
      <w:marBottom w:val="0"/>
      <w:divBdr>
        <w:top w:val="none" w:sz="0" w:space="0" w:color="auto"/>
        <w:left w:val="none" w:sz="0" w:space="0" w:color="auto"/>
        <w:bottom w:val="none" w:sz="0" w:space="0" w:color="auto"/>
        <w:right w:val="none" w:sz="0" w:space="0" w:color="auto"/>
      </w:divBdr>
    </w:div>
    <w:div w:id="1592396808">
      <w:bodyDiv w:val="1"/>
      <w:marLeft w:val="0"/>
      <w:marRight w:val="0"/>
      <w:marTop w:val="0"/>
      <w:marBottom w:val="0"/>
      <w:divBdr>
        <w:top w:val="none" w:sz="0" w:space="0" w:color="auto"/>
        <w:left w:val="none" w:sz="0" w:space="0" w:color="auto"/>
        <w:bottom w:val="none" w:sz="0" w:space="0" w:color="auto"/>
        <w:right w:val="none" w:sz="0" w:space="0" w:color="auto"/>
      </w:divBdr>
    </w:div>
    <w:div w:id="1595161108">
      <w:bodyDiv w:val="1"/>
      <w:marLeft w:val="0"/>
      <w:marRight w:val="0"/>
      <w:marTop w:val="0"/>
      <w:marBottom w:val="0"/>
      <w:divBdr>
        <w:top w:val="none" w:sz="0" w:space="0" w:color="auto"/>
        <w:left w:val="none" w:sz="0" w:space="0" w:color="auto"/>
        <w:bottom w:val="none" w:sz="0" w:space="0" w:color="auto"/>
        <w:right w:val="none" w:sz="0" w:space="0" w:color="auto"/>
      </w:divBdr>
    </w:div>
    <w:div w:id="1595819033">
      <w:bodyDiv w:val="1"/>
      <w:marLeft w:val="0"/>
      <w:marRight w:val="0"/>
      <w:marTop w:val="0"/>
      <w:marBottom w:val="0"/>
      <w:divBdr>
        <w:top w:val="none" w:sz="0" w:space="0" w:color="auto"/>
        <w:left w:val="none" w:sz="0" w:space="0" w:color="auto"/>
        <w:bottom w:val="none" w:sz="0" w:space="0" w:color="auto"/>
        <w:right w:val="none" w:sz="0" w:space="0" w:color="auto"/>
      </w:divBdr>
    </w:div>
    <w:div w:id="1597862209">
      <w:bodyDiv w:val="1"/>
      <w:marLeft w:val="0"/>
      <w:marRight w:val="0"/>
      <w:marTop w:val="0"/>
      <w:marBottom w:val="0"/>
      <w:divBdr>
        <w:top w:val="none" w:sz="0" w:space="0" w:color="auto"/>
        <w:left w:val="none" w:sz="0" w:space="0" w:color="auto"/>
        <w:bottom w:val="none" w:sz="0" w:space="0" w:color="auto"/>
        <w:right w:val="none" w:sz="0" w:space="0" w:color="auto"/>
      </w:divBdr>
    </w:div>
    <w:div w:id="1600289775">
      <w:bodyDiv w:val="1"/>
      <w:marLeft w:val="0"/>
      <w:marRight w:val="0"/>
      <w:marTop w:val="0"/>
      <w:marBottom w:val="0"/>
      <w:divBdr>
        <w:top w:val="none" w:sz="0" w:space="0" w:color="auto"/>
        <w:left w:val="none" w:sz="0" w:space="0" w:color="auto"/>
        <w:bottom w:val="none" w:sz="0" w:space="0" w:color="auto"/>
        <w:right w:val="none" w:sz="0" w:space="0" w:color="auto"/>
      </w:divBdr>
    </w:div>
    <w:div w:id="1600681084">
      <w:bodyDiv w:val="1"/>
      <w:marLeft w:val="0"/>
      <w:marRight w:val="0"/>
      <w:marTop w:val="0"/>
      <w:marBottom w:val="0"/>
      <w:divBdr>
        <w:top w:val="none" w:sz="0" w:space="0" w:color="auto"/>
        <w:left w:val="none" w:sz="0" w:space="0" w:color="auto"/>
        <w:bottom w:val="none" w:sz="0" w:space="0" w:color="auto"/>
        <w:right w:val="none" w:sz="0" w:space="0" w:color="auto"/>
      </w:divBdr>
      <w:divsChild>
        <w:div w:id="1000696939">
          <w:marLeft w:val="0"/>
          <w:marRight w:val="0"/>
          <w:marTop w:val="0"/>
          <w:marBottom w:val="0"/>
          <w:divBdr>
            <w:top w:val="none" w:sz="0" w:space="0" w:color="auto"/>
            <w:left w:val="none" w:sz="0" w:space="0" w:color="auto"/>
            <w:bottom w:val="none" w:sz="0" w:space="0" w:color="auto"/>
            <w:right w:val="none" w:sz="0" w:space="0" w:color="auto"/>
          </w:divBdr>
        </w:div>
      </w:divsChild>
    </w:div>
    <w:div w:id="1600871502">
      <w:bodyDiv w:val="1"/>
      <w:marLeft w:val="0"/>
      <w:marRight w:val="0"/>
      <w:marTop w:val="0"/>
      <w:marBottom w:val="0"/>
      <w:divBdr>
        <w:top w:val="none" w:sz="0" w:space="0" w:color="auto"/>
        <w:left w:val="none" w:sz="0" w:space="0" w:color="auto"/>
        <w:bottom w:val="none" w:sz="0" w:space="0" w:color="auto"/>
        <w:right w:val="none" w:sz="0" w:space="0" w:color="auto"/>
      </w:divBdr>
    </w:div>
    <w:div w:id="1601180403">
      <w:bodyDiv w:val="1"/>
      <w:marLeft w:val="0"/>
      <w:marRight w:val="0"/>
      <w:marTop w:val="0"/>
      <w:marBottom w:val="0"/>
      <w:divBdr>
        <w:top w:val="none" w:sz="0" w:space="0" w:color="auto"/>
        <w:left w:val="none" w:sz="0" w:space="0" w:color="auto"/>
        <w:bottom w:val="none" w:sz="0" w:space="0" w:color="auto"/>
        <w:right w:val="none" w:sz="0" w:space="0" w:color="auto"/>
      </w:divBdr>
    </w:div>
    <w:div w:id="1601523594">
      <w:bodyDiv w:val="1"/>
      <w:marLeft w:val="0"/>
      <w:marRight w:val="0"/>
      <w:marTop w:val="0"/>
      <w:marBottom w:val="0"/>
      <w:divBdr>
        <w:top w:val="none" w:sz="0" w:space="0" w:color="auto"/>
        <w:left w:val="none" w:sz="0" w:space="0" w:color="auto"/>
        <w:bottom w:val="none" w:sz="0" w:space="0" w:color="auto"/>
        <w:right w:val="none" w:sz="0" w:space="0" w:color="auto"/>
      </w:divBdr>
    </w:div>
    <w:div w:id="1603490821">
      <w:bodyDiv w:val="1"/>
      <w:marLeft w:val="0"/>
      <w:marRight w:val="0"/>
      <w:marTop w:val="0"/>
      <w:marBottom w:val="0"/>
      <w:divBdr>
        <w:top w:val="none" w:sz="0" w:space="0" w:color="auto"/>
        <w:left w:val="none" w:sz="0" w:space="0" w:color="auto"/>
        <w:bottom w:val="none" w:sz="0" w:space="0" w:color="auto"/>
        <w:right w:val="none" w:sz="0" w:space="0" w:color="auto"/>
      </w:divBdr>
    </w:div>
    <w:div w:id="1604070387">
      <w:bodyDiv w:val="1"/>
      <w:marLeft w:val="0"/>
      <w:marRight w:val="0"/>
      <w:marTop w:val="0"/>
      <w:marBottom w:val="0"/>
      <w:divBdr>
        <w:top w:val="none" w:sz="0" w:space="0" w:color="auto"/>
        <w:left w:val="none" w:sz="0" w:space="0" w:color="auto"/>
        <w:bottom w:val="none" w:sz="0" w:space="0" w:color="auto"/>
        <w:right w:val="none" w:sz="0" w:space="0" w:color="auto"/>
      </w:divBdr>
    </w:div>
    <w:div w:id="1604729425">
      <w:bodyDiv w:val="1"/>
      <w:marLeft w:val="0"/>
      <w:marRight w:val="0"/>
      <w:marTop w:val="0"/>
      <w:marBottom w:val="0"/>
      <w:divBdr>
        <w:top w:val="none" w:sz="0" w:space="0" w:color="auto"/>
        <w:left w:val="none" w:sz="0" w:space="0" w:color="auto"/>
        <w:bottom w:val="none" w:sz="0" w:space="0" w:color="auto"/>
        <w:right w:val="none" w:sz="0" w:space="0" w:color="auto"/>
      </w:divBdr>
    </w:div>
    <w:div w:id="1605383251">
      <w:bodyDiv w:val="1"/>
      <w:marLeft w:val="0"/>
      <w:marRight w:val="0"/>
      <w:marTop w:val="0"/>
      <w:marBottom w:val="0"/>
      <w:divBdr>
        <w:top w:val="none" w:sz="0" w:space="0" w:color="auto"/>
        <w:left w:val="none" w:sz="0" w:space="0" w:color="auto"/>
        <w:bottom w:val="none" w:sz="0" w:space="0" w:color="auto"/>
        <w:right w:val="none" w:sz="0" w:space="0" w:color="auto"/>
      </w:divBdr>
    </w:div>
    <w:div w:id="1605918742">
      <w:bodyDiv w:val="1"/>
      <w:marLeft w:val="0"/>
      <w:marRight w:val="0"/>
      <w:marTop w:val="0"/>
      <w:marBottom w:val="0"/>
      <w:divBdr>
        <w:top w:val="none" w:sz="0" w:space="0" w:color="auto"/>
        <w:left w:val="none" w:sz="0" w:space="0" w:color="auto"/>
        <w:bottom w:val="none" w:sz="0" w:space="0" w:color="auto"/>
        <w:right w:val="none" w:sz="0" w:space="0" w:color="auto"/>
      </w:divBdr>
    </w:div>
    <w:div w:id="1605923413">
      <w:bodyDiv w:val="1"/>
      <w:marLeft w:val="0"/>
      <w:marRight w:val="0"/>
      <w:marTop w:val="0"/>
      <w:marBottom w:val="0"/>
      <w:divBdr>
        <w:top w:val="none" w:sz="0" w:space="0" w:color="auto"/>
        <w:left w:val="none" w:sz="0" w:space="0" w:color="auto"/>
        <w:bottom w:val="none" w:sz="0" w:space="0" w:color="auto"/>
        <w:right w:val="none" w:sz="0" w:space="0" w:color="auto"/>
      </w:divBdr>
    </w:div>
    <w:div w:id="1606037453">
      <w:bodyDiv w:val="1"/>
      <w:marLeft w:val="0"/>
      <w:marRight w:val="0"/>
      <w:marTop w:val="0"/>
      <w:marBottom w:val="0"/>
      <w:divBdr>
        <w:top w:val="none" w:sz="0" w:space="0" w:color="auto"/>
        <w:left w:val="none" w:sz="0" w:space="0" w:color="auto"/>
        <w:bottom w:val="none" w:sz="0" w:space="0" w:color="auto"/>
        <w:right w:val="none" w:sz="0" w:space="0" w:color="auto"/>
      </w:divBdr>
    </w:div>
    <w:div w:id="1609121693">
      <w:bodyDiv w:val="1"/>
      <w:marLeft w:val="0"/>
      <w:marRight w:val="0"/>
      <w:marTop w:val="0"/>
      <w:marBottom w:val="0"/>
      <w:divBdr>
        <w:top w:val="none" w:sz="0" w:space="0" w:color="auto"/>
        <w:left w:val="none" w:sz="0" w:space="0" w:color="auto"/>
        <w:bottom w:val="none" w:sz="0" w:space="0" w:color="auto"/>
        <w:right w:val="none" w:sz="0" w:space="0" w:color="auto"/>
      </w:divBdr>
    </w:div>
    <w:div w:id="1609460381">
      <w:bodyDiv w:val="1"/>
      <w:marLeft w:val="0"/>
      <w:marRight w:val="0"/>
      <w:marTop w:val="0"/>
      <w:marBottom w:val="0"/>
      <w:divBdr>
        <w:top w:val="none" w:sz="0" w:space="0" w:color="auto"/>
        <w:left w:val="none" w:sz="0" w:space="0" w:color="auto"/>
        <w:bottom w:val="none" w:sz="0" w:space="0" w:color="auto"/>
        <w:right w:val="none" w:sz="0" w:space="0" w:color="auto"/>
      </w:divBdr>
    </w:div>
    <w:div w:id="1611280269">
      <w:bodyDiv w:val="1"/>
      <w:marLeft w:val="0"/>
      <w:marRight w:val="0"/>
      <w:marTop w:val="0"/>
      <w:marBottom w:val="0"/>
      <w:divBdr>
        <w:top w:val="none" w:sz="0" w:space="0" w:color="auto"/>
        <w:left w:val="none" w:sz="0" w:space="0" w:color="auto"/>
        <w:bottom w:val="none" w:sz="0" w:space="0" w:color="auto"/>
        <w:right w:val="none" w:sz="0" w:space="0" w:color="auto"/>
      </w:divBdr>
    </w:div>
    <w:div w:id="1611475752">
      <w:bodyDiv w:val="1"/>
      <w:marLeft w:val="0"/>
      <w:marRight w:val="0"/>
      <w:marTop w:val="0"/>
      <w:marBottom w:val="0"/>
      <w:divBdr>
        <w:top w:val="none" w:sz="0" w:space="0" w:color="auto"/>
        <w:left w:val="none" w:sz="0" w:space="0" w:color="auto"/>
        <w:bottom w:val="none" w:sz="0" w:space="0" w:color="auto"/>
        <w:right w:val="none" w:sz="0" w:space="0" w:color="auto"/>
      </w:divBdr>
    </w:div>
    <w:div w:id="1611937052">
      <w:bodyDiv w:val="1"/>
      <w:marLeft w:val="0"/>
      <w:marRight w:val="0"/>
      <w:marTop w:val="0"/>
      <w:marBottom w:val="0"/>
      <w:divBdr>
        <w:top w:val="none" w:sz="0" w:space="0" w:color="auto"/>
        <w:left w:val="none" w:sz="0" w:space="0" w:color="auto"/>
        <w:bottom w:val="none" w:sz="0" w:space="0" w:color="auto"/>
        <w:right w:val="none" w:sz="0" w:space="0" w:color="auto"/>
      </w:divBdr>
    </w:div>
    <w:div w:id="1612740006">
      <w:bodyDiv w:val="1"/>
      <w:marLeft w:val="0"/>
      <w:marRight w:val="0"/>
      <w:marTop w:val="0"/>
      <w:marBottom w:val="0"/>
      <w:divBdr>
        <w:top w:val="none" w:sz="0" w:space="0" w:color="auto"/>
        <w:left w:val="none" w:sz="0" w:space="0" w:color="auto"/>
        <w:bottom w:val="none" w:sz="0" w:space="0" w:color="auto"/>
        <w:right w:val="none" w:sz="0" w:space="0" w:color="auto"/>
      </w:divBdr>
    </w:div>
    <w:div w:id="1616253389">
      <w:bodyDiv w:val="1"/>
      <w:marLeft w:val="0"/>
      <w:marRight w:val="0"/>
      <w:marTop w:val="0"/>
      <w:marBottom w:val="0"/>
      <w:divBdr>
        <w:top w:val="none" w:sz="0" w:space="0" w:color="auto"/>
        <w:left w:val="none" w:sz="0" w:space="0" w:color="auto"/>
        <w:bottom w:val="none" w:sz="0" w:space="0" w:color="auto"/>
        <w:right w:val="none" w:sz="0" w:space="0" w:color="auto"/>
      </w:divBdr>
    </w:div>
    <w:div w:id="1620449542">
      <w:bodyDiv w:val="1"/>
      <w:marLeft w:val="0"/>
      <w:marRight w:val="0"/>
      <w:marTop w:val="0"/>
      <w:marBottom w:val="0"/>
      <w:divBdr>
        <w:top w:val="none" w:sz="0" w:space="0" w:color="auto"/>
        <w:left w:val="none" w:sz="0" w:space="0" w:color="auto"/>
        <w:bottom w:val="none" w:sz="0" w:space="0" w:color="auto"/>
        <w:right w:val="none" w:sz="0" w:space="0" w:color="auto"/>
      </w:divBdr>
    </w:div>
    <w:div w:id="1622958376">
      <w:bodyDiv w:val="1"/>
      <w:marLeft w:val="0"/>
      <w:marRight w:val="0"/>
      <w:marTop w:val="0"/>
      <w:marBottom w:val="0"/>
      <w:divBdr>
        <w:top w:val="none" w:sz="0" w:space="0" w:color="auto"/>
        <w:left w:val="none" w:sz="0" w:space="0" w:color="auto"/>
        <w:bottom w:val="none" w:sz="0" w:space="0" w:color="auto"/>
        <w:right w:val="none" w:sz="0" w:space="0" w:color="auto"/>
      </w:divBdr>
      <w:divsChild>
        <w:div w:id="2018002808">
          <w:marLeft w:val="0"/>
          <w:marRight w:val="0"/>
          <w:marTop w:val="0"/>
          <w:marBottom w:val="0"/>
          <w:divBdr>
            <w:top w:val="none" w:sz="0" w:space="0" w:color="auto"/>
            <w:left w:val="none" w:sz="0" w:space="0" w:color="auto"/>
            <w:bottom w:val="none" w:sz="0" w:space="0" w:color="auto"/>
            <w:right w:val="none" w:sz="0" w:space="0" w:color="auto"/>
          </w:divBdr>
        </w:div>
      </w:divsChild>
    </w:div>
    <w:div w:id="1623606567">
      <w:bodyDiv w:val="1"/>
      <w:marLeft w:val="0"/>
      <w:marRight w:val="0"/>
      <w:marTop w:val="0"/>
      <w:marBottom w:val="0"/>
      <w:divBdr>
        <w:top w:val="none" w:sz="0" w:space="0" w:color="auto"/>
        <w:left w:val="none" w:sz="0" w:space="0" w:color="auto"/>
        <w:bottom w:val="none" w:sz="0" w:space="0" w:color="auto"/>
        <w:right w:val="none" w:sz="0" w:space="0" w:color="auto"/>
      </w:divBdr>
      <w:divsChild>
        <w:div w:id="138230070">
          <w:marLeft w:val="0"/>
          <w:marRight w:val="0"/>
          <w:marTop w:val="0"/>
          <w:marBottom w:val="0"/>
          <w:divBdr>
            <w:top w:val="none" w:sz="0" w:space="0" w:color="auto"/>
            <w:left w:val="none" w:sz="0" w:space="0" w:color="auto"/>
            <w:bottom w:val="none" w:sz="0" w:space="0" w:color="auto"/>
            <w:right w:val="none" w:sz="0" w:space="0" w:color="auto"/>
          </w:divBdr>
        </w:div>
      </w:divsChild>
    </w:div>
    <w:div w:id="1625388201">
      <w:bodyDiv w:val="1"/>
      <w:marLeft w:val="0"/>
      <w:marRight w:val="0"/>
      <w:marTop w:val="0"/>
      <w:marBottom w:val="0"/>
      <w:divBdr>
        <w:top w:val="none" w:sz="0" w:space="0" w:color="auto"/>
        <w:left w:val="none" w:sz="0" w:space="0" w:color="auto"/>
        <w:bottom w:val="none" w:sz="0" w:space="0" w:color="auto"/>
        <w:right w:val="none" w:sz="0" w:space="0" w:color="auto"/>
      </w:divBdr>
      <w:divsChild>
        <w:div w:id="90400924">
          <w:marLeft w:val="0"/>
          <w:marRight w:val="0"/>
          <w:marTop w:val="0"/>
          <w:marBottom w:val="0"/>
          <w:divBdr>
            <w:top w:val="none" w:sz="0" w:space="0" w:color="auto"/>
            <w:left w:val="none" w:sz="0" w:space="0" w:color="auto"/>
            <w:bottom w:val="none" w:sz="0" w:space="0" w:color="auto"/>
            <w:right w:val="none" w:sz="0" w:space="0" w:color="auto"/>
          </w:divBdr>
        </w:div>
      </w:divsChild>
    </w:div>
    <w:div w:id="1625767913">
      <w:bodyDiv w:val="1"/>
      <w:marLeft w:val="0"/>
      <w:marRight w:val="0"/>
      <w:marTop w:val="0"/>
      <w:marBottom w:val="0"/>
      <w:divBdr>
        <w:top w:val="none" w:sz="0" w:space="0" w:color="auto"/>
        <w:left w:val="none" w:sz="0" w:space="0" w:color="auto"/>
        <w:bottom w:val="none" w:sz="0" w:space="0" w:color="auto"/>
        <w:right w:val="none" w:sz="0" w:space="0" w:color="auto"/>
      </w:divBdr>
    </w:div>
    <w:div w:id="1626889497">
      <w:bodyDiv w:val="1"/>
      <w:marLeft w:val="0"/>
      <w:marRight w:val="0"/>
      <w:marTop w:val="0"/>
      <w:marBottom w:val="0"/>
      <w:divBdr>
        <w:top w:val="none" w:sz="0" w:space="0" w:color="auto"/>
        <w:left w:val="none" w:sz="0" w:space="0" w:color="auto"/>
        <w:bottom w:val="none" w:sz="0" w:space="0" w:color="auto"/>
        <w:right w:val="none" w:sz="0" w:space="0" w:color="auto"/>
      </w:divBdr>
    </w:div>
    <w:div w:id="1627006380">
      <w:bodyDiv w:val="1"/>
      <w:marLeft w:val="0"/>
      <w:marRight w:val="0"/>
      <w:marTop w:val="0"/>
      <w:marBottom w:val="0"/>
      <w:divBdr>
        <w:top w:val="none" w:sz="0" w:space="0" w:color="auto"/>
        <w:left w:val="none" w:sz="0" w:space="0" w:color="auto"/>
        <w:bottom w:val="none" w:sz="0" w:space="0" w:color="auto"/>
        <w:right w:val="none" w:sz="0" w:space="0" w:color="auto"/>
      </w:divBdr>
    </w:div>
    <w:div w:id="1627006935">
      <w:bodyDiv w:val="1"/>
      <w:marLeft w:val="0"/>
      <w:marRight w:val="0"/>
      <w:marTop w:val="0"/>
      <w:marBottom w:val="0"/>
      <w:divBdr>
        <w:top w:val="none" w:sz="0" w:space="0" w:color="auto"/>
        <w:left w:val="none" w:sz="0" w:space="0" w:color="auto"/>
        <w:bottom w:val="none" w:sz="0" w:space="0" w:color="auto"/>
        <w:right w:val="none" w:sz="0" w:space="0" w:color="auto"/>
      </w:divBdr>
    </w:div>
    <w:div w:id="1629555063">
      <w:bodyDiv w:val="1"/>
      <w:marLeft w:val="0"/>
      <w:marRight w:val="0"/>
      <w:marTop w:val="0"/>
      <w:marBottom w:val="0"/>
      <w:divBdr>
        <w:top w:val="none" w:sz="0" w:space="0" w:color="auto"/>
        <w:left w:val="none" w:sz="0" w:space="0" w:color="auto"/>
        <w:bottom w:val="none" w:sz="0" w:space="0" w:color="auto"/>
        <w:right w:val="none" w:sz="0" w:space="0" w:color="auto"/>
      </w:divBdr>
    </w:div>
    <w:div w:id="1631399695">
      <w:bodyDiv w:val="1"/>
      <w:marLeft w:val="0"/>
      <w:marRight w:val="0"/>
      <w:marTop w:val="0"/>
      <w:marBottom w:val="0"/>
      <w:divBdr>
        <w:top w:val="none" w:sz="0" w:space="0" w:color="auto"/>
        <w:left w:val="none" w:sz="0" w:space="0" w:color="auto"/>
        <w:bottom w:val="none" w:sz="0" w:space="0" w:color="auto"/>
        <w:right w:val="none" w:sz="0" w:space="0" w:color="auto"/>
      </w:divBdr>
      <w:divsChild>
        <w:div w:id="839393335">
          <w:marLeft w:val="0"/>
          <w:marRight w:val="0"/>
          <w:marTop w:val="0"/>
          <w:marBottom w:val="0"/>
          <w:divBdr>
            <w:top w:val="none" w:sz="0" w:space="0" w:color="auto"/>
            <w:left w:val="none" w:sz="0" w:space="0" w:color="auto"/>
            <w:bottom w:val="none" w:sz="0" w:space="0" w:color="auto"/>
            <w:right w:val="none" w:sz="0" w:space="0" w:color="auto"/>
          </w:divBdr>
        </w:div>
      </w:divsChild>
    </w:div>
    <w:div w:id="1631741377">
      <w:bodyDiv w:val="1"/>
      <w:marLeft w:val="0"/>
      <w:marRight w:val="0"/>
      <w:marTop w:val="0"/>
      <w:marBottom w:val="0"/>
      <w:divBdr>
        <w:top w:val="none" w:sz="0" w:space="0" w:color="auto"/>
        <w:left w:val="none" w:sz="0" w:space="0" w:color="auto"/>
        <w:bottom w:val="none" w:sz="0" w:space="0" w:color="auto"/>
        <w:right w:val="none" w:sz="0" w:space="0" w:color="auto"/>
      </w:divBdr>
    </w:div>
    <w:div w:id="1631859418">
      <w:bodyDiv w:val="1"/>
      <w:marLeft w:val="0"/>
      <w:marRight w:val="0"/>
      <w:marTop w:val="0"/>
      <w:marBottom w:val="0"/>
      <w:divBdr>
        <w:top w:val="none" w:sz="0" w:space="0" w:color="auto"/>
        <w:left w:val="none" w:sz="0" w:space="0" w:color="auto"/>
        <w:bottom w:val="none" w:sz="0" w:space="0" w:color="auto"/>
        <w:right w:val="none" w:sz="0" w:space="0" w:color="auto"/>
      </w:divBdr>
    </w:div>
    <w:div w:id="1631981248">
      <w:bodyDiv w:val="1"/>
      <w:marLeft w:val="0"/>
      <w:marRight w:val="0"/>
      <w:marTop w:val="0"/>
      <w:marBottom w:val="0"/>
      <w:divBdr>
        <w:top w:val="none" w:sz="0" w:space="0" w:color="auto"/>
        <w:left w:val="none" w:sz="0" w:space="0" w:color="auto"/>
        <w:bottom w:val="none" w:sz="0" w:space="0" w:color="auto"/>
        <w:right w:val="none" w:sz="0" w:space="0" w:color="auto"/>
      </w:divBdr>
    </w:div>
    <w:div w:id="1632322751">
      <w:bodyDiv w:val="1"/>
      <w:marLeft w:val="0"/>
      <w:marRight w:val="0"/>
      <w:marTop w:val="0"/>
      <w:marBottom w:val="0"/>
      <w:divBdr>
        <w:top w:val="none" w:sz="0" w:space="0" w:color="auto"/>
        <w:left w:val="none" w:sz="0" w:space="0" w:color="auto"/>
        <w:bottom w:val="none" w:sz="0" w:space="0" w:color="auto"/>
        <w:right w:val="none" w:sz="0" w:space="0" w:color="auto"/>
      </w:divBdr>
      <w:divsChild>
        <w:div w:id="2119985455">
          <w:marLeft w:val="0"/>
          <w:marRight w:val="0"/>
          <w:marTop w:val="0"/>
          <w:marBottom w:val="0"/>
          <w:divBdr>
            <w:top w:val="none" w:sz="0" w:space="0" w:color="auto"/>
            <w:left w:val="none" w:sz="0" w:space="0" w:color="auto"/>
            <w:bottom w:val="none" w:sz="0" w:space="0" w:color="auto"/>
            <w:right w:val="none" w:sz="0" w:space="0" w:color="auto"/>
          </w:divBdr>
          <w:divsChild>
            <w:div w:id="947666064">
              <w:marLeft w:val="0"/>
              <w:marRight w:val="0"/>
              <w:marTop w:val="0"/>
              <w:marBottom w:val="0"/>
              <w:divBdr>
                <w:top w:val="none" w:sz="0" w:space="0" w:color="auto"/>
                <w:left w:val="none" w:sz="0" w:space="0" w:color="auto"/>
                <w:bottom w:val="none" w:sz="0" w:space="0" w:color="auto"/>
                <w:right w:val="none" w:sz="0" w:space="0" w:color="auto"/>
              </w:divBdr>
              <w:divsChild>
                <w:div w:id="1333753302">
                  <w:marLeft w:val="0"/>
                  <w:marRight w:val="0"/>
                  <w:marTop w:val="0"/>
                  <w:marBottom w:val="0"/>
                  <w:divBdr>
                    <w:top w:val="none" w:sz="0" w:space="0" w:color="auto"/>
                    <w:left w:val="none" w:sz="0" w:space="0" w:color="auto"/>
                    <w:bottom w:val="none" w:sz="0" w:space="0" w:color="auto"/>
                    <w:right w:val="none" w:sz="0" w:space="0" w:color="auto"/>
                  </w:divBdr>
                  <w:divsChild>
                    <w:div w:id="352994918">
                      <w:marLeft w:val="0"/>
                      <w:marRight w:val="0"/>
                      <w:marTop w:val="0"/>
                      <w:marBottom w:val="0"/>
                      <w:divBdr>
                        <w:top w:val="none" w:sz="0" w:space="0" w:color="auto"/>
                        <w:left w:val="none" w:sz="0" w:space="0" w:color="auto"/>
                        <w:bottom w:val="none" w:sz="0" w:space="0" w:color="auto"/>
                        <w:right w:val="none" w:sz="0" w:space="0" w:color="auto"/>
                      </w:divBdr>
                      <w:divsChild>
                        <w:div w:id="780414012">
                          <w:marLeft w:val="0"/>
                          <w:marRight w:val="0"/>
                          <w:marTop w:val="0"/>
                          <w:marBottom w:val="0"/>
                          <w:divBdr>
                            <w:top w:val="none" w:sz="0" w:space="0" w:color="auto"/>
                            <w:left w:val="none" w:sz="0" w:space="0" w:color="auto"/>
                            <w:bottom w:val="none" w:sz="0" w:space="0" w:color="auto"/>
                            <w:right w:val="none" w:sz="0" w:space="0" w:color="auto"/>
                          </w:divBdr>
                          <w:divsChild>
                            <w:div w:id="1073040123">
                              <w:marLeft w:val="15"/>
                              <w:marRight w:val="195"/>
                              <w:marTop w:val="0"/>
                              <w:marBottom w:val="0"/>
                              <w:divBdr>
                                <w:top w:val="none" w:sz="0" w:space="0" w:color="auto"/>
                                <w:left w:val="none" w:sz="0" w:space="0" w:color="auto"/>
                                <w:bottom w:val="none" w:sz="0" w:space="0" w:color="auto"/>
                                <w:right w:val="none" w:sz="0" w:space="0" w:color="auto"/>
                              </w:divBdr>
                              <w:divsChild>
                                <w:div w:id="7872252">
                                  <w:marLeft w:val="0"/>
                                  <w:marRight w:val="0"/>
                                  <w:marTop w:val="0"/>
                                  <w:marBottom w:val="0"/>
                                  <w:divBdr>
                                    <w:top w:val="none" w:sz="0" w:space="0" w:color="auto"/>
                                    <w:left w:val="none" w:sz="0" w:space="0" w:color="auto"/>
                                    <w:bottom w:val="none" w:sz="0" w:space="0" w:color="auto"/>
                                    <w:right w:val="none" w:sz="0" w:space="0" w:color="auto"/>
                                  </w:divBdr>
                                  <w:divsChild>
                                    <w:div w:id="1661814409">
                                      <w:marLeft w:val="0"/>
                                      <w:marRight w:val="0"/>
                                      <w:marTop w:val="0"/>
                                      <w:marBottom w:val="0"/>
                                      <w:divBdr>
                                        <w:top w:val="none" w:sz="0" w:space="0" w:color="auto"/>
                                        <w:left w:val="none" w:sz="0" w:space="0" w:color="auto"/>
                                        <w:bottom w:val="none" w:sz="0" w:space="0" w:color="auto"/>
                                        <w:right w:val="none" w:sz="0" w:space="0" w:color="auto"/>
                                      </w:divBdr>
                                      <w:divsChild>
                                        <w:div w:id="947082248">
                                          <w:marLeft w:val="0"/>
                                          <w:marRight w:val="0"/>
                                          <w:marTop w:val="0"/>
                                          <w:marBottom w:val="0"/>
                                          <w:divBdr>
                                            <w:top w:val="none" w:sz="0" w:space="0" w:color="auto"/>
                                            <w:left w:val="none" w:sz="0" w:space="0" w:color="auto"/>
                                            <w:bottom w:val="none" w:sz="0" w:space="0" w:color="auto"/>
                                            <w:right w:val="none" w:sz="0" w:space="0" w:color="auto"/>
                                          </w:divBdr>
                                          <w:divsChild>
                                            <w:div w:id="700782235">
                                              <w:marLeft w:val="0"/>
                                              <w:marRight w:val="0"/>
                                              <w:marTop w:val="0"/>
                                              <w:marBottom w:val="0"/>
                                              <w:divBdr>
                                                <w:top w:val="none" w:sz="0" w:space="0" w:color="auto"/>
                                                <w:left w:val="none" w:sz="0" w:space="0" w:color="auto"/>
                                                <w:bottom w:val="none" w:sz="0" w:space="0" w:color="auto"/>
                                                <w:right w:val="none" w:sz="0" w:space="0" w:color="auto"/>
                                              </w:divBdr>
                                              <w:divsChild>
                                                <w:div w:id="912277246">
                                                  <w:marLeft w:val="0"/>
                                                  <w:marRight w:val="0"/>
                                                  <w:marTop w:val="0"/>
                                                  <w:marBottom w:val="0"/>
                                                  <w:divBdr>
                                                    <w:top w:val="none" w:sz="0" w:space="0" w:color="auto"/>
                                                    <w:left w:val="none" w:sz="0" w:space="0" w:color="auto"/>
                                                    <w:bottom w:val="none" w:sz="0" w:space="0" w:color="auto"/>
                                                    <w:right w:val="none" w:sz="0" w:space="0" w:color="auto"/>
                                                  </w:divBdr>
                                                  <w:divsChild>
                                                    <w:div w:id="131405867">
                                                      <w:marLeft w:val="0"/>
                                                      <w:marRight w:val="0"/>
                                                      <w:marTop w:val="0"/>
                                                      <w:marBottom w:val="0"/>
                                                      <w:divBdr>
                                                        <w:top w:val="none" w:sz="0" w:space="0" w:color="auto"/>
                                                        <w:left w:val="none" w:sz="0" w:space="0" w:color="auto"/>
                                                        <w:bottom w:val="none" w:sz="0" w:space="0" w:color="auto"/>
                                                        <w:right w:val="none" w:sz="0" w:space="0" w:color="auto"/>
                                                      </w:divBdr>
                                                      <w:divsChild>
                                                        <w:div w:id="2053336008">
                                                          <w:marLeft w:val="0"/>
                                                          <w:marRight w:val="0"/>
                                                          <w:marTop w:val="0"/>
                                                          <w:marBottom w:val="0"/>
                                                          <w:divBdr>
                                                            <w:top w:val="none" w:sz="0" w:space="0" w:color="auto"/>
                                                            <w:left w:val="none" w:sz="0" w:space="0" w:color="auto"/>
                                                            <w:bottom w:val="none" w:sz="0" w:space="0" w:color="auto"/>
                                                            <w:right w:val="none" w:sz="0" w:space="0" w:color="auto"/>
                                                          </w:divBdr>
                                                          <w:divsChild>
                                                            <w:div w:id="1438062210">
                                                              <w:marLeft w:val="0"/>
                                                              <w:marRight w:val="0"/>
                                                              <w:marTop w:val="0"/>
                                                              <w:marBottom w:val="0"/>
                                                              <w:divBdr>
                                                                <w:top w:val="none" w:sz="0" w:space="0" w:color="auto"/>
                                                                <w:left w:val="none" w:sz="0" w:space="0" w:color="auto"/>
                                                                <w:bottom w:val="none" w:sz="0" w:space="0" w:color="auto"/>
                                                                <w:right w:val="none" w:sz="0" w:space="0" w:color="auto"/>
                                                              </w:divBdr>
                                                              <w:divsChild>
                                                                <w:div w:id="397633832">
                                                                  <w:marLeft w:val="0"/>
                                                                  <w:marRight w:val="0"/>
                                                                  <w:marTop w:val="0"/>
                                                                  <w:marBottom w:val="0"/>
                                                                  <w:divBdr>
                                                                    <w:top w:val="none" w:sz="0" w:space="0" w:color="auto"/>
                                                                    <w:left w:val="none" w:sz="0" w:space="0" w:color="auto"/>
                                                                    <w:bottom w:val="none" w:sz="0" w:space="0" w:color="auto"/>
                                                                    <w:right w:val="none" w:sz="0" w:space="0" w:color="auto"/>
                                                                  </w:divBdr>
                                                                  <w:divsChild>
                                                                    <w:div w:id="1253011518">
                                                                      <w:marLeft w:val="405"/>
                                                                      <w:marRight w:val="0"/>
                                                                      <w:marTop w:val="0"/>
                                                                      <w:marBottom w:val="0"/>
                                                                      <w:divBdr>
                                                                        <w:top w:val="none" w:sz="0" w:space="0" w:color="auto"/>
                                                                        <w:left w:val="none" w:sz="0" w:space="0" w:color="auto"/>
                                                                        <w:bottom w:val="none" w:sz="0" w:space="0" w:color="auto"/>
                                                                        <w:right w:val="none" w:sz="0" w:space="0" w:color="auto"/>
                                                                      </w:divBdr>
                                                                      <w:divsChild>
                                                                        <w:div w:id="422918103">
                                                                          <w:marLeft w:val="0"/>
                                                                          <w:marRight w:val="0"/>
                                                                          <w:marTop w:val="0"/>
                                                                          <w:marBottom w:val="0"/>
                                                                          <w:divBdr>
                                                                            <w:top w:val="none" w:sz="0" w:space="0" w:color="auto"/>
                                                                            <w:left w:val="none" w:sz="0" w:space="0" w:color="auto"/>
                                                                            <w:bottom w:val="none" w:sz="0" w:space="0" w:color="auto"/>
                                                                            <w:right w:val="none" w:sz="0" w:space="0" w:color="auto"/>
                                                                          </w:divBdr>
                                                                          <w:divsChild>
                                                                            <w:div w:id="947002607">
                                                                              <w:marLeft w:val="0"/>
                                                                              <w:marRight w:val="0"/>
                                                                              <w:marTop w:val="0"/>
                                                                              <w:marBottom w:val="0"/>
                                                                              <w:divBdr>
                                                                                <w:top w:val="none" w:sz="0" w:space="0" w:color="auto"/>
                                                                                <w:left w:val="none" w:sz="0" w:space="0" w:color="auto"/>
                                                                                <w:bottom w:val="none" w:sz="0" w:space="0" w:color="auto"/>
                                                                                <w:right w:val="none" w:sz="0" w:space="0" w:color="auto"/>
                                                                              </w:divBdr>
                                                                              <w:divsChild>
                                                                                <w:div w:id="1758938966">
                                                                                  <w:marLeft w:val="0"/>
                                                                                  <w:marRight w:val="0"/>
                                                                                  <w:marTop w:val="0"/>
                                                                                  <w:marBottom w:val="0"/>
                                                                                  <w:divBdr>
                                                                                    <w:top w:val="none" w:sz="0" w:space="0" w:color="auto"/>
                                                                                    <w:left w:val="none" w:sz="0" w:space="0" w:color="auto"/>
                                                                                    <w:bottom w:val="none" w:sz="0" w:space="0" w:color="auto"/>
                                                                                    <w:right w:val="none" w:sz="0" w:space="0" w:color="auto"/>
                                                                                  </w:divBdr>
                                                                                  <w:divsChild>
                                                                                    <w:div w:id="223608948">
                                                                                      <w:marLeft w:val="0"/>
                                                                                      <w:marRight w:val="0"/>
                                                                                      <w:marTop w:val="0"/>
                                                                                      <w:marBottom w:val="0"/>
                                                                                      <w:divBdr>
                                                                                        <w:top w:val="none" w:sz="0" w:space="0" w:color="auto"/>
                                                                                        <w:left w:val="none" w:sz="0" w:space="0" w:color="auto"/>
                                                                                        <w:bottom w:val="none" w:sz="0" w:space="0" w:color="auto"/>
                                                                                        <w:right w:val="none" w:sz="0" w:space="0" w:color="auto"/>
                                                                                      </w:divBdr>
                                                                                      <w:divsChild>
                                                                                        <w:div w:id="1901935544">
                                                                                          <w:marLeft w:val="0"/>
                                                                                          <w:marRight w:val="0"/>
                                                                                          <w:marTop w:val="0"/>
                                                                                          <w:marBottom w:val="0"/>
                                                                                          <w:divBdr>
                                                                                            <w:top w:val="none" w:sz="0" w:space="0" w:color="auto"/>
                                                                                            <w:left w:val="none" w:sz="0" w:space="0" w:color="auto"/>
                                                                                            <w:bottom w:val="none" w:sz="0" w:space="0" w:color="auto"/>
                                                                                            <w:right w:val="none" w:sz="0" w:space="0" w:color="auto"/>
                                                                                          </w:divBdr>
                                                                                          <w:divsChild>
                                                                                            <w:div w:id="1291353370">
                                                                                              <w:marLeft w:val="0"/>
                                                                                              <w:marRight w:val="0"/>
                                                                                              <w:marTop w:val="0"/>
                                                                                              <w:marBottom w:val="0"/>
                                                                                              <w:divBdr>
                                                                                                <w:top w:val="none" w:sz="0" w:space="0" w:color="auto"/>
                                                                                                <w:left w:val="none" w:sz="0" w:space="0" w:color="auto"/>
                                                                                                <w:bottom w:val="none" w:sz="0" w:space="0" w:color="auto"/>
                                                                                                <w:right w:val="none" w:sz="0" w:space="0" w:color="auto"/>
                                                                                              </w:divBdr>
                                                                                              <w:divsChild>
                                                                                                <w:div w:id="2049991095">
                                                                                                  <w:marLeft w:val="0"/>
                                                                                                  <w:marRight w:val="0"/>
                                                                                                  <w:marTop w:val="0"/>
                                                                                                  <w:marBottom w:val="0"/>
                                                                                                  <w:divBdr>
                                                                                                    <w:top w:val="none" w:sz="0" w:space="0" w:color="auto"/>
                                                                                                    <w:left w:val="none" w:sz="0" w:space="0" w:color="auto"/>
                                                                                                    <w:bottom w:val="single" w:sz="6" w:space="15" w:color="auto"/>
                                                                                                    <w:right w:val="none" w:sz="0" w:space="0" w:color="auto"/>
                                                                                                  </w:divBdr>
                                                                                                  <w:divsChild>
                                                                                                    <w:div w:id="1575970483">
                                                                                                      <w:marLeft w:val="0"/>
                                                                                                      <w:marRight w:val="0"/>
                                                                                                      <w:marTop w:val="60"/>
                                                                                                      <w:marBottom w:val="0"/>
                                                                                                      <w:divBdr>
                                                                                                        <w:top w:val="none" w:sz="0" w:space="0" w:color="auto"/>
                                                                                                        <w:left w:val="none" w:sz="0" w:space="0" w:color="auto"/>
                                                                                                        <w:bottom w:val="none" w:sz="0" w:space="0" w:color="auto"/>
                                                                                                        <w:right w:val="none" w:sz="0" w:space="0" w:color="auto"/>
                                                                                                      </w:divBdr>
                                                                                                      <w:divsChild>
                                                                                                        <w:div w:id="371661374">
                                                                                                          <w:marLeft w:val="0"/>
                                                                                                          <w:marRight w:val="0"/>
                                                                                                          <w:marTop w:val="0"/>
                                                                                                          <w:marBottom w:val="0"/>
                                                                                                          <w:divBdr>
                                                                                                            <w:top w:val="none" w:sz="0" w:space="0" w:color="auto"/>
                                                                                                            <w:left w:val="none" w:sz="0" w:space="0" w:color="auto"/>
                                                                                                            <w:bottom w:val="none" w:sz="0" w:space="0" w:color="auto"/>
                                                                                                            <w:right w:val="none" w:sz="0" w:space="0" w:color="auto"/>
                                                                                                          </w:divBdr>
                                                                                                          <w:divsChild>
                                                                                                            <w:div w:id="1937904702">
                                                                                                              <w:marLeft w:val="0"/>
                                                                                                              <w:marRight w:val="0"/>
                                                                                                              <w:marTop w:val="0"/>
                                                                                                              <w:marBottom w:val="0"/>
                                                                                                              <w:divBdr>
                                                                                                                <w:top w:val="none" w:sz="0" w:space="0" w:color="auto"/>
                                                                                                                <w:left w:val="none" w:sz="0" w:space="0" w:color="auto"/>
                                                                                                                <w:bottom w:val="none" w:sz="0" w:space="0" w:color="auto"/>
                                                                                                                <w:right w:val="none" w:sz="0" w:space="0" w:color="auto"/>
                                                                                                              </w:divBdr>
                                                                                                              <w:divsChild>
                                                                                                                <w:div w:id="27799205">
                                                                                                                  <w:marLeft w:val="0"/>
                                                                                                                  <w:marRight w:val="0"/>
                                                                                                                  <w:marTop w:val="0"/>
                                                                                                                  <w:marBottom w:val="0"/>
                                                                                                                  <w:divBdr>
                                                                                                                    <w:top w:val="none" w:sz="0" w:space="0" w:color="auto"/>
                                                                                                                    <w:left w:val="none" w:sz="0" w:space="0" w:color="auto"/>
                                                                                                                    <w:bottom w:val="none" w:sz="0" w:space="0" w:color="auto"/>
                                                                                                                    <w:right w:val="none" w:sz="0" w:space="0" w:color="auto"/>
                                                                                                                  </w:divBdr>
                                                                                                                  <w:divsChild>
                                                                                                                    <w:div w:id="772094590">
                                                                                                                      <w:marLeft w:val="0"/>
                                                                                                                      <w:marRight w:val="0"/>
                                                                                                                      <w:marTop w:val="0"/>
                                                                                                                      <w:marBottom w:val="0"/>
                                                                                                                      <w:divBdr>
                                                                                                                        <w:top w:val="none" w:sz="0" w:space="0" w:color="auto"/>
                                                                                                                        <w:left w:val="none" w:sz="0" w:space="0" w:color="auto"/>
                                                                                                                        <w:bottom w:val="none" w:sz="0" w:space="0" w:color="auto"/>
                                                                                                                        <w:right w:val="none" w:sz="0" w:space="0" w:color="auto"/>
                                                                                                                      </w:divBdr>
                                                                                                                      <w:divsChild>
                                                                                                                        <w:div w:id="1309364558">
                                                                                                                          <w:marLeft w:val="0"/>
                                                                                                                          <w:marRight w:val="0"/>
                                                                                                                          <w:marTop w:val="0"/>
                                                                                                                          <w:marBottom w:val="0"/>
                                                                                                                          <w:divBdr>
                                                                                                                            <w:top w:val="none" w:sz="0" w:space="0" w:color="auto"/>
                                                                                                                            <w:left w:val="none" w:sz="0" w:space="0" w:color="auto"/>
                                                                                                                            <w:bottom w:val="none" w:sz="0" w:space="0" w:color="auto"/>
                                                                                                                            <w:right w:val="none" w:sz="0" w:space="0" w:color="auto"/>
                                                                                                                          </w:divBdr>
                                                                                                                          <w:divsChild>
                                                                                                                            <w:div w:id="1740782008">
                                                                                                                              <w:marLeft w:val="0"/>
                                                                                                                              <w:marRight w:val="0"/>
                                                                                                                              <w:marTop w:val="0"/>
                                                                                                                              <w:marBottom w:val="0"/>
                                                                                                                              <w:divBdr>
                                                                                                                                <w:top w:val="none" w:sz="0" w:space="0" w:color="auto"/>
                                                                                                                                <w:left w:val="none" w:sz="0" w:space="0" w:color="auto"/>
                                                                                                                                <w:bottom w:val="none" w:sz="0" w:space="0" w:color="auto"/>
                                                                                                                                <w:right w:val="none" w:sz="0" w:space="0" w:color="auto"/>
                                                                                                                              </w:divBdr>
                                                                                                                              <w:divsChild>
                                                                                                                                <w:div w:id="94649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674157">
      <w:bodyDiv w:val="1"/>
      <w:marLeft w:val="0"/>
      <w:marRight w:val="0"/>
      <w:marTop w:val="0"/>
      <w:marBottom w:val="0"/>
      <w:divBdr>
        <w:top w:val="none" w:sz="0" w:space="0" w:color="auto"/>
        <w:left w:val="none" w:sz="0" w:space="0" w:color="auto"/>
        <w:bottom w:val="none" w:sz="0" w:space="0" w:color="auto"/>
        <w:right w:val="none" w:sz="0" w:space="0" w:color="auto"/>
      </w:divBdr>
    </w:div>
    <w:div w:id="1637291812">
      <w:bodyDiv w:val="1"/>
      <w:marLeft w:val="0"/>
      <w:marRight w:val="0"/>
      <w:marTop w:val="0"/>
      <w:marBottom w:val="0"/>
      <w:divBdr>
        <w:top w:val="none" w:sz="0" w:space="0" w:color="auto"/>
        <w:left w:val="none" w:sz="0" w:space="0" w:color="auto"/>
        <w:bottom w:val="none" w:sz="0" w:space="0" w:color="auto"/>
        <w:right w:val="none" w:sz="0" w:space="0" w:color="auto"/>
      </w:divBdr>
    </w:div>
    <w:div w:id="1640266316">
      <w:bodyDiv w:val="1"/>
      <w:marLeft w:val="0"/>
      <w:marRight w:val="0"/>
      <w:marTop w:val="0"/>
      <w:marBottom w:val="0"/>
      <w:divBdr>
        <w:top w:val="none" w:sz="0" w:space="0" w:color="auto"/>
        <w:left w:val="none" w:sz="0" w:space="0" w:color="auto"/>
        <w:bottom w:val="none" w:sz="0" w:space="0" w:color="auto"/>
        <w:right w:val="none" w:sz="0" w:space="0" w:color="auto"/>
      </w:divBdr>
    </w:div>
    <w:div w:id="1641689936">
      <w:bodyDiv w:val="1"/>
      <w:marLeft w:val="0"/>
      <w:marRight w:val="0"/>
      <w:marTop w:val="0"/>
      <w:marBottom w:val="0"/>
      <w:divBdr>
        <w:top w:val="none" w:sz="0" w:space="0" w:color="auto"/>
        <w:left w:val="none" w:sz="0" w:space="0" w:color="auto"/>
        <w:bottom w:val="none" w:sz="0" w:space="0" w:color="auto"/>
        <w:right w:val="none" w:sz="0" w:space="0" w:color="auto"/>
      </w:divBdr>
    </w:div>
    <w:div w:id="1642030584">
      <w:bodyDiv w:val="1"/>
      <w:marLeft w:val="0"/>
      <w:marRight w:val="0"/>
      <w:marTop w:val="0"/>
      <w:marBottom w:val="0"/>
      <w:divBdr>
        <w:top w:val="none" w:sz="0" w:space="0" w:color="auto"/>
        <w:left w:val="none" w:sz="0" w:space="0" w:color="auto"/>
        <w:bottom w:val="none" w:sz="0" w:space="0" w:color="auto"/>
        <w:right w:val="none" w:sz="0" w:space="0" w:color="auto"/>
      </w:divBdr>
    </w:div>
    <w:div w:id="1642686592">
      <w:bodyDiv w:val="1"/>
      <w:marLeft w:val="0"/>
      <w:marRight w:val="0"/>
      <w:marTop w:val="0"/>
      <w:marBottom w:val="0"/>
      <w:divBdr>
        <w:top w:val="none" w:sz="0" w:space="0" w:color="auto"/>
        <w:left w:val="none" w:sz="0" w:space="0" w:color="auto"/>
        <w:bottom w:val="none" w:sz="0" w:space="0" w:color="auto"/>
        <w:right w:val="none" w:sz="0" w:space="0" w:color="auto"/>
      </w:divBdr>
    </w:div>
    <w:div w:id="1643802210">
      <w:bodyDiv w:val="1"/>
      <w:marLeft w:val="0"/>
      <w:marRight w:val="0"/>
      <w:marTop w:val="0"/>
      <w:marBottom w:val="0"/>
      <w:divBdr>
        <w:top w:val="none" w:sz="0" w:space="0" w:color="auto"/>
        <w:left w:val="none" w:sz="0" w:space="0" w:color="auto"/>
        <w:bottom w:val="none" w:sz="0" w:space="0" w:color="auto"/>
        <w:right w:val="none" w:sz="0" w:space="0" w:color="auto"/>
      </w:divBdr>
    </w:div>
    <w:div w:id="1644385872">
      <w:bodyDiv w:val="1"/>
      <w:marLeft w:val="0"/>
      <w:marRight w:val="0"/>
      <w:marTop w:val="0"/>
      <w:marBottom w:val="0"/>
      <w:divBdr>
        <w:top w:val="none" w:sz="0" w:space="0" w:color="auto"/>
        <w:left w:val="none" w:sz="0" w:space="0" w:color="auto"/>
        <w:bottom w:val="none" w:sz="0" w:space="0" w:color="auto"/>
        <w:right w:val="none" w:sz="0" w:space="0" w:color="auto"/>
      </w:divBdr>
    </w:div>
    <w:div w:id="1647510220">
      <w:bodyDiv w:val="1"/>
      <w:marLeft w:val="0"/>
      <w:marRight w:val="0"/>
      <w:marTop w:val="0"/>
      <w:marBottom w:val="0"/>
      <w:divBdr>
        <w:top w:val="none" w:sz="0" w:space="0" w:color="auto"/>
        <w:left w:val="none" w:sz="0" w:space="0" w:color="auto"/>
        <w:bottom w:val="none" w:sz="0" w:space="0" w:color="auto"/>
        <w:right w:val="none" w:sz="0" w:space="0" w:color="auto"/>
      </w:divBdr>
      <w:divsChild>
        <w:div w:id="1476796237">
          <w:marLeft w:val="0"/>
          <w:marRight w:val="0"/>
          <w:marTop w:val="0"/>
          <w:marBottom w:val="0"/>
          <w:divBdr>
            <w:top w:val="none" w:sz="0" w:space="0" w:color="auto"/>
            <w:left w:val="none" w:sz="0" w:space="0" w:color="auto"/>
            <w:bottom w:val="none" w:sz="0" w:space="0" w:color="auto"/>
            <w:right w:val="none" w:sz="0" w:space="0" w:color="auto"/>
          </w:divBdr>
        </w:div>
      </w:divsChild>
    </w:div>
    <w:div w:id="1648238361">
      <w:bodyDiv w:val="1"/>
      <w:marLeft w:val="0"/>
      <w:marRight w:val="0"/>
      <w:marTop w:val="0"/>
      <w:marBottom w:val="0"/>
      <w:divBdr>
        <w:top w:val="none" w:sz="0" w:space="0" w:color="auto"/>
        <w:left w:val="none" w:sz="0" w:space="0" w:color="auto"/>
        <w:bottom w:val="none" w:sz="0" w:space="0" w:color="auto"/>
        <w:right w:val="none" w:sz="0" w:space="0" w:color="auto"/>
      </w:divBdr>
    </w:div>
    <w:div w:id="1648317627">
      <w:bodyDiv w:val="1"/>
      <w:marLeft w:val="0"/>
      <w:marRight w:val="0"/>
      <w:marTop w:val="0"/>
      <w:marBottom w:val="0"/>
      <w:divBdr>
        <w:top w:val="none" w:sz="0" w:space="0" w:color="auto"/>
        <w:left w:val="none" w:sz="0" w:space="0" w:color="auto"/>
        <w:bottom w:val="none" w:sz="0" w:space="0" w:color="auto"/>
        <w:right w:val="none" w:sz="0" w:space="0" w:color="auto"/>
      </w:divBdr>
    </w:div>
    <w:div w:id="1649630352">
      <w:bodyDiv w:val="1"/>
      <w:marLeft w:val="0"/>
      <w:marRight w:val="0"/>
      <w:marTop w:val="0"/>
      <w:marBottom w:val="0"/>
      <w:divBdr>
        <w:top w:val="none" w:sz="0" w:space="0" w:color="auto"/>
        <w:left w:val="none" w:sz="0" w:space="0" w:color="auto"/>
        <w:bottom w:val="none" w:sz="0" w:space="0" w:color="auto"/>
        <w:right w:val="none" w:sz="0" w:space="0" w:color="auto"/>
      </w:divBdr>
    </w:div>
    <w:div w:id="1650865991">
      <w:bodyDiv w:val="1"/>
      <w:marLeft w:val="0"/>
      <w:marRight w:val="0"/>
      <w:marTop w:val="0"/>
      <w:marBottom w:val="0"/>
      <w:divBdr>
        <w:top w:val="none" w:sz="0" w:space="0" w:color="auto"/>
        <w:left w:val="none" w:sz="0" w:space="0" w:color="auto"/>
        <w:bottom w:val="none" w:sz="0" w:space="0" w:color="auto"/>
        <w:right w:val="none" w:sz="0" w:space="0" w:color="auto"/>
      </w:divBdr>
    </w:div>
    <w:div w:id="1651905732">
      <w:bodyDiv w:val="1"/>
      <w:marLeft w:val="0"/>
      <w:marRight w:val="0"/>
      <w:marTop w:val="0"/>
      <w:marBottom w:val="0"/>
      <w:divBdr>
        <w:top w:val="none" w:sz="0" w:space="0" w:color="auto"/>
        <w:left w:val="none" w:sz="0" w:space="0" w:color="auto"/>
        <w:bottom w:val="none" w:sz="0" w:space="0" w:color="auto"/>
        <w:right w:val="none" w:sz="0" w:space="0" w:color="auto"/>
      </w:divBdr>
    </w:div>
    <w:div w:id="1652709383">
      <w:bodyDiv w:val="1"/>
      <w:marLeft w:val="0"/>
      <w:marRight w:val="0"/>
      <w:marTop w:val="0"/>
      <w:marBottom w:val="0"/>
      <w:divBdr>
        <w:top w:val="none" w:sz="0" w:space="0" w:color="auto"/>
        <w:left w:val="none" w:sz="0" w:space="0" w:color="auto"/>
        <w:bottom w:val="none" w:sz="0" w:space="0" w:color="auto"/>
        <w:right w:val="none" w:sz="0" w:space="0" w:color="auto"/>
      </w:divBdr>
    </w:div>
    <w:div w:id="1653215175">
      <w:bodyDiv w:val="1"/>
      <w:marLeft w:val="0"/>
      <w:marRight w:val="0"/>
      <w:marTop w:val="0"/>
      <w:marBottom w:val="0"/>
      <w:divBdr>
        <w:top w:val="none" w:sz="0" w:space="0" w:color="auto"/>
        <w:left w:val="none" w:sz="0" w:space="0" w:color="auto"/>
        <w:bottom w:val="none" w:sz="0" w:space="0" w:color="auto"/>
        <w:right w:val="none" w:sz="0" w:space="0" w:color="auto"/>
      </w:divBdr>
      <w:divsChild>
        <w:div w:id="2036925996">
          <w:marLeft w:val="0"/>
          <w:marRight w:val="0"/>
          <w:marTop w:val="0"/>
          <w:marBottom w:val="0"/>
          <w:divBdr>
            <w:top w:val="none" w:sz="0" w:space="0" w:color="auto"/>
            <w:left w:val="none" w:sz="0" w:space="0" w:color="auto"/>
            <w:bottom w:val="none" w:sz="0" w:space="0" w:color="auto"/>
            <w:right w:val="none" w:sz="0" w:space="0" w:color="auto"/>
          </w:divBdr>
        </w:div>
      </w:divsChild>
    </w:div>
    <w:div w:id="1654599263">
      <w:bodyDiv w:val="1"/>
      <w:marLeft w:val="0"/>
      <w:marRight w:val="0"/>
      <w:marTop w:val="0"/>
      <w:marBottom w:val="0"/>
      <w:divBdr>
        <w:top w:val="none" w:sz="0" w:space="0" w:color="auto"/>
        <w:left w:val="none" w:sz="0" w:space="0" w:color="auto"/>
        <w:bottom w:val="none" w:sz="0" w:space="0" w:color="auto"/>
        <w:right w:val="none" w:sz="0" w:space="0" w:color="auto"/>
      </w:divBdr>
    </w:div>
    <w:div w:id="1655571376">
      <w:bodyDiv w:val="1"/>
      <w:marLeft w:val="0"/>
      <w:marRight w:val="0"/>
      <w:marTop w:val="0"/>
      <w:marBottom w:val="0"/>
      <w:divBdr>
        <w:top w:val="none" w:sz="0" w:space="0" w:color="auto"/>
        <w:left w:val="none" w:sz="0" w:space="0" w:color="auto"/>
        <w:bottom w:val="none" w:sz="0" w:space="0" w:color="auto"/>
        <w:right w:val="none" w:sz="0" w:space="0" w:color="auto"/>
      </w:divBdr>
    </w:div>
    <w:div w:id="1656029385">
      <w:bodyDiv w:val="1"/>
      <w:marLeft w:val="0"/>
      <w:marRight w:val="0"/>
      <w:marTop w:val="0"/>
      <w:marBottom w:val="0"/>
      <w:divBdr>
        <w:top w:val="none" w:sz="0" w:space="0" w:color="auto"/>
        <w:left w:val="none" w:sz="0" w:space="0" w:color="auto"/>
        <w:bottom w:val="none" w:sz="0" w:space="0" w:color="auto"/>
        <w:right w:val="none" w:sz="0" w:space="0" w:color="auto"/>
      </w:divBdr>
    </w:div>
    <w:div w:id="1657881794">
      <w:bodyDiv w:val="1"/>
      <w:marLeft w:val="0"/>
      <w:marRight w:val="0"/>
      <w:marTop w:val="0"/>
      <w:marBottom w:val="0"/>
      <w:divBdr>
        <w:top w:val="none" w:sz="0" w:space="0" w:color="auto"/>
        <w:left w:val="none" w:sz="0" w:space="0" w:color="auto"/>
        <w:bottom w:val="none" w:sz="0" w:space="0" w:color="auto"/>
        <w:right w:val="none" w:sz="0" w:space="0" w:color="auto"/>
      </w:divBdr>
    </w:div>
    <w:div w:id="1660042150">
      <w:bodyDiv w:val="1"/>
      <w:marLeft w:val="0"/>
      <w:marRight w:val="0"/>
      <w:marTop w:val="0"/>
      <w:marBottom w:val="0"/>
      <w:divBdr>
        <w:top w:val="none" w:sz="0" w:space="0" w:color="auto"/>
        <w:left w:val="none" w:sz="0" w:space="0" w:color="auto"/>
        <w:bottom w:val="none" w:sz="0" w:space="0" w:color="auto"/>
        <w:right w:val="none" w:sz="0" w:space="0" w:color="auto"/>
      </w:divBdr>
    </w:div>
    <w:div w:id="1660384562">
      <w:bodyDiv w:val="1"/>
      <w:marLeft w:val="0"/>
      <w:marRight w:val="0"/>
      <w:marTop w:val="0"/>
      <w:marBottom w:val="0"/>
      <w:divBdr>
        <w:top w:val="none" w:sz="0" w:space="0" w:color="auto"/>
        <w:left w:val="none" w:sz="0" w:space="0" w:color="auto"/>
        <w:bottom w:val="none" w:sz="0" w:space="0" w:color="auto"/>
        <w:right w:val="none" w:sz="0" w:space="0" w:color="auto"/>
      </w:divBdr>
    </w:div>
    <w:div w:id="1660385587">
      <w:bodyDiv w:val="1"/>
      <w:marLeft w:val="0"/>
      <w:marRight w:val="0"/>
      <w:marTop w:val="0"/>
      <w:marBottom w:val="0"/>
      <w:divBdr>
        <w:top w:val="none" w:sz="0" w:space="0" w:color="auto"/>
        <w:left w:val="none" w:sz="0" w:space="0" w:color="auto"/>
        <w:bottom w:val="none" w:sz="0" w:space="0" w:color="auto"/>
        <w:right w:val="none" w:sz="0" w:space="0" w:color="auto"/>
      </w:divBdr>
    </w:div>
    <w:div w:id="1660496589">
      <w:bodyDiv w:val="1"/>
      <w:marLeft w:val="0"/>
      <w:marRight w:val="0"/>
      <w:marTop w:val="0"/>
      <w:marBottom w:val="0"/>
      <w:divBdr>
        <w:top w:val="none" w:sz="0" w:space="0" w:color="auto"/>
        <w:left w:val="none" w:sz="0" w:space="0" w:color="auto"/>
        <w:bottom w:val="none" w:sz="0" w:space="0" w:color="auto"/>
        <w:right w:val="none" w:sz="0" w:space="0" w:color="auto"/>
      </w:divBdr>
    </w:div>
    <w:div w:id="1661809373">
      <w:bodyDiv w:val="1"/>
      <w:marLeft w:val="0"/>
      <w:marRight w:val="0"/>
      <w:marTop w:val="0"/>
      <w:marBottom w:val="0"/>
      <w:divBdr>
        <w:top w:val="none" w:sz="0" w:space="0" w:color="auto"/>
        <w:left w:val="none" w:sz="0" w:space="0" w:color="auto"/>
        <w:bottom w:val="none" w:sz="0" w:space="0" w:color="auto"/>
        <w:right w:val="none" w:sz="0" w:space="0" w:color="auto"/>
      </w:divBdr>
    </w:div>
    <w:div w:id="1662660922">
      <w:bodyDiv w:val="1"/>
      <w:marLeft w:val="0"/>
      <w:marRight w:val="0"/>
      <w:marTop w:val="0"/>
      <w:marBottom w:val="0"/>
      <w:divBdr>
        <w:top w:val="none" w:sz="0" w:space="0" w:color="auto"/>
        <w:left w:val="none" w:sz="0" w:space="0" w:color="auto"/>
        <w:bottom w:val="none" w:sz="0" w:space="0" w:color="auto"/>
        <w:right w:val="none" w:sz="0" w:space="0" w:color="auto"/>
      </w:divBdr>
    </w:div>
    <w:div w:id="1664236082">
      <w:bodyDiv w:val="1"/>
      <w:marLeft w:val="0"/>
      <w:marRight w:val="0"/>
      <w:marTop w:val="0"/>
      <w:marBottom w:val="0"/>
      <w:divBdr>
        <w:top w:val="none" w:sz="0" w:space="0" w:color="auto"/>
        <w:left w:val="none" w:sz="0" w:space="0" w:color="auto"/>
        <w:bottom w:val="none" w:sz="0" w:space="0" w:color="auto"/>
        <w:right w:val="none" w:sz="0" w:space="0" w:color="auto"/>
      </w:divBdr>
    </w:div>
    <w:div w:id="1664430766">
      <w:bodyDiv w:val="1"/>
      <w:marLeft w:val="0"/>
      <w:marRight w:val="0"/>
      <w:marTop w:val="0"/>
      <w:marBottom w:val="0"/>
      <w:divBdr>
        <w:top w:val="none" w:sz="0" w:space="0" w:color="auto"/>
        <w:left w:val="none" w:sz="0" w:space="0" w:color="auto"/>
        <w:bottom w:val="none" w:sz="0" w:space="0" w:color="auto"/>
        <w:right w:val="none" w:sz="0" w:space="0" w:color="auto"/>
      </w:divBdr>
    </w:div>
    <w:div w:id="1664511023">
      <w:bodyDiv w:val="1"/>
      <w:marLeft w:val="0"/>
      <w:marRight w:val="0"/>
      <w:marTop w:val="0"/>
      <w:marBottom w:val="0"/>
      <w:divBdr>
        <w:top w:val="none" w:sz="0" w:space="0" w:color="auto"/>
        <w:left w:val="none" w:sz="0" w:space="0" w:color="auto"/>
        <w:bottom w:val="none" w:sz="0" w:space="0" w:color="auto"/>
        <w:right w:val="none" w:sz="0" w:space="0" w:color="auto"/>
      </w:divBdr>
    </w:div>
    <w:div w:id="1664703506">
      <w:bodyDiv w:val="1"/>
      <w:marLeft w:val="0"/>
      <w:marRight w:val="0"/>
      <w:marTop w:val="0"/>
      <w:marBottom w:val="0"/>
      <w:divBdr>
        <w:top w:val="none" w:sz="0" w:space="0" w:color="auto"/>
        <w:left w:val="none" w:sz="0" w:space="0" w:color="auto"/>
        <w:bottom w:val="none" w:sz="0" w:space="0" w:color="auto"/>
        <w:right w:val="none" w:sz="0" w:space="0" w:color="auto"/>
      </w:divBdr>
    </w:div>
    <w:div w:id="1664897050">
      <w:bodyDiv w:val="1"/>
      <w:marLeft w:val="0"/>
      <w:marRight w:val="0"/>
      <w:marTop w:val="0"/>
      <w:marBottom w:val="0"/>
      <w:divBdr>
        <w:top w:val="none" w:sz="0" w:space="0" w:color="auto"/>
        <w:left w:val="none" w:sz="0" w:space="0" w:color="auto"/>
        <w:bottom w:val="none" w:sz="0" w:space="0" w:color="auto"/>
        <w:right w:val="none" w:sz="0" w:space="0" w:color="auto"/>
      </w:divBdr>
    </w:div>
    <w:div w:id="1665863727">
      <w:bodyDiv w:val="1"/>
      <w:marLeft w:val="0"/>
      <w:marRight w:val="0"/>
      <w:marTop w:val="0"/>
      <w:marBottom w:val="0"/>
      <w:divBdr>
        <w:top w:val="none" w:sz="0" w:space="0" w:color="auto"/>
        <w:left w:val="none" w:sz="0" w:space="0" w:color="auto"/>
        <w:bottom w:val="none" w:sz="0" w:space="0" w:color="auto"/>
        <w:right w:val="none" w:sz="0" w:space="0" w:color="auto"/>
      </w:divBdr>
    </w:div>
    <w:div w:id="1668946946">
      <w:bodyDiv w:val="1"/>
      <w:marLeft w:val="0"/>
      <w:marRight w:val="0"/>
      <w:marTop w:val="0"/>
      <w:marBottom w:val="0"/>
      <w:divBdr>
        <w:top w:val="none" w:sz="0" w:space="0" w:color="auto"/>
        <w:left w:val="none" w:sz="0" w:space="0" w:color="auto"/>
        <w:bottom w:val="none" w:sz="0" w:space="0" w:color="auto"/>
        <w:right w:val="none" w:sz="0" w:space="0" w:color="auto"/>
      </w:divBdr>
    </w:div>
    <w:div w:id="1670448335">
      <w:bodyDiv w:val="1"/>
      <w:marLeft w:val="0"/>
      <w:marRight w:val="0"/>
      <w:marTop w:val="0"/>
      <w:marBottom w:val="0"/>
      <w:divBdr>
        <w:top w:val="none" w:sz="0" w:space="0" w:color="auto"/>
        <w:left w:val="none" w:sz="0" w:space="0" w:color="auto"/>
        <w:bottom w:val="none" w:sz="0" w:space="0" w:color="auto"/>
        <w:right w:val="none" w:sz="0" w:space="0" w:color="auto"/>
      </w:divBdr>
    </w:div>
    <w:div w:id="1670676133">
      <w:bodyDiv w:val="1"/>
      <w:marLeft w:val="0"/>
      <w:marRight w:val="0"/>
      <w:marTop w:val="0"/>
      <w:marBottom w:val="0"/>
      <w:divBdr>
        <w:top w:val="none" w:sz="0" w:space="0" w:color="auto"/>
        <w:left w:val="none" w:sz="0" w:space="0" w:color="auto"/>
        <w:bottom w:val="none" w:sz="0" w:space="0" w:color="auto"/>
        <w:right w:val="none" w:sz="0" w:space="0" w:color="auto"/>
      </w:divBdr>
    </w:div>
    <w:div w:id="1672488795">
      <w:bodyDiv w:val="1"/>
      <w:marLeft w:val="0"/>
      <w:marRight w:val="0"/>
      <w:marTop w:val="0"/>
      <w:marBottom w:val="0"/>
      <w:divBdr>
        <w:top w:val="none" w:sz="0" w:space="0" w:color="auto"/>
        <w:left w:val="none" w:sz="0" w:space="0" w:color="auto"/>
        <w:bottom w:val="none" w:sz="0" w:space="0" w:color="auto"/>
        <w:right w:val="none" w:sz="0" w:space="0" w:color="auto"/>
      </w:divBdr>
    </w:div>
    <w:div w:id="1675062375">
      <w:bodyDiv w:val="1"/>
      <w:marLeft w:val="0"/>
      <w:marRight w:val="0"/>
      <w:marTop w:val="0"/>
      <w:marBottom w:val="0"/>
      <w:divBdr>
        <w:top w:val="none" w:sz="0" w:space="0" w:color="auto"/>
        <w:left w:val="none" w:sz="0" w:space="0" w:color="auto"/>
        <w:bottom w:val="none" w:sz="0" w:space="0" w:color="auto"/>
        <w:right w:val="none" w:sz="0" w:space="0" w:color="auto"/>
      </w:divBdr>
    </w:div>
    <w:div w:id="1676953075">
      <w:bodyDiv w:val="1"/>
      <w:marLeft w:val="0"/>
      <w:marRight w:val="0"/>
      <w:marTop w:val="0"/>
      <w:marBottom w:val="0"/>
      <w:divBdr>
        <w:top w:val="none" w:sz="0" w:space="0" w:color="auto"/>
        <w:left w:val="none" w:sz="0" w:space="0" w:color="auto"/>
        <w:bottom w:val="none" w:sz="0" w:space="0" w:color="auto"/>
        <w:right w:val="none" w:sz="0" w:space="0" w:color="auto"/>
      </w:divBdr>
    </w:div>
    <w:div w:id="1677347280">
      <w:bodyDiv w:val="1"/>
      <w:marLeft w:val="0"/>
      <w:marRight w:val="0"/>
      <w:marTop w:val="0"/>
      <w:marBottom w:val="0"/>
      <w:divBdr>
        <w:top w:val="none" w:sz="0" w:space="0" w:color="auto"/>
        <w:left w:val="none" w:sz="0" w:space="0" w:color="auto"/>
        <w:bottom w:val="none" w:sz="0" w:space="0" w:color="auto"/>
        <w:right w:val="none" w:sz="0" w:space="0" w:color="auto"/>
      </w:divBdr>
    </w:div>
    <w:div w:id="1678077815">
      <w:bodyDiv w:val="1"/>
      <w:marLeft w:val="0"/>
      <w:marRight w:val="0"/>
      <w:marTop w:val="0"/>
      <w:marBottom w:val="0"/>
      <w:divBdr>
        <w:top w:val="none" w:sz="0" w:space="0" w:color="auto"/>
        <w:left w:val="none" w:sz="0" w:space="0" w:color="auto"/>
        <w:bottom w:val="none" w:sz="0" w:space="0" w:color="auto"/>
        <w:right w:val="none" w:sz="0" w:space="0" w:color="auto"/>
      </w:divBdr>
    </w:div>
    <w:div w:id="1678340494">
      <w:bodyDiv w:val="1"/>
      <w:marLeft w:val="0"/>
      <w:marRight w:val="0"/>
      <w:marTop w:val="0"/>
      <w:marBottom w:val="0"/>
      <w:divBdr>
        <w:top w:val="none" w:sz="0" w:space="0" w:color="auto"/>
        <w:left w:val="none" w:sz="0" w:space="0" w:color="auto"/>
        <w:bottom w:val="none" w:sz="0" w:space="0" w:color="auto"/>
        <w:right w:val="none" w:sz="0" w:space="0" w:color="auto"/>
      </w:divBdr>
    </w:div>
    <w:div w:id="1678729705">
      <w:bodyDiv w:val="1"/>
      <w:marLeft w:val="0"/>
      <w:marRight w:val="0"/>
      <w:marTop w:val="0"/>
      <w:marBottom w:val="0"/>
      <w:divBdr>
        <w:top w:val="none" w:sz="0" w:space="0" w:color="auto"/>
        <w:left w:val="none" w:sz="0" w:space="0" w:color="auto"/>
        <w:bottom w:val="none" w:sz="0" w:space="0" w:color="auto"/>
        <w:right w:val="none" w:sz="0" w:space="0" w:color="auto"/>
      </w:divBdr>
    </w:div>
    <w:div w:id="1678772881">
      <w:bodyDiv w:val="1"/>
      <w:marLeft w:val="0"/>
      <w:marRight w:val="0"/>
      <w:marTop w:val="0"/>
      <w:marBottom w:val="0"/>
      <w:divBdr>
        <w:top w:val="none" w:sz="0" w:space="0" w:color="auto"/>
        <w:left w:val="none" w:sz="0" w:space="0" w:color="auto"/>
        <w:bottom w:val="none" w:sz="0" w:space="0" w:color="auto"/>
        <w:right w:val="none" w:sz="0" w:space="0" w:color="auto"/>
      </w:divBdr>
    </w:div>
    <w:div w:id="1679698467">
      <w:bodyDiv w:val="1"/>
      <w:marLeft w:val="0"/>
      <w:marRight w:val="0"/>
      <w:marTop w:val="0"/>
      <w:marBottom w:val="0"/>
      <w:divBdr>
        <w:top w:val="none" w:sz="0" w:space="0" w:color="auto"/>
        <w:left w:val="none" w:sz="0" w:space="0" w:color="auto"/>
        <w:bottom w:val="none" w:sz="0" w:space="0" w:color="auto"/>
        <w:right w:val="none" w:sz="0" w:space="0" w:color="auto"/>
      </w:divBdr>
    </w:div>
    <w:div w:id="1680738154">
      <w:bodyDiv w:val="1"/>
      <w:marLeft w:val="0"/>
      <w:marRight w:val="0"/>
      <w:marTop w:val="0"/>
      <w:marBottom w:val="0"/>
      <w:divBdr>
        <w:top w:val="none" w:sz="0" w:space="0" w:color="auto"/>
        <w:left w:val="none" w:sz="0" w:space="0" w:color="auto"/>
        <w:bottom w:val="none" w:sz="0" w:space="0" w:color="auto"/>
        <w:right w:val="none" w:sz="0" w:space="0" w:color="auto"/>
      </w:divBdr>
    </w:div>
    <w:div w:id="1681272530">
      <w:bodyDiv w:val="1"/>
      <w:marLeft w:val="0"/>
      <w:marRight w:val="0"/>
      <w:marTop w:val="0"/>
      <w:marBottom w:val="0"/>
      <w:divBdr>
        <w:top w:val="none" w:sz="0" w:space="0" w:color="auto"/>
        <w:left w:val="none" w:sz="0" w:space="0" w:color="auto"/>
        <w:bottom w:val="none" w:sz="0" w:space="0" w:color="auto"/>
        <w:right w:val="none" w:sz="0" w:space="0" w:color="auto"/>
      </w:divBdr>
    </w:div>
    <w:div w:id="1686979827">
      <w:bodyDiv w:val="1"/>
      <w:marLeft w:val="0"/>
      <w:marRight w:val="0"/>
      <w:marTop w:val="0"/>
      <w:marBottom w:val="0"/>
      <w:divBdr>
        <w:top w:val="none" w:sz="0" w:space="0" w:color="auto"/>
        <w:left w:val="none" w:sz="0" w:space="0" w:color="auto"/>
        <w:bottom w:val="none" w:sz="0" w:space="0" w:color="auto"/>
        <w:right w:val="none" w:sz="0" w:space="0" w:color="auto"/>
      </w:divBdr>
    </w:div>
    <w:div w:id="1689745866">
      <w:bodyDiv w:val="1"/>
      <w:marLeft w:val="0"/>
      <w:marRight w:val="0"/>
      <w:marTop w:val="0"/>
      <w:marBottom w:val="0"/>
      <w:divBdr>
        <w:top w:val="none" w:sz="0" w:space="0" w:color="auto"/>
        <w:left w:val="none" w:sz="0" w:space="0" w:color="auto"/>
        <w:bottom w:val="none" w:sz="0" w:space="0" w:color="auto"/>
        <w:right w:val="none" w:sz="0" w:space="0" w:color="auto"/>
      </w:divBdr>
    </w:div>
    <w:div w:id="1692804729">
      <w:bodyDiv w:val="1"/>
      <w:marLeft w:val="0"/>
      <w:marRight w:val="0"/>
      <w:marTop w:val="0"/>
      <w:marBottom w:val="0"/>
      <w:divBdr>
        <w:top w:val="none" w:sz="0" w:space="0" w:color="auto"/>
        <w:left w:val="none" w:sz="0" w:space="0" w:color="auto"/>
        <w:bottom w:val="none" w:sz="0" w:space="0" w:color="auto"/>
        <w:right w:val="none" w:sz="0" w:space="0" w:color="auto"/>
      </w:divBdr>
    </w:div>
    <w:div w:id="1693452083">
      <w:bodyDiv w:val="1"/>
      <w:marLeft w:val="0"/>
      <w:marRight w:val="0"/>
      <w:marTop w:val="0"/>
      <w:marBottom w:val="0"/>
      <w:divBdr>
        <w:top w:val="none" w:sz="0" w:space="0" w:color="auto"/>
        <w:left w:val="none" w:sz="0" w:space="0" w:color="auto"/>
        <w:bottom w:val="none" w:sz="0" w:space="0" w:color="auto"/>
        <w:right w:val="none" w:sz="0" w:space="0" w:color="auto"/>
      </w:divBdr>
    </w:div>
    <w:div w:id="1693653313">
      <w:bodyDiv w:val="1"/>
      <w:marLeft w:val="0"/>
      <w:marRight w:val="0"/>
      <w:marTop w:val="0"/>
      <w:marBottom w:val="0"/>
      <w:divBdr>
        <w:top w:val="none" w:sz="0" w:space="0" w:color="auto"/>
        <w:left w:val="none" w:sz="0" w:space="0" w:color="auto"/>
        <w:bottom w:val="none" w:sz="0" w:space="0" w:color="auto"/>
        <w:right w:val="none" w:sz="0" w:space="0" w:color="auto"/>
      </w:divBdr>
    </w:div>
    <w:div w:id="1697661237">
      <w:bodyDiv w:val="1"/>
      <w:marLeft w:val="0"/>
      <w:marRight w:val="0"/>
      <w:marTop w:val="0"/>
      <w:marBottom w:val="0"/>
      <w:divBdr>
        <w:top w:val="none" w:sz="0" w:space="0" w:color="auto"/>
        <w:left w:val="none" w:sz="0" w:space="0" w:color="auto"/>
        <w:bottom w:val="none" w:sz="0" w:space="0" w:color="auto"/>
        <w:right w:val="none" w:sz="0" w:space="0" w:color="auto"/>
      </w:divBdr>
    </w:div>
    <w:div w:id="1700551206">
      <w:bodyDiv w:val="1"/>
      <w:marLeft w:val="0"/>
      <w:marRight w:val="0"/>
      <w:marTop w:val="0"/>
      <w:marBottom w:val="0"/>
      <w:divBdr>
        <w:top w:val="none" w:sz="0" w:space="0" w:color="auto"/>
        <w:left w:val="none" w:sz="0" w:space="0" w:color="auto"/>
        <w:bottom w:val="none" w:sz="0" w:space="0" w:color="auto"/>
        <w:right w:val="none" w:sz="0" w:space="0" w:color="auto"/>
      </w:divBdr>
    </w:div>
    <w:div w:id="1701122956">
      <w:bodyDiv w:val="1"/>
      <w:marLeft w:val="0"/>
      <w:marRight w:val="0"/>
      <w:marTop w:val="0"/>
      <w:marBottom w:val="0"/>
      <w:divBdr>
        <w:top w:val="none" w:sz="0" w:space="0" w:color="auto"/>
        <w:left w:val="none" w:sz="0" w:space="0" w:color="auto"/>
        <w:bottom w:val="none" w:sz="0" w:space="0" w:color="auto"/>
        <w:right w:val="none" w:sz="0" w:space="0" w:color="auto"/>
      </w:divBdr>
    </w:div>
    <w:div w:id="1702241574">
      <w:bodyDiv w:val="1"/>
      <w:marLeft w:val="0"/>
      <w:marRight w:val="0"/>
      <w:marTop w:val="0"/>
      <w:marBottom w:val="0"/>
      <w:divBdr>
        <w:top w:val="none" w:sz="0" w:space="0" w:color="auto"/>
        <w:left w:val="none" w:sz="0" w:space="0" w:color="auto"/>
        <w:bottom w:val="none" w:sz="0" w:space="0" w:color="auto"/>
        <w:right w:val="none" w:sz="0" w:space="0" w:color="auto"/>
      </w:divBdr>
    </w:div>
    <w:div w:id="1705207967">
      <w:bodyDiv w:val="1"/>
      <w:marLeft w:val="0"/>
      <w:marRight w:val="0"/>
      <w:marTop w:val="0"/>
      <w:marBottom w:val="0"/>
      <w:divBdr>
        <w:top w:val="none" w:sz="0" w:space="0" w:color="auto"/>
        <w:left w:val="none" w:sz="0" w:space="0" w:color="auto"/>
        <w:bottom w:val="none" w:sz="0" w:space="0" w:color="auto"/>
        <w:right w:val="none" w:sz="0" w:space="0" w:color="auto"/>
      </w:divBdr>
    </w:div>
    <w:div w:id="1705208825">
      <w:bodyDiv w:val="1"/>
      <w:marLeft w:val="0"/>
      <w:marRight w:val="0"/>
      <w:marTop w:val="0"/>
      <w:marBottom w:val="0"/>
      <w:divBdr>
        <w:top w:val="none" w:sz="0" w:space="0" w:color="auto"/>
        <w:left w:val="none" w:sz="0" w:space="0" w:color="auto"/>
        <w:bottom w:val="none" w:sz="0" w:space="0" w:color="auto"/>
        <w:right w:val="none" w:sz="0" w:space="0" w:color="auto"/>
      </w:divBdr>
      <w:divsChild>
        <w:div w:id="943612634">
          <w:marLeft w:val="0"/>
          <w:marRight w:val="0"/>
          <w:marTop w:val="0"/>
          <w:marBottom w:val="0"/>
          <w:divBdr>
            <w:top w:val="none" w:sz="0" w:space="0" w:color="auto"/>
            <w:left w:val="none" w:sz="0" w:space="0" w:color="auto"/>
            <w:bottom w:val="none" w:sz="0" w:space="0" w:color="auto"/>
            <w:right w:val="none" w:sz="0" w:space="0" w:color="auto"/>
          </w:divBdr>
        </w:div>
      </w:divsChild>
    </w:div>
    <w:div w:id="1705641913">
      <w:bodyDiv w:val="1"/>
      <w:marLeft w:val="0"/>
      <w:marRight w:val="0"/>
      <w:marTop w:val="0"/>
      <w:marBottom w:val="0"/>
      <w:divBdr>
        <w:top w:val="none" w:sz="0" w:space="0" w:color="auto"/>
        <w:left w:val="none" w:sz="0" w:space="0" w:color="auto"/>
        <w:bottom w:val="none" w:sz="0" w:space="0" w:color="auto"/>
        <w:right w:val="none" w:sz="0" w:space="0" w:color="auto"/>
      </w:divBdr>
    </w:div>
    <w:div w:id="1709984136">
      <w:bodyDiv w:val="1"/>
      <w:marLeft w:val="0"/>
      <w:marRight w:val="0"/>
      <w:marTop w:val="0"/>
      <w:marBottom w:val="0"/>
      <w:divBdr>
        <w:top w:val="none" w:sz="0" w:space="0" w:color="auto"/>
        <w:left w:val="none" w:sz="0" w:space="0" w:color="auto"/>
        <w:bottom w:val="none" w:sz="0" w:space="0" w:color="auto"/>
        <w:right w:val="none" w:sz="0" w:space="0" w:color="auto"/>
      </w:divBdr>
    </w:div>
    <w:div w:id="1712420828">
      <w:bodyDiv w:val="1"/>
      <w:marLeft w:val="0"/>
      <w:marRight w:val="0"/>
      <w:marTop w:val="0"/>
      <w:marBottom w:val="0"/>
      <w:divBdr>
        <w:top w:val="none" w:sz="0" w:space="0" w:color="auto"/>
        <w:left w:val="none" w:sz="0" w:space="0" w:color="auto"/>
        <w:bottom w:val="none" w:sz="0" w:space="0" w:color="auto"/>
        <w:right w:val="none" w:sz="0" w:space="0" w:color="auto"/>
      </w:divBdr>
    </w:div>
    <w:div w:id="1712726483">
      <w:bodyDiv w:val="1"/>
      <w:marLeft w:val="0"/>
      <w:marRight w:val="0"/>
      <w:marTop w:val="0"/>
      <w:marBottom w:val="0"/>
      <w:divBdr>
        <w:top w:val="none" w:sz="0" w:space="0" w:color="auto"/>
        <w:left w:val="none" w:sz="0" w:space="0" w:color="auto"/>
        <w:bottom w:val="none" w:sz="0" w:space="0" w:color="auto"/>
        <w:right w:val="none" w:sz="0" w:space="0" w:color="auto"/>
      </w:divBdr>
    </w:div>
    <w:div w:id="1713190321">
      <w:bodyDiv w:val="1"/>
      <w:marLeft w:val="0"/>
      <w:marRight w:val="0"/>
      <w:marTop w:val="0"/>
      <w:marBottom w:val="0"/>
      <w:divBdr>
        <w:top w:val="none" w:sz="0" w:space="0" w:color="auto"/>
        <w:left w:val="none" w:sz="0" w:space="0" w:color="auto"/>
        <w:bottom w:val="none" w:sz="0" w:space="0" w:color="auto"/>
        <w:right w:val="none" w:sz="0" w:space="0" w:color="auto"/>
      </w:divBdr>
    </w:div>
    <w:div w:id="1713534671">
      <w:bodyDiv w:val="1"/>
      <w:marLeft w:val="0"/>
      <w:marRight w:val="0"/>
      <w:marTop w:val="0"/>
      <w:marBottom w:val="0"/>
      <w:divBdr>
        <w:top w:val="none" w:sz="0" w:space="0" w:color="auto"/>
        <w:left w:val="none" w:sz="0" w:space="0" w:color="auto"/>
        <w:bottom w:val="none" w:sz="0" w:space="0" w:color="auto"/>
        <w:right w:val="none" w:sz="0" w:space="0" w:color="auto"/>
      </w:divBdr>
    </w:div>
    <w:div w:id="1716395021">
      <w:bodyDiv w:val="1"/>
      <w:marLeft w:val="0"/>
      <w:marRight w:val="0"/>
      <w:marTop w:val="0"/>
      <w:marBottom w:val="0"/>
      <w:divBdr>
        <w:top w:val="none" w:sz="0" w:space="0" w:color="auto"/>
        <w:left w:val="none" w:sz="0" w:space="0" w:color="auto"/>
        <w:bottom w:val="none" w:sz="0" w:space="0" w:color="auto"/>
        <w:right w:val="none" w:sz="0" w:space="0" w:color="auto"/>
      </w:divBdr>
    </w:div>
    <w:div w:id="1716463367">
      <w:bodyDiv w:val="1"/>
      <w:marLeft w:val="0"/>
      <w:marRight w:val="0"/>
      <w:marTop w:val="0"/>
      <w:marBottom w:val="0"/>
      <w:divBdr>
        <w:top w:val="none" w:sz="0" w:space="0" w:color="auto"/>
        <w:left w:val="none" w:sz="0" w:space="0" w:color="auto"/>
        <w:bottom w:val="none" w:sz="0" w:space="0" w:color="auto"/>
        <w:right w:val="none" w:sz="0" w:space="0" w:color="auto"/>
      </w:divBdr>
    </w:div>
    <w:div w:id="1716930590">
      <w:bodyDiv w:val="1"/>
      <w:marLeft w:val="0"/>
      <w:marRight w:val="0"/>
      <w:marTop w:val="0"/>
      <w:marBottom w:val="0"/>
      <w:divBdr>
        <w:top w:val="none" w:sz="0" w:space="0" w:color="auto"/>
        <w:left w:val="none" w:sz="0" w:space="0" w:color="auto"/>
        <w:bottom w:val="none" w:sz="0" w:space="0" w:color="auto"/>
        <w:right w:val="none" w:sz="0" w:space="0" w:color="auto"/>
      </w:divBdr>
    </w:div>
    <w:div w:id="1717044614">
      <w:bodyDiv w:val="1"/>
      <w:marLeft w:val="0"/>
      <w:marRight w:val="0"/>
      <w:marTop w:val="0"/>
      <w:marBottom w:val="0"/>
      <w:divBdr>
        <w:top w:val="none" w:sz="0" w:space="0" w:color="auto"/>
        <w:left w:val="none" w:sz="0" w:space="0" w:color="auto"/>
        <w:bottom w:val="none" w:sz="0" w:space="0" w:color="auto"/>
        <w:right w:val="none" w:sz="0" w:space="0" w:color="auto"/>
      </w:divBdr>
    </w:div>
    <w:div w:id="1718118686">
      <w:bodyDiv w:val="1"/>
      <w:marLeft w:val="0"/>
      <w:marRight w:val="0"/>
      <w:marTop w:val="0"/>
      <w:marBottom w:val="0"/>
      <w:divBdr>
        <w:top w:val="none" w:sz="0" w:space="0" w:color="auto"/>
        <w:left w:val="none" w:sz="0" w:space="0" w:color="auto"/>
        <w:bottom w:val="none" w:sz="0" w:space="0" w:color="auto"/>
        <w:right w:val="none" w:sz="0" w:space="0" w:color="auto"/>
      </w:divBdr>
    </w:div>
    <w:div w:id="1719280924">
      <w:bodyDiv w:val="1"/>
      <w:marLeft w:val="0"/>
      <w:marRight w:val="0"/>
      <w:marTop w:val="0"/>
      <w:marBottom w:val="0"/>
      <w:divBdr>
        <w:top w:val="none" w:sz="0" w:space="0" w:color="auto"/>
        <w:left w:val="none" w:sz="0" w:space="0" w:color="auto"/>
        <w:bottom w:val="none" w:sz="0" w:space="0" w:color="auto"/>
        <w:right w:val="none" w:sz="0" w:space="0" w:color="auto"/>
      </w:divBdr>
    </w:div>
    <w:div w:id="1720860376">
      <w:bodyDiv w:val="1"/>
      <w:marLeft w:val="0"/>
      <w:marRight w:val="0"/>
      <w:marTop w:val="0"/>
      <w:marBottom w:val="0"/>
      <w:divBdr>
        <w:top w:val="none" w:sz="0" w:space="0" w:color="auto"/>
        <w:left w:val="none" w:sz="0" w:space="0" w:color="auto"/>
        <w:bottom w:val="none" w:sz="0" w:space="0" w:color="auto"/>
        <w:right w:val="none" w:sz="0" w:space="0" w:color="auto"/>
      </w:divBdr>
      <w:divsChild>
        <w:div w:id="1590197112">
          <w:marLeft w:val="0"/>
          <w:marRight w:val="0"/>
          <w:marTop w:val="0"/>
          <w:marBottom w:val="0"/>
          <w:divBdr>
            <w:top w:val="none" w:sz="0" w:space="0" w:color="auto"/>
            <w:left w:val="none" w:sz="0" w:space="0" w:color="auto"/>
            <w:bottom w:val="none" w:sz="0" w:space="0" w:color="auto"/>
            <w:right w:val="none" w:sz="0" w:space="0" w:color="auto"/>
          </w:divBdr>
        </w:div>
      </w:divsChild>
    </w:div>
    <w:div w:id="1721048834">
      <w:bodyDiv w:val="1"/>
      <w:marLeft w:val="0"/>
      <w:marRight w:val="0"/>
      <w:marTop w:val="0"/>
      <w:marBottom w:val="0"/>
      <w:divBdr>
        <w:top w:val="none" w:sz="0" w:space="0" w:color="auto"/>
        <w:left w:val="none" w:sz="0" w:space="0" w:color="auto"/>
        <w:bottom w:val="none" w:sz="0" w:space="0" w:color="auto"/>
        <w:right w:val="none" w:sz="0" w:space="0" w:color="auto"/>
      </w:divBdr>
    </w:div>
    <w:div w:id="1722055801">
      <w:bodyDiv w:val="1"/>
      <w:marLeft w:val="0"/>
      <w:marRight w:val="0"/>
      <w:marTop w:val="0"/>
      <w:marBottom w:val="0"/>
      <w:divBdr>
        <w:top w:val="none" w:sz="0" w:space="0" w:color="auto"/>
        <w:left w:val="none" w:sz="0" w:space="0" w:color="auto"/>
        <w:bottom w:val="none" w:sz="0" w:space="0" w:color="auto"/>
        <w:right w:val="none" w:sz="0" w:space="0" w:color="auto"/>
      </w:divBdr>
    </w:div>
    <w:div w:id="1722056245">
      <w:bodyDiv w:val="1"/>
      <w:marLeft w:val="0"/>
      <w:marRight w:val="0"/>
      <w:marTop w:val="0"/>
      <w:marBottom w:val="0"/>
      <w:divBdr>
        <w:top w:val="none" w:sz="0" w:space="0" w:color="auto"/>
        <w:left w:val="none" w:sz="0" w:space="0" w:color="auto"/>
        <w:bottom w:val="none" w:sz="0" w:space="0" w:color="auto"/>
        <w:right w:val="none" w:sz="0" w:space="0" w:color="auto"/>
      </w:divBdr>
    </w:div>
    <w:div w:id="1726097575">
      <w:bodyDiv w:val="1"/>
      <w:marLeft w:val="0"/>
      <w:marRight w:val="0"/>
      <w:marTop w:val="0"/>
      <w:marBottom w:val="0"/>
      <w:divBdr>
        <w:top w:val="none" w:sz="0" w:space="0" w:color="auto"/>
        <w:left w:val="none" w:sz="0" w:space="0" w:color="auto"/>
        <w:bottom w:val="none" w:sz="0" w:space="0" w:color="auto"/>
        <w:right w:val="none" w:sz="0" w:space="0" w:color="auto"/>
      </w:divBdr>
    </w:div>
    <w:div w:id="1726222271">
      <w:bodyDiv w:val="1"/>
      <w:marLeft w:val="0"/>
      <w:marRight w:val="0"/>
      <w:marTop w:val="0"/>
      <w:marBottom w:val="0"/>
      <w:divBdr>
        <w:top w:val="none" w:sz="0" w:space="0" w:color="auto"/>
        <w:left w:val="none" w:sz="0" w:space="0" w:color="auto"/>
        <w:bottom w:val="none" w:sz="0" w:space="0" w:color="auto"/>
        <w:right w:val="none" w:sz="0" w:space="0" w:color="auto"/>
      </w:divBdr>
    </w:div>
    <w:div w:id="1728382106">
      <w:bodyDiv w:val="1"/>
      <w:marLeft w:val="0"/>
      <w:marRight w:val="0"/>
      <w:marTop w:val="0"/>
      <w:marBottom w:val="0"/>
      <w:divBdr>
        <w:top w:val="none" w:sz="0" w:space="0" w:color="auto"/>
        <w:left w:val="none" w:sz="0" w:space="0" w:color="auto"/>
        <w:bottom w:val="none" w:sz="0" w:space="0" w:color="auto"/>
        <w:right w:val="none" w:sz="0" w:space="0" w:color="auto"/>
      </w:divBdr>
    </w:div>
    <w:div w:id="1728604353">
      <w:bodyDiv w:val="1"/>
      <w:marLeft w:val="0"/>
      <w:marRight w:val="0"/>
      <w:marTop w:val="0"/>
      <w:marBottom w:val="0"/>
      <w:divBdr>
        <w:top w:val="none" w:sz="0" w:space="0" w:color="auto"/>
        <w:left w:val="none" w:sz="0" w:space="0" w:color="auto"/>
        <w:bottom w:val="none" w:sz="0" w:space="0" w:color="auto"/>
        <w:right w:val="none" w:sz="0" w:space="0" w:color="auto"/>
      </w:divBdr>
    </w:div>
    <w:div w:id="1734960704">
      <w:bodyDiv w:val="1"/>
      <w:marLeft w:val="0"/>
      <w:marRight w:val="0"/>
      <w:marTop w:val="0"/>
      <w:marBottom w:val="0"/>
      <w:divBdr>
        <w:top w:val="none" w:sz="0" w:space="0" w:color="auto"/>
        <w:left w:val="none" w:sz="0" w:space="0" w:color="auto"/>
        <w:bottom w:val="none" w:sz="0" w:space="0" w:color="auto"/>
        <w:right w:val="none" w:sz="0" w:space="0" w:color="auto"/>
      </w:divBdr>
    </w:div>
    <w:div w:id="1736708116">
      <w:bodyDiv w:val="1"/>
      <w:marLeft w:val="0"/>
      <w:marRight w:val="0"/>
      <w:marTop w:val="0"/>
      <w:marBottom w:val="0"/>
      <w:divBdr>
        <w:top w:val="none" w:sz="0" w:space="0" w:color="auto"/>
        <w:left w:val="none" w:sz="0" w:space="0" w:color="auto"/>
        <w:bottom w:val="none" w:sz="0" w:space="0" w:color="auto"/>
        <w:right w:val="none" w:sz="0" w:space="0" w:color="auto"/>
      </w:divBdr>
    </w:div>
    <w:div w:id="1739746054">
      <w:bodyDiv w:val="1"/>
      <w:marLeft w:val="0"/>
      <w:marRight w:val="0"/>
      <w:marTop w:val="0"/>
      <w:marBottom w:val="0"/>
      <w:divBdr>
        <w:top w:val="none" w:sz="0" w:space="0" w:color="auto"/>
        <w:left w:val="none" w:sz="0" w:space="0" w:color="auto"/>
        <w:bottom w:val="none" w:sz="0" w:space="0" w:color="auto"/>
        <w:right w:val="none" w:sz="0" w:space="0" w:color="auto"/>
      </w:divBdr>
    </w:div>
    <w:div w:id="1740636367">
      <w:bodyDiv w:val="1"/>
      <w:marLeft w:val="0"/>
      <w:marRight w:val="0"/>
      <w:marTop w:val="0"/>
      <w:marBottom w:val="0"/>
      <w:divBdr>
        <w:top w:val="none" w:sz="0" w:space="0" w:color="auto"/>
        <w:left w:val="none" w:sz="0" w:space="0" w:color="auto"/>
        <w:bottom w:val="none" w:sz="0" w:space="0" w:color="auto"/>
        <w:right w:val="none" w:sz="0" w:space="0" w:color="auto"/>
      </w:divBdr>
      <w:divsChild>
        <w:div w:id="720832735">
          <w:marLeft w:val="0"/>
          <w:marRight w:val="0"/>
          <w:marTop w:val="0"/>
          <w:marBottom w:val="0"/>
          <w:divBdr>
            <w:top w:val="none" w:sz="0" w:space="0" w:color="auto"/>
            <w:left w:val="none" w:sz="0" w:space="0" w:color="auto"/>
            <w:bottom w:val="none" w:sz="0" w:space="0" w:color="auto"/>
            <w:right w:val="none" w:sz="0" w:space="0" w:color="auto"/>
          </w:divBdr>
        </w:div>
      </w:divsChild>
    </w:div>
    <w:div w:id="1740902689">
      <w:bodyDiv w:val="1"/>
      <w:marLeft w:val="0"/>
      <w:marRight w:val="0"/>
      <w:marTop w:val="0"/>
      <w:marBottom w:val="0"/>
      <w:divBdr>
        <w:top w:val="none" w:sz="0" w:space="0" w:color="auto"/>
        <w:left w:val="none" w:sz="0" w:space="0" w:color="auto"/>
        <w:bottom w:val="none" w:sz="0" w:space="0" w:color="auto"/>
        <w:right w:val="none" w:sz="0" w:space="0" w:color="auto"/>
      </w:divBdr>
    </w:div>
    <w:div w:id="1742407019">
      <w:marLeft w:val="0"/>
      <w:marRight w:val="0"/>
      <w:marTop w:val="0"/>
      <w:marBottom w:val="0"/>
      <w:divBdr>
        <w:top w:val="none" w:sz="0" w:space="0" w:color="auto"/>
        <w:left w:val="none" w:sz="0" w:space="0" w:color="auto"/>
        <w:bottom w:val="none" w:sz="0" w:space="0" w:color="auto"/>
        <w:right w:val="none" w:sz="0" w:space="0" w:color="auto"/>
      </w:divBdr>
    </w:div>
    <w:div w:id="1742407020">
      <w:marLeft w:val="0"/>
      <w:marRight w:val="0"/>
      <w:marTop w:val="0"/>
      <w:marBottom w:val="0"/>
      <w:divBdr>
        <w:top w:val="none" w:sz="0" w:space="0" w:color="auto"/>
        <w:left w:val="none" w:sz="0" w:space="0" w:color="auto"/>
        <w:bottom w:val="none" w:sz="0" w:space="0" w:color="auto"/>
        <w:right w:val="none" w:sz="0" w:space="0" w:color="auto"/>
      </w:divBdr>
    </w:div>
    <w:div w:id="1742407021">
      <w:marLeft w:val="0"/>
      <w:marRight w:val="0"/>
      <w:marTop w:val="0"/>
      <w:marBottom w:val="0"/>
      <w:divBdr>
        <w:top w:val="none" w:sz="0" w:space="0" w:color="auto"/>
        <w:left w:val="none" w:sz="0" w:space="0" w:color="auto"/>
        <w:bottom w:val="none" w:sz="0" w:space="0" w:color="auto"/>
        <w:right w:val="none" w:sz="0" w:space="0" w:color="auto"/>
      </w:divBdr>
    </w:div>
    <w:div w:id="1742407022">
      <w:marLeft w:val="0"/>
      <w:marRight w:val="0"/>
      <w:marTop w:val="0"/>
      <w:marBottom w:val="0"/>
      <w:divBdr>
        <w:top w:val="none" w:sz="0" w:space="0" w:color="auto"/>
        <w:left w:val="none" w:sz="0" w:space="0" w:color="auto"/>
        <w:bottom w:val="none" w:sz="0" w:space="0" w:color="auto"/>
        <w:right w:val="none" w:sz="0" w:space="0" w:color="auto"/>
      </w:divBdr>
    </w:div>
    <w:div w:id="1742407023">
      <w:marLeft w:val="0"/>
      <w:marRight w:val="0"/>
      <w:marTop w:val="0"/>
      <w:marBottom w:val="0"/>
      <w:divBdr>
        <w:top w:val="none" w:sz="0" w:space="0" w:color="auto"/>
        <w:left w:val="none" w:sz="0" w:space="0" w:color="auto"/>
        <w:bottom w:val="none" w:sz="0" w:space="0" w:color="auto"/>
        <w:right w:val="none" w:sz="0" w:space="0" w:color="auto"/>
      </w:divBdr>
    </w:div>
    <w:div w:id="1742407024">
      <w:marLeft w:val="0"/>
      <w:marRight w:val="0"/>
      <w:marTop w:val="0"/>
      <w:marBottom w:val="0"/>
      <w:divBdr>
        <w:top w:val="none" w:sz="0" w:space="0" w:color="auto"/>
        <w:left w:val="none" w:sz="0" w:space="0" w:color="auto"/>
        <w:bottom w:val="none" w:sz="0" w:space="0" w:color="auto"/>
        <w:right w:val="none" w:sz="0" w:space="0" w:color="auto"/>
      </w:divBdr>
    </w:div>
    <w:div w:id="1742407025">
      <w:marLeft w:val="0"/>
      <w:marRight w:val="0"/>
      <w:marTop w:val="0"/>
      <w:marBottom w:val="0"/>
      <w:divBdr>
        <w:top w:val="none" w:sz="0" w:space="0" w:color="auto"/>
        <w:left w:val="none" w:sz="0" w:space="0" w:color="auto"/>
        <w:bottom w:val="none" w:sz="0" w:space="0" w:color="auto"/>
        <w:right w:val="none" w:sz="0" w:space="0" w:color="auto"/>
      </w:divBdr>
    </w:div>
    <w:div w:id="1742407026">
      <w:marLeft w:val="0"/>
      <w:marRight w:val="0"/>
      <w:marTop w:val="0"/>
      <w:marBottom w:val="0"/>
      <w:divBdr>
        <w:top w:val="none" w:sz="0" w:space="0" w:color="auto"/>
        <w:left w:val="none" w:sz="0" w:space="0" w:color="auto"/>
        <w:bottom w:val="none" w:sz="0" w:space="0" w:color="auto"/>
        <w:right w:val="none" w:sz="0" w:space="0" w:color="auto"/>
      </w:divBdr>
    </w:div>
    <w:div w:id="1742407027">
      <w:marLeft w:val="0"/>
      <w:marRight w:val="0"/>
      <w:marTop w:val="0"/>
      <w:marBottom w:val="0"/>
      <w:divBdr>
        <w:top w:val="none" w:sz="0" w:space="0" w:color="auto"/>
        <w:left w:val="none" w:sz="0" w:space="0" w:color="auto"/>
        <w:bottom w:val="none" w:sz="0" w:space="0" w:color="auto"/>
        <w:right w:val="none" w:sz="0" w:space="0" w:color="auto"/>
      </w:divBdr>
    </w:div>
    <w:div w:id="1742407028">
      <w:marLeft w:val="0"/>
      <w:marRight w:val="0"/>
      <w:marTop w:val="0"/>
      <w:marBottom w:val="0"/>
      <w:divBdr>
        <w:top w:val="none" w:sz="0" w:space="0" w:color="auto"/>
        <w:left w:val="none" w:sz="0" w:space="0" w:color="auto"/>
        <w:bottom w:val="none" w:sz="0" w:space="0" w:color="auto"/>
        <w:right w:val="none" w:sz="0" w:space="0" w:color="auto"/>
      </w:divBdr>
    </w:div>
    <w:div w:id="1742407029">
      <w:marLeft w:val="0"/>
      <w:marRight w:val="0"/>
      <w:marTop w:val="0"/>
      <w:marBottom w:val="0"/>
      <w:divBdr>
        <w:top w:val="none" w:sz="0" w:space="0" w:color="auto"/>
        <w:left w:val="none" w:sz="0" w:space="0" w:color="auto"/>
        <w:bottom w:val="none" w:sz="0" w:space="0" w:color="auto"/>
        <w:right w:val="none" w:sz="0" w:space="0" w:color="auto"/>
      </w:divBdr>
    </w:div>
    <w:div w:id="1742407030">
      <w:marLeft w:val="0"/>
      <w:marRight w:val="0"/>
      <w:marTop w:val="0"/>
      <w:marBottom w:val="0"/>
      <w:divBdr>
        <w:top w:val="none" w:sz="0" w:space="0" w:color="auto"/>
        <w:left w:val="none" w:sz="0" w:space="0" w:color="auto"/>
        <w:bottom w:val="none" w:sz="0" w:space="0" w:color="auto"/>
        <w:right w:val="none" w:sz="0" w:space="0" w:color="auto"/>
      </w:divBdr>
    </w:div>
    <w:div w:id="1742407031">
      <w:marLeft w:val="0"/>
      <w:marRight w:val="0"/>
      <w:marTop w:val="0"/>
      <w:marBottom w:val="0"/>
      <w:divBdr>
        <w:top w:val="none" w:sz="0" w:space="0" w:color="auto"/>
        <w:left w:val="none" w:sz="0" w:space="0" w:color="auto"/>
        <w:bottom w:val="none" w:sz="0" w:space="0" w:color="auto"/>
        <w:right w:val="none" w:sz="0" w:space="0" w:color="auto"/>
      </w:divBdr>
    </w:div>
    <w:div w:id="1742407032">
      <w:marLeft w:val="0"/>
      <w:marRight w:val="0"/>
      <w:marTop w:val="0"/>
      <w:marBottom w:val="0"/>
      <w:divBdr>
        <w:top w:val="none" w:sz="0" w:space="0" w:color="auto"/>
        <w:left w:val="none" w:sz="0" w:space="0" w:color="auto"/>
        <w:bottom w:val="none" w:sz="0" w:space="0" w:color="auto"/>
        <w:right w:val="none" w:sz="0" w:space="0" w:color="auto"/>
      </w:divBdr>
    </w:div>
    <w:div w:id="1742407033">
      <w:marLeft w:val="0"/>
      <w:marRight w:val="0"/>
      <w:marTop w:val="0"/>
      <w:marBottom w:val="0"/>
      <w:divBdr>
        <w:top w:val="none" w:sz="0" w:space="0" w:color="auto"/>
        <w:left w:val="none" w:sz="0" w:space="0" w:color="auto"/>
        <w:bottom w:val="none" w:sz="0" w:space="0" w:color="auto"/>
        <w:right w:val="none" w:sz="0" w:space="0" w:color="auto"/>
      </w:divBdr>
    </w:div>
    <w:div w:id="1742407034">
      <w:marLeft w:val="0"/>
      <w:marRight w:val="0"/>
      <w:marTop w:val="0"/>
      <w:marBottom w:val="0"/>
      <w:divBdr>
        <w:top w:val="none" w:sz="0" w:space="0" w:color="auto"/>
        <w:left w:val="none" w:sz="0" w:space="0" w:color="auto"/>
        <w:bottom w:val="none" w:sz="0" w:space="0" w:color="auto"/>
        <w:right w:val="none" w:sz="0" w:space="0" w:color="auto"/>
      </w:divBdr>
    </w:div>
    <w:div w:id="1742407035">
      <w:marLeft w:val="0"/>
      <w:marRight w:val="0"/>
      <w:marTop w:val="0"/>
      <w:marBottom w:val="0"/>
      <w:divBdr>
        <w:top w:val="none" w:sz="0" w:space="0" w:color="auto"/>
        <w:left w:val="none" w:sz="0" w:space="0" w:color="auto"/>
        <w:bottom w:val="none" w:sz="0" w:space="0" w:color="auto"/>
        <w:right w:val="none" w:sz="0" w:space="0" w:color="auto"/>
      </w:divBdr>
    </w:div>
    <w:div w:id="1742407036">
      <w:marLeft w:val="0"/>
      <w:marRight w:val="0"/>
      <w:marTop w:val="0"/>
      <w:marBottom w:val="0"/>
      <w:divBdr>
        <w:top w:val="none" w:sz="0" w:space="0" w:color="auto"/>
        <w:left w:val="none" w:sz="0" w:space="0" w:color="auto"/>
        <w:bottom w:val="none" w:sz="0" w:space="0" w:color="auto"/>
        <w:right w:val="none" w:sz="0" w:space="0" w:color="auto"/>
      </w:divBdr>
    </w:div>
    <w:div w:id="1742407037">
      <w:marLeft w:val="0"/>
      <w:marRight w:val="0"/>
      <w:marTop w:val="0"/>
      <w:marBottom w:val="0"/>
      <w:divBdr>
        <w:top w:val="none" w:sz="0" w:space="0" w:color="auto"/>
        <w:left w:val="none" w:sz="0" w:space="0" w:color="auto"/>
        <w:bottom w:val="none" w:sz="0" w:space="0" w:color="auto"/>
        <w:right w:val="none" w:sz="0" w:space="0" w:color="auto"/>
      </w:divBdr>
    </w:div>
    <w:div w:id="1742407038">
      <w:marLeft w:val="0"/>
      <w:marRight w:val="0"/>
      <w:marTop w:val="0"/>
      <w:marBottom w:val="0"/>
      <w:divBdr>
        <w:top w:val="none" w:sz="0" w:space="0" w:color="auto"/>
        <w:left w:val="none" w:sz="0" w:space="0" w:color="auto"/>
        <w:bottom w:val="none" w:sz="0" w:space="0" w:color="auto"/>
        <w:right w:val="none" w:sz="0" w:space="0" w:color="auto"/>
      </w:divBdr>
    </w:div>
    <w:div w:id="1742407039">
      <w:marLeft w:val="0"/>
      <w:marRight w:val="0"/>
      <w:marTop w:val="0"/>
      <w:marBottom w:val="0"/>
      <w:divBdr>
        <w:top w:val="none" w:sz="0" w:space="0" w:color="auto"/>
        <w:left w:val="none" w:sz="0" w:space="0" w:color="auto"/>
        <w:bottom w:val="none" w:sz="0" w:space="0" w:color="auto"/>
        <w:right w:val="none" w:sz="0" w:space="0" w:color="auto"/>
      </w:divBdr>
    </w:div>
    <w:div w:id="1742407040">
      <w:marLeft w:val="0"/>
      <w:marRight w:val="0"/>
      <w:marTop w:val="0"/>
      <w:marBottom w:val="0"/>
      <w:divBdr>
        <w:top w:val="none" w:sz="0" w:space="0" w:color="auto"/>
        <w:left w:val="none" w:sz="0" w:space="0" w:color="auto"/>
        <w:bottom w:val="none" w:sz="0" w:space="0" w:color="auto"/>
        <w:right w:val="none" w:sz="0" w:space="0" w:color="auto"/>
      </w:divBdr>
    </w:div>
    <w:div w:id="1742407041">
      <w:marLeft w:val="0"/>
      <w:marRight w:val="0"/>
      <w:marTop w:val="0"/>
      <w:marBottom w:val="0"/>
      <w:divBdr>
        <w:top w:val="none" w:sz="0" w:space="0" w:color="auto"/>
        <w:left w:val="none" w:sz="0" w:space="0" w:color="auto"/>
        <w:bottom w:val="none" w:sz="0" w:space="0" w:color="auto"/>
        <w:right w:val="none" w:sz="0" w:space="0" w:color="auto"/>
      </w:divBdr>
    </w:div>
    <w:div w:id="1742407042">
      <w:marLeft w:val="0"/>
      <w:marRight w:val="0"/>
      <w:marTop w:val="0"/>
      <w:marBottom w:val="0"/>
      <w:divBdr>
        <w:top w:val="none" w:sz="0" w:space="0" w:color="auto"/>
        <w:left w:val="none" w:sz="0" w:space="0" w:color="auto"/>
        <w:bottom w:val="none" w:sz="0" w:space="0" w:color="auto"/>
        <w:right w:val="none" w:sz="0" w:space="0" w:color="auto"/>
      </w:divBdr>
    </w:div>
    <w:div w:id="1742407043">
      <w:marLeft w:val="0"/>
      <w:marRight w:val="0"/>
      <w:marTop w:val="0"/>
      <w:marBottom w:val="0"/>
      <w:divBdr>
        <w:top w:val="none" w:sz="0" w:space="0" w:color="auto"/>
        <w:left w:val="none" w:sz="0" w:space="0" w:color="auto"/>
        <w:bottom w:val="none" w:sz="0" w:space="0" w:color="auto"/>
        <w:right w:val="none" w:sz="0" w:space="0" w:color="auto"/>
      </w:divBdr>
    </w:div>
    <w:div w:id="1742407044">
      <w:marLeft w:val="0"/>
      <w:marRight w:val="0"/>
      <w:marTop w:val="0"/>
      <w:marBottom w:val="0"/>
      <w:divBdr>
        <w:top w:val="none" w:sz="0" w:space="0" w:color="auto"/>
        <w:left w:val="none" w:sz="0" w:space="0" w:color="auto"/>
        <w:bottom w:val="none" w:sz="0" w:space="0" w:color="auto"/>
        <w:right w:val="none" w:sz="0" w:space="0" w:color="auto"/>
      </w:divBdr>
    </w:div>
    <w:div w:id="1742407045">
      <w:marLeft w:val="0"/>
      <w:marRight w:val="0"/>
      <w:marTop w:val="0"/>
      <w:marBottom w:val="0"/>
      <w:divBdr>
        <w:top w:val="none" w:sz="0" w:space="0" w:color="auto"/>
        <w:left w:val="none" w:sz="0" w:space="0" w:color="auto"/>
        <w:bottom w:val="none" w:sz="0" w:space="0" w:color="auto"/>
        <w:right w:val="none" w:sz="0" w:space="0" w:color="auto"/>
      </w:divBdr>
    </w:div>
    <w:div w:id="1742407046">
      <w:marLeft w:val="0"/>
      <w:marRight w:val="0"/>
      <w:marTop w:val="0"/>
      <w:marBottom w:val="0"/>
      <w:divBdr>
        <w:top w:val="none" w:sz="0" w:space="0" w:color="auto"/>
        <w:left w:val="none" w:sz="0" w:space="0" w:color="auto"/>
        <w:bottom w:val="none" w:sz="0" w:space="0" w:color="auto"/>
        <w:right w:val="none" w:sz="0" w:space="0" w:color="auto"/>
      </w:divBdr>
    </w:div>
    <w:div w:id="1742407047">
      <w:marLeft w:val="0"/>
      <w:marRight w:val="0"/>
      <w:marTop w:val="0"/>
      <w:marBottom w:val="0"/>
      <w:divBdr>
        <w:top w:val="none" w:sz="0" w:space="0" w:color="auto"/>
        <w:left w:val="none" w:sz="0" w:space="0" w:color="auto"/>
        <w:bottom w:val="none" w:sz="0" w:space="0" w:color="auto"/>
        <w:right w:val="none" w:sz="0" w:space="0" w:color="auto"/>
      </w:divBdr>
    </w:div>
    <w:div w:id="1742407048">
      <w:marLeft w:val="0"/>
      <w:marRight w:val="0"/>
      <w:marTop w:val="0"/>
      <w:marBottom w:val="0"/>
      <w:divBdr>
        <w:top w:val="none" w:sz="0" w:space="0" w:color="auto"/>
        <w:left w:val="none" w:sz="0" w:space="0" w:color="auto"/>
        <w:bottom w:val="none" w:sz="0" w:space="0" w:color="auto"/>
        <w:right w:val="none" w:sz="0" w:space="0" w:color="auto"/>
      </w:divBdr>
    </w:div>
    <w:div w:id="1742407049">
      <w:marLeft w:val="0"/>
      <w:marRight w:val="0"/>
      <w:marTop w:val="0"/>
      <w:marBottom w:val="0"/>
      <w:divBdr>
        <w:top w:val="none" w:sz="0" w:space="0" w:color="auto"/>
        <w:left w:val="none" w:sz="0" w:space="0" w:color="auto"/>
        <w:bottom w:val="none" w:sz="0" w:space="0" w:color="auto"/>
        <w:right w:val="none" w:sz="0" w:space="0" w:color="auto"/>
      </w:divBdr>
    </w:div>
    <w:div w:id="1742407050">
      <w:marLeft w:val="0"/>
      <w:marRight w:val="0"/>
      <w:marTop w:val="0"/>
      <w:marBottom w:val="0"/>
      <w:divBdr>
        <w:top w:val="none" w:sz="0" w:space="0" w:color="auto"/>
        <w:left w:val="none" w:sz="0" w:space="0" w:color="auto"/>
        <w:bottom w:val="none" w:sz="0" w:space="0" w:color="auto"/>
        <w:right w:val="none" w:sz="0" w:space="0" w:color="auto"/>
      </w:divBdr>
    </w:div>
    <w:div w:id="1742407051">
      <w:marLeft w:val="0"/>
      <w:marRight w:val="0"/>
      <w:marTop w:val="0"/>
      <w:marBottom w:val="0"/>
      <w:divBdr>
        <w:top w:val="none" w:sz="0" w:space="0" w:color="auto"/>
        <w:left w:val="none" w:sz="0" w:space="0" w:color="auto"/>
        <w:bottom w:val="none" w:sz="0" w:space="0" w:color="auto"/>
        <w:right w:val="none" w:sz="0" w:space="0" w:color="auto"/>
      </w:divBdr>
    </w:div>
    <w:div w:id="1742407052">
      <w:marLeft w:val="0"/>
      <w:marRight w:val="0"/>
      <w:marTop w:val="0"/>
      <w:marBottom w:val="0"/>
      <w:divBdr>
        <w:top w:val="none" w:sz="0" w:space="0" w:color="auto"/>
        <w:left w:val="none" w:sz="0" w:space="0" w:color="auto"/>
        <w:bottom w:val="none" w:sz="0" w:space="0" w:color="auto"/>
        <w:right w:val="none" w:sz="0" w:space="0" w:color="auto"/>
      </w:divBdr>
    </w:div>
    <w:div w:id="1742407053">
      <w:marLeft w:val="0"/>
      <w:marRight w:val="0"/>
      <w:marTop w:val="0"/>
      <w:marBottom w:val="0"/>
      <w:divBdr>
        <w:top w:val="none" w:sz="0" w:space="0" w:color="auto"/>
        <w:left w:val="none" w:sz="0" w:space="0" w:color="auto"/>
        <w:bottom w:val="none" w:sz="0" w:space="0" w:color="auto"/>
        <w:right w:val="none" w:sz="0" w:space="0" w:color="auto"/>
      </w:divBdr>
    </w:div>
    <w:div w:id="1742407054">
      <w:marLeft w:val="0"/>
      <w:marRight w:val="0"/>
      <w:marTop w:val="0"/>
      <w:marBottom w:val="0"/>
      <w:divBdr>
        <w:top w:val="none" w:sz="0" w:space="0" w:color="auto"/>
        <w:left w:val="none" w:sz="0" w:space="0" w:color="auto"/>
        <w:bottom w:val="none" w:sz="0" w:space="0" w:color="auto"/>
        <w:right w:val="none" w:sz="0" w:space="0" w:color="auto"/>
      </w:divBdr>
    </w:div>
    <w:div w:id="1742407055">
      <w:marLeft w:val="0"/>
      <w:marRight w:val="0"/>
      <w:marTop w:val="0"/>
      <w:marBottom w:val="0"/>
      <w:divBdr>
        <w:top w:val="none" w:sz="0" w:space="0" w:color="auto"/>
        <w:left w:val="none" w:sz="0" w:space="0" w:color="auto"/>
        <w:bottom w:val="none" w:sz="0" w:space="0" w:color="auto"/>
        <w:right w:val="none" w:sz="0" w:space="0" w:color="auto"/>
      </w:divBdr>
    </w:div>
    <w:div w:id="1742407056">
      <w:marLeft w:val="0"/>
      <w:marRight w:val="0"/>
      <w:marTop w:val="0"/>
      <w:marBottom w:val="0"/>
      <w:divBdr>
        <w:top w:val="none" w:sz="0" w:space="0" w:color="auto"/>
        <w:left w:val="none" w:sz="0" w:space="0" w:color="auto"/>
        <w:bottom w:val="none" w:sz="0" w:space="0" w:color="auto"/>
        <w:right w:val="none" w:sz="0" w:space="0" w:color="auto"/>
      </w:divBdr>
    </w:div>
    <w:div w:id="1742407057">
      <w:marLeft w:val="0"/>
      <w:marRight w:val="0"/>
      <w:marTop w:val="0"/>
      <w:marBottom w:val="0"/>
      <w:divBdr>
        <w:top w:val="none" w:sz="0" w:space="0" w:color="auto"/>
        <w:left w:val="none" w:sz="0" w:space="0" w:color="auto"/>
        <w:bottom w:val="none" w:sz="0" w:space="0" w:color="auto"/>
        <w:right w:val="none" w:sz="0" w:space="0" w:color="auto"/>
      </w:divBdr>
    </w:div>
    <w:div w:id="1742407058">
      <w:marLeft w:val="0"/>
      <w:marRight w:val="0"/>
      <w:marTop w:val="0"/>
      <w:marBottom w:val="0"/>
      <w:divBdr>
        <w:top w:val="none" w:sz="0" w:space="0" w:color="auto"/>
        <w:left w:val="none" w:sz="0" w:space="0" w:color="auto"/>
        <w:bottom w:val="none" w:sz="0" w:space="0" w:color="auto"/>
        <w:right w:val="none" w:sz="0" w:space="0" w:color="auto"/>
      </w:divBdr>
    </w:div>
    <w:div w:id="1742407059">
      <w:marLeft w:val="0"/>
      <w:marRight w:val="0"/>
      <w:marTop w:val="0"/>
      <w:marBottom w:val="0"/>
      <w:divBdr>
        <w:top w:val="none" w:sz="0" w:space="0" w:color="auto"/>
        <w:left w:val="none" w:sz="0" w:space="0" w:color="auto"/>
        <w:bottom w:val="none" w:sz="0" w:space="0" w:color="auto"/>
        <w:right w:val="none" w:sz="0" w:space="0" w:color="auto"/>
      </w:divBdr>
    </w:div>
    <w:div w:id="1742407060">
      <w:marLeft w:val="0"/>
      <w:marRight w:val="0"/>
      <w:marTop w:val="0"/>
      <w:marBottom w:val="0"/>
      <w:divBdr>
        <w:top w:val="none" w:sz="0" w:space="0" w:color="auto"/>
        <w:left w:val="none" w:sz="0" w:space="0" w:color="auto"/>
        <w:bottom w:val="none" w:sz="0" w:space="0" w:color="auto"/>
        <w:right w:val="none" w:sz="0" w:space="0" w:color="auto"/>
      </w:divBdr>
    </w:div>
    <w:div w:id="1742407061">
      <w:marLeft w:val="0"/>
      <w:marRight w:val="0"/>
      <w:marTop w:val="0"/>
      <w:marBottom w:val="0"/>
      <w:divBdr>
        <w:top w:val="none" w:sz="0" w:space="0" w:color="auto"/>
        <w:left w:val="none" w:sz="0" w:space="0" w:color="auto"/>
        <w:bottom w:val="none" w:sz="0" w:space="0" w:color="auto"/>
        <w:right w:val="none" w:sz="0" w:space="0" w:color="auto"/>
      </w:divBdr>
    </w:div>
    <w:div w:id="1742407062">
      <w:marLeft w:val="0"/>
      <w:marRight w:val="0"/>
      <w:marTop w:val="0"/>
      <w:marBottom w:val="0"/>
      <w:divBdr>
        <w:top w:val="none" w:sz="0" w:space="0" w:color="auto"/>
        <w:left w:val="none" w:sz="0" w:space="0" w:color="auto"/>
        <w:bottom w:val="none" w:sz="0" w:space="0" w:color="auto"/>
        <w:right w:val="none" w:sz="0" w:space="0" w:color="auto"/>
      </w:divBdr>
    </w:div>
    <w:div w:id="1742407063">
      <w:marLeft w:val="0"/>
      <w:marRight w:val="0"/>
      <w:marTop w:val="0"/>
      <w:marBottom w:val="0"/>
      <w:divBdr>
        <w:top w:val="none" w:sz="0" w:space="0" w:color="auto"/>
        <w:left w:val="none" w:sz="0" w:space="0" w:color="auto"/>
        <w:bottom w:val="none" w:sz="0" w:space="0" w:color="auto"/>
        <w:right w:val="none" w:sz="0" w:space="0" w:color="auto"/>
      </w:divBdr>
    </w:div>
    <w:div w:id="1742407064">
      <w:marLeft w:val="0"/>
      <w:marRight w:val="0"/>
      <w:marTop w:val="0"/>
      <w:marBottom w:val="0"/>
      <w:divBdr>
        <w:top w:val="none" w:sz="0" w:space="0" w:color="auto"/>
        <w:left w:val="none" w:sz="0" w:space="0" w:color="auto"/>
        <w:bottom w:val="none" w:sz="0" w:space="0" w:color="auto"/>
        <w:right w:val="none" w:sz="0" w:space="0" w:color="auto"/>
      </w:divBdr>
    </w:div>
    <w:div w:id="1742407065">
      <w:marLeft w:val="0"/>
      <w:marRight w:val="0"/>
      <w:marTop w:val="0"/>
      <w:marBottom w:val="0"/>
      <w:divBdr>
        <w:top w:val="none" w:sz="0" w:space="0" w:color="auto"/>
        <w:left w:val="none" w:sz="0" w:space="0" w:color="auto"/>
        <w:bottom w:val="none" w:sz="0" w:space="0" w:color="auto"/>
        <w:right w:val="none" w:sz="0" w:space="0" w:color="auto"/>
      </w:divBdr>
    </w:div>
    <w:div w:id="1742407066">
      <w:marLeft w:val="0"/>
      <w:marRight w:val="0"/>
      <w:marTop w:val="0"/>
      <w:marBottom w:val="0"/>
      <w:divBdr>
        <w:top w:val="none" w:sz="0" w:space="0" w:color="auto"/>
        <w:left w:val="none" w:sz="0" w:space="0" w:color="auto"/>
        <w:bottom w:val="none" w:sz="0" w:space="0" w:color="auto"/>
        <w:right w:val="none" w:sz="0" w:space="0" w:color="auto"/>
      </w:divBdr>
    </w:div>
    <w:div w:id="1742407067">
      <w:marLeft w:val="0"/>
      <w:marRight w:val="0"/>
      <w:marTop w:val="0"/>
      <w:marBottom w:val="0"/>
      <w:divBdr>
        <w:top w:val="none" w:sz="0" w:space="0" w:color="auto"/>
        <w:left w:val="none" w:sz="0" w:space="0" w:color="auto"/>
        <w:bottom w:val="none" w:sz="0" w:space="0" w:color="auto"/>
        <w:right w:val="none" w:sz="0" w:space="0" w:color="auto"/>
      </w:divBdr>
    </w:div>
    <w:div w:id="1742407068">
      <w:marLeft w:val="0"/>
      <w:marRight w:val="0"/>
      <w:marTop w:val="0"/>
      <w:marBottom w:val="0"/>
      <w:divBdr>
        <w:top w:val="none" w:sz="0" w:space="0" w:color="auto"/>
        <w:left w:val="none" w:sz="0" w:space="0" w:color="auto"/>
        <w:bottom w:val="none" w:sz="0" w:space="0" w:color="auto"/>
        <w:right w:val="none" w:sz="0" w:space="0" w:color="auto"/>
      </w:divBdr>
    </w:div>
    <w:div w:id="1742407069">
      <w:marLeft w:val="0"/>
      <w:marRight w:val="0"/>
      <w:marTop w:val="0"/>
      <w:marBottom w:val="0"/>
      <w:divBdr>
        <w:top w:val="none" w:sz="0" w:space="0" w:color="auto"/>
        <w:left w:val="none" w:sz="0" w:space="0" w:color="auto"/>
        <w:bottom w:val="none" w:sz="0" w:space="0" w:color="auto"/>
        <w:right w:val="none" w:sz="0" w:space="0" w:color="auto"/>
      </w:divBdr>
    </w:div>
    <w:div w:id="1742407070">
      <w:marLeft w:val="0"/>
      <w:marRight w:val="0"/>
      <w:marTop w:val="0"/>
      <w:marBottom w:val="0"/>
      <w:divBdr>
        <w:top w:val="none" w:sz="0" w:space="0" w:color="auto"/>
        <w:left w:val="none" w:sz="0" w:space="0" w:color="auto"/>
        <w:bottom w:val="none" w:sz="0" w:space="0" w:color="auto"/>
        <w:right w:val="none" w:sz="0" w:space="0" w:color="auto"/>
      </w:divBdr>
    </w:div>
    <w:div w:id="1742407071">
      <w:marLeft w:val="0"/>
      <w:marRight w:val="0"/>
      <w:marTop w:val="0"/>
      <w:marBottom w:val="0"/>
      <w:divBdr>
        <w:top w:val="none" w:sz="0" w:space="0" w:color="auto"/>
        <w:left w:val="none" w:sz="0" w:space="0" w:color="auto"/>
        <w:bottom w:val="none" w:sz="0" w:space="0" w:color="auto"/>
        <w:right w:val="none" w:sz="0" w:space="0" w:color="auto"/>
      </w:divBdr>
    </w:div>
    <w:div w:id="1742407072">
      <w:marLeft w:val="0"/>
      <w:marRight w:val="0"/>
      <w:marTop w:val="0"/>
      <w:marBottom w:val="0"/>
      <w:divBdr>
        <w:top w:val="none" w:sz="0" w:space="0" w:color="auto"/>
        <w:left w:val="none" w:sz="0" w:space="0" w:color="auto"/>
        <w:bottom w:val="none" w:sz="0" w:space="0" w:color="auto"/>
        <w:right w:val="none" w:sz="0" w:space="0" w:color="auto"/>
      </w:divBdr>
    </w:div>
    <w:div w:id="1742407073">
      <w:marLeft w:val="0"/>
      <w:marRight w:val="0"/>
      <w:marTop w:val="0"/>
      <w:marBottom w:val="0"/>
      <w:divBdr>
        <w:top w:val="none" w:sz="0" w:space="0" w:color="auto"/>
        <w:left w:val="none" w:sz="0" w:space="0" w:color="auto"/>
        <w:bottom w:val="none" w:sz="0" w:space="0" w:color="auto"/>
        <w:right w:val="none" w:sz="0" w:space="0" w:color="auto"/>
      </w:divBdr>
    </w:div>
    <w:div w:id="1742407074">
      <w:marLeft w:val="0"/>
      <w:marRight w:val="0"/>
      <w:marTop w:val="0"/>
      <w:marBottom w:val="0"/>
      <w:divBdr>
        <w:top w:val="none" w:sz="0" w:space="0" w:color="auto"/>
        <w:left w:val="none" w:sz="0" w:space="0" w:color="auto"/>
        <w:bottom w:val="none" w:sz="0" w:space="0" w:color="auto"/>
        <w:right w:val="none" w:sz="0" w:space="0" w:color="auto"/>
      </w:divBdr>
    </w:div>
    <w:div w:id="1742407075">
      <w:marLeft w:val="0"/>
      <w:marRight w:val="0"/>
      <w:marTop w:val="0"/>
      <w:marBottom w:val="0"/>
      <w:divBdr>
        <w:top w:val="none" w:sz="0" w:space="0" w:color="auto"/>
        <w:left w:val="none" w:sz="0" w:space="0" w:color="auto"/>
        <w:bottom w:val="none" w:sz="0" w:space="0" w:color="auto"/>
        <w:right w:val="none" w:sz="0" w:space="0" w:color="auto"/>
      </w:divBdr>
    </w:div>
    <w:div w:id="1742407076">
      <w:marLeft w:val="0"/>
      <w:marRight w:val="0"/>
      <w:marTop w:val="0"/>
      <w:marBottom w:val="0"/>
      <w:divBdr>
        <w:top w:val="none" w:sz="0" w:space="0" w:color="auto"/>
        <w:left w:val="none" w:sz="0" w:space="0" w:color="auto"/>
        <w:bottom w:val="none" w:sz="0" w:space="0" w:color="auto"/>
        <w:right w:val="none" w:sz="0" w:space="0" w:color="auto"/>
      </w:divBdr>
    </w:div>
    <w:div w:id="1742407077">
      <w:marLeft w:val="0"/>
      <w:marRight w:val="0"/>
      <w:marTop w:val="0"/>
      <w:marBottom w:val="0"/>
      <w:divBdr>
        <w:top w:val="none" w:sz="0" w:space="0" w:color="auto"/>
        <w:left w:val="none" w:sz="0" w:space="0" w:color="auto"/>
        <w:bottom w:val="none" w:sz="0" w:space="0" w:color="auto"/>
        <w:right w:val="none" w:sz="0" w:space="0" w:color="auto"/>
      </w:divBdr>
    </w:div>
    <w:div w:id="1742407078">
      <w:marLeft w:val="0"/>
      <w:marRight w:val="0"/>
      <w:marTop w:val="0"/>
      <w:marBottom w:val="0"/>
      <w:divBdr>
        <w:top w:val="none" w:sz="0" w:space="0" w:color="auto"/>
        <w:left w:val="none" w:sz="0" w:space="0" w:color="auto"/>
        <w:bottom w:val="none" w:sz="0" w:space="0" w:color="auto"/>
        <w:right w:val="none" w:sz="0" w:space="0" w:color="auto"/>
      </w:divBdr>
    </w:div>
    <w:div w:id="1742407079">
      <w:marLeft w:val="0"/>
      <w:marRight w:val="0"/>
      <w:marTop w:val="0"/>
      <w:marBottom w:val="0"/>
      <w:divBdr>
        <w:top w:val="none" w:sz="0" w:space="0" w:color="auto"/>
        <w:left w:val="none" w:sz="0" w:space="0" w:color="auto"/>
        <w:bottom w:val="none" w:sz="0" w:space="0" w:color="auto"/>
        <w:right w:val="none" w:sz="0" w:space="0" w:color="auto"/>
      </w:divBdr>
    </w:div>
    <w:div w:id="1742407080">
      <w:marLeft w:val="0"/>
      <w:marRight w:val="0"/>
      <w:marTop w:val="0"/>
      <w:marBottom w:val="0"/>
      <w:divBdr>
        <w:top w:val="none" w:sz="0" w:space="0" w:color="auto"/>
        <w:left w:val="none" w:sz="0" w:space="0" w:color="auto"/>
        <w:bottom w:val="none" w:sz="0" w:space="0" w:color="auto"/>
        <w:right w:val="none" w:sz="0" w:space="0" w:color="auto"/>
      </w:divBdr>
    </w:div>
    <w:div w:id="1742407081">
      <w:marLeft w:val="0"/>
      <w:marRight w:val="0"/>
      <w:marTop w:val="0"/>
      <w:marBottom w:val="0"/>
      <w:divBdr>
        <w:top w:val="none" w:sz="0" w:space="0" w:color="auto"/>
        <w:left w:val="none" w:sz="0" w:space="0" w:color="auto"/>
        <w:bottom w:val="none" w:sz="0" w:space="0" w:color="auto"/>
        <w:right w:val="none" w:sz="0" w:space="0" w:color="auto"/>
      </w:divBdr>
    </w:div>
    <w:div w:id="1742407082">
      <w:marLeft w:val="0"/>
      <w:marRight w:val="0"/>
      <w:marTop w:val="0"/>
      <w:marBottom w:val="0"/>
      <w:divBdr>
        <w:top w:val="none" w:sz="0" w:space="0" w:color="auto"/>
        <w:left w:val="none" w:sz="0" w:space="0" w:color="auto"/>
        <w:bottom w:val="none" w:sz="0" w:space="0" w:color="auto"/>
        <w:right w:val="none" w:sz="0" w:space="0" w:color="auto"/>
      </w:divBdr>
    </w:div>
    <w:div w:id="1742407083">
      <w:marLeft w:val="0"/>
      <w:marRight w:val="0"/>
      <w:marTop w:val="0"/>
      <w:marBottom w:val="0"/>
      <w:divBdr>
        <w:top w:val="none" w:sz="0" w:space="0" w:color="auto"/>
        <w:left w:val="none" w:sz="0" w:space="0" w:color="auto"/>
        <w:bottom w:val="none" w:sz="0" w:space="0" w:color="auto"/>
        <w:right w:val="none" w:sz="0" w:space="0" w:color="auto"/>
      </w:divBdr>
    </w:div>
    <w:div w:id="1742407084">
      <w:marLeft w:val="0"/>
      <w:marRight w:val="0"/>
      <w:marTop w:val="0"/>
      <w:marBottom w:val="0"/>
      <w:divBdr>
        <w:top w:val="none" w:sz="0" w:space="0" w:color="auto"/>
        <w:left w:val="none" w:sz="0" w:space="0" w:color="auto"/>
        <w:bottom w:val="none" w:sz="0" w:space="0" w:color="auto"/>
        <w:right w:val="none" w:sz="0" w:space="0" w:color="auto"/>
      </w:divBdr>
    </w:div>
    <w:div w:id="1742407085">
      <w:marLeft w:val="0"/>
      <w:marRight w:val="0"/>
      <w:marTop w:val="0"/>
      <w:marBottom w:val="0"/>
      <w:divBdr>
        <w:top w:val="none" w:sz="0" w:space="0" w:color="auto"/>
        <w:left w:val="none" w:sz="0" w:space="0" w:color="auto"/>
        <w:bottom w:val="none" w:sz="0" w:space="0" w:color="auto"/>
        <w:right w:val="none" w:sz="0" w:space="0" w:color="auto"/>
      </w:divBdr>
    </w:div>
    <w:div w:id="1742407086">
      <w:marLeft w:val="0"/>
      <w:marRight w:val="0"/>
      <w:marTop w:val="0"/>
      <w:marBottom w:val="0"/>
      <w:divBdr>
        <w:top w:val="none" w:sz="0" w:space="0" w:color="auto"/>
        <w:left w:val="none" w:sz="0" w:space="0" w:color="auto"/>
        <w:bottom w:val="none" w:sz="0" w:space="0" w:color="auto"/>
        <w:right w:val="none" w:sz="0" w:space="0" w:color="auto"/>
      </w:divBdr>
    </w:div>
    <w:div w:id="1742407087">
      <w:marLeft w:val="0"/>
      <w:marRight w:val="0"/>
      <w:marTop w:val="0"/>
      <w:marBottom w:val="0"/>
      <w:divBdr>
        <w:top w:val="none" w:sz="0" w:space="0" w:color="auto"/>
        <w:left w:val="none" w:sz="0" w:space="0" w:color="auto"/>
        <w:bottom w:val="none" w:sz="0" w:space="0" w:color="auto"/>
        <w:right w:val="none" w:sz="0" w:space="0" w:color="auto"/>
      </w:divBdr>
    </w:div>
    <w:div w:id="1742407088">
      <w:marLeft w:val="0"/>
      <w:marRight w:val="0"/>
      <w:marTop w:val="0"/>
      <w:marBottom w:val="0"/>
      <w:divBdr>
        <w:top w:val="none" w:sz="0" w:space="0" w:color="auto"/>
        <w:left w:val="none" w:sz="0" w:space="0" w:color="auto"/>
        <w:bottom w:val="none" w:sz="0" w:space="0" w:color="auto"/>
        <w:right w:val="none" w:sz="0" w:space="0" w:color="auto"/>
      </w:divBdr>
    </w:div>
    <w:div w:id="1742407089">
      <w:marLeft w:val="0"/>
      <w:marRight w:val="0"/>
      <w:marTop w:val="0"/>
      <w:marBottom w:val="0"/>
      <w:divBdr>
        <w:top w:val="none" w:sz="0" w:space="0" w:color="auto"/>
        <w:left w:val="none" w:sz="0" w:space="0" w:color="auto"/>
        <w:bottom w:val="none" w:sz="0" w:space="0" w:color="auto"/>
        <w:right w:val="none" w:sz="0" w:space="0" w:color="auto"/>
      </w:divBdr>
    </w:div>
    <w:div w:id="1742407090">
      <w:marLeft w:val="0"/>
      <w:marRight w:val="0"/>
      <w:marTop w:val="0"/>
      <w:marBottom w:val="0"/>
      <w:divBdr>
        <w:top w:val="none" w:sz="0" w:space="0" w:color="auto"/>
        <w:left w:val="none" w:sz="0" w:space="0" w:color="auto"/>
        <w:bottom w:val="none" w:sz="0" w:space="0" w:color="auto"/>
        <w:right w:val="none" w:sz="0" w:space="0" w:color="auto"/>
      </w:divBdr>
    </w:div>
    <w:div w:id="1742407091">
      <w:marLeft w:val="0"/>
      <w:marRight w:val="0"/>
      <w:marTop w:val="0"/>
      <w:marBottom w:val="0"/>
      <w:divBdr>
        <w:top w:val="none" w:sz="0" w:space="0" w:color="auto"/>
        <w:left w:val="none" w:sz="0" w:space="0" w:color="auto"/>
        <w:bottom w:val="none" w:sz="0" w:space="0" w:color="auto"/>
        <w:right w:val="none" w:sz="0" w:space="0" w:color="auto"/>
      </w:divBdr>
    </w:div>
    <w:div w:id="1742407092">
      <w:marLeft w:val="0"/>
      <w:marRight w:val="0"/>
      <w:marTop w:val="0"/>
      <w:marBottom w:val="0"/>
      <w:divBdr>
        <w:top w:val="none" w:sz="0" w:space="0" w:color="auto"/>
        <w:left w:val="none" w:sz="0" w:space="0" w:color="auto"/>
        <w:bottom w:val="none" w:sz="0" w:space="0" w:color="auto"/>
        <w:right w:val="none" w:sz="0" w:space="0" w:color="auto"/>
      </w:divBdr>
    </w:div>
    <w:div w:id="1742407093">
      <w:marLeft w:val="0"/>
      <w:marRight w:val="0"/>
      <w:marTop w:val="0"/>
      <w:marBottom w:val="0"/>
      <w:divBdr>
        <w:top w:val="none" w:sz="0" w:space="0" w:color="auto"/>
        <w:left w:val="none" w:sz="0" w:space="0" w:color="auto"/>
        <w:bottom w:val="none" w:sz="0" w:space="0" w:color="auto"/>
        <w:right w:val="none" w:sz="0" w:space="0" w:color="auto"/>
      </w:divBdr>
    </w:div>
    <w:div w:id="1742407094">
      <w:marLeft w:val="0"/>
      <w:marRight w:val="0"/>
      <w:marTop w:val="0"/>
      <w:marBottom w:val="0"/>
      <w:divBdr>
        <w:top w:val="none" w:sz="0" w:space="0" w:color="auto"/>
        <w:left w:val="none" w:sz="0" w:space="0" w:color="auto"/>
        <w:bottom w:val="none" w:sz="0" w:space="0" w:color="auto"/>
        <w:right w:val="none" w:sz="0" w:space="0" w:color="auto"/>
      </w:divBdr>
    </w:div>
    <w:div w:id="1742407095">
      <w:marLeft w:val="0"/>
      <w:marRight w:val="0"/>
      <w:marTop w:val="0"/>
      <w:marBottom w:val="0"/>
      <w:divBdr>
        <w:top w:val="none" w:sz="0" w:space="0" w:color="auto"/>
        <w:left w:val="none" w:sz="0" w:space="0" w:color="auto"/>
        <w:bottom w:val="none" w:sz="0" w:space="0" w:color="auto"/>
        <w:right w:val="none" w:sz="0" w:space="0" w:color="auto"/>
      </w:divBdr>
    </w:div>
    <w:div w:id="1742407096">
      <w:marLeft w:val="0"/>
      <w:marRight w:val="0"/>
      <w:marTop w:val="0"/>
      <w:marBottom w:val="0"/>
      <w:divBdr>
        <w:top w:val="none" w:sz="0" w:space="0" w:color="auto"/>
        <w:left w:val="none" w:sz="0" w:space="0" w:color="auto"/>
        <w:bottom w:val="none" w:sz="0" w:space="0" w:color="auto"/>
        <w:right w:val="none" w:sz="0" w:space="0" w:color="auto"/>
      </w:divBdr>
    </w:div>
    <w:div w:id="1742407097">
      <w:marLeft w:val="0"/>
      <w:marRight w:val="0"/>
      <w:marTop w:val="0"/>
      <w:marBottom w:val="0"/>
      <w:divBdr>
        <w:top w:val="none" w:sz="0" w:space="0" w:color="auto"/>
        <w:left w:val="none" w:sz="0" w:space="0" w:color="auto"/>
        <w:bottom w:val="none" w:sz="0" w:space="0" w:color="auto"/>
        <w:right w:val="none" w:sz="0" w:space="0" w:color="auto"/>
      </w:divBdr>
    </w:div>
    <w:div w:id="1742407098">
      <w:marLeft w:val="0"/>
      <w:marRight w:val="0"/>
      <w:marTop w:val="0"/>
      <w:marBottom w:val="0"/>
      <w:divBdr>
        <w:top w:val="none" w:sz="0" w:space="0" w:color="auto"/>
        <w:left w:val="none" w:sz="0" w:space="0" w:color="auto"/>
        <w:bottom w:val="none" w:sz="0" w:space="0" w:color="auto"/>
        <w:right w:val="none" w:sz="0" w:space="0" w:color="auto"/>
      </w:divBdr>
    </w:div>
    <w:div w:id="1742407099">
      <w:marLeft w:val="0"/>
      <w:marRight w:val="0"/>
      <w:marTop w:val="0"/>
      <w:marBottom w:val="0"/>
      <w:divBdr>
        <w:top w:val="none" w:sz="0" w:space="0" w:color="auto"/>
        <w:left w:val="none" w:sz="0" w:space="0" w:color="auto"/>
        <w:bottom w:val="none" w:sz="0" w:space="0" w:color="auto"/>
        <w:right w:val="none" w:sz="0" w:space="0" w:color="auto"/>
      </w:divBdr>
    </w:div>
    <w:div w:id="1742407100">
      <w:marLeft w:val="0"/>
      <w:marRight w:val="0"/>
      <w:marTop w:val="0"/>
      <w:marBottom w:val="0"/>
      <w:divBdr>
        <w:top w:val="none" w:sz="0" w:space="0" w:color="auto"/>
        <w:left w:val="none" w:sz="0" w:space="0" w:color="auto"/>
        <w:bottom w:val="none" w:sz="0" w:space="0" w:color="auto"/>
        <w:right w:val="none" w:sz="0" w:space="0" w:color="auto"/>
      </w:divBdr>
    </w:div>
    <w:div w:id="1742407101">
      <w:marLeft w:val="0"/>
      <w:marRight w:val="0"/>
      <w:marTop w:val="0"/>
      <w:marBottom w:val="0"/>
      <w:divBdr>
        <w:top w:val="none" w:sz="0" w:space="0" w:color="auto"/>
        <w:left w:val="none" w:sz="0" w:space="0" w:color="auto"/>
        <w:bottom w:val="none" w:sz="0" w:space="0" w:color="auto"/>
        <w:right w:val="none" w:sz="0" w:space="0" w:color="auto"/>
      </w:divBdr>
    </w:div>
    <w:div w:id="1742407102">
      <w:marLeft w:val="0"/>
      <w:marRight w:val="0"/>
      <w:marTop w:val="0"/>
      <w:marBottom w:val="0"/>
      <w:divBdr>
        <w:top w:val="none" w:sz="0" w:space="0" w:color="auto"/>
        <w:left w:val="none" w:sz="0" w:space="0" w:color="auto"/>
        <w:bottom w:val="none" w:sz="0" w:space="0" w:color="auto"/>
        <w:right w:val="none" w:sz="0" w:space="0" w:color="auto"/>
      </w:divBdr>
    </w:div>
    <w:div w:id="1742407103">
      <w:marLeft w:val="0"/>
      <w:marRight w:val="0"/>
      <w:marTop w:val="0"/>
      <w:marBottom w:val="0"/>
      <w:divBdr>
        <w:top w:val="none" w:sz="0" w:space="0" w:color="auto"/>
        <w:left w:val="none" w:sz="0" w:space="0" w:color="auto"/>
        <w:bottom w:val="none" w:sz="0" w:space="0" w:color="auto"/>
        <w:right w:val="none" w:sz="0" w:space="0" w:color="auto"/>
      </w:divBdr>
    </w:div>
    <w:div w:id="1742407104">
      <w:marLeft w:val="0"/>
      <w:marRight w:val="0"/>
      <w:marTop w:val="0"/>
      <w:marBottom w:val="0"/>
      <w:divBdr>
        <w:top w:val="none" w:sz="0" w:space="0" w:color="auto"/>
        <w:left w:val="none" w:sz="0" w:space="0" w:color="auto"/>
        <w:bottom w:val="none" w:sz="0" w:space="0" w:color="auto"/>
        <w:right w:val="none" w:sz="0" w:space="0" w:color="auto"/>
      </w:divBdr>
    </w:div>
    <w:div w:id="1742407105">
      <w:marLeft w:val="0"/>
      <w:marRight w:val="0"/>
      <w:marTop w:val="0"/>
      <w:marBottom w:val="0"/>
      <w:divBdr>
        <w:top w:val="none" w:sz="0" w:space="0" w:color="auto"/>
        <w:left w:val="none" w:sz="0" w:space="0" w:color="auto"/>
        <w:bottom w:val="none" w:sz="0" w:space="0" w:color="auto"/>
        <w:right w:val="none" w:sz="0" w:space="0" w:color="auto"/>
      </w:divBdr>
    </w:div>
    <w:div w:id="1742407106">
      <w:marLeft w:val="0"/>
      <w:marRight w:val="0"/>
      <w:marTop w:val="0"/>
      <w:marBottom w:val="0"/>
      <w:divBdr>
        <w:top w:val="none" w:sz="0" w:space="0" w:color="auto"/>
        <w:left w:val="none" w:sz="0" w:space="0" w:color="auto"/>
        <w:bottom w:val="none" w:sz="0" w:space="0" w:color="auto"/>
        <w:right w:val="none" w:sz="0" w:space="0" w:color="auto"/>
      </w:divBdr>
    </w:div>
    <w:div w:id="1742407107">
      <w:marLeft w:val="0"/>
      <w:marRight w:val="0"/>
      <w:marTop w:val="0"/>
      <w:marBottom w:val="0"/>
      <w:divBdr>
        <w:top w:val="none" w:sz="0" w:space="0" w:color="auto"/>
        <w:left w:val="none" w:sz="0" w:space="0" w:color="auto"/>
        <w:bottom w:val="none" w:sz="0" w:space="0" w:color="auto"/>
        <w:right w:val="none" w:sz="0" w:space="0" w:color="auto"/>
      </w:divBdr>
    </w:div>
    <w:div w:id="1742407108">
      <w:marLeft w:val="0"/>
      <w:marRight w:val="0"/>
      <w:marTop w:val="0"/>
      <w:marBottom w:val="0"/>
      <w:divBdr>
        <w:top w:val="none" w:sz="0" w:space="0" w:color="auto"/>
        <w:left w:val="none" w:sz="0" w:space="0" w:color="auto"/>
        <w:bottom w:val="none" w:sz="0" w:space="0" w:color="auto"/>
        <w:right w:val="none" w:sz="0" w:space="0" w:color="auto"/>
      </w:divBdr>
    </w:div>
    <w:div w:id="1742407109">
      <w:marLeft w:val="0"/>
      <w:marRight w:val="0"/>
      <w:marTop w:val="0"/>
      <w:marBottom w:val="0"/>
      <w:divBdr>
        <w:top w:val="none" w:sz="0" w:space="0" w:color="auto"/>
        <w:left w:val="none" w:sz="0" w:space="0" w:color="auto"/>
        <w:bottom w:val="none" w:sz="0" w:space="0" w:color="auto"/>
        <w:right w:val="none" w:sz="0" w:space="0" w:color="auto"/>
      </w:divBdr>
    </w:div>
    <w:div w:id="1742407110">
      <w:marLeft w:val="0"/>
      <w:marRight w:val="0"/>
      <w:marTop w:val="0"/>
      <w:marBottom w:val="0"/>
      <w:divBdr>
        <w:top w:val="none" w:sz="0" w:space="0" w:color="auto"/>
        <w:left w:val="none" w:sz="0" w:space="0" w:color="auto"/>
        <w:bottom w:val="none" w:sz="0" w:space="0" w:color="auto"/>
        <w:right w:val="none" w:sz="0" w:space="0" w:color="auto"/>
      </w:divBdr>
    </w:div>
    <w:div w:id="1742407111">
      <w:marLeft w:val="0"/>
      <w:marRight w:val="0"/>
      <w:marTop w:val="0"/>
      <w:marBottom w:val="0"/>
      <w:divBdr>
        <w:top w:val="none" w:sz="0" w:space="0" w:color="auto"/>
        <w:left w:val="none" w:sz="0" w:space="0" w:color="auto"/>
        <w:bottom w:val="none" w:sz="0" w:space="0" w:color="auto"/>
        <w:right w:val="none" w:sz="0" w:space="0" w:color="auto"/>
      </w:divBdr>
    </w:div>
    <w:div w:id="1742407112">
      <w:marLeft w:val="0"/>
      <w:marRight w:val="0"/>
      <w:marTop w:val="0"/>
      <w:marBottom w:val="0"/>
      <w:divBdr>
        <w:top w:val="none" w:sz="0" w:space="0" w:color="auto"/>
        <w:left w:val="none" w:sz="0" w:space="0" w:color="auto"/>
        <w:bottom w:val="none" w:sz="0" w:space="0" w:color="auto"/>
        <w:right w:val="none" w:sz="0" w:space="0" w:color="auto"/>
      </w:divBdr>
    </w:div>
    <w:div w:id="1742407113">
      <w:marLeft w:val="0"/>
      <w:marRight w:val="0"/>
      <w:marTop w:val="0"/>
      <w:marBottom w:val="0"/>
      <w:divBdr>
        <w:top w:val="none" w:sz="0" w:space="0" w:color="auto"/>
        <w:left w:val="none" w:sz="0" w:space="0" w:color="auto"/>
        <w:bottom w:val="none" w:sz="0" w:space="0" w:color="auto"/>
        <w:right w:val="none" w:sz="0" w:space="0" w:color="auto"/>
      </w:divBdr>
    </w:div>
    <w:div w:id="1742407114">
      <w:marLeft w:val="0"/>
      <w:marRight w:val="0"/>
      <w:marTop w:val="0"/>
      <w:marBottom w:val="0"/>
      <w:divBdr>
        <w:top w:val="none" w:sz="0" w:space="0" w:color="auto"/>
        <w:left w:val="none" w:sz="0" w:space="0" w:color="auto"/>
        <w:bottom w:val="none" w:sz="0" w:space="0" w:color="auto"/>
        <w:right w:val="none" w:sz="0" w:space="0" w:color="auto"/>
      </w:divBdr>
    </w:div>
    <w:div w:id="1742407115">
      <w:marLeft w:val="0"/>
      <w:marRight w:val="0"/>
      <w:marTop w:val="0"/>
      <w:marBottom w:val="0"/>
      <w:divBdr>
        <w:top w:val="none" w:sz="0" w:space="0" w:color="auto"/>
        <w:left w:val="none" w:sz="0" w:space="0" w:color="auto"/>
        <w:bottom w:val="none" w:sz="0" w:space="0" w:color="auto"/>
        <w:right w:val="none" w:sz="0" w:space="0" w:color="auto"/>
      </w:divBdr>
    </w:div>
    <w:div w:id="1742407116">
      <w:marLeft w:val="0"/>
      <w:marRight w:val="0"/>
      <w:marTop w:val="0"/>
      <w:marBottom w:val="0"/>
      <w:divBdr>
        <w:top w:val="none" w:sz="0" w:space="0" w:color="auto"/>
        <w:left w:val="none" w:sz="0" w:space="0" w:color="auto"/>
        <w:bottom w:val="none" w:sz="0" w:space="0" w:color="auto"/>
        <w:right w:val="none" w:sz="0" w:space="0" w:color="auto"/>
      </w:divBdr>
    </w:div>
    <w:div w:id="1742407117">
      <w:marLeft w:val="0"/>
      <w:marRight w:val="0"/>
      <w:marTop w:val="0"/>
      <w:marBottom w:val="0"/>
      <w:divBdr>
        <w:top w:val="none" w:sz="0" w:space="0" w:color="auto"/>
        <w:left w:val="none" w:sz="0" w:space="0" w:color="auto"/>
        <w:bottom w:val="none" w:sz="0" w:space="0" w:color="auto"/>
        <w:right w:val="none" w:sz="0" w:space="0" w:color="auto"/>
      </w:divBdr>
    </w:div>
    <w:div w:id="1742407118">
      <w:marLeft w:val="0"/>
      <w:marRight w:val="0"/>
      <w:marTop w:val="0"/>
      <w:marBottom w:val="0"/>
      <w:divBdr>
        <w:top w:val="none" w:sz="0" w:space="0" w:color="auto"/>
        <w:left w:val="none" w:sz="0" w:space="0" w:color="auto"/>
        <w:bottom w:val="none" w:sz="0" w:space="0" w:color="auto"/>
        <w:right w:val="none" w:sz="0" w:space="0" w:color="auto"/>
      </w:divBdr>
    </w:div>
    <w:div w:id="1742407119">
      <w:marLeft w:val="0"/>
      <w:marRight w:val="0"/>
      <w:marTop w:val="0"/>
      <w:marBottom w:val="0"/>
      <w:divBdr>
        <w:top w:val="none" w:sz="0" w:space="0" w:color="auto"/>
        <w:left w:val="none" w:sz="0" w:space="0" w:color="auto"/>
        <w:bottom w:val="none" w:sz="0" w:space="0" w:color="auto"/>
        <w:right w:val="none" w:sz="0" w:space="0" w:color="auto"/>
      </w:divBdr>
    </w:div>
    <w:div w:id="1742407120">
      <w:marLeft w:val="0"/>
      <w:marRight w:val="0"/>
      <w:marTop w:val="0"/>
      <w:marBottom w:val="0"/>
      <w:divBdr>
        <w:top w:val="none" w:sz="0" w:space="0" w:color="auto"/>
        <w:left w:val="none" w:sz="0" w:space="0" w:color="auto"/>
        <w:bottom w:val="none" w:sz="0" w:space="0" w:color="auto"/>
        <w:right w:val="none" w:sz="0" w:space="0" w:color="auto"/>
      </w:divBdr>
    </w:div>
    <w:div w:id="1742407121">
      <w:marLeft w:val="0"/>
      <w:marRight w:val="0"/>
      <w:marTop w:val="0"/>
      <w:marBottom w:val="0"/>
      <w:divBdr>
        <w:top w:val="none" w:sz="0" w:space="0" w:color="auto"/>
        <w:left w:val="none" w:sz="0" w:space="0" w:color="auto"/>
        <w:bottom w:val="none" w:sz="0" w:space="0" w:color="auto"/>
        <w:right w:val="none" w:sz="0" w:space="0" w:color="auto"/>
      </w:divBdr>
    </w:div>
    <w:div w:id="1742407122">
      <w:marLeft w:val="0"/>
      <w:marRight w:val="0"/>
      <w:marTop w:val="0"/>
      <w:marBottom w:val="0"/>
      <w:divBdr>
        <w:top w:val="none" w:sz="0" w:space="0" w:color="auto"/>
        <w:left w:val="none" w:sz="0" w:space="0" w:color="auto"/>
        <w:bottom w:val="none" w:sz="0" w:space="0" w:color="auto"/>
        <w:right w:val="none" w:sz="0" w:space="0" w:color="auto"/>
      </w:divBdr>
    </w:div>
    <w:div w:id="1742407123">
      <w:marLeft w:val="0"/>
      <w:marRight w:val="0"/>
      <w:marTop w:val="0"/>
      <w:marBottom w:val="0"/>
      <w:divBdr>
        <w:top w:val="none" w:sz="0" w:space="0" w:color="auto"/>
        <w:left w:val="none" w:sz="0" w:space="0" w:color="auto"/>
        <w:bottom w:val="none" w:sz="0" w:space="0" w:color="auto"/>
        <w:right w:val="none" w:sz="0" w:space="0" w:color="auto"/>
      </w:divBdr>
    </w:div>
    <w:div w:id="1742407124">
      <w:marLeft w:val="0"/>
      <w:marRight w:val="0"/>
      <w:marTop w:val="0"/>
      <w:marBottom w:val="0"/>
      <w:divBdr>
        <w:top w:val="none" w:sz="0" w:space="0" w:color="auto"/>
        <w:left w:val="none" w:sz="0" w:space="0" w:color="auto"/>
        <w:bottom w:val="none" w:sz="0" w:space="0" w:color="auto"/>
        <w:right w:val="none" w:sz="0" w:space="0" w:color="auto"/>
      </w:divBdr>
    </w:div>
    <w:div w:id="1742407125">
      <w:marLeft w:val="0"/>
      <w:marRight w:val="0"/>
      <w:marTop w:val="0"/>
      <w:marBottom w:val="0"/>
      <w:divBdr>
        <w:top w:val="none" w:sz="0" w:space="0" w:color="auto"/>
        <w:left w:val="none" w:sz="0" w:space="0" w:color="auto"/>
        <w:bottom w:val="none" w:sz="0" w:space="0" w:color="auto"/>
        <w:right w:val="none" w:sz="0" w:space="0" w:color="auto"/>
      </w:divBdr>
    </w:div>
    <w:div w:id="1742407126">
      <w:marLeft w:val="0"/>
      <w:marRight w:val="0"/>
      <w:marTop w:val="0"/>
      <w:marBottom w:val="0"/>
      <w:divBdr>
        <w:top w:val="none" w:sz="0" w:space="0" w:color="auto"/>
        <w:left w:val="none" w:sz="0" w:space="0" w:color="auto"/>
        <w:bottom w:val="none" w:sz="0" w:space="0" w:color="auto"/>
        <w:right w:val="none" w:sz="0" w:space="0" w:color="auto"/>
      </w:divBdr>
    </w:div>
    <w:div w:id="1742407127">
      <w:marLeft w:val="0"/>
      <w:marRight w:val="0"/>
      <w:marTop w:val="0"/>
      <w:marBottom w:val="0"/>
      <w:divBdr>
        <w:top w:val="none" w:sz="0" w:space="0" w:color="auto"/>
        <w:left w:val="none" w:sz="0" w:space="0" w:color="auto"/>
        <w:bottom w:val="none" w:sz="0" w:space="0" w:color="auto"/>
        <w:right w:val="none" w:sz="0" w:space="0" w:color="auto"/>
      </w:divBdr>
    </w:div>
    <w:div w:id="1742407128">
      <w:marLeft w:val="0"/>
      <w:marRight w:val="0"/>
      <w:marTop w:val="0"/>
      <w:marBottom w:val="0"/>
      <w:divBdr>
        <w:top w:val="none" w:sz="0" w:space="0" w:color="auto"/>
        <w:left w:val="none" w:sz="0" w:space="0" w:color="auto"/>
        <w:bottom w:val="none" w:sz="0" w:space="0" w:color="auto"/>
        <w:right w:val="none" w:sz="0" w:space="0" w:color="auto"/>
      </w:divBdr>
    </w:div>
    <w:div w:id="1742407129">
      <w:marLeft w:val="0"/>
      <w:marRight w:val="0"/>
      <w:marTop w:val="0"/>
      <w:marBottom w:val="0"/>
      <w:divBdr>
        <w:top w:val="none" w:sz="0" w:space="0" w:color="auto"/>
        <w:left w:val="none" w:sz="0" w:space="0" w:color="auto"/>
        <w:bottom w:val="none" w:sz="0" w:space="0" w:color="auto"/>
        <w:right w:val="none" w:sz="0" w:space="0" w:color="auto"/>
      </w:divBdr>
    </w:div>
    <w:div w:id="1742407130">
      <w:marLeft w:val="0"/>
      <w:marRight w:val="0"/>
      <w:marTop w:val="0"/>
      <w:marBottom w:val="0"/>
      <w:divBdr>
        <w:top w:val="none" w:sz="0" w:space="0" w:color="auto"/>
        <w:left w:val="none" w:sz="0" w:space="0" w:color="auto"/>
        <w:bottom w:val="none" w:sz="0" w:space="0" w:color="auto"/>
        <w:right w:val="none" w:sz="0" w:space="0" w:color="auto"/>
      </w:divBdr>
    </w:div>
    <w:div w:id="1742407131">
      <w:marLeft w:val="0"/>
      <w:marRight w:val="0"/>
      <w:marTop w:val="0"/>
      <w:marBottom w:val="0"/>
      <w:divBdr>
        <w:top w:val="none" w:sz="0" w:space="0" w:color="auto"/>
        <w:left w:val="none" w:sz="0" w:space="0" w:color="auto"/>
        <w:bottom w:val="none" w:sz="0" w:space="0" w:color="auto"/>
        <w:right w:val="none" w:sz="0" w:space="0" w:color="auto"/>
      </w:divBdr>
    </w:div>
    <w:div w:id="1742407132">
      <w:marLeft w:val="0"/>
      <w:marRight w:val="0"/>
      <w:marTop w:val="0"/>
      <w:marBottom w:val="0"/>
      <w:divBdr>
        <w:top w:val="none" w:sz="0" w:space="0" w:color="auto"/>
        <w:left w:val="none" w:sz="0" w:space="0" w:color="auto"/>
        <w:bottom w:val="none" w:sz="0" w:space="0" w:color="auto"/>
        <w:right w:val="none" w:sz="0" w:space="0" w:color="auto"/>
      </w:divBdr>
    </w:div>
    <w:div w:id="1742407133">
      <w:marLeft w:val="0"/>
      <w:marRight w:val="0"/>
      <w:marTop w:val="0"/>
      <w:marBottom w:val="0"/>
      <w:divBdr>
        <w:top w:val="none" w:sz="0" w:space="0" w:color="auto"/>
        <w:left w:val="none" w:sz="0" w:space="0" w:color="auto"/>
        <w:bottom w:val="none" w:sz="0" w:space="0" w:color="auto"/>
        <w:right w:val="none" w:sz="0" w:space="0" w:color="auto"/>
      </w:divBdr>
    </w:div>
    <w:div w:id="1742407134">
      <w:marLeft w:val="0"/>
      <w:marRight w:val="0"/>
      <w:marTop w:val="0"/>
      <w:marBottom w:val="0"/>
      <w:divBdr>
        <w:top w:val="none" w:sz="0" w:space="0" w:color="auto"/>
        <w:left w:val="none" w:sz="0" w:space="0" w:color="auto"/>
        <w:bottom w:val="none" w:sz="0" w:space="0" w:color="auto"/>
        <w:right w:val="none" w:sz="0" w:space="0" w:color="auto"/>
      </w:divBdr>
    </w:div>
    <w:div w:id="1742407135">
      <w:marLeft w:val="0"/>
      <w:marRight w:val="0"/>
      <w:marTop w:val="0"/>
      <w:marBottom w:val="0"/>
      <w:divBdr>
        <w:top w:val="none" w:sz="0" w:space="0" w:color="auto"/>
        <w:left w:val="none" w:sz="0" w:space="0" w:color="auto"/>
        <w:bottom w:val="none" w:sz="0" w:space="0" w:color="auto"/>
        <w:right w:val="none" w:sz="0" w:space="0" w:color="auto"/>
      </w:divBdr>
    </w:div>
    <w:div w:id="1742407136">
      <w:marLeft w:val="0"/>
      <w:marRight w:val="0"/>
      <w:marTop w:val="0"/>
      <w:marBottom w:val="0"/>
      <w:divBdr>
        <w:top w:val="none" w:sz="0" w:space="0" w:color="auto"/>
        <w:left w:val="none" w:sz="0" w:space="0" w:color="auto"/>
        <w:bottom w:val="none" w:sz="0" w:space="0" w:color="auto"/>
        <w:right w:val="none" w:sz="0" w:space="0" w:color="auto"/>
      </w:divBdr>
    </w:div>
    <w:div w:id="1742407137">
      <w:marLeft w:val="0"/>
      <w:marRight w:val="0"/>
      <w:marTop w:val="0"/>
      <w:marBottom w:val="0"/>
      <w:divBdr>
        <w:top w:val="none" w:sz="0" w:space="0" w:color="auto"/>
        <w:left w:val="none" w:sz="0" w:space="0" w:color="auto"/>
        <w:bottom w:val="none" w:sz="0" w:space="0" w:color="auto"/>
        <w:right w:val="none" w:sz="0" w:space="0" w:color="auto"/>
      </w:divBdr>
    </w:div>
    <w:div w:id="1742407138">
      <w:marLeft w:val="0"/>
      <w:marRight w:val="0"/>
      <w:marTop w:val="0"/>
      <w:marBottom w:val="0"/>
      <w:divBdr>
        <w:top w:val="none" w:sz="0" w:space="0" w:color="auto"/>
        <w:left w:val="none" w:sz="0" w:space="0" w:color="auto"/>
        <w:bottom w:val="none" w:sz="0" w:space="0" w:color="auto"/>
        <w:right w:val="none" w:sz="0" w:space="0" w:color="auto"/>
      </w:divBdr>
    </w:div>
    <w:div w:id="1742407139">
      <w:marLeft w:val="0"/>
      <w:marRight w:val="0"/>
      <w:marTop w:val="0"/>
      <w:marBottom w:val="0"/>
      <w:divBdr>
        <w:top w:val="none" w:sz="0" w:space="0" w:color="auto"/>
        <w:left w:val="none" w:sz="0" w:space="0" w:color="auto"/>
        <w:bottom w:val="none" w:sz="0" w:space="0" w:color="auto"/>
        <w:right w:val="none" w:sz="0" w:space="0" w:color="auto"/>
      </w:divBdr>
    </w:div>
    <w:div w:id="1742407140">
      <w:marLeft w:val="0"/>
      <w:marRight w:val="0"/>
      <w:marTop w:val="0"/>
      <w:marBottom w:val="0"/>
      <w:divBdr>
        <w:top w:val="none" w:sz="0" w:space="0" w:color="auto"/>
        <w:left w:val="none" w:sz="0" w:space="0" w:color="auto"/>
        <w:bottom w:val="none" w:sz="0" w:space="0" w:color="auto"/>
        <w:right w:val="none" w:sz="0" w:space="0" w:color="auto"/>
      </w:divBdr>
    </w:div>
    <w:div w:id="1742407141">
      <w:marLeft w:val="0"/>
      <w:marRight w:val="0"/>
      <w:marTop w:val="0"/>
      <w:marBottom w:val="0"/>
      <w:divBdr>
        <w:top w:val="none" w:sz="0" w:space="0" w:color="auto"/>
        <w:left w:val="none" w:sz="0" w:space="0" w:color="auto"/>
        <w:bottom w:val="none" w:sz="0" w:space="0" w:color="auto"/>
        <w:right w:val="none" w:sz="0" w:space="0" w:color="auto"/>
      </w:divBdr>
    </w:div>
    <w:div w:id="1742407142">
      <w:marLeft w:val="0"/>
      <w:marRight w:val="0"/>
      <w:marTop w:val="0"/>
      <w:marBottom w:val="0"/>
      <w:divBdr>
        <w:top w:val="none" w:sz="0" w:space="0" w:color="auto"/>
        <w:left w:val="none" w:sz="0" w:space="0" w:color="auto"/>
        <w:bottom w:val="none" w:sz="0" w:space="0" w:color="auto"/>
        <w:right w:val="none" w:sz="0" w:space="0" w:color="auto"/>
      </w:divBdr>
    </w:div>
    <w:div w:id="1742407143">
      <w:marLeft w:val="0"/>
      <w:marRight w:val="0"/>
      <w:marTop w:val="0"/>
      <w:marBottom w:val="0"/>
      <w:divBdr>
        <w:top w:val="none" w:sz="0" w:space="0" w:color="auto"/>
        <w:left w:val="none" w:sz="0" w:space="0" w:color="auto"/>
        <w:bottom w:val="none" w:sz="0" w:space="0" w:color="auto"/>
        <w:right w:val="none" w:sz="0" w:space="0" w:color="auto"/>
      </w:divBdr>
    </w:div>
    <w:div w:id="1742407144">
      <w:marLeft w:val="0"/>
      <w:marRight w:val="0"/>
      <w:marTop w:val="0"/>
      <w:marBottom w:val="0"/>
      <w:divBdr>
        <w:top w:val="none" w:sz="0" w:space="0" w:color="auto"/>
        <w:left w:val="none" w:sz="0" w:space="0" w:color="auto"/>
        <w:bottom w:val="none" w:sz="0" w:space="0" w:color="auto"/>
        <w:right w:val="none" w:sz="0" w:space="0" w:color="auto"/>
      </w:divBdr>
    </w:div>
    <w:div w:id="1742407145">
      <w:marLeft w:val="0"/>
      <w:marRight w:val="0"/>
      <w:marTop w:val="0"/>
      <w:marBottom w:val="0"/>
      <w:divBdr>
        <w:top w:val="none" w:sz="0" w:space="0" w:color="auto"/>
        <w:left w:val="none" w:sz="0" w:space="0" w:color="auto"/>
        <w:bottom w:val="none" w:sz="0" w:space="0" w:color="auto"/>
        <w:right w:val="none" w:sz="0" w:space="0" w:color="auto"/>
      </w:divBdr>
    </w:div>
    <w:div w:id="1742407146">
      <w:marLeft w:val="0"/>
      <w:marRight w:val="0"/>
      <w:marTop w:val="0"/>
      <w:marBottom w:val="0"/>
      <w:divBdr>
        <w:top w:val="none" w:sz="0" w:space="0" w:color="auto"/>
        <w:left w:val="none" w:sz="0" w:space="0" w:color="auto"/>
        <w:bottom w:val="none" w:sz="0" w:space="0" w:color="auto"/>
        <w:right w:val="none" w:sz="0" w:space="0" w:color="auto"/>
      </w:divBdr>
    </w:div>
    <w:div w:id="1742407147">
      <w:marLeft w:val="0"/>
      <w:marRight w:val="0"/>
      <w:marTop w:val="0"/>
      <w:marBottom w:val="0"/>
      <w:divBdr>
        <w:top w:val="none" w:sz="0" w:space="0" w:color="auto"/>
        <w:left w:val="none" w:sz="0" w:space="0" w:color="auto"/>
        <w:bottom w:val="none" w:sz="0" w:space="0" w:color="auto"/>
        <w:right w:val="none" w:sz="0" w:space="0" w:color="auto"/>
      </w:divBdr>
    </w:div>
    <w:div w:id="1742407148">
      <w:marLeft w:val="0"/>
      <w:marRight w:val="0"/>
      <w:marTop w:val="0"/>
      <w:marBottom w:val="0"/>
      <w:divBdr>
        <w:top w:val="none" w:sz="0" w:space="0" w:color="auto"/>
        <w:left w:val="none" w:sz="0" w:space="0" w:color="auto"/>
        <w:bottom w:val="none" w:sz="0" w:space="0" w:color="auto"/>
        <w:right w:val="none" w:sz="0" w:space="0" w:color="auto"/>
      </w:divBdr>
    </w:div>
    <w:div w:id="1742407149">
      <w:marLeft w:val="0"/>
      <w:marRight w:val="0"/>
      <w:marTop w:val="0"/>
      <w:marBottom w:val="0"/>
      <w:divBdr>
        <w:top w:val="none" w:sz="0" w:space="0" w:color="auto"/>
        <w:left w:val="none" w:sz="0" w:space="0" w:color="auto"/>
        <w:bottom w:val="none" w:sz="0" w:space="0" w:color="auto"/>
        <w:right w:val="none" w:sz="0" w:space="0" w:color="auto"/>
      </w:divBdr>
    </w:div>
    <w:div w:id="1742407150">
      <w:marLeft w:val="0"/>
      <w:marRight w:val="0"/>
      <w:marTop w:val="0"/>
      <w:marBottom w:val="0"/>
      <w:divBdr>
        <w:top w:val="none" w:sz="0" w:space="0" w:color="auto"/>
        <w:left w:val="none" w:sz="0" w:space="0" w:color="auto"/>
        <w:bottom w:val="none" w:sz="0" w:space="0" w:color="auto"/>
        <w:right w:val="none" w:sz="0" w:space="0" w:color="auto"/>
      </w:divBdr>
    </w:div>
    <w:div w:id="1742407151">
      <w:marLeft w:val="0"/>
      <w:marRight w:val="0"/>
      <w:marTop w:val="0"/>
      <w:marBottom w:val="0"/>
      <w:divBdr>
        <w:top w:val="none" w:sz="0" w:space="0" w:color="auto"/>
        <w:left w:val="none" w:sz="0" w:space="0" w:color="auto"/>
        <w:bottom w:val="none" w:sz="0" w:space="0" w:color="auto"/>
        <w:right w:val="none" w:sz="0" w:space="0" w:color="auto"/>
      </w:divBdr>
    </w:div>
    <w:div w:id="1742407152">
      <w:marLeft w:val="0"/>
      <w:marRight w:val="0"/>
      <w:marTop w:val="0"/>
      <w:marBottom w:val="0"/>
      <w:divBdr>
        <w:top w:val="none" w:sz="0" w:space="0" w:color="auto"/>
        <w:left w:val="none" w:sz="0" w:space="0" w:color="auto"/>
        <w:bottom w:val="none" w:sz="0" w:space="0" w:color="auto"/>
        <w:right w:val="none" w:sz="0" w:space="0" w:color="auto"/>
      </w:divBdr>
    </w:div>
    <w:div w:id="1742407153">
      <w:marLeft w:val="0"/>
      <w:marRight w:val="0"/>
      <w:marTop w:val="0"/>
      <w:marBottom w:val="0"/>
      <w:divBdr>
        <w:top w:val="none" w:sz="0" w:space="0" w:color="auto"/>
        <w:left w:val="none" w:sz="0" w:space="0" w:color="auto"/>
        <w:bottom w:val="none" w:sz="0" w:space="0" w:color="auto"/>
        <w:right w:val="none" w:sz="0" w:space="0" w:color="auto"/>
      </w:divBdr>
    </w:div>
    <w:div w:id="1742407154">
      <w:marLeft w:val="0"/>
      <w:marRight w:val="0"/>
      <w:marTop w:val="0"/>
      <w:marBottom w:val="0"/>
      <w:divBdr>
        <w:top w:val="none" w:sz="0" w:space="0" w:color="auto"/>
        <w:left w:val="none" w:sz="0" w:space="0" w:color="auto"/>
        <w:bottom w:val="none" w:sz="0" w:space="0" w:color="auto"/>
        <w:right w:val="none" w:sz="0" w:space="0" w:color="auto"/>
      </w:divBdr>
    </w:div>
    <w:div w:id="1742407155">
      <w:marLeft w:val="0"/>
      <w:marRight w:val="0"/>
      <w:marTop w:val="0"/>
      <w:marBottom w:val="0"/>
      <w:divBdr>
        <w:top w:val="none" w:sz="0" w:space="0" w:color="auto"/>
        <w:left w:val="none" w:sz="0" w:space="0" w:color="auto"/>
        <w:bottom w:val="none" w:sz="0" w:space="0" w:color="auto"/>
        <w:right w:val="none" w:sz="0" w:space="0" w:color="auto"/>
      </w:divBdr>
    </w:div>
    <w:div w:id="1742407156">
      <w:marLeft w:val="0"/>
      <w:marRight w:val="0"/>
      <w:marTop w:val="0"/>
      <w:marBottom w:val="0"/>
      <w:divBdr>
        <w:top w:val="none" w:sz="0" w:space="0" w:color="auto"/>
        <w:left w:val="none" w:sz="0" w:space="0" w:color="auto"/>
        <w:bottom w:val="none" w:sz="0" w:space="0" w:color="auto"/>
        <w:right w:val="none" w:sz="0" w:space="0" w:color="auto"/>
      </w:divBdr>
    </w:div>
    <w:div w:id="1742407157">
      <w:marLeft w:val="0"/>
      <w:marRight w:val="0"/>
      <w:marTop w:val="0"/>
      <w:marBottom w:val="0"/>
      <w:divBdr>
        <w:top w:val="none" w:sz="0" w:space="0" w:color="auto"/>
        <w:left w:val="none" w:sz="0" w:space="0" w:color="auto"/>
        <w:bottom w:val="none" w:sz="0" w:space="0" w:color="auto"/>
        <w:right w:val="none" w:sz="0" w:space="0" w:color="auto"/>
      </w:divBdr>
    </w:div>
    <w:div w:id="1742407158">
      <w:marLeft w:val="0"/>
      <w:marRight w:val="0"/>
      <w:marTop w:val="0"/>
      <w:marBottom w:val="0"/>
      <w:divBdr>
        <w:top w:val="none" w:sz="0" w:space="0" w:color="auto"/>
        <w:left w:val="none" w:sz="0" w:space="0" w:color="auto"/>
        <w:bottom w:val="none" w:sz="0" w:space="0" w:color="auto"/>
        <w:right w:val="none" w:sz="0" w:space="0" w:color="auto"/>
      </w:divBdr>
    </w:div>
    <w:div w:id="1742407159">
      <w:marLeft w:val="0"/>
      <w:marRight w:val="0"/>
      <w:marTop w:val="0"/>
      <w:marBottom w:val="0"/>
      <w:divBdr>
        <w:top w:val="none" w:sz="0" w:space="0" w:color="auto"/>
        <w:left w:val="none" w:sz="0" w:space="0" w:color="auto"/>
        <w:bottom w:val="none" w:sz="0" w:space="0" w:color="auto"/>
        <w:right w:val="none" w:sz="0" w:space="0" w:color="auto"/>
      </w:divBdr>
    </w:div>
    <w:div w:id="1742407160">
      <w:marLeft w:val="0"/>
      <w:marRight w:val="0"/>
      <w:marTop w:val="0"/>
      <w:marBottom w:val="0"/>
      <w:divBdr>
        <w:top w:val="none" w:sz="0" w:space="0" w:color="auto"/>
        <w:left w:val="none" w:sz="0" w:space="0" w:color="auto"/>
        <w:bottom w:val="none" w:sz="0" w:space="0" w:color="auto"/>
        <w:right w:val="none" w:sz="0" w:space="0" w:color="auto"/>
      </w:divBdr>
    </w:div>
    <w:div w:id="1742407161">
      <w:marLeft w:val="0"/>
      <w:marRight w:val="0"/>
      <w:marTop w:val="0"/>
      <w:marBottom w:val="0"/>
      <w:divBdr>
        <w:top w:val="none" w:sz="0" w:space="0" w:color="auto"/>
        <w:left w:val="none" w:sz="0" w:space="0" w:color="auto"/>
        <w:bottom w:val="none" w:sz="0" w:space="0" w:color="auto"/>
        <w:right w:val="none" w:sz="0" w:space="0" w:color="auto"/>
      </w:divBdr>
    </w:div>
    <w:div w:id="1742407162">
      <w:marLeft w:val="0"/>
      <w:marRight w:val="0"/>
      <w:marTop w:val="0"/>
      <w:marBottom w:val="0"/>
      <w:divBdr>
        <w:top w:val="none" w:sz="0" w:space="0" w:color="auto"/>
        <w:left w:val="none" w:sz="0" w:space="0" w:color="auto"/>
        <w:bottom w:val="none" w:sz="0" w:space="0" w:color="auto"/>
        <w:right w:val="none" w:sz="0" w:space="0" w:color="auto"/>
      </w:divBdr>
    </w:div>
    <w:div w:id="1742407163">
      <w:marLeft w:val="0"/>
      <w:marRight w:val="0"/>
      <w:marTop w:val="0"/>
      <w:marBottom w:val="0"/>
      <w:divBdr>
        <w:top w:val="none" w:sz="0" w:space="0" w:color="auto"/>
        <w:left w:val="none" w:sz="0" w:space="0" w:color="auto"/>
        <w:bottom w:val="none" w:sz="0" w:space="0" w:color="auto"/>
        <w:right w:val="none" w:sz="0" w:space="0" w:color="auto"/>
      </w:divBdr>
    </w:div>
    <w:div w:id="1742407164">
      <w:marLeft w:val="0"/>
      <w:marRight w:val="0"/>
      <w:marTop w:val="0"/>
      <w:marBottom w:val="0"/>
      <w:divBdr>
        <w:top w:val="none" w:sz="0" w:space="0" w:color="auto"/>
        <w:left w:val="none" w:sz="0" w:space="0" w:color="auto"/>
        <w:bottom w:val="none" w:sz="0" w:space="0" w:color="auto"/>
        <w:right w:val="none" w:sz="0" w:space="0" w:color="auto"/>
      </w:divBdr>
    </w:div>
    <w:div w:id="1742407165">
      <w:marLeft w:val="0"/>
      <w:marRight w:val="0"/>
      <w:marTop w:val="0"/>
      <w:marBottom w:val="0"/>
      <w:divBdr>
        <w:top w:val="none" w:sz="0" w:space="0" w:color="auto"/>
        <w:left w:val="none" w:sz="0" w:space="0" w:color="auto"/>
        <w:bottom w:val="none" w:sz="0" w:space="0" w:color="auto"/>
        <w:right w:val="none" w:sz="0" w:space="0" w:color="auto"/>
      </w:divBdr>
    </w:div>
    <w:div w:id="1742407166">
      <w:marLeft w:val="0"/>
      <w:marRight w:val="0"/>
      <w:marTop w:val="0"/>
      <w:marBottom w:val="0"/>
      <w:divBdr>
        <w:top w:val="none" w:sz="0" w:space="0" w:color="auto"/>
        <w:left w:val="none" w:sz="0" w:space="0" w:color="auto"/>
        <w:bottom w:val="none" w:sz="0" w:space="0" w:color="auto"/>
        <w:right w:val="none" w:sz="0" w:space="0" w:color="auto"/>
      </w:divBdr>
    </w:div>
    <w:div w:id="1742407167">
      <w:marLeft w:val="0"/>
      <w:marRight w:val="0"/>
      <w:marTop w:val="0"/>
      <w:marBottom w:val="0"/>
      <w:divBdr>
        <w:top w:val="none" w:sz="0" w:space="0" w:color="auto"/>
        <w:left w:val="none" w:sz="0" w:space="0" w:color="auto"/>
        <w:bottom w:val="none" w:sz="0" w:space="0" w:color="auto"/>
        <w:right w:val="none" w:sz="0" w:space="0" w:color="auto"/>
      </w:divBdr>
    </w:div>
    <w:div w:id="1742407168">
      <w:marLeft w:val="0"/>
      <w:marRight w:val="0"/>
      <w:marTop w:val="0"/>
      <w:marBottom w:val="0"/>
      <w:divBdr>
        <w:top w:val="none" w:sz="0" w:space="0" w:color="auto"/>
        <w:left w:val="none" w:sz="0" w:space="0" w:color="auto"/>
        <w:bottom w:val="none" w:sz="0" w:space="0" w:color="auto"/>
        <w:right w:val="none" w:sz="0" w:space="0" w:color="auto"/>
      </w:divBdr>
    </w:div>
    <w:div w:id="1742407169">
      <w:marLeft w:val="0"/>
      <w:marRight w:val="0"/>
      <w:marTop w:val="0"/>
      <w:marBottom w:val="0"/>
      <w:divBdr>
        <w:top w:val="none" w:sz="0" w:space="0" w:color="auto"/>
        <w:left w:val="none" w:sz="0" w:space="0" w:color="auto"/>
        <w:bottom w:val="none" w:sz="0" w:space="0" w:color="auto"/>
        <w:right w:val="none" w:sz="0" w:space="0" w:color="auto"/>
      </w:divBdr>
    </w:div>
    <w:div w:id="1742407170">
      <w:marLeft w:val="0"/>
      <w:marRight w:val="0"/>
      <w:marTop w:val="0"/>
      <w:marBottom w:val="0"/>
      <w:divBdr>
        <w:top w:val="none" w:sz="0" w:space="0" w:color="auto"/>
        <w:left w:val="none" w:sz="0" w:space="0" w:color="auto"/>
        <w:bottom w:val="none" w:sz="0" w:space="0" w:color="auto"/>
        <w:right w:val="none" w:sz="0" w:space="0" w:color="auto"/>
      </w:divBdr>
    </w:div>
    <w:div w:id="1742407171">
      <w:marLeft w:val="0"/>
      <w:marRight w:val="0"/>
      <w:marTop w:val="0"/>
      <w:marBottom w:val="0"/>
      <w:divBdr>
        <w:top w:val="none" w:sz="0" w:space="0" w:color="auto"/>
        <w:left w:val="none" w:sz="0" w:space="0" w:color="auto"/>
        <w:bottom w:val="none" w:sz="0" w:space="0" w:color="auto"/>
        <w:right w:val="none" w:sz="0" w:space="0" w:color="auto"/>
      </w:divBdr>
    </w:div>
    <w:div w:id="1742407172">
      <w:marLeft w:val="0"/>
      <w:marRight w:val="0"/>
      <w:marTop w:val="0"/>
      <w:marBottom w:val="0"/>
      <w:divBdr>
        <w:top w:val="none" w:sz="0" w:space="0" w:color="auto"/>
        <w:left w:val="none" w:sz="0" w:space="0" w:color="auto"/>
        <w:bottom w:val="none" w:sz="0" w:space="0" w:color="auto"/>
        <w:right w:val="none" w:sz="0" w:space="0" w:color="auto"/>
      </w:divBdr>
    </w:div>
    <w:div w:id="1742407173">
      <w:marLeft w:val="0"/>
      <w:marRight w:val="0"/>
      <w:marTop w:val="0"/>
      <w:marBottom w:val="0"/>
      <w:divBdr>
        <w:top w:val="none" w:sz="0" w:space="0" w:color="auto"/>
        <w:left w:val="none" w:sz="0" w:space="0" w:color="auto"/>
        <w:bottom w:val="none" w:sz="0" w:space="0" w:color="auto"/>
        <w:right w:val="none" w:sz="0" w:space="0" w:color="auto"/>
      </w:divBdr>
    </w:div>
    <w:div w:id="1742407174">
      <w:marLeft w:val="0"/>
      <w:marRight w:val="0"/>
      <w:marTop w:val="0"/>
      <w:marBottom w:val="0"/>
      <w:divBdr>
        <w:top w:val="none" w:sz="0" w:space="0" w:color="auto"/>
        <w:left w:val="none" w:sz="0" w:space="0" w:color="auto"/>
        <w:bottom w:val="none" w:sz="0" w:space="0" w:color="auto"/>
        <w:right w:val="none" w:sz="0" w:space="0" w:color="auto"/>
      </w:divBdr>
    </w:div>
    <w:div w:id="1742407175">
      <w:marLeft w:val="0"/>
      <w:marRight w:val="0"/>
      <w:marTop w:val="0"/>
      <w:marBottom w:val="0"/>
      <w:divBdr>
        <w:top w:val="none" w:sz="0" w:space="0" w:color="auto"/>
        <w:left w:val="none" w:sz="0" w:space="0" w:color="auto"/>
        <w:bottom w:val="none" w:sz="0" w:space="0" w:color="auto"/>
        <w:right w:val="none" w:sz="0" w:space="0" w:color="auto"/>
      </w:divBdr>
    </w:div>
    <w:div w:id="1742407176">
      <w:marLeft w:val="0"/>
      <w:marRight w:val="0"/>
      <w:marTop w:val="0"/>
      <w:marBottom w:val="0"/>
      <w:divBdr>
        <w:top w:val="none" w:sz="0" w:space="0" w:color="auto"/>
        <w:left w:val="none" w:sz="0" w:space="0" w:color="auto"/>
        <w:bottom w:val="none" w:sz="0" w:space="0" w:color="auto"/>
        <w:right w:val="none" w:sz="0" w:space="0" w:color="auto"/>
      </w:divBdr>
    </w:div>
    <w:div w:id="1742407177">
      <w:marLeft w:val="0"/>
      <w:marRight w:val="0"/>
      <w:marTop w:val="0"/>
      <w:marBottom w:val="0"/>
      <w:divBdr>
        <w:top w:val="none" w:sz="0" w:space="0" w:color="auto"/>
        <w:left w:val="none" w:sz="0" w:space="0" w:color="auto"/>
        <w:bottom w:val="none" w:sz="0" w:space="0" w:color="auto"/>
        <w:right w:val="none" w:sz="0" w:space="0" w:color="auto"/>
      </w:divBdr>
    </w:div>
    <w:div w:id="1742407178">
      <w:marLeft w:val="0"/>
      <w:marRight w:val="0"/>
      <w:marTop w:val="0"/>
      <w:marBottom w:val="0"/>
      <w:divBdr>
        <w:top w:val="none" w:sz="0" w:space="0" w:color="auto"/>
        <w:left w:val="none" w:sz="0" w:space="0" w:color="auto"/>
        <w:bottom w:val="none" w:sz="0" w:space="0" w:color="auto"/>
        <w:right w:val="none" w:sz="0" w:space="0" w:color="auto"/>
      </w:divBdr>
    </w:div>
    <w:div w:id="1742407179">
      <w:marLeft w:val="0"/>
      <w:marRight w:val="0"/>
      <w:marTop w:val="0"/>
      <w:marBottom w:val="0"/>
      <w:divBdr>
        <w:top w:val="none" w:sz="0" w:space="0" w:color="auto"/>
        <w:left w:val="none" w:sz="0" w:space="0" w:color="auto"/>
        <w:bottom w:val="none" w:sz="0" w:space="0" w:color="auto"/>
        <w:right w:val="none" w:sz="0" w:space="0" w:color="auto"/>
      </w:divBdr>
    </w:div>
    <w:div w:id="1742407180">
      <w:marLeft w:val="0"/>
      <w:marRight w:val="0"/>
      <w:marTop w:val="0"/>
      <w:marBottom w:val="0"/>
      <w:divBdr>
        <w:top w:val="none" w:sz="0" w:space="0" w:color="auto"/>
        <w:left w:val="none" w:sz="0" w:space="0" w:color="auto"/>
        <w:bottom w:val="none" w:sz="0" w:space="0" w:color="auto"/>
        <w:right w:val="none" w:sz="0" w:space="0" w:color="auto"/>
      </w:divBdr>
    </w:div>
    <w:div w:id="1742407181">
      <w:marLeft w:val="0"/>
      <w:marRight w:val="0"/>
      <w:marTop w:val="0"/>
      <w:marBottom w:val="0"/>
      <w:divBdr>
        <w:top w:val="none" w:sz="0" w:space="0" w:color="auto"/>
        <w:left w:val="none" w:sz="0" w:space="0" w:color="auto"/>
        <w:bottom w:val="none" w:sz="0" w:space="0" w:color="auto"/>
        <w:right w:val="none" w:sz="0" w:space="0" w:color="auto"/>
      </w:divBdr>
    </w:div>
    <w:div w:id="1742407182">
      <w:marLeft w:val="0"/>
      <w:marRight w:val="0"/>
      <w:marTop w:val="0"/>
      <w:marBottom w:val="0"/>
      <w:divBdr>
        <w:top w:val="none" w:sz="0" w:space="0" w:color="auto"/>
        <w:left w:val="none" w:sz="0" w:space="0" w:color="auto"/>
        <w:bottom w:val="none" w:sz="0" w:space="0" w:color="auto"/>
        <w:right w:val="none" w:sz="0" w:space="0" w:color="auto"/>
      </w:divBdr>
    </w:div>
    <w:div w:id="1742407183">
      <w:marLeft w:val="0"/>
      <w:marRight w:val="0"/>
      <w:marTop w:val="0"/>
      <w:marBottom w:val="0"/>
      <w:divBdr>
        <w:top w:val="none" w:sz="0" w:space="0" w:color="auto"/>
        <w:left w:val="none" w:sz="0" w:space="0" w:color="auto"/>
        <w:bottom w:val="none" w:sz="0" w:space="0" w:color="auto"/>
        <w:right w:val="none" w:sz="0" w:space="0" w:color="auto"/>
      </w:divBdr>
    </w:div>
    <w:div w:id="1742407184">
      <w:marLeft w:val="0"/>
      <w:marRight w:val="0"/>
      <w:marTop w:val="0"/>
      <w:marBottom w:val="0"/>
      <w:divBdr>
        <w:top w:val="none" w:sz="0" w:space="0" w:color="auto"/>
        <w:left w:val="none" w:sz="0" w:space="0" w:color="auto"/>
        <w:bottom w:val="none" w:sz="0" w:space="0" w:color="auto"/>
        <w:right w:val="none" w:sz="0" w:space="0" w:color="auto"/>
      </w:divBdr>
    </w:div>
    <w:div w:id="1742407185">
      <w:marLeft w:val="0"/>
      <w:marRight w:val="0"/>
      <w:marTop w:val="0"/>
      <w:marBottom w:val="0"/>
      <w:divBdr>
        <w:top w:val="none" w:sz="0" w:space="0" w:color="auto"/>
        <w:left w:val="none" w:sz="0" w:space="0" w:color="auto"/>
        <w:bottom w:val="none" w:sz="0" w:space="0" w:color="auto"/>
        <w:right w:val="none" w:sz="0" w:space="0" w:color="auto"/>
      </w:divBdr>
    </w:div>
    <w:div w:id="1742407186">
      <w:marLeft w:val="0"/>
      <w:marRight w:val="0"/>
      <w:marTop w:val="0"/>
      <w:marBottom w:val="0"/>
      <w:divBdr>
        <w:top w:val="none" w:sz="0" w:space="0" w:color="auto"/>
        <w:left w:val="none" w:sz="0" w:space="0" w:color="auto"/>
        <w:bottom w:val="none" w:sz="0" w:space="0" w:color="auto"/>
        <w:right w:val="none" w:sz="0" w:space="0" w:color="auto"/>
      </w:divBdr>
    </w:div>
    <w:div w:id="1742407187">
      <w:marLeft w:val="0"/>
      <w:marRight w:val="0"/>
      <w:marTop w:val="0"/>
      <w:marBottom w:val="0"/>
      <w:divBdr>
        <w:top w:val="none" w:sz="0" w:space="0" w:color="auto"/>
        <w:left w:val="none" w:sz="0" w:space="0" w:color="auto"/>
        <w:bottom w:val="none" w:sz="0" w:space="0" w:color="auto"/>
        <w:right w:val="none" w:sz="0" w:space="0" w:color="auto"/>
      </w:divBdr>
    </w:div>
    <w:div w:id="1742407188">
      <w:marLeft w:val="0"/>
      <w:marRight w:val="0"/>
      <w:marTop w:val="0"/>
      <w:marBottom w:val="0"/>
      <w:divBdr>
        <w:top w:val="none" w:sz="0" w:space="0" w:color="auto"/>
        <w:left w:val="none" w:sz="0" w:space="0" w:color="auto"/>
        <w:bottom w:val="none" w:sz="0" w:space="0" w:color="auto"/>
        <w:right w:val="none" w:sz="0" w:space="0" w:color="auto"/>
      </w:divBdr>
    </w:div>
    <w:div w:id="1742407189">
      <w:marLeft w:val="0"/>
      <w:marRight w:val="0"/>
      <w:marTop w:val="0"/>
      <w:marBottom w:val="0"/>
      <w:divBdr>
        <w:top w:val="none" w:sz="0" w:space="0" w:color="auto"/>
        <w:left w:val="none" w:sz="0" w:space="0" w:color="auto"/>
        <w:bottom w:val="none" w:sz="0" w:space="0" w:color="auto"/>
        <w:right w:val="none" w:sz="0" w:space="0" w:color="auto"/>
      </w:divBdr>
    </w:div>
    <w:div w:id="1742407190">
      <w:marLeft w:val="0"/>
      <w:marRight w:val="0"/>
      <w:marTop w:val="0"/>
      <w:marBottom w:val="0"/>
      <w:divBdr>
        <w:top w:val="none" w:sz="0" w:space="0" w:color="auto"/>
        <w:left w:val="none" w:sz="0" w:space="0" w:color="auto"/>
        <w:bottom w:val="none" w:sz="0" w:space="0" w:color="auto"/>
        <w:right w:val="none" w:sz="0" w:space="0" w:color="auto"/>
      </w:divBdr>
    </w:div>
    <w:div w:id="1742407191">
      <w:marLeft w:val="0"/>
      <w:marRight w:val="0"/>
      <w:marTop w:val="0"/>
      <w:marBottom w:val="0"/>
      <w:divBdr>
        <w:top w:val="none" w:sz="0" w:space="0" w:color="auto"/>
        <w:left w:val="none" w:sz="0" w:space="0" w:color="auto"/>
        <w:bottom w:val="none" w:sz="0" w:space="0" w:color="auto"/>
        <w:right w:val="none" w:sz="0" w:space="0" w:color="auto"/>
      </w:divBdr>
    </w:div>
    <w:div w:id="1742407192">
      <w:marLeft w:val="0"/>
      <w:marRight w:val="0"/>
      <w:marTop w:val="0"/>
      <w:marBottom w:val="0"/>
      <w:divBdr>
        <w:top w:val="none" w:sz="0" w:space="0" w:color="auto"/>
        <w:left w:val="none" w:sz="0" w:space="0" w:color="auto"/>
        <w:bottom w:val="none" w:sz="0" w:space="0" w:color="auto"/>
        <w:right w:val="none" w:sz="0" w:space="0" w:color="auto"/>
      </w:divBdr>
    </w:div>
    <w:div w:id="1742407193">
      <w:marLeft w:val="0"/>
      <w:marRight w:val="0"/>
      <w:marTop w:val="0"/>
      <w:marBottom w:val="0"/>
      <w:divBdr>
        <w:top w:val="none" w:sz="0" w:space="0" w:color="auto"/>
        <w:left w:val="none" w:sz="0" w:space="0" w:color="auto"/>
        <w:bottom w:val="none" w:sz="0" w:space="0" w:color="auto"/>
        <w:right w:val="none" w:sz="0" w:space="0" w:color="auto"/>
      </w:divBdr>
    </w:div>
    <w:div w:id="1742407194">
      <w:marLeft w:val="0"/>
      <w:marRight w:val="0"/>
      <w:marTop w:val="0"/>
      <w:marBottom w:val="0"/>
      <w:divBdr>
        <w:top w:val="none" w:sz="0" w:space="0" w:color="auto"/>
        <w:left w:val="none" w:sz="0" w:space="0" w:color="auto"/>
        <w:bottom w:val="none" w:sz="0" w:space="0" w:color="auto"/>
        <w:right w:val="none" w:sz="0" w:space="0" w:color="auto"/>
      </w:divBdr>
    </w:div>
    <w:div w:id="1742407195">
      <w:marLeft w:val="0"/>
      <w:marRight w:val="0"/>
      <w:marTop w:val="0"/>
      <w:marBottom w:val="0"/>
      <w:divBdr>
        <w:top w:val="none" w:sz="0" w:space="0" w:color="auto"/>
        <w:left w:val="none" w:sz="0" w:space="0" w:color="auto"/>
        <w:bottom w:val="none" w:sz="0" w:space="0" w:color="auto"/>
        <w:right w:val="none" w:sz="0" w:space="0" w:color="auto"/>
      </w:divBdr>
    </w:div>
    <w:div w:id="1742407196">
      <w:marLeft w:val="0"/>
      <w:marRight w:val="0"/>
      <w:marTop w:val="0"/>
      <w:marBottom w:val="0"/>
      <w:divBdr>
        <w:top w:val="none" w:sz="0" w:space="0" w:color="auto"/>
        <w:left w:val="none" w:sz="0" w:space="0" w:color="auto"/>
        <w:bottom w:val="none" w:sz="0" w:space="0" w:color="auto"/>
        <w:right w:val="none" w:sz="0" w:space="0" w:color="auto"/>
      </w:divBdr>
    </w:div>
    <w:div w:id="1742407197">
      <w:marLeft w:val="0"/>
      <w:marRight w:val="0"/>
      <w:marTop w:val="0"/>
      <w:marBottom w:val="0"/>
      <w:divBdr>
        <w:top w:val="none" w:sz="0" w:space="0" w:color="auto"/>
        <w:left w:val="none" w:sz="0" w:space="0" w:color="auto"/>
        <w:bottom w:val="none" w:sz="0" w:space="0" w:color="auto"/>
        <w:right w:val="none" w:sz="0" w:space="0" w:color="auto"/>
      </w:divBdr>
    </w:div>
    <w:div w:id="1742407198">
      <w:marLeft w:val="0"/>
      <w:marRight w:val="0"/>
      <w:marTop w:val="0"/>
      <w:marBottom w:val="0"/>
      <w:divBdr>
        <w:top w:val="none" w:sz="0" w:space="0" w:color="auto"/>
        <w:left w:val="none" w:sz="0" w:space="0" w:color="auto"/>
        <w:bottom w:val="none" w:sz="0" w:space="0" w:color="auto"/>
        <w:right w:val="none" w:sz="0" w:space="0" w:color="auto"/>
      </w:divBdr>
    </w:div>
    <w:div w:id="1742407199">
      <w:marLeft w:val="0"/>
      <w:marRight w:val="0"/>
      <w:marTop w:val="0"/>
      <w:marBottom w:val="0"/>
      <w:divBdr>
        <w:top w:val="none" w:sz="0" w:space="0" w:color="auto"/>
        <w:left w:val="none" w:sz="0" w:space="0" w:color="auto"/>
        <w:bottom w:val="none" w:sz="0" w:space="0" w:color="auto"/>
        <w:right w:val="none" w:sz="0" w:space="0" w:color="auto"/>
      </w:divBdr>
    </w:div>
    <w:div w:id="1742407200">
      <w:marLeft w:val="0"/>
      <w:marRight w:val="0"/>
      <w:marTop w:val="0"/>
      <w:marBottom w:val="0"/>
      <w:divBdr>
        <w:top w:val="none" w:sz="0" w:space="0" w:color="auto"/>
        <w:left w:val="none" w:sz="0" w:space="0" w:color="auto"/>
        <w:bottom w:val="none" w:sz="0" w:space="0" w:color="auto"/>
        <w:right w:val="none" w:sz="0" w:space="0" w:color="auto"/>
      </w:divBdr>
    </w:div>
    <w:div w:id="1742407201">
      <w:marLeft w:val="0"/>
      <w:marRight w:val="0"/>
      <w:marTop w:val="0"/>
      <w:marBottom w:val="0"/>
      <w:divBdr>
        <w:top w:val="none" w:sz="0" w:space="0" w:color="auto"/>
        <w:left w:val="none" w:sz="0" w:space="0" w:color="auto"/>
        <w:bottom w:val="none" w:sz="0" w:space="0" w:color="auto"/>
        <w:right w:val="none" w:sz="0" w:space="0" w:color="auto"/>
      </w:divBdr>
    </w:div>
    <w:div w:id="1742407202">
      <w:marLeft w:val="0"/>
      <w:marRight w:val="0"/>
      <w:marTop w:val="0"/>
      <w:marBottom w:val="0"/>
      <w:divBdr>
        <w:top w:val="none" w:sz="0" w:space="0" w:color="auto"/>
        <w:left w:val="none" w:sz="0" w:space="0" w:color="auto"/>
        <w:bottom w:val="none" w:sz="0" w:space="0" w:color="auto"/>
        <w:right w:val="none" w:sz="0" w:space="0" w:color="auto"/>
      </w:divBdr>
    </w:div>
    <w:div w:id="1742407203">
      <w:marLeft w:val="0"/>
      <w:marRight w:val="0"/>
      <w:marTop w:val="0"/>
      <w:marBottom w:val="0"/>
      <w:divBdr>
        <w:top w:val="none" w:sz="0" w:space="0" w:color="auto"/>
        <w:left w:val="none" w:sz="0" w:space="0" w:color="auto"/>
        <w:bottom w:val="none" w:sz="0" w:space="0" w:color="auto"/>
        <w:right w:val="none" w:sz="0" w:space="0" w:color="auto"/>
      </w:divBdr>
    </w:div>
    <w:div w:id="1742407204">
      <w:marLeft w:val="0"/>
      <w:marRight w:val="0"/>
      <w:marTop w:val="0"/>
      <w:marBottom w:val="0"/>
      <w:divBdr>
        <w:top w:val="none" w:sz="0" w:space="0" w:color="auto"/>
        <w:left w:val="none" w:sz="0" w:space="0" w:color="auto"/>
        <w:bottom w:val="none" w:sz="0" w:space="0" w:color="auto"/>
        <w:right w:val="none" w:sz="0" w:space="0" w:color="auto"/>
      </w:divBdr>
    </w:div>
    <w:div w:id="1742407205">
      <w:marLeft w:val="0"/>
      <w:marRight w:val="0"/>
      <w:marTop w:val="0"/>
      <w:marBottom w:val="0"/>
      <w:divBdr>
        <w:top w:val="none" w:sz="0" w:space="0" w:color="auto"/>
        <w:left w:val="none" w:sz="0" w:space="0" w:color="auto"/>
        <w:bottom w:val="none" w:sz="0" w:space="0" w:color="auto"/>
        <w:right w:val="none" w:sz="0" w:space="0" w:color="auto"/>
      </w:divBdr>
    </w:div>
    <w:div w:id="1742407206">
      <w:marLeft w:val="0"/>
      <w:marRight w:val="0"/>
      <w:marTop w:val="0"/>
      <w:marBottom w:val="0"/>
      <w:divBdr>
        <w:top w:val="none" w:sz="0" w:space="0" w:color="auto"/>
        <w:left w:val="none" w:sz="0" w:space="0" w:color="auto"/>
        <w:bottom w:val="none" w:sz="0" w:space="0" w:color="auto"/>
        <w:right w:val="none" w:sz="0" w:space="0" w:color="auto"/>
      </w:divBdr>
    </w:div>
    <w:div w:id="1742407207">
      <w:marLeft w:val="0"/>
      <w:marRight w:val="0"/>
      <w:marTop w:val="0"/>
      <w:marBottom w:val="0"/>
      <w:divBdr>
        <w:top w:val="none" w:sz="0" w:space="0" w:color="auto"/>
        <w:left w:val="none" w:sz="0" w:space="0" w:color="auto"/>
        <w:bottom w:val="none" w:sz="0" w:space="0" w:color="auto"/>
        <w:right w:val="none" w:sz="0" w:space="0" w:color="auto"/>
      </w:divBdr>
    </w:div>
    <w:div w:id="1742407208">
      <w:marLeft w:val="0"/>
      <w:marRight w:val="0"/>
      <w:marTop w:val="0"/>
      <w:marBottom w:val="0"/>
      <w:divBdr>
        <w:top w:val="none" w:sz="0" w:space="0" w:color="auto"/>
        <w:left w:val="none" w:sz="0" w:space="0" w:color="auto"/>
        <w:bottom w:val="none" w:sz="0" w:space="0" w:color="auto"/>
        <w:right w:val="none" w:sz="0" w:space="0" w:color="auto"/>
      </w:divBdr>
    </w:div>
    <w:div w:id="1742407209">
      <w:marLeft w:val="0"/>
      <w:marRight w:val="0"/>
      <w:marTop w:val="0"/>
      <w:marBottom w:val="0"/>
      <w:divBdr>
        <w:top w:val="none" w:sz="0" w:space="0" w:color="auto"/>
        <w:left w:val="none" w:sz="0" w:space="0" w:color="auto"/>
        <w:bottom w:val="none" w:sz="0" w:space="0" w:color="auto"/>
        <w:right w:val="none" w:sz="0" w:space="0" w:color="auto"/>
      </w:divBdr>
    </w:div>
    <w:div w:id="1742407210">
      <w:marLeft w:val="0"/>
      <w:marRight w:val="0"/>
      <w:marTop w:val="0"/>
      <w:marBottom w:val="0"/>
      <w:divBdr>
        <w:top w:val="none" w:sz="0" w:space="0" w:color="auto"/>
        <w:left w:val="none" w:sz="0" w:space="0" w:color="auto"/>
        <w:bottom w:val="none" w:sz="0" w:space="0" w:color="auto"/>
        <w:right w:val="none" w:sz="0" w:space="0" w:color="auto"/>
      </w:divBdr>
    </w:div>
    <w:div w:id="1742407211">
      <w:marLeft w:val="0"/>
      <w:marRight w:val="0"/>
      <w:marTop w:val="0"/>
      <w:marBottom w:val="0"/>
      <w:divBdr>
        <w:top w:val="none" w:sz="0" w:space="0" w:color="auto"/>
        <w:left w:val="none" w:sz="0" w:space="0" w:color="auto"/>
        <w:bottom w:val="none" w:sz="0" w:space="0" w:color="auto"/>
        <w:right w:val="none" w:sz="0" w:space="0" w:color="auto"/>
      </w:divBdr>
    </w:div>
    <w:div w:id="1742407212">
      <w:marLeft w:val="0"/>
      <w:marRight w:val="0"/>
      <w:marTop w:val="0"/>
      <w:marBottom w:val="0"/>
      <w:divBdr>
        <w:top w:val="none" w:sz="0" w:space="0" w:color="auto"/>
        <w:left w:val="none" w:sz="0" w:space="0" w:color="auto"/>
        <w:bottom w:val="none" w:sz="0" w:space="0" w:color="auto"/>
        <w:right w:val="none" w:sz="0" w:space="0" w:color="auto"/>
      </w:divBdr>
    </w:div>
    <w:div w:id="1742407213">
      <w:marLeft w:val="0"/>
      <w:marRight w:val="0"/>
      <w:marTop w:val="0"/>
      <w:marBottom w:val="0"/>
      <w:divBdr>
        <w:top w:val="none" w:sz="0" w:space="0" w:color="auto"/>
        <w:left w:val="none" w:sz="0" w:space="0" w:color="auto"/>
        <w:bottom w:val="none" w:sz="0" w:space="0" w:color="auto"/>
        <w:right w:val="none" w:sz="0" w:space="0" w:color="auto"/>
      </w:divBdr>
    </w:div>
    <w:div w:id="1742407214">
      <w:marLeft w:val="0"/>
      <w:marRight w:val="0"/>
      <w:marTop w:val="0"/>
      <w:marBottom w:val="0"/>
      <w:divBdr>
        <w:top w:val="none" w:sz="0" w:space="0" w:color="auto"/>
        <w:left w:val="none" w:sz="0" w:space="0" w:color="auto"/>
        <w:bottom w:val="none" w:sz="0" w:space="0" w:color="auto"/>
        <w:right w:val="none" w:sz="0" w:space="0" w:color="auto"/>
      </w:divBdr>
    </w:div>
    <w:div w:id="1742407215">
      <w:marLeft w:val="0"/>
      <w:marRight w:val="0"/>
      <w:marTop w:val="0"/>
      <w:marBottom w:val="0"/>
      <w:divBdr>
        <w:top w:val="none" w:sz="0" w:space="0" w:color="auto"/>
        <w:left w:val="none" w:sz="0" w:space="0" w:color="auto"/>
        <w:bottom w:val="none" w:sz="0" w:space="0" w:color="auto"/>
        <w:right w:val="none" w:sz="0" w:space="0" w:color="auto"/>
      </w:divBdr>
    </w:div>
    <w:div w:id="1742407216">
      <w:marLeft w:val="0"/>
      <w:marRight w:val="0"/>
      <w:marTop w:val="0"/>
      <w:marBottom w:val="0"/>
      <w:divBdr>
        <w:top w:val="none" w:sz="0" w:space="0" w:color="auto"/>
        <w:left w:val="none" w:sz="0" w:space="0" w:color="auto"/>
        <w:bottom w:val="none" w:sz="0" w:space="0" w:color="auto"/>
        <w:right w:val="none" w:sz="0" w:space="0" w:color="auto"/>
      </w:divBdr>
    </w:div>
    <w:div w:id="1742407217">
      <w:marLeft w:val="0"/>
      <w:marRight w:val="0"/>
      <w:marTop w:val="0"/>
      <w:marBottom w:val="0"/>
      <w:divBdr>
        <w:top w:val="none" w:sz="0" w:space="0" w:color="auto"/>
        <w:left w:val="none" w:sz="0" w:space="0" w:color="auto"/>
        <w:bottom w:val="none" w:sz="0" w:space="0" w:color="auto"/>
        <w:right w:val="none" w:sz="0" w:space="0" w:color="auto"/>
      </w:divBdr>
    </w:div>
    <w:div w:id="1742407218">
      <w:marLeft w:val="0"/>
      <w:marRight w:val="0"/>
      <w:marTop w:val="0"/>
      <w:marBottom w:val="0"/>
      <w:divBdr>
        <w:top w:val="none" w:sz="0" w:space="0" w:color="auto"/>
        <w:left w:val="none" w:sz="0" w:space="0" w:color="auto"/>
        <w:bottom w:val="none" w:sz="0" w:space="0" w:color="auto"/>
        <w:right w:val="none" w:sz="0" w:space="0" w:color="auto"/>
      </w:divBdr>
    </w:div>
    <w:div w:id="1742407219">
      <w:marLeft w:val="0"/>
      <w:marRight w:val="0"/>
      <w:marTop w:val="0"/>
      <w:marBottom w:val="0"/>
      <w:divBdr>
        <w:top w:val="none" w:sz="0" w:space="0" w:color="auto"/>
        <w:left w:val="none" w:sz="0" w:space="0" w:color="auto"/>
        <w:bottom w:val="none" w:sz="0" w:space="0" w:color="auto"/>
        <w:right w:val="none" w:sz="0" w:space="0" w:color="auto"/>
      </w:divBdr>
    </w:div>
    <w:div w:id="1742407220">
      <w:marLeft w:val="0"/>
      <w:marRight w:val="0"/>
      <w:marTop w:val="0"/>
      <w:marBottom w:val="0"/>
      <w:divBdr>
        <w:top w:val="none" w:sz="0" w:space="0" w:color="auto"/>
        <w:left w:val="none" w:sz="0" w:space="0" w:color="auto"/>
        <w:bottom w:val="none" w:sz="0" w:space="0" w:color="auto"/>
        <w:right w:val="none" w:sz="0" w:space="0" w:color="auto"/>
      </w:divBdr>
    </w:div>
    <w:div w:id="1742407221">
      <w:marLeft w:val="0"/>
      <w:marRight w:val="0"/>
      <w:marTop w:val="0"/>
      <w:marBottom w:val="0"/>
      <w:divBdr>
        <w:top w:val="none" w:sz="0" w:space="0" w:color="auto"/>
        <w:left w:val="none" w:sz="0" w:space="0" w:color="auto"/>
        <w:bottom w:val="none" w:sz="0" w:space="0" w:color="auto"/>
        <w:right w:val="none" w:sz="0" w:space="0" w:color="auto"/>
      </w:divBdr>
    </w:div>
    <w:div w:id="1742407222">
      <w:marLeft w:val="0"/>
      <w:marRight w:val="0"/>
      <w:marTop w:val="0"/>
      <w:marBottom w:val="0"/>
      <w:divBdr>
        <w:top w:val="none" w:sz="0" w:space="0" w:color="auto"/>
        <w:left w:val="none" w:sz="0" w:space="0" w:color="auto"/>
        <w:bottom w:val="none" w:sz="0" w:space="0" w:color="auto"/>
        <w:right w:val="none" w:sz="0" w:space="0" w:color="auto"/>
      </w:divBdr>
    </w:div>
    <w:div w:id="1742407223">
      <w:marLeft w:val="0"/>
      <w:marRight w:val="0"/>
      <w:marTop w:val="0"/>
      <w:marBottom w:val="0"/>
      <w:divBdr>
        <w:top w:val="none" w:sz="0" w:space="0" w:color="auto"/>
        <w:left w:val="none" w:sz="0" w:space="0" w:color="auto"/>
        <w:bottom w:val="none" w:sz="0" w:space="0" w:color="auto"/>
        <w:right w:val="none" w:sz="0" w:space="0" w:color="auto"/>
      </w:divBdr>
    </w:div>
    <w:div w:id="1742407224">
      <w:marLeft w:val="0"/>
      <w:marRight w:val="0"/>
      <w:marTop w:val="0"/>
      <w:marBottom w:val="0"/>
      <w:divBdr>
        <w:top w:val="none" w:sz="0" w:space="0" w:color="auto"/>
        <w:left w:val="none" w:sz="0" w:space="0" w:color="auto"/>
        <w:bottom w:val="none" w:sz="0" w:space="0" w:color="auto"/>
        <w:right w:val="none" w:sz="0" w:space="0" w:color="auto"/>
      </w:divBdr>
    </w:div>
    <w:div w:id="1742407225">
      <w:marLeft w:val="0"/>
      <w:marRight w:val="0"/>
      <w:marTop w:val="0"/>
      <w:marBottom w:val="0"/>
      <w:divBdr>
        <w:top w:val="none" w:sz="0" w:space="0" w:color="auto"/>
        <w:left w:val="none" w:sz="0" w:space="0" w:color="auto"/>
        <w:bottom w:val="none" w:sz="0" w:space="0" w:color="auto"/>
        <w:right w:val="none" w:sz="0" w:space="0" w:color="auto"/>
      </w:divBdr>
    </w:div>
    <w:div w:id="1742407226">
      <w:marLeft w:val="0"/>
      <w:marRight w:val="0"/>
      <w:marTop w:val="0"/>
      <w:marBottom w:val="0"/>
      <w:divBdr>
        <w:top w:val="none" w:sz="0" w:space="0" w:color="auto"/>
        <w:left w:val="none" w:sz="0" w:space="0" w:color="auto"/>
        <w:bottom w:val="none" w:sz="0" w:space="0" w:color="auto"/>
        <w:right w:val="none" w:sz="0" w:space="0" w:color="auto"/>
      </w:divBdr>
    </w:div>
    <w:div w:id="1742407227">
      <w:marLeft w:val="0"/>
      <w:marRight w:val="0"/>
      <w:marTop w:val="0"/>
      <w:marBottom w:val="0"/>
      <w:divBdr>
        <w:top w:val="none" w:sz="0" w:space="0" w:color="auto"/>
        <w:left w:val="none" w:sz="0" w:space="0" w:color="auto"/>
        <w:bottom w:val="none" w:sz="0" w:space="0" w:color="auto"/>
        <w:right w:val="none" w:sz="0" w:space="0" w:color="auto"/>
      </w:divBdr>
    </w:div>
    <w:div w:id="1742407228">
      <w:marLeft w:val="0"/>
      <w:marRight w:val="0"/>
      <w:marTop w:val="0"/>
      <w:marBottom w:val="0"/>
      <w:divBdr>
        <w:top w:val="none" w:sz="0" w:space="0" w:color="auto"/>
        <w:left w:val="none" w:sz="0" w:space="0" w:color="auto"/>
        <w:bottom w:val="none" w:sz="0" w:space="0" w:color="auto"/>
        <w:right w:val="none" w:sz="0" w:space="0" w:color="auto"/>
      </w:divBdr>
    </w:div>
    <w:div w:id="1742407229">
      <w:marLeft w:val="0"/>
      <w:marRight w:val="0"/>
      <w:marTop w:val="0"/>
      <w:marBottom w:val="0"/>
      <w:divBdr>
        <w:top w:val="none" w:sz="0" w:space="0" w:color="auto"/>
        <w:left w:val="none" w:sz="0" w:space="0" w:color="auto"/>
        <w:bottom w:val="none" w:sz="0" w:space="0" w:color="auto"/>
        <w:right w:val="none" w:sz="0" w:space="0" w:color="auto"/>
      </w:divBdr>
    </w:div>
    <w:div w:id="1742407230">
      <w:marLeft w:val="0"/>
      <w:marRight w:val="0"/>
      <w:marTop w:val="0"/>
      <w:marBottom w:val="0"/>
      <w:divBdr>
        <w:top w:val="none" w:sz="0" w:space="0" w:color="auto"/>
        <w:left w:val="none" w:sz="0" w:space="0" w:color="auto"/>
        <w:bottom w:val="none" w:sz="0" w:space="0" w:color="auto"/>
        <w:right w:val="none" w:sz="0" w:space="0" w:color="auto"/>
      </w:divBdr>
    </w:div>
    <w:div w:id="1742407231">
      <w:marLeft w:val="0"/>
      <w:marRight w:val="0"/>
      <w:marTop w:val="0"/>
      <w:marBottom w:val="0"/>
      <w:divBdr>
        <w:top w:val="none" w:sz="0" w:space="0" w:color="auto"/>
        <w:left w:val="none" w:sz="0" w:space="0" w:color="auto"/>
        <w:bottom w:val="none" w:sz="0" w:space="0" w:color="auto"/>
        <w:right w:val="none" w:sz="0" w:space="0" w:color="auto"/>
      </w:divBdr>
    </w:div>
    <w:div w:id="1742407232">
      <w:marLeft w:val="0"/>
      <w:marRight w:val="0"/>
      <w:marTop w:val="0"/>
      <w:marBottom w:val="0"/>
      <w:divBdr>
        <w:top w:val="none" w:sz="0" w:space="0" w:color="auto"/>
        <w:left w:val="none" w:sz="0" w:space="0" w:color="auto"/>
        <w:bottom w:val="none" w:sz="0" w:space="0" w:color="auto"/>
        <w:right w:val="none" w:sz="0" w:space="0" w:color="auto"/>
      </w:divBdr>
    </w:div>
    <w:div w:id="1742407233">
      <w:marLeft w:val="0"/>
      <w:marRight w:val="0"/>
      <w:marTop w:val="0"/>
      <w:marBottom w:val="0"/>
      <w:divBdr>
        <w:top w:val="none" w:sz="0" w:space="0" w:color="auto"/>
        <w:left w:val="none" w:sz="0" w:space="0" w:color="auto"/>
        <w:bottom w:val="none" w:sz="0" w:space="0" w:color="auto"/>
        <w:right w:val="none" w:sz="0" w:space="0" w:color="auto"/>
      </w:divBdr>
    </w:div>
    <w:div w:id="1742407234">
      <w:marLeft w:val="0"/>
      <w:marRight w:val="0"/>
      <w:marTop w:val="0"/>
      <w:marBottom w:val="0"/>
      <w:divBdr>
        <w:top w:val="none" w:sz="0" w:space="0" w:color="auto"/>
        <w:left w:val="none" w:sz="0" w:space="0" w:color="auto"/>
        <w:bottom w:val="none" w:sz="0" w:space="0" w:color="auto"/>
        <w:right w:val="none" w:sz="0" w:space="0" w:color="auto"/>
      </w:divBdr>
    </w:div>
    <w:div w:id="1742407235">
      <w:marLeft w:val="0"/>
      <w:marRight w:val="0"/>
      <w:marTop w:val="0"/>
      <w:marBottom w:val="0"/>
      <w:divBdr>
        <w:top w:val="none" w:sz="0" w:space="0" w:color="auto"/>
        <w:left w:val="none" w:sz="0" w:space="0" w:color="auto"/>
        <w:bottom w:val="none" w:sz="0" w:space="0" w:color="auto"/>
        <w:right w:val="none" w:sz="0" w:space="0" w:color="auto"/>
      </w:divBdr>
    </w:div>
    <w:div w:id="1742407236">
      <w:marLeft w:val="0"/>
      <w:marRight w:val="0"/>
      <w:marTop w:val="0"/>
      <w:marBottom w:val="0"/>
      <w:divBdr>
        <w:top w:val="none" w:sz="0" w:space="0" w:color="auto"/>
        <w:left w:val="none" w:sz="0" w:space="0" w:color="auto"/>
        <w:bottom w:val="none" w:sz="0" w:space="0" w:color="auto"/>
        <w:right w:val="none" w:sz="0" w:space="0" w:color="auto"/>
      </w:divBdr>
    </w:div>
    <w:div w:id="1742407237">
      <w:marLeft w:val="0"/>
      <w:marRight w:val="0"/>
      <w:marTop w:val="0"/>
      <w:marBottom w:val="0"/>
      <w:divBdr>
        <w:top w:val="none" w:sz="0" w:space="0" w:color="auto"/>
        <w:left w:val="none" w:sz="0" w:space="0" w:color="auto"/>
        <w:bottom w:val="none" w:sz="0" w:space="0" w:color="auto"/>
        <w:right w:val="none" w:sz="0" w:space="0" w:color="auto"/>
      </w:divBdr>
    </w:div>
    <w:div w:id="1742407238">
      <w:marLeft w:val="0"/>
      <w:marRight w:val="0"/>
      <w:marTop w:val="0"/>
      <w:marBottom w:val="0"/>
      <w:divBdr>
        <w:top w:val="none" w:sz="0" w:space="0" w:color="auto"/>
        <w:left w:val="none" w:sz="0" w:space="0" w:color="auto"/>
        <w:bottom w:val="none" w:sz="0" w:space="0" w:color="auto"/>
        <w:right w:val="none" w:sz="0" w:space="0" w:color="auto"/>
      </w:divBdr>
    </w:div>
    <w:div w:id="1742407239">
      <w:marLeft w:val="0"/>
      <w:marRight w:val="0"/>
      <w:marTop w:val="0"/>
      <w:marBottom w:val="0"/>
      <w:divBdr>
        <w:top w:val="none" w:sz="0" w:space="0" w:color="auto"/>
        <w:left w:val="none" w:sz="0" w:space="0" w:color="auto"/>
        <w:bottom w:val="none" w:sz="0" w:space="0" w:color="auto"/>
        <w:right w:val="none" w:sz="0" w:space="0" w:color="auto"/>
      </w:divBdr>
    </w:div>
    <w:div w:id="1742407240">
      <w:marLeft w:val="0"/>
      <w:marRight w:val="0"/>
      <w:marTop w:val="0"/>
      <w:marBottom w:val="0"/>
      <w:divBdr>
        <w:top w:val="none" w:sz="0" w:space="0" w:color="auto"/>
        <w:left w:val="none" w:sz="0" w:space="0" w:color="auto"/>
        <w:bottom w:val="none" w:sz="0" w:space="0" w:color="auto"/>
        <w:right w:val="none" w:sz="0" w:space="0" w:color="auto"/>
      </w:divBdr>
    </w:div>
    <w:div w:id="1742407241">
      <w:marLeft w:val="0"/>
      <w:marRight w:val="0"/>
      <w:marTop w:val="0"/>
      <w:marBottom w:val="0"/>
      <w:divBdr>
        <w:top w:val="none" w:sz="0" w:space="0" w:color="auto"/>
        <w:left w:val="none" w:sz="0" w:space="0" w:color="auto"/>
        <w:bottom w:val="none" w:sz="0" w:space="0" w:color="auto"/>
        <w:right w:val="none" w:sz="0" w:space="0" w:color="auto"/>
      </w:divBdr>
    </w:div>
    <w:div w:id="1742407242">
      <w:marLeft w:val="0"/>
      <w:marRight w:val="0"/>
      <w:marTop w:val="0"/>
      <w:marBottom w:val="0"/>
      <w:divBdr>
        <w:top w:val="none" w:sz="0" w:space="0" w:color="auto"/>
        <w:left w:val="none" w:sz="0" w:space="0" w:color="auto"/>
        <w:bottom w:val="none" w:sz="0" w:space="0" w:color="auto"/>
        <w:right w:val="none" w:sz="0" w:space="0" w:color="auto"/>
      </w:divBdr>
    </w:div>
    <w:div w:id="1742407243">
      <w:marLeft w:val="0"/>
      <w:marRight w:val="0"/>
      <w:marTop w:val="0"/>
      <w:marBottom w:val="0"/>
      <w:divBdr>
        <w:top w:val="none" w:sz="0" w:space="0" w:color="auto"/>
        <w:left w:val="none" w:sz="0" w:space="0" w:color="auto"/>
        <w:bottom w:val="none" w:sz="0" w:space="0" w:color="auto"/>
        <w:right w:val="none" w:sz="0" w:space="0" w:color="auto"/>
      </w:divBdr>
    </w:div>
    <w:div w:id="1742407244">
      <w:marLeft w:val="0"/>
      <w:marRight w:val="0"/>
      <w:marTop w:val="0"/>
      <w:marBottom w:val="0"/>
      <w:divBdr>
        <w:top w:val="none" w:sz="0" w:space="0" w:color="auto"/>
        <w:left w:val="none" w:sz="0" w:space="0" w:color="auto"/>
        <w:bottom w:val="none" w:sz="0" w:space="0" w:color="auto"/>
        <w:right w:val="none" w:sz="0" w:space="0" w:color="auto"/>
      </w:divBdr>
    </w:div>
    <w:div w:id="1742407245">
      <w:marLeft w:val="0"/>
      <w:marRight w:val="0"/>
      <w:marTop w:val="0"/>
      <w:marBottom w:val="0"/>
      <w:divBdr>
        <w:top w:val="none" w:sz="0" w:space="0" w:color="auto"/>
        <w:left w:val="none" w:sz="0" w:space="0" w:color="auto"/>
        <w:bottom w:val="none" w:sz="0" w:space="0" w:color="auto"/>
        <w:right w:val="none" w:sz="0" w:space="0" w:color="auto"/>
      </w:divBdr>
    </w:div>
    <w:div w:id="1742407246">
      <w:marLeft w:val="0"/>
      <w:marRight w:val="0"/>
      <w:marTop w:val="0"/>
      <w:marBottom w:val="0"/>
      <w:divBdr>
        <w:top w:val="none" w:sz="0" w:space="0" w:color="auto"/>
        <w:left w:val="none" w:sz="0" w:space="0" w:color="auto"/>
        <w:bottom w:val="none" w:sz="0" w:space="0" w:color="auto"/>
        <w:right w:val="none" w:sz="0" w:space="0" w:color="auto"/>
      </w:divBdr>
    </w:div>
    <w:div w:id="1742407247">
      <w:marLeft w:val="0"/>
      <w:marRight w:val="0"/>
      <w:marTop w:val="0"/>
      <w:marBottom w:val="0"/>
      <w:divBdr>
        <w:top w:val="none" w:sz="0" w:space="0" w:color="auto"/>
        <w:left w:val="none" w:sz="0" w:space="0" w:color="auto"/>
        <w:bottom w:val="none" w:sz="0" w:space="0" w:color="auto"/>
        <w:right w:val="none" w:sz="0" w:space="0" w:color="auto"/>
      </w:divBdr>
    </w:div>
    <w:div w:id="1742407248">
      <w:marLeft w:val="0"/>
      <w:marRight w:val="0"/>
      <w:marTop w:val="0"/>
      <w:marBottom w:val="0"/>
      <w:divBdr>
        <w:top w:val="none" w:sz="0" w:space="0" w:color="auto"/>
        <w:left w:val="none" w:sz="0" w:space="0" w:color="auto"/>
        <w:bottom w:val="none" w:sz="0" w:space="0" w:color="auto"/>
        <w:right w:val="none" w:sz="0" w:space="0" w:color="auto"/>
      </w:divBdr>
    </w:div>
    <w:div w:id="1742407249">
      <w:marLeft w:val="0"/>
      <w:marRight w:val="0"/>
      <w:marTop w:val="0"/>
      <w:marBottom w:val="0"/>
      <w:divBdr>
        <w:top w:val="none" w:sz="0" w:space="0" w:color="auto"/>
        <w:left w:val="none" w:sz="0" w:space="0" w:color="auto"/>
        <w:bottom w:val="none" w:sz="0" w:space="0" w:color="auto"/>
        <w:right w:val="none" w:sz="0" w:space="0" w:color="auto"/>
      </w:divBdr>
    </w:div>
    <w:div w:id="1742407250">
      <w:marLeft w:val="0"/>
      <w:marRight w:val="0"/>
      <w:marTop w:val="0"/>
      <w:marBottom w:val="0"/>
      <w:divBdr>
        <w:top w:val="none" w:sz="0" w:space="0" w:color="auto"/>
        <w:left w:val="none" w:sz="0" w:space="0" w:color="auto"/>
        <w:bottom w:val="none" w:sz="0" w:space="0" w:color="auto"/>
        <w:right w:val="none" w:sz="0" w:space="0" w:color="auto"/>
      </w:divBdr>
    </w:div>
    <w:div w:id="1742407251">
      <w:marLeft w:val="0"/>
      <w:marRight w:val="0"/>
      <w:marTop w:val="0"/>
      <w:marBottom w:val="0"/>
      <w:divBdr>
        <w:top w:val="none" w:sz="0" w:space="0" w:color="auto"/>
        <w:left w:val="none" w:sz="0" w:space="0" w:color="auto"/>
        <w:bottom w:val="none" w:sz="0" w:space="0" w:color="auto"/>
        <w:right w:val="none" w:sz="0" w:space="0" w:color="auto"/>
      </w:divBdr>
    </w:div>
    <w:div w:id="1742407252">
      <w:marLeft w:val="0"/>
      <w:marRight w:val="0"/>
      <w:marTop w:val="0"/>
      <w:marBottom w:val="0"/>
      <w:divBdr>
        <w:top w:val="none" w:sz="0" w:space="0" w:color="auto"/>
        <w:left w:val="none" w:sz="0" w:space="0" w:color="auto"/>
        <w:bottom w:val="none" w:sz="0" w:space="0" w:color="auto"/>
        <w:right w:val="none" w:sz="0" w:space="0" w:color="auto"/>
      </w:divBdr>
    </w:div>
    <w:div w:id="1742407253">
      <w:marLeft w:val="0"/>
      <w:marRight w:val="0"/>
      <w:marTop w:val="0"/>
      <w:marBottom w:val="0"/>
      <w:divBdr>
        <w:top w:val="none" w:sz="0" w:space="0" w:color="auto"/>
        <w:left w:val="none" w:sz="0" w:space="0" w:color="auto"/>
        <w:bottom w:val="none" w:sz="0" w:space="0" w:color="auto"/>
        <w:right w:val="none" w:sz="0" w:space="0" w:color="auto"/>
      </w:divBdr>
    </w:div>
    <w:div w:id="1742407254">
      <w:marLeft w:val="0"/>
      <w:marRight w:val="0"/>
      <w:marTop w:val="0"/>
      <w:marBottom w:val="0"/>
      <w:divBdr>
        <w:top w:val="none" w:sz="0" w:space="0" w:color="auto"/>
        <w:left w:val="none" w:sz="0" w:space="0" w:color="auto"/>
        <w:bottom w:val="none" w:sz="0" w:space="0" w:color="auto"/>
        <w:right w:val="none" w:sz="0" w:space="0" w:color="auto"/>
      </w:divBdr>
    </w:div>
    <w:div w:id="1742407255">
      <w:marLeft w:val="0"/>
      <w:marRight w:val="0"/>
      <w:marTop w:val="0"/>
      <w:marBottom w:val="0"/>
      <w:divBdr>
        <w:top w:val="none" w:sz="0" w:space="0" w:color="auto"/>
        <w:left w:val="none" w:sz="0" w:space="0" w:color="auto"/>
        <w:bottom w:val="none" w:sz="0" w:space="0" w:color="auto"/>
        <w:right w:val="none" w:sz="0" w:space="0" w:color="auto"/>
      </w:divBdr>
    </w:div>
    <w:div w:id="1742407256">
      <w:marLeft w:val="0"/>
      <w:marRight w:val="0"/>
      <w:marTop w:val="0"/>
      <w:marBottom w:val="0"/>
      <w:divBdr>
        <w:top w:val="none" w:sz="0" w:space="0" w:color="auto"/>
        <w:left w:val="none" w:sz="0" w:space="0" w:color="auto"/>
        <w:bottom w:val="none" w:sz="0" w:space="0" w:color="auto"/>
        <w:right w:val="none" w:sz="0" w:space="0" w:color="auto"/>
      </w:divBdr>
    </w:div>
    <w:div w:id="1742407257">
      <w:marLeft w:val="0"/>
      <w:marRight w:val="0"/>
      <w:marTop w:val="0"/>
      <w:marBottom w:val="0"/>
      <w:divBdr>
        <w:top w:val="none" w:sz="0" w:space="0" w:color="auto"/>
        <w:left w:val="none" w:sz="0" w:space="0" w:color="auto"/>
        <w:bottom w:val="none" w:sz="0" w:space="0" w:color="auto"/>
        <w:right w:val="none" w:sz="0" w:space="0" w:color="auto"/>
      </w:divBdr>
    </w:div>
    <w:div w:id="1742407258">
      <w:marLeft w:val="0"/>
      <w:marRight w:val="0"/>
      <w:marTop w:val="0"/>
      <w:marBottom w:val="0"/>
      <w:divBdr>
        <w:top w:val="none" w:sz="0" w:space="0" w:color="auto"/>
        <w:left w:val="none" w:sz="0" w:space="0" w:color="auto"/>
        <w:bottom w:val="none" w:sz="0" w:space="0" w:color="auto"/>
        <w:right w:val="none" w:sz="0" w:space="0" w:color="auto"/>
      </w:divBdr>
    </w:div>
    <w:div w:id="1742407259">
      <w:marLeft w:val="0"/>
      <w:marRight w:val="0"/>
      <w:marTop w:val="0"/>
      <w:marBottom w:val="0"/>
      <w:divBdr>
        <w:top w:val="none" w:sz="0" w:space="0" w:color="auto"/>
        <w:left w:val="none" w:sz="0" w:space="0" w:color="auto"/>
        <w:bottom w:val="none" w:sz="0" w:space="0" w:color="auto"/>
        <w:right w:val="none" w:sz="0" w:space="0" w:color="auto"/>
      </w:divBdr>
    </w:div>
    <w:div w:id="1742407260">
      <w:marLeft w:val="0"/>
      <w:marRight w:val="0"/>
      <w:marTop w:val="0"/>
      <w:marBottom w:val="0"/>
      <w:divBdr>
        <w:top w:val="none" w:sz="0" w:space="0" w:color="auto"/>
        <w:left w:val="none" w:sz="0" w:space="0" w:color="auto"/>
        <w:bottom w:val="none" w:sz="0" w:space="0" w:color="auto"/>
        <w:right w:val="none" w:sz="0" w:space="0" w:color="auto"/>
      </w:divBdr>
    </w:div>
    <w:div w:id="1742407261">
      <w:marLeft w:val="0"/>
      <w:marRight w:val="0"/>
      <w:marTop w:val="0"/>
      <w:marBottom w:val="0"/>
      <w:divBdr>
        <w:top w:val="none" w:sz="0" w:space="0" w:color="auto"/>
        <w:left w:val="none" w:sz="0" w:space="0" w:color="auto"/>
        <w:bottom w:val="none" w:sz="0" w:space="0" w:color="auto"/>
        <w:right w:val="none" w:sz="0" w:space="0" w:color="auto"/>
      </w:divBdr>
    </w:div>
    <w:div w:id="1742407262">
      <w:marLeft w:val="0"/>
      <w:marRight w:val="0"/>
      <w:marTop w:val="0"/>
      <w:marBottom w:val="0"/>
      <w:divBdr>
        <w:top w:val="none" w:sz="0" w:space="0" w:color="auto"/>
        <w:left w:val="none" w:sz="0" w:space="0" w:color="auto"/>
        <w:bottom w:val="none" w:sz="0" w:space="0" w:color="auto"/>
        <w:right w:val="none" w:sz="0" w:space="0" w:color="auto"/>
      </w:divBdr>
    </w:div>
    <w:div w:id="1742407263">
      <w:marLeft w:val="0"/>
      <w:marRight w:val="0"/>
      <w:marTop w:val="0"/>
      <w:marBottom w:val="0"/>
      <w:divBdr>
        <w:top w:val="none" w:sz="0" w:space="0" w:color="auto"/>
        <w:left w:val="none" w:sz="0" w:space="0" w:color="auto"/>
        <w:bottom w:val="none" w:sz="0" w:space="0" w:color="auto"/>
        <w:right w:val="none" w:sz="0" w:space="0" w:color="auto"/>
      </w:divBdr>
    </w:div>
    <w:div w:id="1742407264">
      <w:marLeft w:val="0"/>
      <w:marRight w:val="0"/>
      <w:marTop w:val="0"/>
      <w:marBottom w:val="0"/>
      <w:divBdr>
        <w:top w:val="none" w:sz="0" w:space="0" w:color="auto"/>
        <w:left w:val="none" w:sz="0" w:space="0" w:color="auto"/>
        <w:bottom w:val="none" w:sz="0" w:space="0" w:color="auto"/>
        <w:right w:val="none" w:sz="0" w:space="0" w:color="auto"/>
      </w:divBdr>
    </w:div>
    <w:div w:id="1742407265">
      <w:marLeft w:val="0"/>
      <w:marRight w:val="0"/>
      <w:marTop w:val="0"/>
      <w:marBottom w:val="0"/>
      <w:divBdr>
        <w:top w:val="none" w:sz="0" w:space="0" w:color="auto"/>
        <w:left w:val="none" w:sz="0" w:space="0" w:color="auto"/>
        <w:bottom w:val="none" w:sz="0" w:space="0" w:color="auto"/>
        <w:right w:val="none" w:sz="0" w:space="0" w:color="auto"/>
      </w:divBdr>
    </w:div>
    <w:div w:id="1742407266">
      <w:marLeft w:val="0"/>
      <w:marRight w:val="0"/>
      <w:marTop w:val="0"/>
      <w:marBottom w:val="0"/>
      <w:divBdr>
        <w:top w:val="none" w:sz="0" w:space="0" w:color="auto"/>
        <w:left w:val="none" w:sz="0" w:space="0" w:color="auto"/>
        <w:bottom w:val="none" w:sz="0" w:space="0" w:color="auto"/>
        <w:right w:val="none" w:sz="0" w:space="0" w:color="auto"/>
      </w:divBdr>
    </w:div>
    <w:div w:id="1742407267">
      <w:marLeft w:val="0"/>
      <w:marRight w:val="0"/>
      <w:marTop w:val="0"/>
      <w:marBottom w:val="0"/>
      <w:divBdr>
        <w:top w:val="none" w:sz="0" w:space="0" w:color="auto"/>
        <w:left w:val="none" w:sz="0" w:space="0" w:color="auto"/>
        <w:bottom w:val="none" w:sz="0" w:space="0" w:color="auto"/>
        <w:right w:val="none" w:sz="0" w:space="0" w:color="auto"/>
      </w:divBdr>
    </w:div>
    <w:div w:id="1742407268">
      <w:marLeft w:val="0"/>
      <w:marRight w:val="0"/>
      <w:marTop w:val="0"/>
      <w:marBottom w:val="0"/>
      <w:divBdr>
        <w:top w:val="none" w:sz="0" w:space="0" w:color="auto"/>
        <w:left w:val="none" w:sz="0" w:space="0" w:color="auto"/>
        <w:bottom w:val="none" w:sz="0" w:space="0" w:color="auto"/>
        <w:right w:val="none" w:sz="0" w:space="0" w:color="auto"/>
      </w:divBdr>
    </w:div>
    <w:div w:id="1742407269">
      <w:marLeft w:val="0"/>
      <w:marRight w:val="0"/>
      <w:marTop w:val="0"/>
      <w:marBottom w:val="0"/>
      <w:divBdr>
        <w:top w:val="none" w:sz="0" w:space="0" w:color="auto"/>
        <w:left w:val="none" w:sz="0" w:space="0" w:color="auto"/>
        <w:bottom w:val="none" w:sz="0" w:space="0" w:color="auto"/>
        <w:right w:val="none" w:sz="0" w:space="0" w:color="auto"/>
      </w:divBdr>
    </w:div>
    <w:div w:id="1742407270">
      <w:marLeft w:val="0"/>
      <w:marRight w:val="0"/>
      <w:marTop w:val="0"/>
      <w:marBottom w:val="0"/>
      <w:divBdr>
        <w:top w:val="none" w:sz="0" w:space="0" w:color="auto"/>
        <w:left w:val="none" w:sz="0" w:space="0" w:color="auto"/>
        <w:bottom w:val="none" w:sz="0" w:space="0" w:color="auto"/>
        <w:right w:val="none" w:sz="0" w:space="0" w:color="auto"/>
      </w:divBdr>
    </w:div>
    <w:div w:id="1742407271">
      <w:marLeft w:val="0"/>
      <w:marRight w:val="0"/>
      <w:marTop w:val="0"/>
      <w:marBottom w:val="0"/>
      <w:divBdr>
        <w:top w:val="none" w:sz="0" w:space="0" w:color="auto"/>
        <w:left w:val="none" w:sz="0" w:space="0" w:color="auto"/>
        <w:bottom w:val="none" w:sz="0" w:space="0" w:color="auto"/>
        <w:right w:val="none" w:sz="0" w:space="0" w:color="auto"/>
      </w:divBdr>
    </w:div>
    <w:div w:id="1742407272">
      <w:marLeft w:val="0"/>
      <w:marRight w:val="0"/>
      <w:marTop w:val="0"/>
      <w:marBottom w:val="0"/>
      <w:divBdr>
        <w:top w:val="none" w:sz="0" w:space="0" w:color="auto"/>
        <w:left w:val="none" w:sz="0" w:space="0" w:color="auto"/>
        <w:bottom w:val="none" w:sz="0" w:space="0" w:color="auto"/>
        <w:right w:val="none" w:sz="0" w:space="0" w:color="auto"/>
      </w:divBdr>
    </w:div>
    <w:div w:id="1742407273">
      <w:marLeft w:val="0"/>
      <w:marRight w:val="0"/>
      <w:marTop w:val="0"/>
      <w:marBottom w:val="0"/>
      <w:divBdr>
        <w:top w:val="none" w:sz="0" w:space="0" w:color="auto"/>
        <w:left w:val="none" w:sz="0" w:space="0" w:color="auto"/>
        <w:bottom w:val="none" w:sz="0" w:space="0" w:color="auto"/>
        <w:right w:val="none" w:sz="0" w:space="0" w:color="auto"/>
      </w:divBdr>
    </w:div>
    <w:div w:id="1742407274">
      <w:marLeft w:val="0"/>
      <w:marRight w:val="0"/>
      <w:marTop w:val="0"/>
      <w:marBottom w:val="0"/>
      <w:divBdr>
        <w:top w:val="none" w:sz="0" w:space="0" w:color="auto"/>
        <w:left w:val="none" w:sz="0" w:space="0" w:color="auto"/>
        <w:bottom w:val="none" w:sz="0" w:space="0" w:color="auto"/>
        <w:right w:val="none" w:sz="0" w:space="0" w:color="auto"/>
      </w:divBdr>
    </w:div>
    <w:div w:id="1742407275">
      <w:marLeft w:val="0"/>
      <w:marRight w:val="0"/>
      <w:marTop w:val="0"/>
      <w:marBottom w:val="0"/>
      <w:divBdr>
        <w:top w:val="none" w:sz="0" w:space="0" w:color="auto"/>
        <w:left w:val="none" w:sz="0" w:space="0" w:color="auto"/>
        <w:bottom w:val="none" w:sz="0" w:space="0" w:color="auto"/>
        <w:right w:val="none" w:sz="0" w:space="0" w:color="auto"/>
      </w:divBdr>
    </w:div>
    <w:div w:id="1742407276">
      <w:marLeft w:val="0"/>
      <w:marRight w:val="0"/>
      <w:marTop w:val="0"/>
      <w:marBottom w:val="0"/>
      <w:divBdr>
        <w:top w:val="none" w:sz="0" w:space="0" w:color="auto"/>
        <w:left w:val="none" w:sz="0" w:space="0" w:color="auto"/>
        <w:bottom w:val="none" w:sz="0" w:space="0" w:color="auto"/>
        <w:right w:val="none" w:sz="0" w:space="0" w:color="auto"/>
      </w:divBdr>
    </w:div>
    <w:div w:id="1742407277">
      <w:marLeft w:val="0"/>
      <w:marRight w:val="0"/>
      <w:marTop w:val="0"/>
      <w:marBottom w:val="0"/>
      <w:divBdr>
        <w:top w:val="none" w:sz="0" w:space="0" w:color="auto"/>
        <w:left w:val="none" w:sz="0" w:space="0" w:color="auto"/>
        <w:bottom w:val="none" w:sz="0" w:space="0" w:color="auto"/>
        <w:right w:val="none" w:sz="0" w:space="0" w:color="auto"/>
      </w:divBdr>
    </w:div>
    <w:div w:id="1742407278">
      <w:marLeft w:val="0"/>
      <w:marRight w:val="0"/>
      <w:marTop w:val="0"/>
      <w:marBottom w:val="0"/>
      <w:divBdr>
        <w:top w:val="none" w:sz="0" w:space="0" w:color="auto"/>
        <w:left w:val="none" w:sz="0" w:space="0" w:color="auto"/>
        <w:bottom w:val="none" w:sz="0" w:space="0" w:color="auto"/>
        <w:right w:val="none" w:sz="0" w:space="0" w:color="auto"/>
      </w:divBdr>
    </w:div>
    <w:div w:id="1742407279">
      <w:marLeft w:val="0"/>
      <w:marRight w:val="0"/>
      <w:marTop w:val="0"/>
      <w:marBottom w:val="0"/>
      <w:divBdr>
        <w:top w:val="none" w:sz="0" w:space="0" w:color="auto"/>
        <w:left w:val="none" w:sz="0" w:space="0" w:color="auto"/>
        <w:bottom w:val="none" w:sz="0" w:space="0" w:color="auto"/>
        <w:right w:val="none" w:sz="0" w:space="0" w:color="auto"/>
      </w:divBdr>
    </w:div>
    <w:div w:id="1742407280">
      <w:marLeft w:val="0"/>
      <w:marRight w:val="0"/>
      <w:marTop w:val="0"/>
      <w:marBottom w:val="0"/>
      <w:divBdr>
        <w:top w:val="none" w:sz="0" w:space="0" w:color="auto"/>
        <w:left w:val="none" w:sz="0" w:space="0" w:color="auto"/>
        <w:bottom w:val="none" w:sz="0" w:space="0" w:color="auto"/>
        <w:right w:val="none" w:sz="0" w:space="0" w:color="auto"/>
      </w:divBdr>
    </w:div>
    <w:div w:id="1742407281">
      <w:marLeft w:val="0"/>
      <w:marRight w:val="0"/>
      <w:marTop w:val="0"/>
      <w:marBottom w:val="0"/>
      <w:divBdr>
        <w:top w:val="none" w:sz="0" w:space="0" w:color="auto"/>
        <w:left w:val="none" w:sz="0" w:space="0" w:color="auto"/>
        <w:bottom w:val="none" w:sz="0" w:space="0" w:color="auto"/>
        <w:right w:val="none" w:sz="0" w:space="0" w:color="auto"/>
      </w:divBdr>
    </w:div>
    <w:div w:id="1742407282">
      <w:marLeft w:val="0"/>
      <w:marRight w:val="0"/>
      <w:marTop w:val="0"/>
      <w:marBottom w:val="0"/>
      <w:divBdr>
        <w:top w:val="none" w:sz="0" w:space="0" w:color="auto"/>
        <w:left w:val="none" w:sz="0" w:space="0" w:color="auto"/>
        <w:bottom w:val="none" w:sz="0" w:space="0" w:color="auto"/>
        <w:right w:val="none" w:sz="0" w:space="0" w:color="auto"/>
      </w:divBdr>
    </w:div>
    <w:div w:id="1742407283">
      <w:marLeft w:val="0"/>
      <w:marRight w:val="0"/>
      <w:marTop w:val="0"/>
      <w:marBottom w:val="0"/>
      <w:divBdr>
        <w:top w:val="none" w:sz="0" w:space="0" w:color="auto"/>
        <w:left w:val="none" w:sz="0" w:space="0" w:color="auto"/>
        <w:bottom w:val="none" w:sz="0" w:space="0" w:color="auto"/>
        <w:right w:val="none" w:sz="0" w:space="0" w:color="auto"/>
      </w:divBdr>
    </w:div>
    <w:div w:id="1742407284">
      <w:marLeft w:val="0"/>
      <w:marRight w:val="0"/>
      <w:marTop w:val="0"/>
      <w:marBottom w:val="0"/>
      <w:divBdr>
        <w:top w:val="none" w:sz="0" w:space="0" w:color="auto"/>
        <w:left w:val="none" w:sz="0" w:space="0" w:color="auto"/>
        <w:bottom w:val="none" w:sz="0" w:space="0" w:color="auto"/>
        <w:right w:val="none" w:sz="0" w:space="0" w:color="auto"/>
      </w:divBdr>
    </w:div>
    <w:div w:id="1742407285">
      <w:marLeft w:val="0"/>
      <w:marRight w:val="0"/>
      <w:marTop w:val="0"/>
      <w:marBottom w:val="0"/>
      <w:divBdr>
        <w:top w:val="none" w:sz="0" w:space="0" w:color="auto"/>
        <w:left w:val="none" w:sz="0" w:space="0" w:color="auto"/>
        <w:bottom w:val="none" w:sz="0" w:space="0" w:color="auto"/>
        <w:right w:val="none" w:sz="0" w:space="0" w:color="auto"/>
      </w:divBdr>
    </w:div>
    <w:div w:id="1742407286">
      <w:marLeft w:val="0"/>
      <w:marRight w:val="0"/>
      <w:marTop w:val="0"/>
      <w:marBottom w:val="0"/>
      <w:divBdr>
        <w:top w:val="none" w:sz="0" w:space="0" w:color="auto"/>
        <w:left w:val="none" w:sz="0" w:space="0" w:color="auto"/>
        <w:bottom w:val="none" w:sz="0" w:space="0" w:color="auto"/>
        <w:right w:val="none" w:sz="0" w:space="0" w:color="auto"/>
      </w:divBdr>
    </w:div>
    <w:div w:id="1742407287">
      <w:marLeft w:val="0"/>
      <w:marRight w:val="0"/>
      <w:marTop w:val="0"/>
      <w:marBottom w:val="0"/>
      <w:divBdr>
        <w:top w:val="none" w:sz="0" w:space="0" w:color="auto"/>
        <w:left w:val="none" w:sz="0" w:space="0" w:color="auto"/>
        <w:bottom w:val="none" w:sz="0" w:space="0" w:color="auto"/>
        <w:right w:val="none" w:sz="0" w:space="0" w:color="auto"/>
      </w:divBdr>
    </w:div>
    <w:div w:id="1742407288">
      <w:marLeft w:val="0"/>
      <w:marRight w:val="0"/>
      <w:marTop w:val="0"/>
      <w:marBottom w:val="0"/>
      <w:divBdr>
        <w:top w:val="none" w:sz="0" w:space="0" w:color="auto"/>
        <w:left w:val="none" w:sz="0" w:space="0" w:color="auto"/>
        <w:bottom w:val="none" w:sz="0" w:space="0" w:color="auto"/>
        <w:right w:val="none" w:sz="0" w:space="0" w:color="auto"/>
      </w:divBdr>
    </w:div>
    <w:div w:id="1742407289">
      <w:marLeft w:val="0"/>
      <w:marRight w:val="0"/>
      <w:marTop w:val="0"/>
      <w:marBottom w:val="0"/>
      <w:divBdr>
        <w:top w:val="none" w:sz="0" w:space="0" w:color="auto"/>
        <w:left w:val="none" w:sz="0" w:space="0" w:color="auto"/>
        <w:bottom w:val="none" w:sz="0" w:space="0" w:color="auto"/>
        <w:right w:val="none" w:sz="0" w:space="0" w:color="auto"/>
      </w:divBdr>
    </w:div>
    <w:div w:id="1742407290">
      <w:marLeft w:val="0"/>
      <w:marRight w:val="0"/>
      <w:marTop w:val="0"/>
      <w:marBottom w:val="0"/>
      <w:divBdr>
        <w:top w:val="none" w:sz="0" w:space="0" w:color="auto"/>
        <w:left w:val="none" w:sz="0" w:space="0" w:color="auto"/>
        <w:bottom w:val="none" w:sz="0" w:space="0" w:color="auto"/>
        <w:right w:val="none" w:sz="0" w:space="0" w:color="auto"/>
      </w:divBdr>
    </w:div>
    <w:div w:id="1742407291">
      <w:marLeft w:val="0"/>
      <w:marRight w:val="0"/>
      <w:marTop w:val="0"/>
      <w:marBottom w:val="0"/>
      <w:divBdr>
        <w:top w:val="none" w:sz="0" w:space="0" w:color="auto"/>
        <w:left w:val="none" w:sz="0" w:space="0" w:color="auto"/>
        <w:bottom w:val="none" w:sz="0" w:space="0" w:color="auto"/>
        <w:right w:val="none" w:sz="0" w:space="0" w:color="auto"/>
      </w:divBdr>
    </w:div>
    <w:div w:id="1742407292">
      <w:marLeft w:val="0"/>
      <w:marRight w:val="0"/>
      <w:marTop w:val="0"/>
      <w:marBottom w:val="0"/>
      <w:divBdr>
        <w:top w:val="none" w:sz="0" w:space="0" w:color="auto"/>
        <w:left w:val="none" w:sz="0" w:space="0" w:color="auto"/>
        <w:bottom w:val="none" w:sz="0" w:space="0" w:color="auto"/>
        <w:right w:val="none" w:sz="0" w:space="0" w:color="auto"/>
      </w:divBdr>
    </w:div>
    <w:div w:id="1742407293">
      <w:marLeft w:val="0"/>
      <w:marRight w:val="0"/>
      <w:marTop w:val="0"/>
      <w:marBottom w:val="0"/>
      <w:divBdr>
        <w:top w:val="none" w:sz="0" w:space="0" w:color="auto"/>
        <w:left w:val="none" w:sz="0" w:space="0" w:color="auto"/>
        <w:bottom w:val="none" w:sz="0" w:space="0" w:color="auto"/>
        <w:right w:val="none" w:sz="0" w:space="0" w:color="auto"/>
      </w:divBdr>
    </w:div>
    <w:div w:id="1742407294">
      <w:marLeft w:val="0"/>
      <w:marRight w:val="0"/>
      <w:marTop w:val="0"/>
      <w:marBottom w:val="0"/>
      <w:divBdr>
        <w:top w:val="none" w:sz="0" w:space="0" w:color="auto"/>
        <w:left w:val="none" w:sz="0" w:space="0" w:color="auto"/>
        <w:bottom w:val="none" w:sz="0" w:space="0" w:color="auto"/>
        <w:right w:val="none" w:sz="0" w:space="0" w:color="auto"/>
      </w:divBdr>
    </w:div>
    <w:div w:id="1742407295">
      <w:marLeft w:val="0"/>
      <w:marRight w:val="0"/>
      <w:marTop w:val="0"/>
      <w:marBottom w:val="0"/>
      <w:divBdr>
        <w:top w:val="none" w:sz="0" w:space="0" w:color="auto"/>
        <w:left w:val="none" w:sz="0" w:space="0" w:color="auto"/>
        <w:bottom w:val="none" w:sz="0" w:space="0" w:color="auto"/>
        <w:right w:val="none" w:sz="0" w:space="0" w:color="auto"/>
      </w:divBdr>
    </w:div>
    <w:div w:id="1742407296">
      <w:marLeft w:val="0"/>
      <w:marRight w:val="0"/>
      <w:marTop w:val="0"/>
      <w:marBottom w:val="0"/>
      <w:divBdr>
        <w:top w:val="none" w:sz="0" w:space="0" w:color="auto"/>
        <w:left w:val="none" w:sz="0" w:space="0" w:color="auto"/>
        <w:bottom w:val="none" w:sz="0" w:space="0" w:color="auto"/>
        <w:right w:val="none" w:sz="0" w:space="0" w:color="auto"/>
      </w:divBdr>
    </w:div>
    <w:div w:id="1742407297">
      <w:marLeft w:val="0"/>
      <w:marRight w:val="0"/>
      <w:marTop w:val="0"/>
      <w:marBottom w:val="0"/>
      <w:divBdr>
        <w:top w:val="none" w:sz="0" w:space="0" w:color="auto"/>
        <w:left w:val="none" w:sz="0" w:space="0" w:color="auto"/>
        <w:bottom w:val="none" w:sz="0" w:space="0" w:color="auto"/>
        <w:right w:val="none" w:sz="0" w:space="0" w:color="auto"/>
      </w:divBdr>
    </w:div>
    <w:div w:id="1742407298">
      <w:marLeft w:val="0"/>
      <w:marRight w:val="0"/>
      <w:marTop w:val="0"/>
      <w:marBottom w:val="0"/>
      <w:divBdr>
        <w:top w:val="none" w:sz="0" w:space="0" w:color="auto"/>
        <w:left w:val="none" w:sz="0" w:space="0" w:color="auto"/>
        <w:bottom w:val="none" w:sz="0" w:space="0" w:color="auto"/>
        <w:right w:val="none" w:sz="0" w:space="0" w:color="auto"/>
      </w:divBdr>
    </w:div>
    <w:div w:id="1742407299">
      <w:marLeft w:val="0"/>
      <w:marRight w:val="0"/>
      <w:marTop w:val="0"/>
      <w:marBottom w:val="0"/>
      <w:divBdr>
        <w:top w:val="none" w:sz="0" w:space="0" w:color="auto"/>
        <w:left w:val="none" w:sz="0" w:space="0" w:color="auto"/>
        <w:bottom w:val="none" w:sz="0" w:space="0" w:color="auto"/>
        <w:right w:val="none" w:sz="0" w:space="0" w:color="auto"/>
      </w:divBdr>
    </w:div>
    <w:div w:id="1742407300">
      <w:marLeft w:val="0"/>
      <w:marRight w:val="0"/>
      <w:marTop w:val="0"/>
      <w:marBottom w:val="0"/>
      <w:divBdr>
        <w:top w:val="none" w:sz="0" w:space="0" w:color="auto"/>
        <w:left w:val="none" w:sz="0" w:space="0" w:color="auto"/>
        <w:bottom w:val="none" w:sz="0" w:space="0" w:color="auto"/>
        <w:right w:val="none" w:sz="0" w:space="0" w:color="auto"/>
      </w:divBdr>
    </w:div>
    <w:div w:id="1742407301">
      <w:marLeft w:val="0"/>
      <w:marRight w:val="0"/>
      <w:marTop w:val="0"/>
      <w:marBottom w:val="0"/>
      <w:divBdr>
        <w:top w:val="none" w:sz="0" w:space="0" w:color="auto"/>
        <w:left w:val="none" w:sz="0" w:space="0" w:color="auto"/>
        <w:bottom w:val="none" w:sz="0" w:space="0" w:color="auto"/>
        <w:right w:val="none" w:sz="0" w:space="0" w:color="auto"/>
      </w:divBdr>
    </w:div>
    <w:div w:id="1742407302">
      <w:marLeft w:val="0"/>
      <w:marRight w:val="0"/>
      <w:marTop w:val="0"/>
      <w:marBottom w:val="0"/>
      <w:divBdr>
        <w:top w:val="none" w:sz="0" w:space="0" w:color="auto"/>
        <w:left w:val="none" w:sz="0" w:space="0" w:color="auto"/>
        <w:bottom w:val="none" w:sz="0" w:space="0" w:color="auto"/>
        <w:right w:val="none" w:sz="0" w:space="0" w:color="auto"/>
      </w:divBdr>
    </w:div>
    <w:div w:id="1742407303">
      <w:marLeft w:val="0"/>
      <w:marRight w:val="0"/>
      <w:marTop w:val="0"/>
      <w:marBottom w:val="0"/>
      <w:divBdr>
        <w:top w:val="none" w:sz="0" w:space="0" w:color="auto"/>
        <w:left w:val="none" w:sz="0" w:space="0" w:color="auto"/>
        <w:bottom w:val="none" w:sz="0" w:space="0" w:color="auto"/>
        <w:right w:val="none" w:sz="0" w:space="0" w:color="auto"/>
      </w:divBdr>
    </w:div>
    <w:div w:id="1742407304">
      <w:marLeft w:val="0"/>
      <w:marRight w:val="0"/>
      <w:marTop w:val="0"/>
      <w:marBottom w:val="0"/>
      <w:divBdr>
        <w:top w:val="none" w:sz="0" w:space="0" w:color="auto"/>
        <w:left w:val="none" w:sz="0" w:space="0" w:color="auto"/>
        <w:bottom w:val="none" w:sz="0" w:space="0" w:color="auto"/>
        <w:right w:val="none" w:sz="0" w:space="0" w:color="auto"/>
      </w:divBdr>
    </w:div>
    <w:div w:id="1742407305">
      <w:marLeft w:val="0"/>
      <w:marRight w:val="0"/>
      <w:marTop w:val="0"/>
      <w:marBottom w:val="0"/>
      <w:divBdr>
        <w:top w:val="none" w:sz="0" w:space="0" w:color="auto"/>
        <w:left w:val="none" w:sz="0" w:space="0" w:color="auto"/>
        <w:bottom w:val="none" w:sz="0" w:space="0" w:color="auto"/>
        <w:right w:val="none" w:sz="0" w:space="0" w:color="auto"/>
      </w:divBdr>
    </w:div>
    <w:div w:id="1742407306">
      <w:marLeft w:val="0"/>
      <w:marRight w:val="0"/>
      <w:marTop w:val="0"/>
      <w:marBottom w:val="0"/>
      <w:divBdr>
        <w:top w:val="none" w:sz="0" w:space="0" w:color="auto"/>
        <w:left w:val="none" w:sz="0" w:space="0" w:color="auto"/>
        <w:bottom w:val="none" w:sz="0" w:space="0" w:color="auto"/>
        <w:right w:val="none" w:sz="0" w:space="0" w:color="auto"/>
      </w:divBdr>
    </w:div>
    <w:div w:id="1742407307">
      <w:marLeft w:val="0"/>
      <w:marRight w:val="0"/>
      <w:marTop w:val="0"/>
      <w:marBottom w:val="0"/>
      <w:divBdr>
        <w:top w:val="none" w:sz="0" w:space="0" w:color="auto"/>
        <w:left w:val="none" w:sz="0" w:space="0" w:color="auto"/>
        <w:bottom w:val="none" w:sz="0" w:space="0" w:color="auto"/>
        <w:right w:val="none" w:sz="0" w:space="0" w:color="auto"/>
      </w:divBdr>
    </w:div>
    <w:div w:id="1742407308">
      <w:marLeft w:val="0"/>
      <w:marRight w:val="0"/>
      <w:marTop w:val="0"/>
      <w:marBottom w:val="0"/>
      <w:divBdr>
        <w:top w:val="none" w:sz="0" w:space="0" w:color="auto"/>
        <w:left w:val="none" w:sz="0" w:space="0" w:color="auto"/>
        <w:bottom w:val="none" w:sz="0" w:space="0" w:color="auto"/>
        <w:right w:val="none" w:sz="0" w:space="0" w:color="auto"/>
      </w:divBdr>
    </w:div>
    <w:div w:id="1742407309">
      <w:marLeft w:val="0"/>
      <w:marRight w:val="0"/>
      <w:marTop w:val="0"/>
      <w:marBottom w:val="0"/>
      <w:divBdr>
        <w:top w:val="none" w:sz="0" w:space="0" w:color="auto"/>
        <w:left w:val="none" w:sz="0" w:space="0" w:color="auto"/>
        <w:bottom w:val="none" w:sz="0" w:space="0" w:color="auto"/>
        <w:right w:val="none" w:sz="0" w:space="0" w:color="auto"/>
      </w:divBdr>
    </w:div>
    <w:div w:id="1742407310">
      <w:marLeft w:val="0"/>
      <w:marRight w:val="0"/>
      <w:marTop w:val="0"/>
      <w:marBottom w:val="0"/>
      <w:divBdr>
        <w:top w:val="none" w:sz="0" w:space="0" w:color="auto"/>
        <w:left w:val="none" w:sz="0" w:space="0" w:color="auto"/>
        <w:bottom w:val="none" w:sz="0" w:space="0" w:color="auto"/>
        <w:right w:val="none" w:sz="0" w:space="0" w:color="auto"/>
      </w:divBdr>
    </w:div>
    <w:div w:id="1742407311">
      <w:marLeft w:val="0"/>
      <w:marRight w:val="0"/>
      <w:marTop w:val="0"/>
      <w:marBottom w:val="0"/>
      <w:divBdr>
        <w:top w:val="none" w:sz="0" w:space="0" w:color="auto"/>
        <w:left w:val="none" w:sz="0" w:space="0" w:color="auto"/>
        <w:bottom w:val="none" w:sz="0" w:space="0" w:color="auto"/>
        <w:right w:val="none" w:sz="0" w:space="0" w:color="auto"/>
      </w:divBdr>
    </w:div>
    <w:div w:id="1742407312">
      <w:marLeft w:val="0"/>
      <w:marRight w:val="0"/>
      <w:marTop w:val="0"/>
      <w:marBottom w:val="0"/>
      <w:divBdr>
        <w:top w:val="none" w:sz="0" w:space="0" w:color="auto"/>
        <w:left w:val="none" w:sz="0" w:space="0" w:color="auto"/>
        <w:bottom w:val="none" w:sz="0" w:space="0" w:color="auto"/>
        <w:right w:val="none" w:sz="0" w:space="0" w:color="auto"/>
      </w:divBdr>
    </w:div>
    <w:div w:id="1742407313">
      <w:marLeft w:val="0"/>
      <w:marRight w:val="0"/>
      <w:marTop w:val="0"/>
      <w:marBottom w:val="0"/>
      <w:divBdr>
        <w:top w:val="none" w:sz="0" w:space="0" w:color="auto"/>
        <w:left w:val="none" w:sz="0" w:space="0" w:color="auto"/>
        <w:bottom w:val="none" w:sz="0" w:space="0" w:color="auto"/>
        <w:right w:val="none" w:sz="0" w:space="0" w:color="auto"/>
      </w:divBdr>
    </w:div>
    <w:div w:id="1742407314">
      <w:marLeft w:val="0"/>
      <w:marRight w:val="0"/>
      <w:marTop w:val="0"/>
      <w:marBottom w:val="0"/>
      <w:divBdr>
        <w:top w:val="none" w:sz="0" w:space="0" w:color="auto"/>
        <w:left w:val="none" w:sz="0" w:space="0" w:color="auto"/>
        <w:bottom w:val="none" w:sz="0" w:space="0" w:color="auto"/>
        <w:right w:val="none" w:sz="0" w:space="0" w:color="auto"/>
      </w:divBdr>
    </w:div>
    <w:div w:id="1742407315">
      <w:marLeft w:val="0"/>
      <w:marRight w:val="0"/>
      <w:marTop w:val="0"/>
      <w:marBottom w:val="0"/>
      <w:divBdr>
        <w:top w:val="none" w:sz="0" w:space="0" w:color="auto"/>
        <w:left w:val="none" w:sz="0" w:space="0" w:color="auto"/>
        <w:bottom w:val="none" w:sz="0" w:space="0" w:color="auto"/>
        <w:right w:val="none" w:sz="0" w:space="0" w:color="auto"/>
      </w:divBdr>
    </w:div>
    <w:div w:id="1742407316">
      <w:marLeft w:val="0"/>
      <w:marRight w:val="0"/>
      <w:marTop w:val="0"/>
      <w:marBottom w:val="0"/>
      <w:divBdr>
        <w:top w:val="none" w:sz="0" w:space="0" w:color="auto"/>
        <w:left w:val="none" w:sz="0" w:space="0" w:color="auto"/>
        <w:bottom w:val="none" w:sz="0" w:space="0" w:color="auto"/>
        <w:right w:val="none" w:sz="0" w:space="0" w:color="auto"/>
      </w:divBdr>
    </w:div>
    <w:div w:id="1742407317">
      <w:marLeft w:val="0"/>
      <w:marRight w:val="0"/>
      <w:marTop w:val="0"/>
      <w:marBottom w:val="0"/>
      <w:divBdr>
        <w:top w:val="none" w:sz="0" w:space="0" w:color="auto"/>
        <w:left w:val="none" w:sz="0" w:space="0" w:color="auto"/>
        <w:bottom w:val="none" w:sz="0" w:space="0" w:color="auto"/>
        <w:right w:val="none" w:sz="0" w:space="0" w:color="auto"/>
      </w:divBdr>
    </w:div>
    <w:div w:id="1742407318">
      <w:marLeft w:val="0"/>
      <w:marRight w:val="0"/>
      <w:marTop w:val="0"/>
      <w:marBottom w:val="0"/>
      <w:divBdr>
        <w:top w:val="none" w:sz="0" w:space="0" w:color="auto"/>
        <w:left w:val="none" w:sz="0" w:space="0" w:color="auto"/>
        <w:bottom w:val="none" w:sz="0" w:space="0" w:color="auto"/>
        <w:right w:val="none" w:sz="0" w:space="0" w:color="auto"/>
      </w:divBdr>
    </w:div>
    <w:div w:id="1742407319">
      <w:marLeft w:val="0"/>
      <w:marRight w:val="0"/>
      <w:marTop w:val="0"/>
      <w:marBottom w:val="0"/>
      <w:divBdr>
        <w:top w:val="none" w:sz="0" w:space="0" w:color="auto"/>
        <w:left w:val="none" w:sz="0" w:space="0" w:color="auto"/>
        <w:bottom w:val="none" w:sz="0" w:space="0" w:color="auto"/>
        <w:right w:val="none" w:sz="0" w:space="0" w:color="auto"/>
      </w:divBdr>
    </w:div>
    <w:div w:id="1742407320">
      <w:marLeft w:val="0"/>
      <w:marRight w:val="0"/>
      <w:marTop w:val="0"/>
      <w:marBottom w:val="0"/>
      <w:divBdr>
        <w:top w:val="none" w:sz="0" w:space="0" w:color="auto"/>
        <w:left w:val="none" w:sz="0" w:space="0" w:color="auto"/>
        <w:bottom w:val="none" w:sz="0" w:space="0" w:color="auto"/>
        <w:right w:val="none" w:sz="0" w:space="0" w:color="auto"/>
      </w:divBdr>
    </w:div>
    <w:div w:id="1742407321">
      <w:marLeft w:val="0"/>
      <w:marRight w:val="0"/>
      <w:marTop w:val="0"/>
      <w:marBottom w:val="0"/>
      <w:divBdr>
        <w:top w:val="none" w:sz="0" w:space="0" w:color="auto"/>
        <w:left w:val="none" w:sz="0" w:space="0" w:color="auto"/>
        <w:bottom w:val="none" w:sz="0" w:space="0" w:color="auto"/>
        <w:right w:val="none" w:sz="0" w:space="0" w:color="auto"/>
      </w:divBdr>
    </w:div>
    <w:div w:id="1742407322">
      <w:marLeft w:val="0"/>
      <w:marRight w:val="0"/>
      <w:marTop w:val="0"/>
      <w:marBottom w:val="0"/>
      <w:divBdr>
        <w:top w:val="none" w:sz="0" w:space="0" w:color="auto"/>
        <w:left w:val="none" w:sz="0" w:space="0" w:color="auto"/>
        <w:bottom w:val="none" w:sz="0" w:space="0" w:color="auto"/>
        <w:right w:val="none" w:sz="0" w:space="0" w:color="auto"/>
      </w:divBdr>
    </w:div>
    <w:div w:id="1742407323">
      <w:marLeft w:val="0"/>
      <w:marRight w:val="0"/>
      <w:marTop w:val="0"/>
      <w:marBottom w:val="0"/>
      <w:divBdr>
        <w:top w:val="none" w:sz="0" w:space="0" w:color="auto"/>
        <w:left w:val="none" w:sz="0" w:space="0" w:color="auto"/>
        <w:bottom w:val="none" w:sz="0" w:space="0" w:color="auto"/>
        <w:right w:val="none" w:sz="0" w:space="0" w:color="auto"/>
      </w:divBdr>
    </w:div>
    <w:div w:id="1742407324">
      <w:marLeft w:val="0"/>
      <w:marRight w:val="0"/>
      <w:marTop w:val="0"/>
      <w:marBottom w:val="0"/>
      <w:divBdr>
        <w:top w:val="none" w:sz="0" w:space="0" w:color="auto"/>
        <w:left w:val="none" w:sz="0" w:space="0" w:color="auto"/>
        <w:bottom w:val="none" w:sz="0" w:space="0" w:color="auto"/>
        <w:right w:val="none" w:sz="0" w:space="0" w:color="auto"/>
      </w:divBdr>
    </w:div>
    <w:div w:id="1742407325">
      <w:marLeft w:val="0"/>
      <w:marRight w:val="0"/>
      <w:marTop w:val="0"/>
      <w:marBottom w:val="0"/>
      <w:divBdr>
        <w:top w:val="none" w:sz="0" w:space="0" w:color="auto"/>
        <w:left w:val="none" w:sz="0" w:space="0" w:color="auto"/>
        <w:bottom w:val="none" w:sz="0" w:space="0" w:color="auto"/>
        <w:right w:val="none" w:sz="0" w:space="0" w:color="auto"/>
      </w:divBdr>
    </w:div>
    <w:div w:id="1742407326">
      <w:marLeft w:val="0"/>
      <w:marRight w:val="0"/>
      <w:marTop w:val="0"/>
      <w:marBottom w:val="0"/>
      <w:divBdr>
        <w:top w:val="none" w:sz="0" w:space="0" w:color="auto"/>
        <w:left w:val="none" w:sz="0" w:space="0" w:color="auto"/>
        <w:bottom w:val="none" w:sz="0" w:space="0" w:color="auto"/>
        <w:right w:val="none" w:sz="0" w:space="0" w:color="auto"/>
      </w:divBdr>
    </w:div>
    <w:div w:id="1742407327">
      <w:marLeft w:val="0"/>
      <w:marRight w:val="0"/>
      <w:marTop w:val="0"/>
      <w:marBottom w:val="0"/>
      <w:divBdr>
        <w:top w:val="none" w:sz="0" w:space="0" w:color="auto"/>
        <w:left w:val="none" w:sz="0" w:space="0" w:color="auto"/>
        <w:bottom w:val="none" w:sz="0" w:space="0" w:color="auto"/>
        <w:right w:val="none" w:sz="0" w:space="0" w:color="auto"/>
      </w:divBdr>
    </w:div>
    <w:div w:id="1742407328">
      <w:marLeft w:val="0"/>
      <w:marRight w:val="0"/>
      <w:marTop w:val="0"/>
      <w:marBottom w:val="0"/>
      <w:divBdr>
        <w:top w:val="none" w:sz="0" w:space="0" w:color="auto"/>
        <w:left w:val="none" w:sz="0" w:space="0" w:color="auto"/>
        <w:bottom w:val="none" w:sz="0" w:space="0" w:color="auto"/>
        <w:right w:val="none" w:sz="0" w:space="0" w:color="auto"/>
      </w:divBdr>
    </w:div>
    <w:div w:id="1742407329">
      <w:marLeft w:val="0"/>
      <w:marRight w:val="0"/>
      <w:marTop w:val="0"/>
      <w:marBottom w:val="0"/>
      <w:divBdr>
        <w:top w:val="none" w:sz="0" w:space="0" w:color="auto"/>
        <w:left w:val="none" w:sz="0" w:space="0" w:color="auto"/>
        <w:bottom w:val="none" w:sz="0" w:space="0" w:color="auto"/>
        <w:right w:val="none" w:sz="0" w:space="0" w:color="auto"/>
      </w:divBdr>
    </w:div>
    <w:div w:id="1742407330">
      <w:marLeft w:val="0"/>
      <w:marRight w:val="0"/>
      <w:marTop w:val="0"/>
      <w:marBottom w:val="0"/>
      <w:divBdr>
        <w:top w:val="none" w:sz="0" w:space="0" w:color="auto"/>
        <w:left w:val="none" w:sz="0" w:space="0" w:color="auto"/>
        <w:bottom w:val="none" w:sz="0" w:space="0" w:color="auto"/>
        <w:right w:val="none" w:sz="0" w:space="0" w:color="auto"/>
      </w:divBdr>
    </w:div>
    <w:div w:id="1742407331">
      <w:marLeft w:val="0"/>
      <w:marRight w:val="0"/>
      <w:marTop w:val="0"/>
      <w:marBottom w:val="0"/>
      <w:divBdr>
        <w:top w:val="none" w:sz="0" w:space="0" w:color="auto"/>
        <w:left w:val="none" w:sz="0" w:space="0" w:color="auto"/>
        <w:bottom w:val="none" w:sz="0" w:space="0" w:color="auto"/>
        <w:right w:val="none" w:sz="0" w:space="0" w:color="auto"/>
      </w:divBdr>
    </w:div>
    <w:div w:id="1742407332">
      <w:marLeft w:val="0"/>
      <w:marRight w:val="0"/>
      <w:marTop w:val="0"/>
      <w:marBottom w:val="0"/>
      <w:divBdr>
        <w:top w:val="none" w:sz="0" w:space="0" w:color="auto"/>
        <w:left w:val="none" w:sz="0" w:space="0" w:color="auto"/>
        <w:bottom w:val="none" w:sz="0" w:space="0" w:color="auto"/>
        <w:right w:val="none" w:sz="0" w:space="0" w:color="auto"/>
      </w:divBdr>
    </w:div>
    <w:div w:id="1742407333">
      <w:marLeft w:val="0"/>
      <w:marRight w:val="0"/>
      <w:marTop w:val="0"/>
      <w:marBottom w:val="0"/>
      <w:divBdr>
        <w:top w:val="none" w:sz="0" w:space="0" w:color="auto"/>
        <w:left w:val="none" w:sz="0" w:space="0" w:color="auto"/>
        <w:bottom w:val="none" w:sz="0" w:space="0" w:color="auto"/>
        <w:right w:val="none" w:sz="0" w:space="0" w:color="auto"/>
      </w:divBdr>
    </w:div>
    <w:div w:id="1742407334">
      <w:marLeft w:val="0"/>
      <w:marRight w:val="0"/>
      <w:marTop w:val="0"/>
      <w:marBottom w:val="0"/>
      <w:divBdr>
        <w:top w:val="none" w:sz="0" w:space="0" w:color="auto"/>
        <w:left w:val="none" w:sz="0" w:space="0" w:color="auto"/>
        <w:bottom w:val="none" w:sz="0" w:space="0" w:color="auto"/>
        <w:right w:val="none" w:sz="0" w:space="0" w:color="auto"/>
      </w:divBdr>
    </w:div>
    <w:div w:id="1742407335">
      <w:marLeft w:val="0"/>
      <w:marRight w:val="0"/>
      <w:marTop w:val="0"/>
      <w:marBottom w:val="0"/>
      <w:divBdr>
        <w:top w:val="none" w:sz="0" w:space="0" w:color="auto"/>
        <w:left w:val="none" w:sz="0" w:space="0" w:color="auto"/>
        <w:bottom w:val="none" w:sz="0" w:space="0" w:color="auto"/>
        <w:right w:val="none" w:sz="0" w:space="0" w:color="auto"/>
      </w:divBdr>
    </w:div>
    <w:div w:id="1742407336">
      <w:marLeft w:val="0"/>
      <w:marRight w:val="0"/>
      <w:marTop w:val="0"/>
      <w:marBottom w:val="0"/>
      <w:divBdr>
        <w:top w:val="none" w:sz="0" w:space="0" w:color="auto"/>
        <w:left w:val="none" w:sz="0" w:space="0" w:color="auto"/>
        <w:bottom w:val="none" w:sz="0" w:space="0" w:color="auto"/>
        <w:right w:val="none" w:sz="0" w:space="0" w:color="auto"/>
      </w:divBdr>
    </w:div>
    <w:div w:id="1742407337">
      <w:marLeft w:val="0"/>
      <w:marRight w:val="0"/>
      <w:marTop w:val="0"/>
      <w:marBottom w:val="0"/>
      <w:divBdr>
        <w:top w:val="none" w:sz="0" w:space="0" w:color="auto"/>
        <w:left w:val="none" w:sz="0" w:space="0" w:color="auto"/>
        <w:bottom w:val="none" w:sz="0" w:space="0" w:color="auto"/>
        <w:right w:val="none" w:sz="0" w:space="0" w:color="auto"/>
      </w:divBdr>
    </w:div>
    <w:div w:id="1742407338">
      <w:marLeft w:val="0"/>
      <w:marRight w:val="0"/>
      <w:marTop w:val="0"/>
      <w:marBottom w:val="0"/>
      <w:divBdr>
        <w:top w:val="none" w:sz="0" w:space="0" w:color="auto"/>
        <w:left w:val="none" w:sz="0" w:space="0" w:color="auto"/>
        <w:bottom w:val="none" w:sz="0" w:space="0" w:color="auto"/>
        <w:right w:val="none" w:sz="0" w:space="0" w:color="auto"/>
      </w:divBdr>
    </w:div>
    <w:div w:id="1742407339">
      <w:marLeft w:val="0"/>
      <w:marRight w:val="0"/>
      <w:marTop w:val="0"/>
      <w:marBottom w:val="0"/>
      <w:divBdr>
        <w:top w:val="none" w:sz="0" w:space="0" w:color="auto"/>
        <w:left w:val="none" w:sz="0" w:space="0" w:color="auto"/>
        <w:bottom w:val="none" w:sz="0" w:space="0" w:color="auto"/>
        <w:right w:val="none" w:sz="0" w:space="0" w:color="auto"/>
      </w:divBdr>
    </w:div>
    <w:div w:id="1742407340">
      <w:marLeft w:val="0"/>
      <w:marRight w:val="0"/>
      <w:marTop w:val="0"/>
      <w:marBottom w:val="0"/>
      <w:divBdr>
        <w:top w:val="none" w:sz="0" w:space="0" w:color="auto"/>
        <w:left w:val="none" w:sz="0" w:space="0" w:color="auto"/>
        <w:bottom w:val="none" w:sz="0" w:space="0" w:color="auto"/>
        <w:right w:val="none" w:sz="0" w:space="0" w:color="auto"/>
      </w:divBdr>
    </w:div>
    <w:div w:id="1742407341">
      <w:marLeft w:val="0"/>
      <w:marRight w:val="0"/>
      <w:marTop w:val="0"/>
      <w:marBottom w:val="0"/>
      <w:divBdr>
        <w:top w:val="none" w:sz="0" w:space="0" w:color="auto"/>
        <w:left w:val="none" w:sz="0" w:space="0" w:color="auto"/>
        <w:bottom w:val="none" w:sz="0" w:space="0" w:color="auto"/>
        <w:right w:val="none" w:sz="0" w:space="0" w:color="auto"/>
      </w:divBdr>
    </w:div>
    <w:div w:id="1742407342">
      <w:marLeft w:val="0"/>
      <w:marRight w:val="0"/>
      <w:marTop w:val="0"/>
      <w:marBottom w:val="0"/>
      <w:divBdr>
        <w:top w:val="none" w:sz="0" w:space="0" w:color="auto"/>
        <w:left w:val="none" w:sz="0" w:space="0" w:color="auto"/>
        <w:bottom w:val="none" w:sz="0" w:space="0" w:color="auto"/>
        <w:right w:val="none" w:sz="0" w:space="0" w:color="auto"/>
      </w:divBdr>
    </w:div>
    <w:div w:id="1742407343">
      <w:marLeft w:val="0"/>
      <w:marRight w:val="0"/>
      <w:marTop w:val="0"/>
      <w:marBottom w:val="0"/>
      <w:divBdr>
        <w:top w:val="none" w:sz="0" w:space="0" w:color="auto"/>
        <w:left w:val="none" w:sz="0" w:space="0" w:color="auto"/>
        <w:bottom w:val="none" w:sz="0" w:space="0" w:color="auto"/>
        <w:right w:val="none" w:sz="0" w:space="0" w:color="auto"/>
      </w:divBdr>
    </w:div>
    <w:div w:id="1742407344">
      <w:marLeft w:val="0"/>
      <w:marRight w:val="0"/>
      <w:marTop w:val="0"/>
      <w:marBottom w:val="0"/>
      <w:divBdr>
        <w:top w:val="none" w:sz="0" w:space="0" w:color="auto"/>
        <w:left w:val="none" w:sz="0" w:space="0" w:color="auto"/>
        <w:bottom w:val="none" w:sz="0" w:space="0" w:color="auto"/>
        <w:right w:val="none" w:sz="0" w:space="0" w:color="auto"/>
      </w:divBdr>
    </w:div>
    <w:div w:id="1742407345">
      <w:marLeft w:val="0"/>
      <w:marRight w:val="0"/>
      <w:marTop w:val="0"/>
      <w:marBottom w:val="0"/>
      <w:divBdr>
        <w:top w:val="none" w:sz="0" w:space="0" w:color="auto"/>
        <w:left w:val="none" w:sz="0" w:space="0" w:color="auto"/>
        <w:bottom w:val="none" w:sz="0" w:space="0" w:color="auto"/>
        <w:right w:val="none" w:sz="0" w:space="0" w:color="auto"/>
      </w:divBdr>
    </w:div>
    <w:div w:id="1742407346">
      <w:marLeft w:val="0"/>
      <w:marRight w:val="0"/>
      <w:marTop w:val="0"/>
      <w:marBottom w:val="0"/>
      <w:divBdr>
        <w:top w:val="none" w:sz="0" w:space="0" w:color="auto"/>
        <w:left w:val="none" w:sz="0" w:space="0" w:color="auto"/>
        <w:bottom w:val="none" w:sz="0" w:space="0" w:color="auto"/>
        <w:right w:val="none" w:sz="0" w:space="0" w:color="auto"/>
      </w:divBdr>
    </w:div>
    <w:div w:id="1742407347">
      <w:marLeft w:val="0"/>
      <w:marRight w:val="0"/>
      <w:marTop w:val="0"/>
      <w:marBottom w:val="0"/>
      <w:divBdr>
        <w:top w:val="none" w:sz="0" w:space="0" w:color="auto"/>
        <w:left w:val="none" w:sz="0" w:space="0" w:color="auto"/>
        <w:bottom w:val="none" w:sz="0" w:space="0" w:color="auto"/>
        <w:right w:val="none" w:sz="0" w:space="0" w:color="auto"/>
      </w:divBdr>
    </w:div>
    <w:div w:id="1742407348">
      <w:marLeft w:val="0"/>
      <w:marRight w:val="0"/>
      <w:marTop w:val="0"/>
      <w:marBottom w:val="0"/>
      <w:divBdr>
        <w:top w:val="none" w:sz="0" w:space="0" w:color="auto"/>
        <w:left w:val="none" w:sz="0" w:space="0" w:color="auto"/>
        <w:bottom w:val="none" w:sz="0" w:space="0" w:color="auto"/>
        <w:right w:val="none" w:sz="0" w:space="0" w:color="auto"/>
      </w:divBdr>
    </w:div>
    <w:div w:id="1742407349">
      <w:marLeft w:val="0"/>
      <w:marRight w:val="0"/>
      <w:marTop w:val="0"/>
      <w:marBottom w:val="0"/>
      <w:divBdr>
        <w:top w:val="none" w:sz="0" w:space="0" w:color="auto"/>
        <w:left w:val="none" w:sz="0" w:space="0" w:color="auto"/>
        <w:bottom w:val="none" w:sz="0" w:space="0" w:color="auto"/>
        <w:right w:val="none" w:sz="0" w:space="0" w:color="auto"/>
      </w:divBdr>
    </w:div>
    <w:div w:id="1742407350">
      <w:marLeft w:val="0"/>
      <w:marRight w:val="0"/>
      <w:marTop w:val="0"/>
      <w:marBottom w:val="0"/>
      <w:divBdr>
        <w:top w:val="none" w:sz="0" w:space="0" w:color="auto"/>
        <w:left w:val="none" w:sz="0" w:space="0" w:color="auto"/>
        <w:bottom w:val="none" w:sz="0" w:space="0" w:color="auto"/>
        <w:right w:val="none" w:sz="0" w:space="0" w:color="auto"/>
      </w:divBdr>
    </w:div>
    <w:div w:id="1742407351">
      <w:marLeft w:val="0"/>
      <w:marRight w:val="0"/>
      <w:marTop w:val="0"/>
      <w:marBottom w:val="0"/>
      <w:divBdr>
        <w:top w:val="none" w:sz="0" w:space="0" w:color="auto"/>
        <w:left w:val="none" w:sz="0" w:space="0" w:color="auto"/>
        <w:bottom w:val="none" w:sz="0" w:space="0" w:color="auto"/>
        <w:right w:val="none" w:sz="0" w:space="0" w:color="auto"/>
      </w:divBdr>
    </w:div>
    <w:div w:id="1742407352">
      <w:marLeft w:val="0"/>
      <w:marRight w:val="0"/>
      <w:marTop w:val="0"/>
      <w:marBottom w:val="0"/>
      <w:divBdr>
        <w:top w:val="none" w:sz="0" w:space="0" w:color="auto"/>
        <w:left w:val="none" w:sz="0" w:space="0" w:color="auto"/>
        <w:bottom w:val="none" w:sz="0" w:space="0" w:color="auto"/>
        <w:right w:val="none" w:sz="0" w:space="0" w:color="auto"/>
      </w:divBdr>
    </w:div>
    <w:div w:id="1742407353">
      <w:marLeft w:val="0"/>
      <w:marRight w:val="0"/>
      <w:marTop w:val="0"/>
      <w:marBottom w:val="0"/>
      <w:divBdr>
        <w:top w:val="none" w:sz="0" w:space="0" w:color="auto"/>
        <w:left w:val="none" w:sz="0" w:space="0" w:color="auto"/>
        <w:bottom w:val="none" w:sz="0" w:space="0" w:color="auto"/>
        <w:right w:val="none" w:sz="0" w:space="0" w:color="auto"/>
      </w:divBdr>
    </w:div>
    <w:div w:id="1742407354">
      <w:marLeft w:val="0"/>
      <w:marRight w:val="0"/>
      <w:marTop w:val="0"/>
      <w:marBottom w:val="0"/>
      <w:divBdr>
        <w:top w:val="none" w:sz="0" w:space="0" w:color="auto"/>
        <w:left w:val="none" w:sz="0" w:space="0" w:color="auto"/>
        <w:bottom w:val="none" w:sz="0" w:space="0" w:color="auto"/>
        <w:right w:val="none" w:sz="0" w:space="0" w:color="auto"/>
      </w:divBdr>
    </w:div>
    <w:div w:id="1742407355">
      <w:marLeft w:val="0"/>
      <w:marRight w:val="0"/>
      <w:marTop w:val="0"/>
      <w:marBottom w:val="0"/>
      <w:divBdr>
        <w:top w:val="none" w:sz="0" w:space="0" w:color="auto"/>
        <w:left w:val="none" w:sz="0" w:space="0" w:color="auto"/>
        <w:bottom w:val="none" w:sz="0" w:space="0" w:color="auto"/>
        <w:right w:val="none" w:sz="0" w:space="0" w:color="auto"/>
      </w:divBdr>
    </w:div>
    <w:div w:id="1742407356">
      <w:marLeft w:val="0"/>
      <w:marRight w:val="0"/>
      <w:marTop w:val="0"/>
      <w:marBottom w:val="0"/>
      <w:divBdr>
        <w:top w:val="none" w:sz="0" w:space="0" w:color="auto"/>
        <w:left w:val="none" w:sz="0" w:space="0" w:color="auto"/>
        <w:bottom w:val="none" w:sz="0" w:space="0" w:color="auto"/>
        <w:right w:val="none" w:sz="0" w:space="0" w:color="auto"/>
      </w:divBdr>
    </w:div>
    <w:div w:id="1742407357">
      <w:marLeft w:val="0"/>
      <w:marRight w:val="0"/>
      <w:marTop w:val="0"/>
      <w:marBottom w:val="0"/>
      <w:divBdr>
        <w:top w:val="none" w:sz="0" w:space="0" w:color="auto"/>
        <w:left w:val="none" w:sz="0" w:space="0" w:color="auto"/>
        <w:bottom w:val="none" w:sz="0" w:space="0" w:color="auto"/>
        <w:right w:val="none" w:sz="0" w:space="0" w:color="auto"/>
      </w:divBdr>
    </w:div>
    <w:div w:id="1742407358">
      <w:marLeft w:val="0"/>
      <w:marRight w:val="0"/>
      <w:marTop w:val="0"/>
      <w:marBottom w:val="0"/>
      <w:divBdr>
        <w:top w:val="none" w:sz="0" w:space="0" w:color="auto"/>
        <w:left w:val="none" w:sz="0" w:space="0" w:color="auto"/>
        <w:bottom w:val="none" w:sz="0" w:space="0" w:color="auto"/>
        <w:right w:val="none" w:sz="0" w:space="0" w:color="auto"/>
      </w:divBdr>
    </w:div>
    <w:div w:id="1742407359">
      <w:marLeft w:val="0"/>
      <w:marRight w:val="0"/>
      <w:marTop w:val="0"/>
      <w:marBottom w:val="0"/>
      <w:divBdr>
        <w:top w:val="none" w:sz="0" w:space="0" w:color="auto"/>
        <w:left w:val="none" w:sz="0" w:space="0" w:color="auto"/>
        <w:bottom w:val="none" w:sz="0" w:space="0" w:color="auto"/>
        <w:right w:val="none" w:sz="0" w:space="0" w:color="auto"/>
      </w:divBdr>
    </w:div>
    <w:div w:id="1742407360">
      <w:marLeft w:val="0"/>
      <w:marRight w:val="0"/>
      <w:marTop w:val="0"/>
      <w:marBottom w:val="0"/>
      <w:divBdr>
        <w:top w:val="none" w:sz="0" w:space="0" w:color="auto"/>
        <w:left w:val="none" w:sz="0" w:space="0" w:color="auto"/>
        <w:bottom w:val="none" w:sz="0" w:space="0" w:color="auto"/>
        <w:right w:val="none" w:sz="0" w:space="0" w:color="auto"/>
      </w:divBdr>
    </w:div>
    <w:div w:id="1742407361">
      <w:marLeft w:val="0"/>
      <w:marRight w:val="0"/>
      <w:marTop w:val="0"/>
      <w:marBottom w:val="0"/>
      <w:divBdr>
        <w:top w:val="none" w:sz="0" w:space="0" w:color="auto"/>
        <w:left w:val="none" w:sz="0" w:space="0" w:color="auto"/>
        <w:bottom w:val="none" w:sz="0" w:space="0" w:color="auto"/>
        <w:right w:val="none" w:sz="0" w:space="0" w:color="auto"/>
      </w:divBdr>
    </w:div>
    <w:div w:id="1742407362">
      <w:marLeft w:val="0"/>
      <w:marRight w:val="0"/>
      <w:marTop w:val="0"/>
      <w:marBottom w:val="0"/>
      <w:divBdr>
        <w:top w:val="none" w:sz="0" w:space="0" w:color="auto"/>
        <w:left w:val="none" w:sz="0" w:space="0" w:color="auto"/>
        <w:bottom w:val="none" w:sz="0" w:space="0" w:color="auto"/>
        <w:right w:val="none" w:sz="0" w:space="0" w:color="auto"/>
      </w:divBdr>
    </w:div>
    <w:div w:id="1742407363">
      <w:marLeft w:val="0"/>
      <w:marRight w:val="0"/>
      <w:marTop w:val="0"/>
      <w:marBottom w:val="0"/>
      <w:divBdr>
        <w:top w:val="none" w:sz="0" w:space="0" w:color="auto"/>
        <w:left w:val="none" w:sz="0" w:space="0" w:color="auto"/>
        <w:bottom w:val="none" w:sz="0" w:space="0" w:color="auto"/>
        <w:right w:val="none" w:sz="0" w:space="0" w:color="auto"/>
      </w:divBdr>
    </w:div>
    <w:div w:id="1742407364">
      <w:marLeft w:val="0"/>
      <w:marRight w:val="0"/>
      <w:marTop w:val="0"/>
      <w:marBottom w:val="0"/>
      <w:divBdr>
        <w:top w:val="none" w:sz="0" w:space="0" w:color="auto"/>
        <w:left w:val="none" w:sz="0" w:space="0" w:color="auto"/>
        <w:bottom w:val="none" w:sz="0" w:space="0" w:color="auto"/>
        <w:right w:val="none" w:sz="0" w:space="0" w:color="auto"/>
      </w:divBdr>
    </w:div>
    <w:div w:id="1742407365">
      <w:marLeft w:val="0"/>
      <w:marRight w:val="0"/>
      <w:marTop w:val="0"/>
      <w:marBottom w:val="0"/>
      <w:divBdr>
        <w:top w:val="none" w:sz="0" w:space="0" w:color="auto"/>
        <w:left w:val="none" w:sz="0" w:space="0" w:color="auto"/>
        <w:bottom w:val="none" w:sz="0" w:space="0" w:color="auto"/>
        <w:right w:val="none" w:sz="0" w:space="0" w:color="auto"/>
      </w:divBdr>
    </w:div>
    <w:div w:id="1742407366">
      <w:marLeft w:val="0"/>
      <w:marRight w:val="0"/>
      <w:marTop w:val="0"/>
      <w:marBottom w:val="0"/>
      <w:divBdr>
        <w:top w:val="none" w:sz="0" w:space="0" w:color="auto"/>
        <w:left w:val="none" w:sz="0" w:space="0" w:color="auto"/>
        <w:bottom w:val="none" w:sz="0" w:space="0" w:color="auto"/>
        <w:right w:val="none" w:sz="0" w:space="0" w:color="auto"/>
      </w:divBdr>
    </w:div>
    <w:div w:id="1742407367">
      <w:marLeft w:val="0"/>
      <w:marRight w:val="0"/>
      <w:marTop w:val="0"/>
      <w:marBottom w:val="0"/>
      <w:divBdr>
        <w:top w:val="none" w:sz="0" w:space="0" w:color="auto"/>
        <w:left w:val="none" w:sz="0" w:space="0" w:color="auto"/>
        <w:bottom w:val="none" w:sz="0" w:space="0" w:color="auto"/>
        <w:right w:val="none" w:sz="0" w:space="0" w:color="auto"/>
      </w:divBdr>
    </w:div>
    <w:div w:id="1742407368">
      <w:marLeft w:val="0"/>
      <w:marRight w:val="0"/>
      <w:marTop w:val="0"/>
      <w:marBottom w:val="0"/>
      <w:divBdr>
        <w:top w:val="none" w:sz="0" w:space="0" w:color="auto"/>
        <w:left w:val="none" w:sz="0" w:space="0" w:color="auto"/>
        <w:bottom w:val="none" w:sz="0" w:space="0" w:color="auto"/>
        <w:right w:val="none" w:sz="0" w:space="0" w:color="auto"/>
      </w:divBdr>
    </w:div>
    <w:div w:id="1742407369">
      <w:marLeft w:val="0"/>
      <w:marRight w:val="0"/>
      <w:marTop w:val="0"/>
      <w:marBottom w:val="0"/>
      <w:divBdr>
        <w:top w:val="none" w:sz="0" w:space="0" w:color="auto"/>
        <w:left w:val="none" w:sz="0" w:space="0" w:color="auto"/>
        <w:bottom w:val="none" w:sz="0" w:space="0" w:color="auto"/>
        <w:right w:val="none" w:sz="0" w:space="0" w:color="auto"/>
      </w:divBdr>
    </w:div>
    <w:div w:id="1742407370">
      <w:marLeft w:val="0"/>
      <w:marRight w:val="0"/>
      <w:marTop w:val="0"/>
      <w:marBottom w:val="0"/>
      <w:divBdr>
        <w:top w:val="none" w:sz="0" w:space="0" w:color="auto"/>
        <w:left w:val="none" w:sz="0" w:space="0" w:color="auto"/>
        <w:bottom w:val="none" w:sz="0" w:space="0" w:color="auto"/>
        <w:right w:val="none" w:sz="0" w:space="0" w:color="auto"/>
      </w:divBdr>
    </w:div>
    <w:div w:id="1742407371">
      <w:marLeft w:val="0"/>
      <w:marRight w:val="0"/>
      <w:marTop w:val="0"/>
      <w:marBottom w:val="0"/>
      <w:divBdr>
        <w:top w:val="none" w:sz="0" w:space="0" w:color="auto"/>
        <w:left w:val="none" w:sz="0" w:space="0" w:color="auto"/>
        <w:bottom w:val="none" w:sz="0" w:space="0" w:color="auto"/>
        <w:right w:val="none" w:sz="0" w:space="0" w:color="auto"/>
      </w:divBdr>
    </w:div>
    <w:div w:id="1742407372">
      <w:marLeft w:val="0"/>
      <w:marRight w:val="0"/>
      <w:marTop w:val="0"/>
      <w:marBottom w:val="0"/>
      <w:divBdr>
        <w:top w:val="none" w:sz="0" w:space="0" w:color="auto"/>
        <w:left w:val="none" w:sz="0" w:space="0" w:color="auto"/>
        <w:bottom w:val="none" w:sz="0" w:space="0" w:color="auto"/>
        <w:right w:val="none" w:sz="0" w:space="0" w:color="auto"/>
      </w:divBdr>
    </w:div>
    <w:div w:id="1742407373">
      <w:marLeft w:val="0"/>
      <w:marRight w:val="0"/>
      <w:marTop w:val="0"/>
      <w:marBottom w:val="0"/>
      <w:divBdr>
        <w:top w:val="none" w:sz="0" w:space="0" w:color="auto"/>
        <w:left w:val="none" w:sz="0" w:space="0" w:color="auto"/>
        <w:bottom w:val="none" w:sz="0" w:space="0" w:color="auto"/>
        <w:right w:val="none" w:sz="0" w:space="0" w:color="auto"/>
      </w:divBdr>
    </w:div>
    <w:div w:id="1742407374">
      <w:marLeft w:val="0"/>
      <w:marRight w:val="0"/>
      <w:marTop w:val="0"/>
      <w:marBottom w:val="0"/>
      <w:divBdr>
        <w:top w:val="none" w:sz="0" w:space="0" w:color="auto"/>
        <w:left w:val="none" w:sz="0" w:space="0" w:color="auto"/>
        <w:bottom w:val="none" w:sz="0" w:space="0" w:color="auto"/>
        <w:right w:val="none" w:sz="0" w:space="0" w:color="auto"/>
      </w:divBdr>
    </w:div>
    <w:div w:id="1742407375">
      <w:marLeft w:val="0"/>
      <w:marRight w:val="0"/>
      <w:marTop w:val="0"/>
      <w:marBottom w:val="0"/>
      <w:divBdr>
        <w:top w:val="none" w:sz="0" w:space="0" w:color="auto"/>
        <w:left w:val="none" w:sz="0" w:space="0" w:color="auto"/>
        <w:bottom w:val="none" w:sz="0" w:space="0" w:color="auto"/>
        <w:right w:val="none" w:sz="0" w:space="0" w:color="auto"/>
      </w:divBdr>
    </w:div>
    <w:div w:id="1742407376">
      <w:marLeft w:val="0"/>
      <w:marRight w:val="0"/>
      <w:marTop w:val="0"/>
      <w:marBottom w:val="0"/>
      <w:divBdr>
        <w:top w:val="none" w:sz="0" w:space="0" w:color="auto"/>
        <w:left w:val="none" w:sz="0" w:space="0" w:color="auto"/>
        <w:bottom w:val="none" w:sz="0" w:space="0" w:color="auto"/>
        <w:right w:val="none" w:sz="0" w:space="0" w:color="auto"/>
      </w:divBdr>
    </w:div>
    <w:div w:id="1742407377">
      <w:marLeft w:val="0"/>
      <w:marRight w:val="0"/>
      <w:marTop w:val="0"/>
      <w:marBottom w:val="0"/>
      <w:divBdr>
        <w:top w:val="none" w:sz="0" w:space="0" w:color="auto"/>
        <w:left w:val="none" w:sz="0" w:space="0" w:color="auto"/>
        <w:bottom w:val="none" w:sz="0" w:space="0" w:color="auto"/>
        <w:right w:val="none" w:sz="0" w:space="0" w:color="auto"/>
      </w:divBdr>
    </w:div>
    <w:div w:id="1742407378">
      <w:marLeft w:val="0"/>
      <w:marRight w:val="0"/>
      <w:marTop w:val="0"/>
      <w:marBottom w:val="0"/>
      <w:divBdr>
        <w:top w:val="none" w:sz="0" w:space="0" w:color="auto"/>
        <w:left w:val="none" w:sz="0" w:space="0" w:color="auto"/>
        <w:bottom w:val="none" w:sz="0" w:space="0" w:color="auto"/>
        <w:right w:val="none" w:sz="0" w:space="0" w:color="auto"/>
      </w:divBdr>
    </w:div>
    <w:div w:id="1742407379">
      <w:marLeft w:val="0"/>
      <w:marRight w:val="0"/>
      <w:marTop w:val="0"/>
      <w:marBottom w:val="0"/>
      <w:divBdr>
        <w:top w:val="none" w:sz="0" w:space="0" w:color="auto"/>
        <w:left w:val="none" w:sz="0" w:space="0" w:color="auto"/>
        <w:bottom w:val="none" w:sz="0" w:space="0" w:color="auto"/>
        <w:right w:val="none" w:sz="0" w:space="0" w:color="auto"/>
      </w:divBdr>
    </w:div>
    <w:div w:id="1742407380">
      <w:marLeft w:val="0"/>
      <w:marRight w:val="0"/>
      <w:marTop w:val="0"/>
      <w:marBottom w:val="0"/>
      <w:divBdr>
        <w:top w:val="none" w:sz="0" w:space="0" w:color="auto"/>
        <w:left w:val="none" w:sz="0" w:space="0" w:color="auto"/>
        <w:bottom w:val="none" w:sz="0" w:space="0" w:color="auto"/>
        <w:right w:val="none" w:sz="0" w:space="0" w:color="auto"/>
      </w:divBdr>
    </w:div>
    <w:div w:id="1742407381">
      <w:marLeft w:val="0"/>
      <w:marRight w:val="0"/>
      <w:marTop w:val="0"/>
      <w:marBottom w:val="0"/>
      <w:divBdr>
        <w:top w:val="none" w:sz="0" w:space="0" w:color="auto"/>
        <w:left w:val="none" w:sz="0" w:space="0" w:color="auto"/>
        <w:bottom w:val="none" w:sz="0" w:space="0" w:color="auto"/>
        <w:right w:val="none" w:sz="0" w:space="0" w:color="auto"/>
      </w:divBdr>
    </w:div>
    <w:div w:id="1742407382">
      <w:marLeft w:val="0"/>
      <w:marRight w:val="0"/>
      <w:marTop w:val="0"/>
      <w:marBottom w:val="0"/>
      <w:divBdr>
        <w:top w:val="none" w:sz="0" w:space="0" w:color="auto"/>
        <w:left w:val="none" w:sz="0" w:space="0" w:color="auto"/>
        <w:bottom w:val="none" w:sz="0" w:space="0" w:color="auto"/>
        <w:right w:val="none" w:sz="0" w:space="0" w:color="auto"/>
      </w:divBdr>
    </w:div>
    <w:div w:id="1742407383">
      <w:marLeft w:val="0"/>
      <w:marRight w:val="0"/>
      <w:marTop w:val="0"/>
      <w:marBottom w:val="0"/>
      <w:divBdr>
        <w:top w:val="none" w:sz="0" w:space="0" w:color="auto"/>
        <w:left w:val="none" w:sz="0" w:space="0" w:color="auto"/>
        <w:bottom w:val="none" w:sz="0" w:space="0" w:color="auto"/>
        <w:right w:val="none" w:sz="0" w:space="0" w:color="auto"/>
      </w:divBdr>
    </w:div>
    <w:div w:id="1742407384">
      <w:marLeft w:val="0"/>
      <w:marRight w:val="0"/>
      <w:marTop w:val="0"/>
      <w:marBottom w:val="0"/>
      <w:divBdr>
        <w:top w:val="none" w:sz="0" w:space="0" w:color="auto"/>
        <w:left w:val="none" w:sz="0" w:space="0" w:color="auto"/>
        <w:bottom w:val="none" w:sz="0" w:space="0" w:color="auto"/>
        <w:right w:val="none" w:sz="0" w:space="0" w:color="auto"/>
      </w:divBdr>
    </w:div>
    <w:div w:id="1742407385">
      <w:marLeft w:val="0"/>
      <w:marRight w:val="0"/>
      <w:marTop w:val="0"/>
      <w:marBottom w:val="0"/>
      <w:divBdr>
        <w:top w:val="none" w:sz="0" w:space="0" w:color="auto"/>
        <w:left w:val="none" w:sz="0" w:space="0" w:color="auto"/>
        <w:bottom w:val="none" w:sz="0" w:space="0" w:color="auto"/>
        <w:right w:val="none" w:sz="0" w:space="0" w:color="auto"/>
      </w:divBdr>
    </w:div>
    <w:div w:id="1742407386">
      <w:marLeft w:val="0"/>
      <w:marRight w:val="0"/>
      <w:marTop w:val="0"/>
      <w:marBottom w:val="0"/>
      <w:divBdr>
        <w:top w:val="none" w:sz="0" w:space="0" w:color="auto"/>
        <w:left w:val="none" w:sz="0" w:space="0" w:color="auto"/>
        <w:bottom w:val="none" w:sz="0" w:space="0" w:color="auto"/>
        <w:right w:val="none" w:sz="0" w:space="0" w:color="auto"/>
      </w:divBdr>
    </w:div>
    <w:div w:id="1742407387">
      <w:marLeft w:val="0"/>
      <w:marRight w:val="0"/>
      <w:marTop w:val="0"/>
      <w:marBottom w:val="0"/>
      <w:divBdr>
        <w:top w:val="none" w:sz="0" w:space="0" w:color="auto"/>
        <w:left w:val="none" w:sz="0" w:space="0" w:color="auto"/>
        <w:bottom w:val="none" w:sz="0" w:space="0" w:color="auto"/>
        <w:right w:val="none" w:sz="0" w:space="0" w:color="auto"/>
      </w:divBdr>
    </w:div>
    <w:div w:id="1742407388">
      <w:marLeft w:val="0"/>
      <w:marRight w:val="0"/>
      <w:marTop w:val="0"/>
      <w:marBottom w:val="0"/>
      <w:divBdr>
        <w:top w:val="none" w:sz="0" w:space="0" w:color="auto"/>
        <w:left w:val="none" w:sz="0" w:space="0" w:color="auto"/>
        <w:bottom w:val="none" w:sz="0" w:space="0" w:color="auto"/>
        <w:right w:val="none" w:sz="0" w:space="0" w:color="auto"/>
      </w:divBdr>
    </w:div>
    <w:div w:id="1742407389">
      <w:marLeft w:val="0"/>
      <w:marRight w:val="0"/>
      <w:marTop w:val="0"/>
      <w:marBottom w:val="0"/>
      <w:divBdr>
        <w:top w:val="none" w:sz="0" w:space="0" w:color="auto"/>
        <w:left w:val="none" w:sz="0" w:space="0" w:color="auto"/>
        <w:bottom w:val="none" w:sz="0" w:space="0" w:color="auto"/>
        <w:right w:val="none" w:sz="0" w:space="0" w:color="auto"/>
      </w:divBdr>
    </w:div>
    <w:div w:id="1742407390">
      <w:marLeft w:val="0"/>
      <w:marRight w:val="0"/>
      <w:marTop w:val="0"/>
      <w:marBottom w:val="0"/>
      <w:divBdr>
        <w:top w:val="none" w:sz="0" w:space="0" w:color="auto"/>
        <w:left w:val="none" w:sz="0" w:space="0" w:color="auto"/>
        <w:bottom w:val="none" w:sz="0" w:space="0" w:color="auto"/>
        <w:right w:val="none" w:sz="0" w:space="0" w:color="auto"/>
      </w:divBdr>
    </w:div>
    <w:div w:id="1742407391">
      <w:marLeft w:val="0"/>
      <w:marRight w:val="0"/>
      <w:marTop w:val="0"/>
      <w:marBottom w:val="0"/>
      <w:divBdr>
        <w:top w:val="none" w:sz="0" w:space="0" w:color="auto"/>
        <w:left w:val="none" w:sz="0" w:space="0" w:color="auto"/>
        <w:bottom w:val="none" w:sz="0" w:space="0" w:color="auto"/>
        <w:right w:val="none" w:sz="0" w:space="0" w:color="auto"/>
      </w:divBdr>
    </w:div>
    <w:div w:id="1742407392">
      <w:marLeft w:val="0"/>
      <w:marRight w:val="0"/>
      <w:marTop w:val="0"/>
      <w:marBottom w:val="0"/>
      <w:divBdr>
        <w:top w:val="none" w:sz="0" w:space="0" w:color="auto"/>
        <w:left w:val="none" w:sz="0" w:space="0" w:color="auto"/>
        <w:bottom w:val="none" w:sz="0" w:space="0" w:color="auto"/>
        <w:right w:val="none" w:sz="0" w:space="0" w:color="auto"/>
      </w:divBdr>
    </w:div>
    <w:div w:id="1742407393">
      <w:marLeft w:val="0"/>
      <w:marRight w:val="0"/>
      <w:marTop w:val="0"/>
      <w:marBottom w:val="0"/>
      <w:divBdr>
        <w:top w:val="none" w:sz="0" w:space="0" w:color="auto"/>
        <w:left w:val="none" w:sz="0" w:space="0" w:color="auto"/>
        <w:bottom w:val="none" w:sz="0" w:space="0" w:color="auto"/>
        <w:right w:val="none" w:sz="0" w:space="0" w:color="auto"/>
      </w:divBdr>
    </w:div>
    <w:div w:id="1742407394">
      <w:marLeft w:val="0"/>
      <w:marRight w:val="0"/>
      <w:marTop w:val="0"/>
      <w:marBottom w:val="0"/>
      <w:divBdr>
        <w:top w:val="none" w:sz="0" w:space="0" w:color="auto"/>
        <w:left w:val="none" w:sz="0" w:space="0" w:color="auto"/>
        <w:bottom w:val="none" w:sz="0" w:space="0" w:color="auto"/>
        <w:right w:val="none" w:sz="0" w:space="0" w:color="auto"/>
      </w:divBdr>
    </w:div>
    <w:div w:id="1742407395">
      <w:marLeft w:val="0"/>
      <w:marRight w:val="0"/>
      <w:marTop w:val="0"/>
      <w:marBottom w:val="0"/>
      <w:divBdr>
        <w:top w:val="none" w:sz="0" w:space="0" w:color="auto"/>
        <w:left w:val="none" w:sz="0" w:space="0" w:color="auto"/>
        <w:bottom w:val="none" w:sz="0" w:space="0" w:color="auto"/>
        <w:right w:val="none" w:sz="0" w:space="0" w:color="auto"/>
      </w:divBdr>
    </w:div>
    <w:div w:id="1742407396">
      <w:marLeft w:val="0"/>
      <w:marRight w:val="0"/>
      <w:marTop w:val="0"/>
      <w:marBottom w:val="0"/>
      <w:divBdr>
        <w:top w:val="none" w:sz="0" w:space="0" w:color="auto"/>
        <w:left w:val="none" w:sz="0" w:space="0" w:color="auto"/>
        <w:bottom w:val="none" w:sz="0" w:space="0" w:color="auto"/>
        <w:right w:val="none" w:sz="0" w:space="0" w:color="auto"/>
      </w:divBdr>
    </w:div>
    <w:div w:id="1742407397">
      <w:marLeft w:val="0"/>
      <w:marRight w:val="0"/>
      <w:marTop w:val="0"/>
      <w:marBottom w:val="0"/>
      <w:divBdr>
        <w:top w:val="none" w:sz="0" w:space="0" w:color="auto"/>
        <w:left w:val="none" w:sz="0" w:space="0" w:color="auto"/>
        <w:bottom w:val="none" w:sz="0" w:space="0" w:color="auto"/>
        <w:right w:val="none" w:sz="0" w:space="0" w:color="auto"/>
      </w:divBdr>
    </w:div>
    <w:div w:id="1742407398">
      <w:marLeft w:val="0"/>
      <w:marRight w:val="0"/>
      <w:marTop w:val="0"/>
      <w:marBottom w:val="0"/>
      <w:divBdr>
        <w:top w:val="none" w:sz="0" w:space="0" w:color="auto"/>
        <w:left w:val="none" w:sz="0" w:space="0" w:color="auto"/>
        <w:bottom w:val="none" w:sz="0" w:space="0" w:color="auto"/>
        <w:right w:val="none" w:sz="0" w:space="0" w:color="auto"/>
      </w:divBdr>
    </w:div>
    <w:div w:id="1742407399">
      <w:marLeft w:val="0"/>
      <w:marRight w:val="0"/>
      <w:marTop w:val="0"/>
      <w:marBottom w:val="0"/>
      <w:divBdr>
        <w:top w:val="none" w:sz="0" w:space="0" w:color="auto"/>
        <w:left w:val="none" w:sz="0" w:space="0" w:color="auto"/>
        <w:bottom w:val="none" w:sz="0" w:space="0" w:color="auto"/>
        <w:right w:val="none" w:sz="0" w:space="0" w:color="auto"/>
      </w:divBdr>
    </w:div>
    <w:div w:id="1742407400">
      <w:marLeft w:val="0"/>
      <w:marRight w:val="0"/>
      <w:marTop w:val="0"/>
      <w:marBottom w:val="0"/>
      <w:divBdr>
        <w:top w:val="none" w:sz="0" w:space="0" w:color="auto"/>
        <w:left w:val="none" w:sz="0" w:space="0" w:color="auto"/>
        <w:bottom w:val="none" w:sz="0" w:space="0" w:color="auto"/>
        <w:right w:val="none" w:sz="0" w:space="0" w:color="auto"/>
      </w:divBdr>
    </w:div>
    <w:div w:id="1742407401">
      <w:marLeft w:val="0"/>
      <w:marRight w:val="0"/>
      <w:marTop w:val="0"/>
      <w:marBottom w:val="0"/>
      <w:divBdr>
        <w:top w:val="none" w:sz="0" w:space="0" w:color="auto"/>
        <w:left w:val="none" w:sz="0" w:space="0" w:color="auto"/>
        <w:bottom w:val="none" w:sz="0" w:space="0" w:color="auto"/>
        <w:right w:val="none" w:sz="0" w:space="0" w:color="auto"/>
      </w:divBdr>
    </w:div>
    <w:div w:id="1742407402">
      <w:marLeft w:val="0"/>
      <w:marRight w:val="0"/>
      <w:marTop w:val="0"/>
      <w:marBottom w:val="0"/>
      <w:divBdr>
        <w:top w:val="none" w:sz="0" w:space="0" w:color="auto"/>
        <w:left w:val="none" w:sz="0" w:space="0" w:color="auto"/>
        <w:bottom w:val="none" w:sz="0" w:space="0" w:color="auto"/>
        <w:right w:val="none" w:sz="0" w:space="0" w:color="auto"/>
      </w:divBdr>
    </w:div>
    <w:div w:id="1742407403">
      <w:marLeft w:val="0"/>
      <w:marRight w:val="0"/>
      <w:marTop w:val="0"/>
      <w:marBottom w:val="0"/>
      <w:divBdr>
        <w:top w:val="none" w:sz="0" w:space="0" w:color="auto"/>
        <w:left w:val="none" w:sz="0" w:space="0" w:color="auto"/>
        <w:bottom w:val="none" w:sz="0" w:space="0" w:color="auto"/>
        <w:right w:val="none" w:sz="0" w:space="0" w:color="auto"/>
      </w:divBdr>
    </w:div>
    <w:div w:id="1742407404">
      <w:marLeft w:val="0"/>
      <w:marRight w:val="0"/>
      <w:marTop w:val="0"/>
      <w:marBottom w:val="0"/>
      <w:divBdr>
        <w:top w:val="none" w:sz="0" w:space="0" w:color="auto"/>
        <w:left w:val="none" w:sz="0" w:space="0" w:color="auto"/>
        <w:bottom w:val="none" w:sz="0" w:space="0" w:color="auto"/>
        <w:right w:val="none" w:sz="0" w:space="0" w:color="auto"/>
      </w:divBdr>
    </w:div>
    <w:div w:id="1742407405">
      <w:marLeft w:val="0"/>
      <w:marRight w:val="0"/>
      <w:marTop w:val="0"/>
      <w:marBottom w:val="0"/>
      <w:divBdr>
        <w:top w:val="none" w:sz="0" w:space="0" w:color="auto"/>
        <w:left w:val="none" w:sz="0" w:space="0" w:color="auto"/>
        <w:bottom w:val="none" w:sz="0" w:space="0" w:color="auto"/>
        <w:right w:val="none" w:sz="0" w:space="0" w:color="auto"/>
      </w:divBdr>
    </w:div>
    <w:div w:id="1742407406">
      <w:marLeft w:val="0"/>
      <w:marRight w:val="0"/>
      <w:marTop w:val="0"/>
      <w:marBottom w:val="0"/>
      <w:divBdr>
        <w:top w:val="none" w:sz="0" w:space="0" w:color="auto"/>
        <w:left w:val="none" w:sz="0" w:space="0" w:color="auto"/>
        <w:bottom w:val="none" w:sz="0" w:space="0" w:color="auto"/>
        <w:right w:val="none" w:sz="0" w:space="0" w:color="auto"/>
      </w:divBdr>
    </w:div>
    <w:div w:id="1742407407">
      <w:marLeft w:val="0"/>
      <w:marRight w:val="0"/>
      <w:marTop w:val="0"/>
      <w:marBottom w:val="0"/>
      <w:divBdr>
        <w:top w:val="none" w:sz="0" w:space="0" w:color="auto"/>
        <w:left w:val="none" w:sz="0" w:space="0" w:color="auto"/>
        <w:bottom w:val="none" w:sz="0" w:space="0" w:color="auto"/>
        <w:right w:val="none" w:sz="0" w:space="0" w:color="auto"/>
      </w:divBdr>
    </w:div>
    <w:div w:id="1742407408">
      <w:marLeft w:val="0"/>
      <w:marRight w:val="0"/>
      <w:marTop w:val="0"/>
      <w:marBottom w:val="0"/>
      <w:divBdr>
        <w:top w:val="none" w:sz="0" w:space="0" w:color="auto"/>
        <w:left w:val="none" w:sz="0" w:space="0" w:color="auto"/>
        <w:bottom w:val="none" w:sz="0" w:space="0" w:color="auto"/>
        <w:right w:val="none" w:sz="0" w:space="0" w:color="auto"/>
      </w:divBdr>
    </w:div>
    <w:div w:id="1742407409">
      <w:marLeft w:val="0"/>
      <w:marRight w:val="0"/>
      <w:marTop w:val="0"/>
      <w:marBottom w:val="0"/>
      <w:divBdr>
        <w:top w:val="none" w:sz="0" w:space="0" w:color="auto"/>
        <w:left w:val="none" w:sz="0" w:space="0" w:color="auto"/>
        <w:bottom w:val="none" w:sz="0" w:space="0" w:color="auto"/>
        <w:right w:val="none" w:sz="0" w:space="0" w:color="auto"/>
      </w:divBdr>
    </w:div>
    <w:div w:id="1742407410">
      <w:marLeft w:val="0"/>
      <w:marRight w:val="0"/>
      <w:marTop w:val="0"/>
      <w:marBottom w:val="0"/>
      <w:divBdr>
        <w:top w:val="none" w:sz="0" w:space="0" w:color="auto"/>
        <w:left w:val="none" w:sz="0" w:space="0" w:color="auto"/>
        <w:bottom w:val="none" w:sz="0" w:space="0" w:color="auto"/>
        <w:right w:val="none" w:sz="0" w:space="0" w:color="auto"/>
      </w:divBdr>
    </w:div>
    <w:div w:id="1742407411">
      <w:marLeft w:val="0"/>
      <w:marRight w:val="0"/>
      <w:marTop w:val="0"/>
      <w:marBottom w:val="0"/>
      <w:divBdr>
        <w:top w:val="none" w:sz="0" w:space="0" w:color="auto"/>
        <w:left w:val="none" w:sz="0" w:space="0" w:color="auto"/>
        <w:bottom w:val="none" w:sz="0" w:space="0" w:color="auto"/>
        <w:right w:val="none" w:sz="0" w:space="0" w:color="auto"/>
      </w:divBdr>
    </w:div>
    <w:div w:id="1742407412">
      <w:marLeft w:val="0"/>
      <w:marRight w:val="0"/>
      <w:marTop w:val="0"/>
      <w:marBottom w:val="0"/>
      <w:divBdr>
        <w:top w:val="none" w:sz="0" w:space="0" w:color="auto"/>
        <w:left w:val="none" w:sz="0" w:space="0" w:color="auto"/>
        <w:bottom w:val="none" w:sz="0" w:space="0" w:color="auto"/>
        <w:right w:val="none" w:sz="0" w:space="0" w:color="auto"/>
      </w:divBdr>
    </w:div>
    <w:div w:id="1742407413">
      <w:marLeft w:val="0"/>
      <w:marRight w:val="0"/>
      <w:marTop w:val="0"/>
      <w:marBottom w:val="0"/>
      <w:divBdr>
        <w:top w:val="none" w:sz="0" w:space="0" w:color="auto"/>
        <w:left w:val="none" w:sz="0" w:space="0" w:color="auto"/>
        <w:bottom w:val="none" w:sz="0" w:space="0" w:color="auto"/>
        <w:right w:val="none" w:sz="0" w:space="0" w:color="auto"/>
      </w:divBdr>
    </w:div>
    <w:div w:id="1742407414">
      <w:marLeft w:val="0"/>
      <w:marRight w:val="0"/>
      <w:marTop w:val="0"/>
      <w:marBottom w:val="0"/>
      <w:divBdr>
        <w:top w:val="none" w:sz="0" w:space="0" w:color="auto"/>
        <w:left w:val="none" w:sz="0" w:space="0" w:color="auto"/>
        <w:bottom w:val="none" w:sz="0" w:space="0" w:color="auto"/>
        <w:right w:val="none" w:sz="0" w:space="0" w:color="auto"/>
      </w:divBdr>
    </w:div>
    <w:div w:id="1742407415">
      <w:marLeft w:val="0"/>
      <w:marRight w:val="0"/>
      <w:marTop w:val="0"/>
      <w:marBottom w:val="0"/>
      <w:divBdr>
        <w:top w:val="none" w:sz="0" w:space="0" w:color="auto"/>
        <w:left w:val="none" w:sz="0" w:space="0" w:color="auto"/>
        <w:bottom w:val="none" w:sz="0" w:space="0" w:color="auto"/>
        <w:right w:val="none" w:sz="0" w:space="0" w:color="auto"/>
      </w:divBdr>
    </w:div>
    <w:div w:id="1742407416">
      <w:marLeft w:val="0"/>
      <w:marRight w:val="0"/>
      <w:marTop w:val="0"/>
      <w:marBottom w:val="0"/>
      <w:divBdr>
        <w:top w:val="none" w:sz="0" w:space="0" w:color="auto"/>
        <w:left w:val="none" w:sz="0" w:space="0" w:color="auto"/>
        <w:bottom w:val="none" w:sz="0" w:space="0" w:color="auto"/>
        <w:right w:val="none" w:sz="0" w:space="0" w:color="auto"/>
      </w:divBdr>
    </w:div>
    <w:div w:id="1742407417">
      <w:marLeft w:val="0"/>
      <w:marRight w:val="0"/>
      <w:marTop w:val="0"/>
      <w:marBottom w:val="0"/>
      <w:divBdr>
        <w:top w:val="none" w:sz="0" w:space="0" w:color="auto"/>
        <w:left w:val="none" w:sz="0" w:space="0" w:color="auto"/>
        <w:bottom w:val="none" w:sz="0" w:space="0" w:color="auto"/>
        <w:right w:val="none" w:sz="0" w:space="0" w:color="auto"/>
      </w:divBdr>
    </w:div>
    <w:div w:id="1742407418">
      <w:marLeft w:val="0"/>
      <w:marRight w:val="0"/>
      <w:marTop w:val="0"/>
      <w:marBottom w:val="0"/>
      <w:divBdr>
        <w:top w:val="none" w:sz="0" w:space="0" w:color="auto"/>
        <w:left w:val="none" w:sz="0" w:space="0" w:color="auto"/>
        <w:bottom w:val="none" w:sz="0" w:space="0" w:color="auto"/>
        <w:right w:val="none" w:sz="0" w:space="0" w:color="auto"/>
      </w:divBdr>
    </w:div>
    <w:div w:id="1742407419">
      <w:marLeft w:val="0"/>
      <w:marRight w:val="0"/>
      <w:marTop w:val="0"/>
      <w:marBottom w:val="0"/>
      <w:divBdr>
        <w:top w:val="none" w:sz="0" w:space="0" w:color="auto"/>
        <w:left w:val="none" w:sz="0" w:space="0" w:color="auto"/>
        <w:bottom w:val="none" w:sz="0" w:space="0" w:color="auto"/>
        <w:right w:val="none" w:sz="0" w:space="0" w:color="auto"/>
      </w:divBdr>
    </w:div>
    <w:div w:id="1742407420">
      <w:marLeft w:val="0"/>
      <w:marRight w:val="0"/>
      <w:marTop w:val="0"/>
      <w:marBottom w:val="0"/>
      <w:divBdr>
        <w:top w:val="none" w:sz="0" w:space="0" w:color="auto"/>
        <w:left w:val="none" w:sz="0" w:space="0" w:color="auto"/>
        <w:bottom w:val="none" w:sz="0" w:space="0" w:color="auto"/>
        <w:right w:val="none" w:sz="0" w:space="0" w:color="auto"/>
      </w:divBdr>
    </w:div>
    <w:div w:id="1742407421">
      <w:marLeft w:val="0"/>
      <w:marRight w:val="0"/>
      <w:marTop w:val="0"/>
      <w:marBottom w:val="0"/>
      <w:divBdr>
        <w:top w:val="none" w:sz="0" w:space="0" w:color="auto"/>
        <w:left w:val="none" w:sz="0" w:space="0" w:color="auto"/>
        <w:bottom w:val="none" w:sz="0" w:space="0" w:color="auto"/>
        <w:right w:val="none" w:sz="0" w:space="0" w:color="auto"/>
      </w:divBdr>
    </w:div>
    <w:div w:id="1742407422">
      <w:marLeft w:val="0"/>
      <w:marRight w:val="0"/>
      <w:marTop w:val="0"/>
      <w:marBottom w:val="0"/>
      <w:divBdr>
        <w:top w:val="none" w:sz="0" w:space="0" w:color="auto"/>
        <w:left w:val="none" w:sz="0" w:space="0" w:color="auto"/>
        <w:bottom w:val="none" w:sz="0" w:space="0" w:color="auto"/>
        <w:right w:val="none" w:sz="0" w:space="0" w:color="auto"/>
      </w:divBdr>
    </w:div>
    <w:div w:id="1742407423">
      <w:marLeft w:val="0"/>
      <w:marRight w:val="0"/>
      <w:marTop w:val="0"/>
      <w:marBottom w:val="0"/>
      <w:divBdr>
        <w:top w:val="none" w:sz="0" w:space="0" w:color="auto"/>
        <w:left w:val="none" w:sz="0" w:space="0" w:color="auto"/>
        <w:bottom w:val="none" w:sz="0" w:space="0" w:color="auto"/>
        <w:right w:val="none" w:sz="0" w:space="0" w:color="auto"/>
      </w:divBdr>
    </w:div>
    <w:div w:id="1742407424">
      <w:marLeft w:val="0"/>
      <w:marRight w:val="0"/>
      <w:marTop w:val="0"/>
      <w:marBottom w:val="0"/>
      <w:divBdr>
        <w:top w:val="none" w:sz="0" w:space="0" w:color="auto"/>
        <w:left w:val="none" w:sz="0" w:space="0" w:color="auto"/>
        <w:bottom w:val="none" w:sz="0" w:space="0" w:color="auto"/>
        <w:right w:val="none" w:sz="0" w:space="0" w:color="auto"/>
      </w:divBdr>
    </w:div>
    <w:div w:id="1742407425">
      <w:marLeft w:val="0"/>
      <w:marRight w:val="0"/>
      <w:marTop w:val="0"/>
      <w:marBottom w:val="0"/>
      <w:divBdr>
        <w:top w:val="none" w:sz="0" w:space="0" w:color="auto"/>
        <w:left w:val="none" w:sz="0" w:space="0" w:color="auto"/>
        <w:bottom w:val="none" w:sz="0" w:space="0" w:color="auto"/>
        <w:right w:val="none" w:sz="0" w:space="0" w:color="auto"/>
      </w:divBdr>
    </w:div>
    <w:div w:id="1742407426">
      <w:marLeft w:val="0"/>
      <w:marRight w:val="0"/>
      <w:marTop w:val="0"/>
      <w:marBottom w:val="0"/>
      <w:divBdr>
        <w:top w:val="none" w:sz="0" w:space="0" w:color="auto"/>
        <w:left w:val="none" w:sz="0" w:space="0" w:color="auto"/>
        <w:bottom w:val="none" w:sz="0" w:space="0" w:color="auto"/>
        <w:right w:val="none" w:sz="0" w:space="0" w:color="auto"/>
      </w:divBdr>
    </w:div>
    <w:div w:id="1742407427">
      <w:marLeft w:val="0"/>
      <w:marRight w:val="0"/>
      <w:marTop w:val="0"/>
      <w:marBottom w:val="0"/>
      <w:divBdr>
        <w:top w:val="none" w:sz="0" w:space="0" w:color="auto"/>
        <w:left w:val="none" w:sz="0" w:space="0" w:color="auto"/>
        <w:bottom w:val="none" w:sz="0" w:space="0" w:color="auto"/>
        <w:right w:val="none" w:sz="0" w:space="0" w:color="auto"/>
      </w:divBdr>
    </w:div>
    <w:div w:id="1742407428">
      <w:marLeft w:val="0"/>
      <w:marRight w:val="0"/>
      <w:marTop w:val="0"/>
      <w:marBottom w:val="0"/>
      <w:divBdr>
        <w:top w:val="none" w:sz="0" w:space="0" w:color="auto"/>
        <w:left w:val="none" w:sz="0" w:space="0" w:color="auto"/>
        <w:bottom w:val="none" w:sz="0" w:space="0" w:color="auto"/>
        <w:right w:val="none" w:sz="0" w:space="0" w:color="auto"/>
      </w:divBdr>
    </w:div>
    <w:div w:id="1742407429">
      <w:marLeft w:val="0"/>
      <w:marRight w:val="0"/>
      <w:marTop w:val="0"/>
      <w:marBottom w:val="0"/>
      <w:divBdr>
        <w:top w:val="none" w:sz="0" w:space="0" w:color="auto"/>
        <w:left w:val="none" w:sz="0" w:space="0" w:color="auto"/>
        <w:bottom w:val="none" w:sz="0" w:space="0" w:color="auto"/>
        <w:right w:val="none" w:sz="0" w:space="0" w:color="auto"/>
      </w:divBdr>
    </w:div>
    <w:div w:id="1742407430">
      <w:marLeft w:val="0"/>
      <w:marRight w:val="0"/>
      <w:marTop w:val="0"/>
      <w:marBottom w:val="0"/>
      <w:divBdr>
        <w:top w:val="none" w:sz="0" w:space="0" w:color="auto"/>
        <w:left w:val="none" w:sz="0" w:space="0" w:color="auto"/>
        <w:bottom w:val="none" w:sz="0" w:space="0" w:color="auto"/>
        <w:right w:val="none" w:sz="0" w:space="0" w:color="auto"/>
      </w:divBdr>
    </w:div>
    <w:div w:id="1742407431">
      <w:marLeft w:val="0"/>
      <w:marRight w:val="0"/>
      <w:marTop w:val="0"/>
      <w:marBottom w:val="0"/>
      <w:divBdr>
        <w:top w:val="none" w:sz="0" w:space="0" w:color="auto"/>
        <w:left w:val="none" w:sz="0" w:space="0" w:color="auto"/>
        <w:bottom w:val="none" w:sz="0" w:space="0" w:color="auto"/>
        <w:right w:val="none" w:sz="0" w:space="0" w:color="auto"/>
      </w:divBdr>
    </w:div>
    <w:div w:id="1742407432">
      <w:marLeft w:val="0"/>
      <w:marRight w:val="0"/>
      <w:marTop w:val="0"/>
      <w:marBottom w:val="0"/>
      <w:divBdr>
        <w:top w:val="none" w:sz="0" w:space="0" w:color="auto"/>
        <w:left w:val="none" w:sz="0" w:space="0" w:color="auto"/>
        <w:bottom w:val="none" w:sz="0" w:space="0" w:color="auto"/>
        <w:right w:val="none" w:sz="0" w:space="0" w:color="auto"/>
      </w:divBdr>
    </w:div>
    <w:div w:id="1742407433">
      <w:marLeft w:val="0"/>
      <w:marRight w:val="0"/>
      <w:marTop w:val="0"/>
      <w:marBottom w:val="0"/>
      <w:divBdr>
        <w:top w:val="none" w:sz="0" w:space="0" w:color="auto"/>
        <w:left w:val="none" w:sz="0" w:space="0" w:color="auto"/>
        <w:bottom w:val="none" w:sz="0" w:space="0" w:color="auto"/>
        <w:right w:val="none" w:sz="0" w:space="0" w:color="auto"/>
      </w:divBdr>
    </w:div>
    <w:div w:id="1742407434">
      <w:marLeft w:val="0"/>
      <w:marRight w:val="0"/>
      <w:marTop w:val="0"/>
      <w:marBottom w:val="0"/>
      <w:divBdr>
        <w:top w:val="none" w:sz="0" w:space="0" w:color="auto"/>
        <w:left w:val="none" w:sz="0" w:space="0" w:color="auto"/>
        <w:bottom w:val="none" w:sz="0" w:space="0" w:color="auto"/>
        <w:right w:val="none" w:sz="0" w:space="0" w:color="auto"/>
      </w:divBdr>
    </w:div>
    <w:div w:id="1742407435">
      <w:marLeft w:val="0"/>
      <w:marRight w:val="0"/>
      <w:marTop w:val="0"/>
      <w:marBottom w:val="0"/>
      <w:divBdr>
        <w:top w:val="none" w:sz="0" w:space="0" w:color="auto"/>
        <w:left w:val="none" w:sz="0" w:space="0" w:color="auto"/>
        <w:bottom w:val="none" w:sz="0" w:space="0" w:color="auto"/>
        <w:right w:val="none" w:sz="0" w:space="0" w:color="auto"/>
      </w:divBdr>
    </w:div>
    <w:div w:id="1742407436">
      <w:marLeft w:val="0"/>
      <w:marRight w:val="0"/>
      <w:marTop w:val="0"/>
      <w:marBottom w:val="0"/>
      <w:divBdr>
        <w:top w:val="none" w:sz="0" w:space="0" w:color="auto"/>
        <w:left w:val="none" w:sz="0" w:space="0" w:color="auto"/>
        <w:bottom w:val="none" w:sz="0" w:space="0" w:color="auto"/>
        <w:right w:val="none" w:sz="0" w:space="0" w:color="auto"/>
      </w:divBdr>
    </w:div>
    <w:div w:id="1742407437">
      <w:marLeft w:val="0"/>
      <w:marRight w:val="0"/>
      <w:marTop w:val="0"/>
      <w:marBottom w:val="0"/>
      <w:divBdr>
        <w:top w:val="none" w:sz="0" w:space="0" w:color="auto"/>
        <w:left w:val="none" w:sz="0" w:space="0" w:color="auto"/>
        <w:bottom w:val="none" w:sz="0" w:space="0" w:color="auto"/>
        <w:right w:val="none" w:sz="0" w:space="0" w:color="auto"/>
      </w:divBdr>
    </w:div>
    <w:div w:id="1742407438">
      <w:marLeft w:val="0"/>
      <w:marRight w:val="0"/>
      <w:marTop w:val="0"/>
      <w:marBottom w:val="0"/>
      <w:divBdr>
        <w:top w:val="none" w:sz="0" w:space="0" w:color="auto"/>
        <w:left w:val="none" w:sz="0" w:space="0" w:color="auto"/>
        <w:bottom w:val="none" w:sz="0" w:space="0" w:color="auto"/>
        <w:right w:val="none" w:sz="0" w:space="0" w:color="auto"/>
      </w:divBdr>
    </w:div>
    <w:div w:id="1742407439">
      <w:marLeft w:val="0"/>
      <w:marRight w:val="0"/>
      <w:marTop w:val="0"/>
      <w:marBottom w:val="0"/>
      <w:divBdr>
        <w:top w:val="none" w:sz="0" w:space="0" w:color="auto"/>
        <w:left w:val="none" w:sz="0" w:space="0" w:color="auto"/>
        <w:bottom w:val="none" w:sz="0" w:space="0" w:color="auto"/>
        <w:right w:val="none" w:sz="0" w:space="0" w:color="auto"/>
      </w:divBdr>
    </w:div>
    <w:div w:id="1742407440">
      <w:marLeft w:val="0"/>
      <w:marRight w:val="0"/>
      <w:marTop w:val="0"/>
      <w:marBottom w:val="0"/>
      <w:divBdr>
        <w:top w:val="none" w:sz="0" w:space="0" w:color="auto"/>
        <w:left w:val="none" w:sz="0" w:space="0" w:color="auto"/>
        <w:bottom w:val="none" w:sz="0" w:space="0" w:color="auto"/>
        <w:right w:val="none" w:sz="0" w:space="0" w:color="auto"/>
      </w:divBdr>
    </w:div>
    <w:div w:id="1742407441">
      <w:marLeft w:val="0"/>
      <w:marRight w:val="0"/>
      <w:marTop w:val="0"/>
      <w:marBottom w:val="0"/>
      <w:divBdr>
        <w:top w:val="none" w:sz="0" w:space="0" w:color="auto"/>
        <w:left w:val="none" w:sz="0" w:space="0" w:color="auto"/>
        <w:bottom w:val="none" w:sz="0" w:space="0" w:color="auto"/>
        <w:right w:val="none" w:sz="0" w:space="0" w:color="auto"/>
      </w:divBdr>
    </w:div>
    <w:div w:id="1742407442">
      <w:marLeft w:val="0"/>
      <w:marRight w:val="0"/>
      <w:marTop w:val="0"/>
      <w:marBottom w:val="0"/>
      <w:divBdr>
        <w:top w:val="none" w:sz="0" w:space="0" w:color="auto"/>
        <w:left w:val="none" w:sz="0" w:space="0" w:color="auto"/>
        <w:bottom w:val="none" w:sz="0" w:space="0" w:color="auto"/>
        <w:right w:val="none" w:sz="0" w:space="0" w:color="auto"/>
      </w:divBdr>
    </w:div>
    <w:div w:id="1742407443">
      <w:marLeft w:val="0"/>
      <w:marRight w:val="0"/>
      <w:marTop w:val="0"/>
      <w:marBottom w:val="0"/>
      <w:divBdr>
        <w:top w:val="none" w:sz="0" w:space="0" w:color="auto"/>
        <w:left w:val="none" w:sz="0" w:space="0" w:color="auto"/>
        <w:bottom w:val="none" w:sz="0" w:space="0" w:color="auto"/>
        <w:right w:val="none" w:sz="0" w:space="0" w:color="auto"/>
      </w:divBdr>
    </w:div>
    <w:div w:id="1742407444">
      <w:marLeft w:val="0"/>
      <w:marRight w:val="0"/>
      <w:marTop w:val="0"/>
      <w:marBottom w:val="0"/>
      <w:divBdr>
        <w:top w:val="none" w:sz="0" w:space="0" w:color="auto"/>
        <w:left w:val="none" w:sz="0" w:space="0" w:color="auto"/>
        <w:bottom w:val="none" w:sz="0" w:space="0" w:color="auto"/>
        <w:right w:val="none" w:sz="0" w:space="0" w:color="auto"/>
      </w:divBdr>
    </w:div>
    <w:div w:id="1742407445">
      <w:marLeft w:val="0"/>
      <w:marRight w:val="0"/>
      <w:marTop w:val="0"/>
      <w:marBottom w:val="0"/>
      <w:divBdr>
        <w:top w:val="none" w:sz="0" w:space="0" w:color="auto"/>
        <w:left w:val="none" w:sz="0" w:space="0" w:color="auto"/>
        <w:bottom w:val="none" w:sz="0" w:space="0" w:color="auto"/>
        <w:right w:val="none" w:sz="0" w:space="0" w:color="auto"/>
      </w:divBdr>
    </w:div>
    <w:div w:id="1742407446">
      <w:marLeft w:val="0"/>
      <w:marRight w:val="0"/>
      <w:marTop w:val="0"/>
      <w:marBottom w:val="0"/>
      <w:divBdr>
        <w:top w:val="none" w:sz="0" w:space="0" w:color="auto"/>
        <w:left w:val="none" w:sz="0" w:space="0" w:color="auto"/>
        <w:bottom w:val="none" w:sz="0" w:space="0" w:color="auto"/>
        <w:right w:val="none" w:sz="0" w:space="0" w:color="auto"/>
      </w:divBdr>
    </w:div>
    <w:div w:id="1742407447">
      <w:marLeft w:val="0"/>
      <w:marRight w:val="0"/>
      <w:marTop w:val="0"/>
      <w:marBottom w:val="0"/>
      <w:divBdr>
        <w:top w:val="none" w:sz="0" w:space="0" w:color="auto"/>
        <w:left w:val="none" w:sz="0" w:space="0" w:color="auto"/>
        <w:bottom w:val="none" w:sz="0" w:space="0" w:color="auto"/>
        <w:right w:val="none" w:sz="0" w:space="0" w:color="auto"/>
      </w:divBdr>
    </w:div>
    <w:div w:id="1742407448">
      <w:marLeft w:val="0"/>
      <w:marRight w:val="0"/>
      <w:marTop w:val="0"/>
      <w:marBottom w:val="0"/>
      <w:divBdr>
        <w:top w:val="none" w:sz="0" w:space="0" w:color="auto"/>
        <w:left w:val="none" w:sz="0" w:space="0" w:color="auto"/>
        <w:bottom w:val="none" w:sz="0" w:space="0" w:color="auto"/>
        <w:right w:val="none" w:sz="0" w:space="0" w:color="auto"/>
      </w:divBdr>
    </w:div>
    <w:div w:id="1742407449">
      <w:marLeft w:val="0"/>
      <w:marRight w:val="0"/>
      <w:marTop w:val="0"/>
      <w:marBottom w:val="0"/>
      <w:divBdr>
        <w:top w:val="none" w:sz="0" w:space="0" w:color="auto"/>
        <w:left w:val="none" w:sz="0" w:space="0" w:color="auto"/>
        <w:bottom w:val="none" w:sz="0" w:space="0" w:color="auto"/>
        <w:right w:val="none" w:sz="0" w:space="0" w:color="auto"/>
      </w:divBdr>
    </w:div>
    <w:div w:id="1742407450">
      <w:marLeft w:val="0"/>
      <w:marRight w:val="0"/>
      <w:marTop w:val="0"/>
      <w:marBottom w:val="0"/>
      <w:divBdr>
        <w:top w:val="none" w:sz="0" w:space="0" w:color="auto"/>
        <w:left w:val="none" w:sz="0" w:space="0" w:color="auto"/>
        <w:bottom w:val="none" w:sz="0" w:space="0" w:color="auto"/>
        <w:right w:val="none" w:sz="0" w:space="0" w:color="auto"/>
      </w:divBdr>
    </w:div>
    <w:div w:id="1742407451">
      <w:marLeft w:val="0"/>
      <w:marRight w:val="0"/>
      <w:marTop w:val="0"/>
      <w:marBottom w:val="0"/>
      <w:divBdr>
        <w:top w:val="none" w:sz="0" w:space="0" w:color="auto"/>
        <w:left w:val="none" w:sz="0" w:space="0" w:color="auto"/>
        <w:bottom w:val="none" w:sz="0" w:space="0" w:color="auto"/>
        <w:right w:val="none" w:sz="0" w:space="0" w:color="auto"/>
      </w:divBdr>
    </w:div>
    <w:div w:id="1742407452">
      <w:marLeft w:val="0"/>
      <w:marRight w:val="0"/>
      <w:marTop w:val="0"/>
      <w:marBottom w:val="0"/>
      <w:divBdr>
        <w:top w:val="none" w:sz="0" w:space="0" w:color="auto"/>
        <w:left w:val="none" w:sz="0" w:space="0" w:color="auto"/>
        <w:bottom w:val="none" w:sz="0" w:space="0" w:color="auto"/>
        <w:right w:val="none" w:sz="0" w:space="0" w:color="auto"/>
      </w:divBdr>
    </w:div>
    <w:div w:id="1742407453">
      <w:marLeft w:val="0"/>
      <w:marRight w:val="0"/>
      <w:marTop w:val="0"/>
      <w:marBottom w:val="0"/>
      <w:divBdr>
        <w:top w:val="none" w:sz="0" w:space="0" w:color="auto"/>
        <w:left w:val="none" w:sz="0" w:space="0" w:color="auto"/>
        <w:bottom w:val="none" w:sz="0" w:space="0" w:color="auto"/>
        <w:right w:val="none" w:sz="0" w:space="0" w:color="auto"/>
      </w:divBdr>
    </w:div>
    <w:div w:id="1742407454">
      <w:marLeft w:val="0"/>
      <w:marRight w:val="0"/>
      <w:marTop w:val="0"/>
      <w:marBottom w:val="0"/>
      <w:divBdr>
        <w:top w:val="none" w:sz="0" w:space="0" w:color="auto"/>
        <w:left w:val="none" w:sz="0" w:space="0" w:color="auto"/>
        <w:bottom w:val="none" w:sz="0" w:space="0" w:color="auto"/>
        <w:right w:val="none" w:sz="0" w:space="0" w:color="auto"/>
      </w:divBdr>
    </w:div>
    <w:div w:id="1742407455">
      <w:marLeft w:val="0"/>
      <w:marRight w:val="0"/>
      <w:marTop w:val="0"/>
      <w:marBottom w:val="0"/>
      <w:divBdr>
        <w:top w:val="none" w:sz="0" w:space="0" w:color="auto"/>
        <w:left w:val="none" w:sz="0" w:space="0" w:color="auto"/>
        <w:bottom w:val="none" w:sz="0" w:space="0" w:color="auto"/>
        <w:right w:val="none" w:sz="0" w:space="0" w:color="auto"/>
      </w:divBdr>
    </w:div>
    <w:div w:id="1742407456">
      <w:marLeft w:val="0"/>
      <w:marRight w:val="0"/>
      <w:marTop w:val="0"/>
      <w:marBottom w:val="0"/>
      <w:divBdr>
        <w:top w:val="none" w:sz="0" w:space="0" w:color="auto"/>
        <w:left w:val="none" w:sz="0" w:space="0" w:color="auto"/>
        <w:bottom w:val="none" w:sz="0" w:space="0" w:color="auto"/>
        <w:right w:val="none" w:sz="0" w:space="0" w:color="auto"/>
      </w:divBdr>
    </w:div>
    <w:div w:id="1742407457">
      <w:marLeft w:val="0"/>
      <w:marRight w:val="0"/>
      <w:marTop w:val="0"/>
      <w:marBottom w:val="0"/>
      <w:divBdr>
        <w:top w:val="none" w:sz="0" w:space="0" w:color="auto"/>
        <w:left w:val="none" w:sz="0" w:space="0" w:color="auto"/>
        <w:bottom w:val="none" w:sz="0" w:space="0" w:color="auto"/>
        <w:right w:val="none" w:sz="0" w:space="0" w:color="auto"/>
      </w:divBdr>
    </w:div>
    <w:div w:id="1742407458">
      <w:marLeft w:val="0"/>
      <w:marRight w:val="0"/>
      <w:marTop w:val="0"/>
      <w:marBottom w:val="0"/>
      <w:divBdr>
        <w:top w:val="none" w:sz="0" w:space="0" w:color="auto"/>
        <w:left w:val="none" w:sz="0" w:space="0" w:color="auto"/>
        <w:bottom w:val="none" w:sz="0" w:space="0" w:color="auto"/>
        <w:right w:val="none" w:sz="0" w:space="0" w:color="auto"/>
      </w:divBdr>
    </w:div>
    <w:div w:id="1742407459">
      <w:marLeft w:val="0"/>
      <w:marRight w:val="0"/>
      <w:marTop w:val="0"/>
      <w:marBottom w:val="0"/>
      <w:divBdr>
        <w:top w:val="none" w:sz="0" w:space="0" w:color="auto"/>
        <w:left w:val="none" w:sz="0" w:space="0" w:color="auto"/>
        <w:bottom w:val="none" w:sz="0" w:space="0" w:color="auto"/>
        <w:right w:val="none" w:sz="0" w:space="0" w:color="auto"/>
      </w:divBdr>
    </w:div>
    <w:div w:id="1742407460">
      <w:marLeft w:val="0"/>
      <w:marRight w:val="0"/>
      <w:marTop w:val="0"/>
      <w:marBottom w:val="0"/>
      <w:divBdr>
        <w:top w:val="none" w:sz="0" w:space="0" w:color="auto"/>
        <w:left w:val="none" w:sz="0" w:space="0" w:color="auto"/>
        <w:bottom w:val="none" w:sz="0" w:space="0" w:color="auto"/>
        <w:right w:val="none" w:sz="0" w:space="0" w:color="auto"/>
      </w:divBdr>
    </w:div>
    <w:div w:id="1742407461">
      <w:marLeft w:val="0"/>
      <w:marRight w:val="0"/>
      <w:marTop w:val="0"/>
      <w:marBottom w:val="0"/>
      <w:divBdr>
        <w:top w:val="none" w:sz="0" w:space="0" w:color="auto"/>
        <w:left w:val="none" w:sz="0" w:space="0" w:color="auto"/>
        <w:bottom w:val="none" w:sz="0" w:space="0" w:color="auto"/>
        <w:right w:val="none" w:sz="0" w:space="0" w:color="auto"/>
      </w:divBdr>
    </w:div>
    <w:div w:id="1742407462">
      <w:marLeft w:val="0"/>
      <w:marRight w:val="0"/>
      <w:marTop w:val="0"/>
      <w:marBottom w:val="0"/>
      <w:divBdr>
        <w:top w:val="none" w:sz="0" w:space="0" w:color="auto"/>
        <w:left w:val="none" w:sz="0" w:space="0" w:color="auto"/>
        <w:bottom w:val="none" w:sz="0" w:space="0" w:color="auto"/>
        <w:right w:val="none" w:sz="0" w:space="0" w:color="auto"/>
      </w:divBdr>
    </w:div>
    <w:div w:id="1742407463">
      <w:marLeft w:val="0"/>
      <w:marRight w:val="0"/>
      <w:marTop w:val="0"/>
      <w:marBottom w:val="0"/>
      <w:divBdr>
        <w:top w:val="none" w:sz="0" w:space="0" w:color="auto"/>
        <w:left w:val="none" w:sz="0" w:space="0" w:color="auto"/>
        <w:bottom w:val="none" w:sz="0" w:space="0" w:color="auto"/>
        <w:right w:val="none" w:sz="0" w:space="0" w:color="auto"/>
      </w:divBdr>
    </w:div>
    <w:div w:id="1742407464">
      <w:marLeft w:val="0"/>
      <w:marRight w:val="0"/>
      <w:marTop w:val="0"/>
      <w:marBottom w:val="0"/>
      <w:divBdr>
        <w:top w:val="none" w:sz="0" w:space="0" w:color="auto"/>
        <w:left w:val="none" w:sz="0" w:space="0" w:color="auto"/>
        <w:bottom w:val="none" w:sz="0" w:space="0" w:color="auto"/>
        <w:right w:val="none" w:sz="0" w:space="0" w:color="auto"/>
      </w:divBdr>
    </w:div>
    <w:div w:id="1742407465">
      <w:marLeft w:val="0"/>
      <w:marRight w:val="0"/>
      <w:marTop w:val="0"/>
      <w:marBottom w:val="0"/>
      <w:divBdr>
        <w:top w:val="none" w:sz="0" w:space="0" w:color="auto"/>
        <w:left w:val="none" w:sz="0" w:space="0" w:color="auto"/>
        <w:bottom w:val="none" w:sz="0" w:space="0" w:color="auto"/>
        <w:right w:val="none" w:sz="0" w:space="0" w:color="auto"/>
      </w:divBdr>
    </w:div>
    <w:div w:id="1742407466">
      <w:marLeft w:val="0"/>
      <w:marRight w:val="0"/>
      <w:marTop w:val="0"/>
      <w:marBottom w:val="0"/>
      <w:divBdr>
        <w:top w:val="none" w:sz="0" w:space="0" w:color="auto"/>
        <w:left w:val="none" w:sz="0" w:space="0" w:color="auto"/>
        <w:bottom w:val="none" w:sz="0" w:space="0" w:color="auto"/>
        <w:right w:val="none" w:sz="0" w:space="0" w:color="auto"/>
      </w:divBdr>
    </w:div>
    <w:div w:id="1742407467">
      <w:marLeft w:val="0"/>
      <w:marRight w:val="0"/>
      <w:marTop w:val="0"/>
      <w:marBottom w:val="0"/>
      <w:divBdr>
        <w:top w:val="none" w:sz="0" w:space="0" w:color="auto"/>
        <w:left w:val="none" w:sz="0" w:space="0" w:color="auto"/>
        <w:bottom w:val="none" w:sz="0" w:space="0" w:color="auto"/>
        <w:right w:val="none" w:sz="0" w:space="0" w:color="auto"/>
      </w:divBdr>
    </w:div>
    <w:div w:id="1742407468">
      <w:marLeft w:val="0"/>
      <w:marRight w:val="0"/>
      <w:marTop w:val="0"/>
      <w:marBottom w:val="0"/>
      <w:divBdr>
        <w:top w:val="none" w:sz="0" w:space="0" w:color="auto"/>
        <w:left w:val="none" w:sz="0" w:space="0" w:color="auto"/>
        <w:bottom w:val="none" w:sz="0" w:space="0" w:color="auto"/>
        <w:right w:val="none" w:sz="0" w:space="0" w:color="auto"/>
      </w:divBdr>
    </w:div>
    <w:div w:id="1742407469">
      <w:marLeft w:val="0"/>
      <w:marRight w:val="0"/>
      <w:marTop w:val="0"/>
      <w:marBottom w:val="0"/>
      <w:divBdr>
        <w:top w:val="none" w:sz="0" w:space="0" w:color="auto"/>
        <w:left w:val="none" w:sz="0" w:space="0" w:color="auto"/>
        <w:bottom w:val="none" w:sz="0" w:space="0" w:color="auto"/>
        <w:right w:val="none" w:sz="0" w:space="0" w:color="auto"/>
      </w:divBdr>
    </w:div>
    <w:div w:id="1742407470">
      <w:marLeft w:val="0"/>
      <w:marRight w:val="0"/>
      <w:marTop w:val="0"/>
      <w:marBottom w:val="0"/>
      <w:divBdr>
        <w:top w:val="none" w:sz="0" w:space="0" w:color="auto"/>
        <w:left w:val="none" w:sz="0" w:space="0" w:color="auto"/>
        <w:bottom w:val="none" w:sz="0" w:space="0" w:color="auto"/>
        <w:right w:val="none" w:sz="0" w:space="0" w:color="auto"/>
      </w:divBdr>
    </w:div>
    <w:div w:id="1742407471">
      <w:marLeft w:val="0"/>
      <w:marRight w:val="0"/>
      <w:marTop w:val="0"/>
      <w:marBottom w:val="0"/>
      <w:divBdr>
        <w:top w:val="none" w:sz="0" w:space="0" w:color="auto"/>
        <w:left w:val="none" w:sz="0" w:space="0" w:color="auto"/>
        <w:bottom w:val="none" w:sz="0" w:space="0" w:color="auto"/>
        <w:right w:val="none" w:sz="0" w:space="0" w:color="auto"/>
      </w:divBdr>
    </w:div>
    <w:div w:id="1742407472">
      <w:marLeft w:val="0"/>
      <w:marRight w:val="0"/>
      <w:marTop w:val="0"/>
      <w:marBottom w:val="0"/>
      <w:divBdr>
        <w:top w:val="none" w:sz="0" w:space="0" w:color="auto"/>
        <w:left w:val="none" w:sz="0" w:space="0" w:color="auto"/>
        <w:bottom w:val="none" w:sz="0" w:space="0" w:color="auto"/>
        <w:right w:val="none" w:sz="0" w:space="0" w:color="auto"/>
      </w:divBdr>
    </w:div>
    <w:div w:id="1742407473">
      <w:marLeft w:val="0"/>
      <w:marRight w:val="0"/>
      <w:marTop w:val="0"/>
      <w:marBottom w:val="0"/>
      <w:divBdr>
        <w:top w:val="none" w:sz="0" w:space="0" w:color="auto"/>
        <w:left w:val="none" w:sz="0" w:space="0" w:color="auto"/>
        <w:bottom w:val="none" w:sz="0" w:space="0" w:color="auto"/>
        <w:right w:val="none" w:sz="0" w:space="0" w:color="auto"/>
      </w:divBdr>
    </w:div>
    <w:div w:id="1742407474">
      <w:marLeft w:val="0"/>
      <w:marRight w:val="0"/>
      <w:marTop w:val="0"/>
      <w:marBottom w:val="0"/>
      <w:divBdr>
        <w:top w:val="none" w:sz="0" w:space="0" w:color="auto"/>
        <w:left w:val="none" w:sz="0" w:space="0" w:color="auto"/>
        <w:bottom w:val="none" w:sz="0" w:space="0" w:color="auto"/>
        <w:right w:val="none" w:sz="0" w:space="0" w:color="auto"/>
      </w:divBdr>
    </w:div>
    <w:div w:id="1742407475">
      <w:marLeft w:val="0"/>
      <w:marRight w:val="0"/>
      <w:marTop w:val="0"/>
      <w:marBottom w:val="0"/>
      <w:divBdr>
        <w:top w:val="none" w:sz="0" w:space="0" w:color="auto"/>
        <w:left w:val="none" w:sz="0" w:space="0" w:color="auto"/>
        <w:bottom w:val="none" w:sz="0" w:space="0" w:color="auto"/>
        <w:right w:val="none" w:sz="0" w:space="0" w:color="auto"/>
      </w:divBdr>
    </w:div>
    <w:div w:id="1742407476">
      <w:marLeft w:val="0"/>
      <w:marRight w:val="0"/>
      <w:marTop w:val="0"/>
      <w:marBottom w:val="0"/>
      <w:divBdr>
        <w:top w:val="none" w:sz="0" w:space="0" w:color="auto"/>
        <w:left w:val="none" w:sz="0" w:space="0" w:color="auto"/>
        <w:bottom w:val="none" w:sz="0" w:space="0" w:color="auto"/>
        <w:right w:val="none" w:sz="0" w:space="0" w:color="auto"/>
      </w:divBdr>
    </w:div>
    <w:div w:id="1742407477">
      <w:marLeft w:val="0"/>
      <w:marRight w:val="0"/>
      <w:marTop w:val="0"/>
      <w:marBottom w:val="0"/>
      <w:divBdr>
        <w:top w:val="none" w:sz="0" w:space="0" w:color="auto"/>
        <w:left w:val="none" w:sz="0" w:space="0" w:color="auto"/>
        <w:bottom w:val="none" w:sz="0" w:space="0" w:color="auto"/>
        <w:right w:val="none" w:sz="0" w:space="0" w:color="auto"/>
      </w:divBdr>
    </w:div>
    <w:div w:id="1742407478">
      <w:marLeft w:val="0"/>
      <w:marRight w:val="0"/>
      <w:marTop w:val="0"/>
      <w:marBottom w:val="0"/>
      <w:divBdr>
        <w:top w:val="none" w:sz="0" w:space="0" w:color="auto"/>
        <w:left w:val="none" w:sz="0" w:space="0" w:color="auto"/>
        <w:bottom w:val="none" w:sz="0" w:space="0" w:color="auto"/>
        <w:right w:val="none" w:sz="0" w:space="0" w:color="auto"/>
      </w:divBdr>
    </w:div>
    <w:div w:id="1742407479">
      <w:marLeft w:val="0"/>
      <w:marRight w:val="0"/>
      <w:marTop w:val="0"/>
      <w:marBottom w:val="0"/>
      <w:divBdr>
        <w:top w:val="none" w:sz="0" w:space="0" w:color="auto"/>
        <w:left w:val="none" w:sz="0" w:space="0" w:color="auto"/>
        <w:bottom w:val="none" w:sz="0" w:space="0" w:color="auto"/>
        <w:right w:val="none" w:sz="0" w:space="0" w:color="auto"/>
      </w:divBdr>
    </w:div>
    <w:div w:id="1742407480">
      <w:marLeft w:val="0"/>
      <w:marRight w:val="0"/>
      <w:marTop w:val="0"/>
      <w:marBottom w:val="0"/>
      <w:divBdr>
        <w:top w:val="none" w:sz="0" w:space="0" w:color="auto"/>
        <w:left w:val="none" w:sz="0" w:space="0" w:color="auto"/>
        <w:bottom w:val="none" w:sz="0" w:space="0" w:color="auto"/>
        <w:right w:val="none" w:sz="0" w:space="0" w:color="auto"/>
      </w:divBdr>
    </w:div>
    <w:div w:id="1742407481">
      <w:marLeft w:val="0"/>
      <w:marRight w:val="0"/>
      <w:marTop w:val="0"/>
      <w:marBottom w:val="0"/>
      <w:divBdr>
        <w:top w:val="none" w:sz="0" w:space="0" w:color="auto"/>
        <w:left w:val="none" w:sz="0" w:space="0" w:color="auto"/>
        <w:bottom w:val="none" w:sz="0" w:space="0" w:color="auto"/>
        <w:right w:val="none" w:sz="0" w:space="0" w:color="auto"/>
      </w:divBdr>
    </w:div>
    <w:div w:id="1742407482">
      <w:marLeft w:val="0"/>
      <w:marRight w:val="0"/>
      <w:marTop w:val="0"/>
      <w:marBottom w:val="0"/>
      <w:divBdr>
        <w:top w:val="none" w:sz="0" w:space="0" w:color="auto"/>
        <w:left w:val="none" w:sz="0" w:space="0" w:color="auto"/>
        <w:bottom w:val="none" w:sz="0" w:space="0" w:color="auto"/>
        <w:right w:val="none" w:sz="0" w:space="0" w:color="auto"/>
      </w:divBdr>
    </w:div>
    <w:div w:id="1742407483">
      <w:marLeft w:val="0"/>
      <w:marRight w:val="0"/>
      <w:marTop w:val="0"/>
      <w:marBottom w:val="0"/>
      <w:divBdr>
        <w:top w:val="none" w:sz="0" w:space="0" w:color="auto"/>
        <w:left w:val="none" w:sz="0" w:space="0" w:color="auto"/>
        <w:bottom w:val="none" w:sz="0" w:space="0" w:color="auto"/>
        <w:right w:val="none" w:sz="0" w:space="0" w:color="auto"/>
      </w:divBdr>
    </w:div>
    <w:div w:id="1742407484">
      <w:marLeft w:val="0"/>
      <w:marRight w:val="0"/>
      <w:marTop w:val="0"/>
      <w:marBottom w:val="0"/>
      <w:divBdr>
        <w:top w:val="none" w:sz="0" w:space="0" w:color="auto"/>
        <w:left w:val="none" w:sz="0" w:space="0" w:color="auto"/>
        <w:bottom w:val="none" w:sz="0" w:space="0" w:color="auto"/>
        <w:right w:val="none" w:sz="0" w:space="0" w:color="auto"/>
      </w:divBdr>
    </w:div>
    <w:div w:id="1742407485">
      <w:marLeft w:val="0"/>
      <w:marRight w:val="0"/>
      <w:marTop w:val="0"/>
      <w:marBottom w:val="0"/>
      <w:divBdr>
        <w:top w:val="none" w:sz="0" w:space="0" w:color="auto"/>
        <w:left w:val="none" w:sz="0" w:space="0" w:color="auto"/>
        <w:bottom w:val="none" w:sz="0" w:space="0" w:color="auto"/>
        <w:right w:val="none" w:sz="0" w:space="0" w:color="auto"/>
      </w:divBdr>
    </w:div>
    <w:div w:id="1742407486">
      <w:marLeft w:val="0"/>
      <w:marRight w:val="0"/>
      <w:marTop w:val="0"/>
      <w:marBottom w:val="0"/>
      <w:divBdr>
        <w:top w:val="none" w:sz="0" w:space="0" w:color="auto"/>
        <w:left w:val="none" w:sz="0" w:space="0" w:color="auto"/>
        <w:bottom w:val="none" w:sz="0" w:space="0" w:color="auto"/>
        <w:right w:val="none" w:sz="0" w:space="0" w:color="auto"/>
      </w:divBdr>
    </w:div>
    <w:div w:id="1742407487">
      <w:marLeft w:val="0"/>
      <w:marRight w:val="0"/>
      <w:marTop w:val="0"/>
      <w:marBottom w:val="0"/>
      <w:divBdr>
        <w:top w:val="none" w:sz="0" w:space="0" w:color="auto"/>
        <w:left w:val="none" w:sz="0" w:space="0" w:color="auto"/>
        <w:bottom w:val="none" w:sz="0" w:space="0" w:color="auto"/>
        <w:right w:val="none" w:sz="0" w:space="0" w:color="auto"/>
      </w:divBdr>
    </w:div>
    <w:div w:id="1742407488">
      <w:marLeft w:val="0"/>
      <w:marRight w:val="0"/>
      <w:marTop w:val="0"/>
      <w:marBottom w:val="0"/>
      <w:divBdr>
        <w:top w:val="none" w:sz="0" w:space="0" w:color="auto"/>
        <w:left w:val="none" w:sz="0" w:space="0" w:color="auto"/>
        <w:bottom w:val="none" w:sz="0" w:space="0" w:color="auto"/>
        <w:right w:val="none" w:sz="0" w:space="0" w:color="auto"/>
      </w:divBdr>
    </w:div>
    <w:div w:id="1742407489">
      <w:marLeft w:val="0"/>
      <w:marRight w:val="0"/>
      <w:marTop w:val="0"/>
      <w:marBottom w:val="0"/>
      <w:divBdr>
        <w:top w:val="none" w:sz="0" w:space="0" w:color="auto"/>
        <w:left w:val="none" w:sz="0" w:space="0" w:color="auto"/>
        <w:bottom w:val="none" w:sz="0" w:space="0" w:color="auto"/>
        <w:right w:val="none" w:sz="0" w:space="0" w:color="auto"/>
      </w:divBdr>
    </w:div>
    <w:div w:id="1742407490">
      <w:marLeft w:val="0"/>
      <w:marRight w:val="0"/>
      <w:marTop w:val="0"/>
      <w:marBottom w:val="0"/>
      <w:divBdr>
        <w:top w:val="none" w:sz="0" w:space="0" w:color="auto"/>
        <w:left w:val="none" w:sz="0" w:space="0" w:color="auto"/>
        <w:bottom w:val="none" w:sz="0" w:space="0" w:color="auto"/>
        <w:right w:val="none" w:sz="0" w:space="0" w:color="auto"/>
      </w:divBdr>
    </w:div>
    <w:div w:id="1742407491">
      <w:marLeft w:val="0"/>
      <w:marRight w:val="0"/>
      <w:marTop w:val="0"/>
      <w:marBottom w:val="0"/>
      <w:divBdr>
        <w:top w:val="none" w:sz="0" w:space="0" w:color="auto"/>
        <w:left w:val="none" w:sz="0" w:space="0" w:color="auto"/>
        <w:bottom w:val="none" w:sz="0" w:space="0" w:color="auto"/>
        <w:right w:val="none" w:sz="0" w:space="0" w:color="auto"/>
      </w:divBdr>
    </w:div>
    <w:div w:id="1742407492">
      <w:marLeft w:val="0"/>
      <w:marRight w:val="0"/>
      <w:marTop w:val="0"/>
      <w:marBottom w:val="0"/>
      <w:divBdr>
        <w:top w:val="none" w:sz="0" w:space="0" w:color="auto"/>
        <w:left w:val="none" w:sz="0" w:space="0" w:color="auto"/>
        <w:bottom w:val="none" w:sz="0" w:space="0" w:color="auto"/>
        <w:right w:val="none" w:sz="0" w:space="0" w:color="auto"/>
      </w:divBdr>
    </w:div>
    <w:div w:id="1742407493">
      <w:marLeft w:val="0"/>
      <w:marRight w:val="0"/>
      <w:marTop w:val="0"/>
      <w:marBottom w:val="0"/>
      <w:divBdr>
        <w:top w:val="none" w:sz="0" w:space="0" w:color="auto"/>
        <w:left w:val="none" w:sz="0" w:space="0" w:color="auto"/>
        <w:bottom w:val="none" w:sz="0" w:space="0" w:color="auto"/>
        <w:right w:val="none" w:sz="0" w:space="0" w:color="auto"/>
      </w:divBdr>
    </w:div>
    <w:div w:id="1742407494">
      <w:marLeft w:val="0"/>
      <w:marRight w:val="0"/>
      <w:marTop w:val="0"/>
      <w:marBottom w:val="0"/>
      <w:divBdr>
        <w:top w:val="none" w:sz="0" w:space="0" w:color="auto"/>
        <w:left w:val="none" w:sz="0" w:space="0" w:color="auto"/>
        <w:bottom w:val="none" w:sz="0" w:space="0" w:color="auto"/>
        <w:right w:val="none" w:sz="0" w:space="0" w:color="auto"/>
      </w:divBdr>
    </w:div>
    <w:div w:id="1742407495">
      <w:marLeft w:val="0"/>
      <w:marRight w:val="0"/>
      <w:marTop w:val="0"/>
      <w:marBottom w:val="0"/>
      <w:divBdr>
        <w:top w:val="none" w:sz="0" w:space="0" w:color="auto"/>
        <w:left w:val="none" w:sz="0" w:space="0" w:color="auto"/>
        <w:bottom w:val="none" w:sz="0" w:space="0" w:color="auto"/>
        <w:right w:val="none" w:sz="0" w:space="0" w:color="auto"/>
      </w:divBdr>
    </w:div>
    <w:div w:id="1742407496">
      <w:marLeft w:val="0"/>
      <w:marRight w:val="0"/>
      <w:marTop w:val="0"/>
      <w:marBottom w:val="0"/>
      <w:divBdr>
        <w:top w:val="none" w:sz="0" w:space="0" w:color="auto"/>
        <w:left w:val="none" w:sz="0" w:space="0" w:color="auto"/>
        <w:bottom w:val="none" w:sz="0" w:space="0" w:color="auto"/>
        <w:right w:val="none" w:sz="0" w:space="0" w:color="auto"/>
      </w:divBdr>
    </w:div>
    <w:div w:id="1742407497">
      <w:marLeft w:val="0"/>
      <w:marRight w:val="0"/>
      <w:marTop w:val="0"/>
      <w:marBottom w:val="0"/>
      <w:divBdr>
        <w:top w:val="none" w:sz="0" w:space="0" w:color="auto"/>
        <w:left w:val="none" w:sz="0" w:space="0" w:color="auto"/>
        <w:bottom w:val="none" w:sz="0" w:space="0" w:color="auto"/>
        <w:right w:val="none" w:sz="0" w:space="0" w:color="auto"/>
      </w:divBdr>
    </w:div>
    <w:div w:id="1742407498">
      <w:marLeft w:val="0"/>
      <w:marRight w:val="0"/>
      <w:marTop w:val="0"/>
      <w:marBottom w:val="0"/>
      <w:divBdr>
        <w:top w:val="none" w:sz="0" w:space="0" w:color="auto"/>
        <w:left w:val="none" w:sz="0" w:space="0" w:color="auto"/>
        <w:bottom w:val="none" w:sz="0" w:space="0" w:color="auto"/>
        <w:right w:val="none" w:sz="0" w:space="0" w:color="auto"/>
      </w:divBdr>
    </w:div>
    <w:div w:id="1742407499">
      <w:marLeft w:val="0"/>
      <w:marRight w:val="0"/>
      <w:marTop w:val="0"/>
      <w:marBottom w:val="0"/>
      <w:divBdr>
        <w:top w:val="none" w:sz="0" w:space="0" w:color="auto"/>
        <w:left w:val="none" w:sz="0" w:space="0" w:color="auto"/>
        <w:bottom w:val="none" w:sz="0" w:space="0" w:color="auto"/>
        <w:right w:val="none" w:sz="0" w:space="0" w:color="auto"/>
      </w:divBdr>
    </w:div>
    <w:div w:id="1742407500">
      <w:marLeft w:val="0"/>
      <w:marRight w:val="0"/>
      <w:marTop w:val="0"/>
      <w:marBottom w:val="0"/>
      <w:divBdr>
        <w:top w:val="none" w:sz="0" w:space="0" w:color="auto"/>
        <w:left w:val="none" w:sz="0" w:space="0" w:color="auto"/>
        <w:bottom w:val="none" w:sz="0" w:space="0" w:color="auto"/>
        <w:right w:val="none" w:sz="0" w:space="0" w:color="auto"/>
      </w:divBdr>
    </w:div>
    <w:div w:id="1742407501">
      <w:marLeft w:val="0"/>
      <w:marRight w:val="0"/>
      <w:marTop w:val="0"/>
      <w:marBottom w:val="0"/>
      <w:divBdr>
        <w:top w:val="none" w:sz="0" w:space="0" w:color="auto"/>
        <w:left w:val="none" w:sz="0" w:space="0" w:color="auto"/>
        <w:bottom w:val="none" w:sz="0" w:space="0" w:color="auto"/>
        <w:right w:val="none" w:sz="0" w:space="0" w:color="auto"/>
      </w:divBdr>
    </w:div>
    <w:div w:id="1742407502">
      <w:marLeft w:val="0"/>
      <w:marRight w:val="0"/>
      <w:marTop w:val="0"/>
      <w:marBottom w:val="0"/>
      <w:divBdr>
        <w:top w:val="none" w:sz="0" w:space="0" w:color="auto"/>
        <w:left w:val="none" w:sz="0" w:space="0" w:color="auto"/>
        <w:bottom w:val="none" w:sz="0" w:space="0" w:color="auto"/>
        <w:right w:val="none" w:sz="0" w:space="0" w:color="auto"/>
      </w:divBdr>
    </w:div>
    <w:div w:id="1742407503">
      <w:marLeft w:val="0"/>
      <w:marRight w:val="0"/>
      <w:marTop w:val="0"/>
      <w:marBottom w:val="0"/>
      <w:divBdr>
        <w:top w:val="none" w:sz="0" w:space="0" w:color="auto"/>
        <w:left w:val="none" w:sz="0" w:space="0" w:color="auto"/>
        <w:bottom w:val="none" w:sz="0" w:space="0" w:color="auto"/>
        <w:right w:val="none" w:sz="0" w:space="0" w:color="auto"/>
      </w:divBdr>
    </w:div>
    <w:div w:id="1742407504">
      <w:marLeft w:val="0"/>
      <w:marRight w:val="0"/>
      <w:marTop w:val="0"/>
      <w:marBottom w:val="0"/>
      <w:divBdr>
        <w:top w:val="none" w:sz="0" w:space="0" w:color="auto"/>
        <w:left w:val="none" w:sz="0" w:space="0" w:color="auto"/>
        <w:bottom w:val="none" w:sz="0" w:space="0" w:color="auto"/>
        <w:right w:val="none" w:sz="0" w:space="0" w:color="auto"/>
      </w:divBdr>
    </w:div>
    <w:div w:id="1742407505">
      <w:marLeft w:val="0"/>
      <w:marRight w:val="0"/>
      <w:marTop w:val="0"/>
      <w:marBottom w:val="0"/>
      <w:divBdr>
        <w:top w:val="none" w:sz="0" w:space="0" w:color="auto"/>
        <w:left w:val="none" w:sz="0" w:space="0" w:color="auto"/>
        <w:bottom w:val="none" w:sz="0" w:space="0" w:color="auto"/>
        <w:right w:val="none" w:sz="0" w:space="0" w:color="auto"/>
      </w:divBdr>
    </w:div>
    <w:div w:id="1742407506">
      <w:marLeft w:val="0"/>
      <w:marRight w:val="0"/>
      <w:marTop w:val="0"/>
      <w:marBottom w:val="0"/>
      <w:divBdr>
        <w:top w:val="none" w:sz="0" w:space="0" w:color="auto"/>
        <w:left w:val="none" w:sz="0" w:space="0" w:color="auto"/>
        <w:bottom w:val="none" w:sz="0" w:space="0" w:color="auto"/>
        <w:right w:val="none" w:sz="0" w:space="0" w:color="auto"/>
      </w:divBdr>
    </w:div>
    <w:div w:id="1742751808">
      <w:bodyDiv w:val="1"/>
      <w:marLeft w:val="0"/>
      <w:marRight w:val="0"/>
      <w:marTop w:val="0"/>
      <w:marBottom w:val="0"/>
      <w:divBdr>
        <w:top w:val="none" w:sz="0" w:space="0" w:color="auto"/>
        <w:left w:val="none" w:sz="0" w:space="0" w:color="auto"/>
        <w:bottom w:val="none" w:sz="0" w:space="0" w:color="auto"/>
        <w:right w:val="none" w:sz="0" w:space="0" w:color="auto"/>
      </w:divBdr>
    </w:div>
    <w:div w:id="1743916566">
      <w:bodyDiv w:val="1"/>
      <w:marLeft w:val="0"/>
      <w:marRight w:val="0"/>
      <w:marTop w:val="0"/>
      <w:marBottom w:val="0"/>
      <w:divBdr>
        <w:top w:val="none" w:sz="0" w:space="0" w:color="auto"/>
        <w:left w:val="none" w:sz="0" w:space="0" w:color="auto"/>
        <w:bottom w:val="none" w:sz="0" w:space="0" w:color="auto"/>
        <w:right w:val="none" w:sz="0" w:space="0" w:color="auto"/>
      </w:divBdr>
    </w:div>
    <w:div w:id="1750301136">
      <w:bodyDiv w:val="1"/>
      <w:marLeft w:val="0"/>
      <w:marRight w:val="0"/>
      <w:marTop w:val="0"/>
      <w:marBottom w:val="0"/>
      <w:divBdr>
        <w:top w:val="none" w:sz="0" w:space="0" w:color="auto"/>
        <w:left w:val="none" w:sz="0" w:space="0" w:color="auto"/>
        <w:bottom w:val="none" w:sz="0" w:space="0" w:color="auto"/>
        <w:right w:val="none" w:sz="0" w:space="0" w:color="auto"/>
      </w:divBdr>
    </w:div>
    <w:div w:id="1754165117">
      <w:bodyDiv w:val="1"/>
      <w:marLeft w:val="0"/>
      <w:marRight w:val="0"/>
      <w:marTop w:val="0"/>
      <w:marBottom w:val="0"/>
      <w:divBdr>
        <w:top w:val="none" w:sz="0" w:space="0" w:color="auto"/>
        <w:left w:val="none" w:sz="0" w:space="0" w:color="auto"/>
        <w:bottom w:val="none" w:sz="0" w:space="0" w:color="auto"/>
        <w:right w:val="none" w:sz="0" w:space="0" w:color="auto"/>
      </w:divBdr>
    </w:div>
    <w:div w:id="1755858312">
      <w:bodyDiv w:val="1"/>
      <w:marLeft w:val="0"/>
      <w:marRight w:val="0"/>
      <w:marTop w:val="0"/>
      <w:marBottom w:val="0"/>
      <w:divBdr>
        <w:top w:val="none" w:sz="0" w:space="0" w:color="auto"/>
        <w:left w:val="none" w:sz="0" w:space="0" w:color="auto"/>
        <w:bottom w:val="none" w:sz="0" w:space="0" w:color="auto"/>
        <w:right w:val="none" w:sz="0" w:space="0" w:color="auto"/>
      </w:divBdr>
    </w:div>
    <w:div w:id="1756510949">
      <w:bodyDiv w:val="1"/>
      <w:marLeft w:val="0"/>
      <w:marRight w:val="0"/>
      <w:marTop w:val="0"/>
      <w:marBottom w:val="0"/>
      <w:divBdr>
        <w:top w:val="none" w:sz="0" w:space="0" w:color="auto"/>
        <w:left w:val="none" w:sz="0" w:space="0" w:color="auto"/>
        <w:bottom w:val="none" w:sz="0" w:space="0" w:color="auto"/>
        <w:right w:val="none" w:sz="0" w:space="0" w:color="auto"/>
      </w:divBdr>
    </w:div>
    <w:div w:id="1758282872">
      <w:bodyDiv w:val="1"/>
      <w:marLeft w:val="0"/>
      <w:marRight w:val="0"/>
      <w:marTop w:val="0"/>
      <w:marBottom w:val="0"/>
      <w:divBdr>
        <w:top w:val="none" w:sz="0" w:space="0" w:color="auto"/>
        <w:left w:val="none" w:sz="0" w:space="0" w:color="auto"/>
        <w:bottom w:val="none" w:sz="0" w:space="0" w:color="auto"/>
        <w:right w:val="none" w:sz="0" w:space="0" w:color="auto"/>
      </w:divBdr>
    </w:div>
    <w:div w:id="1758944151">
      <w:bodyDiv w:val="1"/>
      <w:marLeft w:val="0"/>
      <w:marRight w:val="0"/>
      <w:marTop w:val="0"/>
      <w:marBottom w:val="0"/>
      <w:divBdr>
        <w:top w:val="none" w:sz="0" w:space="0" w:color="auto"/>
        <w:left w:val="none" w:sz="0" w:space="0" w:color="auto"/>
        <w:bottom w:val="none" w:sz="0" w:space="0" w:color="auto"/>
        <w:right w:val="none" w:sz="0" w:space="0" w:color="auto"/>
      </w:divBdr>
    </w:div>
    <w:div w:id="1760522439">
      <w:bodyDiv w:val="1"/>
      <w:marLeft w:val="0"/>
      <w:marRight w:val="0"/>
      <w:marTop w:val="0"/>
      <w:marBottom w:val="0"/>
      <w:divBdr>
        <w:top w:val="none" w:sz="0" w:space="0" w:color="auto"/>
        <w:left w:val="none" w:sz="0" w:space="0" w:color="auto"/>
        <w:bottom w:val="none" w:sz="0" w:space="0" w:color="auto"/>
        <w:right w:val="none" w:sz="0" w:space="0" w:color="auto"/>
      </w:divBdr>
    </w:div>
    <w:div w:id="1761028283">
      <w:bodyDiv w:val="1"/>
      <w:marLeft w:val="0"/>
      <w:marRight w:val="0"/>
      <w:marTop w:val="0"/>
      <w:marBottom w:val="0"/>
      <w:divBdr>
        <w:top w:val="none" w:sz="0" w:space="0" w:color="auto"/>
        <w:left w:val="none" w:sz="0" w:space="0" w:color="auto"/>
        <w:bottom w:val="none" w:sz="0" w:space="0" w:color="auto"/>
        <w:right w:val="none" w:sz="0" w:space="0" w:color="auto"/>
      </w:divBdr>
    </w:div>
    <w:div w:id="1764187371">
      <w:bodyDiv w:val="1"/>
      <w:marLeft w:val="0"/>
      <w:marRight w:val="0"/>
      <w:marTop w:val="0"/>
      <w:marBottom w:val="0"/>
      <w:divBdr>
        <w:top w:val="none" w:sz="0" w:space="0" w:color="auto"/>
        <w:left w:val="none" w:sz="0" w:space="0" w:color="auto"/>
        <w:bottom w:val="none" w:sz="0" w:space="0" w:color="auto"/>
        <w:right w:val="none" w:sz="0" w:space="0" w:color="auto"/>
      </w:divBdr>
    </w:div>
    <w:div w:id="1766337882">
      <w:bodyDiv w:val="1"/>
      <w:marLeft w:val="0"/>
      <w:marRight w:val="0"/>
      <w:marTop w:val="0"/>
      <w:marBottom w:val="0"/>
      <w:divBdr>
        <w:top w:val="none" w:sz="0" w:space="0" w:color="auto"/>
        <w:left w:val="none" w:sz="0" w:space="0" w:color="auto"/>
        <w:bottom w:val="none" w:sz="0" w:space="0" w:color="auto"/>
        <w:right w:val="none" w:sz="0" w:space="0" w:color="auto"/>
      </w:divBdr>
    </w:div>
    <w:div w:id="1766539881">
      <w:bodyDiv w:val="1"/>
      <w:marLeft w:val="0"/>
      <w:marRight w:val="0"/>
      <w:marTop w:val="0"/>
      <w:marBottom w:val="0"/>
      <w:divBdr>
        <w:top w:val="none" w:sz="0" w:space="0" w:color="auto"/>
        <w:left w:val="none" w:sz="0" w:space="0" w:color="auto"/>
        <w:bottom w:val="none" w:sz="0" w:space="0" w:color="auto"/>
        <w:right w:val="none" w:sz="0" w:space="0" w:color="auto"/>
      </w:divBdr>
    </w:div>
    <w:div w:id="1766730383">
      <w:bodyDiv w:val="1"/>
      <w:marLeft w:val="0"/>
      <w:marRight w:val="0"/>
      <w:marTop w:val="0"/>
      <w:marBottom w:val="0"/>
      <w:divBdr>
        <w:top w:val="none" w:sz="0" w:space="0" w:color="auto"/>
        <w:left w:val="none" w:sz="0" w:space="0" w:color="auto"/>
        <w:bottom w:val="none" w:sz="0" w:space="0" w:color="auto"/>
        <w:right w:val="none" w:sz="0" w:space="0" w:color="auto"/>
      </w:divBdr>
    </w:div>
    <w:div w:id="1767388172">
      <w:bodyDiv w:val="1"/>
      <w:marLeft w:val="0"/>
      <w:marRight w:val="0"/>
      <w:marTop w:val="0"/>
      <w:marBottom w:val="0"/>
      <w:divBdr>
        <w:top w:val="none" w:sz="0" w:space="0" w:color="auto"/>
        <w:left w:val="none" w:sz="0" w:space="0" w:color="auto"/>
        <w:bottom w:val="none" w:sz="0" w:space="0" w:color="auto"/>
        <w:right w:val="none" w:sz="0" w:space="0" w:color="auto"/>
      </w:divBdr>
    </w:div>
    <w:div w:id="1770153418">
      <w:bodyDiv w:val="1"/>
      <w:marLeft w:val="0"/>
      <w:marRight w:val="0"/>
      <w:marTop w:val="0"/>
      <w:marBottom w:val="0"/>
      <w:divBdr>
        <w:top w:val="none" w:sz="0" w:space="0" w:color="auto"/>
        <w:left w:val="none" w:sz="0" w:space="0" w:color="auto"/>
        <w:bottom w:val="none" w:sz="0" w:space="0" w:color="auto"/>
        <w:right w:val="none" w:sz="0" w:space="0" w:color="auto"/>
      </w:divBdr>
    </w:div>
    <w:div w:id="1770197953">
      <w:bodyDiv w:val="1"/>
      <w:marLeft w:val="0"/>
      <w:marRight w:val="0"/>
      <w:marTop w:val="0"/>
      <w:marBottom w:val="0"/>
      <w:divBdr>
        <w:top w:val="none" w:sz="0" w:space="0" w:color="auto"/>
        <w:left w:val="none" w:sz="0" w:space="0" w:color="auto"/>
        <w:bottom w:val="none" w:sz="0" w:space="0" w:color="auto"/>
        <w:right w:val="none" w:sz="0" w:space="0" w:color="auto"/>
      </w:divBdr>
    </w:div>
    <w:div w:id="1770390362">
      <w:bodyDiv w:val="1"/>
      <w:marLeft w:val="0"/>
      <w:marRight w:val="0"/>
      <w:marTop w:val="0"/>
      <w:marBottom w:val="0"/>
      <w:divBdr>
        <w:top w:val="none" w:sz="0" w:space="0" w:color="auto"/>
        <w:left w:val="none" w:sz="0" w:space="0" w:color="auto"/>
        <w:bottom w:val="none" w:sz="0" w:space="0" w:color="auto"/>
        <w:right w:val="none" w:sz="0" w:space="0" w:color="auto"/>
      </w:divBdr>
    </w:div>
    <w:div w:id="1770932137">
      <w:bodyDiv w:val="1"/>
      <w:marLeft w:val="0"/>
      <w:marRight w:val="0"/>
      <w:marTop w:val="0"/>
      <w:marBottom w:val="0"/>
      <w:divBdr>
        <w:top w:val="none" w:sz="0" w:space="0" w:color="auto"/>
        <w:left w:val="none" w:sz="0" w:space="0" w:color="auto"/>
        <w:bottom w:val="none" w:sz="0" w:space="0" w:color="auto"/>
        <w:right w:val="none" w:sz="0" w:space="0" w:color="auto"/>
      </w:divBdr>
    </w:div>
    <w:div w:id="1772698923">
      <w:bodyDiv w:val="1"/>
      <w:marLeft w:val="0"/>
      <w:marRight w:val="0"/>
      <w:marTop w:val="0"/>
      <w:marBottom w:val="0"/>
      <w:divBdr>
        <w:top w:val="none" w:sz="0" w:space="0" w:color="auto"/>
        <w:left w:val="none" w:sz="0" w:space="0" w:color="auto"/>
        <w:bottom w:val="none" w:sz="0" w:space="0" w:color="auto"/>
        <w:right w:val="none" w:sz="0" w:space="0" w:color="auto"/>
      </w:divBdr>
    </w:div>
    <w:div w:id="1773941117">
      <w:bodyDiv w:val="1"/>
      <w:marLeft w:val="0"/>
      <w:marRight w:val="0"/>
      <w:marTop w:val="0"/>
      <w:marBottom w:val="0"/>
      <w:divBdr>
        <w:top w:val="none" w:sz="0" w:space="0" w:color="auto"/>
        <w:left w:val="none" w:sz="0" w:space="0" w:color="auto"/>
        <w:bottom w:val="none" w:sz="0" w:space="0" w:color="auto"/>
        <w:right w:val="none" w:sz="0" w:space="0" w:color="auto"/>
      </w:divBdr>
    </w:div>
    <w:div w:id="1775394738">
      <w:bodyDiv w:val="1"/>
      <w:marLeft w:val="0"/>
      <w:marRight w:val="0"/>
      <w:marTop w:val="0"/>
      <w:marBottom w:val="0"/>
      <w:divBdr>
        <w:top w:val="none" w:sz="0" w:space="0" w:color="auto"/>
        <w:left w:val="none" w:sz="0" w:space="0" w:color="auto"/>
        <w:bottom w:val="none" w:sz="0" w:space="0" w:color="auto"/>
        <w:right w:val="none" w:sz="0" w:space="0" w:color="auto"/>
      </w:divBdr>
    </w:div>
    <w:div w:id="1775709169">
      <w:bodyDiv w:val="1"/>
      <w:marLeft w:val="0"/>
      <w:marRight w:val="0"/>
      <w:marTop w:val="0"/>
      <w:marBottom w:val="0"/>
      <w:divBdr>
        <w:top w:val="none" w:sz="0" w:space="0" w:color="auto"/>
        <w:left w:val="none" w:sz="0" w:space="0" w:color="auto"/>
        <w:bottom w:val="none" w:sz="0" w:space="0" w:color="auto"/>
        <w:right w:val="none" w:sz="0" w:space="0" w:color="auto"/>
      </w:divBdr>
    </w:div>
    <w:div w:id="1777367149">
      <w:bodyDiv w:val="1"/>
      <w:marLeft w:val="0"/>
      <w:marRight w:val="0"/>
      <w:marTop w:val="0"/>
      <w:marBottom w:val="0"/>
      <w:divBdr>
        <w:top w:val="none" w:sz="0" w:space="0" w:color="auto"/>
        <w:left w:val="none" w:sz="0" w:space="0" w:color="auto"/>
        <w:bottom w:val="none" w:sz="0" w:space="0" w:color="auto"/>
        <w:right w:val="none" w:sz="0" w:space="0" w:color="auto"/>
      </w:divBdr>
      <w:divsChild>
        <w:div w:id="1518928522">
          <w:marLeft w:val="0"/>
          <w:marRight w:val="0"/>
          <w:marTop w:val="0"/>
          <w:marBottom w:val="0"/>
          <w:divBdr>
            <w:top w:val="none" w:sz="0" w:space="0" w:color="auto"/>
            <w:left w:val="none" w:sz="0" w:space="0" w:color="auto"/>
            <w:bottom w:val="none" w:sz="0" w:space="0" w:color="auto"/>
            <w:right w:val="none" w:sz="0" w:space="0" w:color="auto"/>
          </w:divBdr>
        </w:div>
      </w:divsChild>
    </w:div>
    <w:div w:id="1783718147">
      <w:bodyDiv w:val="1"/>
      <w:marLeft w:val="0"/>
      <w:marRight w:val="0"/>
      <w:marTop w:val="0"/>
      <w:marBottom w:val="0"/>
      <w:divBdr>
        <w:top w:val="none" w:sz="0" w:space="0" w:color="auto"/>
        <w:left w:val="none" w:sz="0" w:space="0" w:color="auto"/>
        <w:bottom w:val="none" w:sz="0" w:space="0" w:color="auto"/>
        <w:right w:val="none" w:sz="0" w:space="0" w:color="auto"/>
      </w:divBdr>
    </w:div>
    <w:div w:id="1784306026">
      <w:bodyDiv w:val="1"/>
      <w:marLeft w:val="0"/>
      <w:marRight w:val="0"/>
      <w:marTop w:val="0"/>
      <w:marBottom w:val="0"/>
      <w:divBdr>
        <w:top w:val="none" w:sz="0" w:space="0" w:color="auto"/>
        <w:left w:val="none" w:sz="0" w:space="0" w:color="auto"/>
        <w:bottom w:val="none" w:sz="0" w:space="0" w:color="auto"/>
        <w:right w:val="none" w:sz="0" w:space="0" w:color="auto"/>
      </w:divBdr>
    </w:div>
    <w:div w:id="1785153826">
      <w:bodyDiv w:val="1"/>
      <w:marLeft w:val="0"/>
      <w:marRight w:val="0"/>
      <w:marTop w:val="0"/>
      <w:marBottom w:val="0"/>
      <w:divBdr>
        <w:top w:val="none" w:sz="0" w:space="0" w:color="auto"/>
        <w:left w:val="none" w:sz="0" w:space="0" w:color="auto"/>
        <w:bottom w:val="none" w:sz="0" w:space="0" w:color="auto"/>
        <w:right w:val="none" w:sz="0" w:space="0" w:color="auto"/>
      </w:divBdr>
    </w:div>
    <w:div w:id="1786077082">
      <w:bodyDiv w:val="1"/>
      <w:marLeft w:val="0"/>
      <w:marRight w:val="0"/>
      <w:marTop w:val="0"/>
      <w:marBottom w:val="0"/>
      <w:divBdr>
        <w:top w:val="none" w:sz="0" w:space="0" w:color="auto"/>
        <w:left w:val="none" w:sz="0" w:space="0" w:color="auto"/>
        <w:bottom w:val="none" w:sz="0" w:space="0" w:color="auto"/>
        <w:right w:val="none" w:sz="0" w:space="0" w:color="auto"/>
      </w:divBdr>
    </w:div>
    <w:div w:id="1786345593">
      <w:bodyDiv w:val="1"/>
      <w:marLeft w:val="0"/>
      <w:marRight w:val="0"/>
      <w:marTop w:val="0"/>
      <w:marBottom w:val="0"/>
      <w:divBdr>
        <w:top w:val="none" w:sz="0" w:space="0" w:color="auto"/>
        <w:left w:val="none" w:sz="0" w:space="0" w:color="auto"/>
        <w:bottom w:val="none" w:sz="0" w:space="0" w:color="auto"/>
        <w:right w:val="none" w:sz="0" w:space="0" w:color="auto"/>
      </w:divBdr>
    </w:div>
    <w:div w:id="1786776807">
      <w:bodyDiv w:val="1"/>
      <w:marLeft w:val="0"/>
      <w:marRight w:val="0"/>
      <w:marTop w:val="0"/>
      <w:marBottom w:val="0"/>
      <w:divBdr>
        <w:top w:val="none" w:sz="0" w:space="0" w:color="auto"/>
        <w:left w:val="none" w:sz="0" w:space="0" w:color="auto"/>
        <w:bottom w:val="none" w:sz="0" w:space="0" w:color="auto"/>
        <w:right w:val="none" w:sz="0" w:space="0" w:color="auto"/>
      </w:divBdr>
    </w:div>
    <w:div w:id="1786995372">
      <w:bodyDiv w:val="1"/>
      <w:marLeft w:val="0"/>
      <w:marRight w:val="0"/>
      <w:marTop w:val="0"/>
      <w:marBottom w:val="0"/>
      <w:divBdr>
        <w:top w:val="none" w:sz="0" w:space="0" w:color="auto"/>
        <w:left w:val="none" w:sz="0" w:space="0" w:color="auto"/>
        <w:bottom w:val="none" w:sz="0" w:space="0" w:color="auto"/>
        <w:right w:val="none" w:sz="0" w:space="0" w:color="auto"/>
      </w:divBdr>
    </w:div>
    <w:div w:id="1788498329">
      <w:bodyDiv w:val="1"/>
      <w:marLeft w:val="0"/>
      <w:marRight w:val="0"/>
      <w:marTop w:val="0"/>
      <w:marBottom w:val="0"/>
      <w:divBdr>
        <w:top w:val="none" w:sz="0" w:space="0" w:color="auto"/>
        <w:left w:val="none" w:sz="0" w:space="0" w:color="auto"/>
        <w:bottom w:val="none" w:sz="0" w:space="0" w:color="auto"/>
        <w:right w:val="none" w:sz="0" w:space="0" w:color="auto"/>
      </w:divBdr>
    </w:div>
    <w:div w:id="1789009616">
      <w:bodyDiv w:val="1"/>
      <w:marLeft w:val="0"/>
      <w:marRight w:val="0"/>
      <w:marTop w:val="0"/>
      <w:marBottom w:val="0"/>
      <w:divBdr>
        <w:top w:val="none" w:sz="0" w:space="0" w:color="auto"/>
        <w:left w:val="none" w:sz="0" w:space="0" w:color="auto"/>
        <w:bottom w:val="none" w:sz="0" w:space="0" w:color="auto"/>
        <w:right w:val="none" w:sz="0" w:space="0" w:color="auto"/>
      </w:divBdr>
    </w:div>
    <w:div w:id="1789229823">
      <w:bodyDiv w:val="1"/>
      <w:marLeft w:val="0"/>
      <w:marRight w:val="0"/>
      <w:marTop w:val="0"/>
      <w:marBottom w:val="0"/>
      <w:divBdr>
        <w:top w:val="none" w:sz="0" w:space="0" w:color="auto"/>
        <w:left w:val="none" w:sz="0" w:space="0" w:color="auto"/>
        <w:bottom w:val="none" w:sz="0" w:space="0" w:color="auto"/>
        <w:right w:val="none" w:sz="0" w:space="0" w:color="auto"/>
      </w:divBdr>
    </w:div>
    <w:div w:id="1790278484">
      <w:bodyDiv w:val="1"/>
      <w:marLeft w:val="0"/>
      <w:marRight w:val="0"/>
      <w:marTop w:val="0"/>
      <w:marBottom w:val="0"/>
      <w:divBdr>
        <w:top w:val="none" w:sz="0" w:space="0" w:color="auto"/>
        <w:left w:val="none" w:sz="0" w:space="0" w:color="auto"/>
        <w:bottom w:val="none" w:sz="0" w:space="0" w:color="auto"/>
        <w:right w:val="none" w:sz="0" w:space="0" w:color="auto"/>
      </w:divBdr>
    </w:div>
    <w:div w:id="1791196717">
      <w:bodyDiv w:val="1"/>
      <w:marLeft w:val="0"/>
      <w:marRight w:val="0"/>
      <w:marTop w:val="0"/>
      <w:marBottom w:val="0"/>
      <w:divBdr>
        <w:top w:val="none" w:sz="0" w:space="0" w:color="auto"/>
        <w:left w:val="none" w:sz="0" w:space="0" w:color="auto"/>
        <w:bottom w:val="none" w:sz="0" w:space="0" w:color="auto"/>
        <w:right w:val="none" w:sz="0" w:space="0" w:color="auto"/>
      </w:divBdr>
    </w:div>
    <w:div w:id="1793669908">
      <w:bodyDiv w:val="1"/>
      <w:marLeft w:val="0"/>
      <w:marRight w:val="0"/>
      <w:marTop w:val="0"/>
      <w:marBottom w:val="0"/>
      <w:divBdr>
        <w:top w:val="none" w:sz="0" w:space="0" w:color="auto"/>
        <w:left w:val="none" w:sz="0" w:space="0" w:color="auto"/>
        <w:bottom w:val="none" w:sz="0" w:space="0" w:color="auto"/>
        <w:right w:val="none" w:sz="0" w:space="0" w:color="auto"/>
      </w:divBdr>
    </w:div>
    <w:div w:id="1794905659">
      <w:bodyDiv w:val="1"/>
      <w:marLeft w:val="0"/>
      <w:marRight w:val="0"/>
      <w:marTop w:val="0"/>
      <w:marBottom w:val="0"/>
      <w:divBdr>
        <w:top w:val="none" w:sz="0" w:space="0" w:color="auto"/>
        <w:left w:val="none" w:sz="0" w:space="0" w:color="auto"/>
        <w:bottom w:val="none" w:sz="0" w:space="0" w:color="auto"/>
        <w:right w:val="none" w:sz="0" w:space="0" w:color="auto"/>
      </w:divBdr>
    </w:div>
    <w:div w:id="1796488441">
      <w:bodyDiv w:val="1"/>
      <w:marLeft w:val="0"/>
      <w:marRight w:val="0"/>
      <w:marTop w:val="0"/>
      <w:marBottom w:val="0"/>
      <w:divBdr>
        <w:top w:val="none" w:sz="0" w:space="0" w:color="auto"/>
        <w:left w:val="none" w:sz="0" w:space="0" w:color="auto"/>
        <w:bottom w:val="none" w:sz="0" w:space="0" w:color="auto"/>
        <w:right w:val="none" w:sz="0" w:space="0" w:color="auto"/>
      </w:divBdr>
    </w:div>
    <w:div w:id="1797675243">
      <w:bodyDiv w:val="1"/>
      <w:marLeft w:val="0"/>
      <w:marRight w:val="0"/>
      <w:marTop w:val="0"/>
      <w:marBottom w:val="0"/>
      <w:divBdr>
        <w:top w:val="none" w:sz="0" w:space="0" w:color="auto"/>
        <w:left w:val="none" w:sz="0" w:space="0" w:color="auto"/>
        <w:bottom w:val="none" w:sz="0" w:space="0" w:color="auto"/>
        <w:right w:val="none" w:sz="0" w:space="0" w:color="auto"/>
      </w:divBdr>
    </w:div>
    <w:div w:id="1798529576">
      <w:bodyDiv w:val="1"/>
      <w:marLeft w:val="0"/>
      <w:marRight w:val="0"/>
      <w:marTop w:val="0"/>
      <w:marBottom w:val="0"/>
      <w:divBdr>
        <w:top w:val="none" w:sz="0" w:space="0" w:color="auto"/>
        <w:left w:val="none" w:sz="0" w:space="0" w:color="auto"/>
        <w:bottom w:val="none" w:sz="0" w:space="0" w:color="auto"/>
        <w:right w:val="none" w:sz="0" w:space="0" w:color="auto"/>
      </w:divBdr>
    </w:div>
    <w:div w:id="1799296690">
      <w:bodyDiv w:val="1"/>
      <w:marLeft w:val="0"/>
      <w:marRight w:val="0"/>
      <w:marTop w:val="0"/>
      <w:marBottom w:val="0"/>
      <w:divBdr>
        <w:top w:val="none" w:sz="0" w:space="0" w:color="auto"/>
        <w:left w:val="none" w:sz="0" w:space="0" w:color="auto"/>
        <w:bottom w:val="none" w:sz="0" w:space="0" w:color="auto"/>
        <w:right w:val="none" w:sz="0" w:space="0" w:color="auto"/>
      </w:divBdr>
    </w:div>
    <w:div w:id="1800103037">
      <w:bodyDiv w:val="1"/>
      <w:marLeft w:val="0"/>
      <w:marRight w:val="0"/>
      <w:marTop w:val="0"/>
      <w:marBottom w:val="0"/>
      <w:divBdr>
        <w:top w:val="none" w:sz="0" w:space="0" w:color="auto"/>
        <w:left w:val="none" w:sz="0" w:space="0" w:color="auto"/>
        <w:bottom w:val="none" w:sz="0" w:space="0" w:color="auto"/>
        <w:right w:val="none" w:sz="0" w:space="0" w:color="auto"/>
      </w:divBdr>
    </w:div>
    <w:div w:id="1802770772">
      <w:bodyDiv w:val="1"/>
      <w:marLeft w:val="0"/>
      <w:marRight w:val="0"/>
      <w:marTop w:val="0"/>
      <w:marBottom w:val="0"/>
      <w:divBdr>
        <w:top w:val="none" w:sz="0" w:space="0" w:color="auto"/>
        <w:left w:val="none" w:sz="0" w:space="0" w:color="auto"/>
        <w:bottom w:val="none" w:sz="0" w:space="0" w:color="auto"/>
        <w:right w:val="none" w:sz="0" w:space="0" w:color="auto"/>
      </w:divBdr>
    </w:div>
    <w:div w:id="1803957371">
      <w:bodyDiv w:val="1"/>
      <w:marLeft w:val="0"/>
      <w:marRight w:val="0"/>
      <w:marTop w:val="0"/>
      <w:marBottom w:val="0"/>
      <w:divBdr>
        <w:top w:val="none" w:sz="0" w:space="0" w:color="auto"/>
        <w:left w:val="none" w:sz="0" w:space="0" w:color="auto"/>
        <w:bottom w:val="none" w:sz="0" w:space="0" w:color="auto"/>
        <w:right w:val="none" w:sz="0" w:space="0" w:color="auto"/>
      </w:divBdr>
    </w:div>
    <w:div w:id="1804958630">
      <w:bodyDiv w:val="1"/>
      <w:marLeft w:val="0"/>
      <w:marRight w:val="0"/>
      <w:marTop w:val="0"/>
      <w:marBottom w:val="0"/>
      <w:divBdr>
        <w:top w:val="none" w:sz="0" w:space="0" w:color="auto"/>
        <w:left w:val="none" w:sz="0" w:space="0" w:color="auto"/>
        <w:bottom w:val="none" w:sz="0" w:space="0" w:color="auto"/>
        <w:right w:val="none" w:sz="0" w:space="0" w:color="auto"/>
      </w:divBdr>
    </w:div>
    <w:div w:id="1805387484">
      <w:bodyDiv w:val="1"/>
      <w:marLeft w:val="0"/>
      <w:marRight w:val="0"/>
      <w:marTop w:val="0"/>
      <w:marBottom w:val="0"/>
      <w:divBdr>
        <w:top w:val="none" w:sz="0" w:space="0" w:color="auto"/>
        <w:left w:val="none" w:sz="0" w:space="0" w:color="auto"/>
        <w:bottom w:val="none" w:sz="0" w:space="0" w:color="auto"/>
        <w:right w:val="none" w:sz="0" w:space="0" w:color="auto"/>
      </w:divBdr>
    </w:div>
    <w:div w:id="1806772716">
      <w:bodyDiv w:val="1"/>
      <w:marLeft w:val="0"/>
      <w:marRight w:val="0"/>
      <w:marTop w:val="0"/>
      <w:marBottom w:val="0"/>
      <w:divBdr>
        <w:top w:val="none" w:sz="0" w:space="0" w:color="auto"/>
        <w:left w:val="none" w:sz="0" w:space="0" w:color="auto"/>
        <w:bottom w:val="none" w:sz="0" w:space="0" w:color="auto"/>
        <w:right w:val="none" w:sz="0" w:space="0" w:color="auto"/>
      </w:divBdr>
    </w:div>
    <w:div w:id="1807237484">
      <w:bodyDiv w:val="1"/>
      <w:marLeft w:val="0"/>
      <w:marRight w:val="0"/>
      <w:marTop w:val="0"/>
      <w:marBottom w:val="0"/>
      <w:divBdr>
        <w:top w:val="none" w:sz="0" w:space="0" w:color="auto"/>
        <w:left w:val="none" w:sz="0" w:space="0" w:color="auto"/>
        <w:bottom w:val="none" w:sz="0" w:space="0" w:color="auto"/>
        <w:right w:val="none" w:sz="0" w:space="0" w:color="auto"/>
      </w:divBdr>
    </w:div>
    <w:div w:id="1808816731">
      <w:bodyDiv w:val="1"/>
      <w:marLeft w:val="0"/>
      <w:marRight w:val="0"/>
      <w:marTop w:val="0"/>
      <w:marBottom w:val="0"/>
      <w:divBdr>
        <w:top w:val="none" w:sz="0" w:space="0" w:color="auto"/>
        <w:left w:val="none" w:sz="0" w:space="0" w:color="auto"/>
        <w:bottom w:val="none" w:sz="0" w:space="0" w:color="auto"/>
        <w:right w:val="none" w:sz="0" w:space="0" w:color="auto"/>
      </w:divBdr>
    </w:div>
    <w:div w:id="1808890133">
      <w:bodyDiv w:val="1"/>
      <w:marLeft w:val="0"/>
      <w:marRight w:val="0"/>
      <w:marTop w:val="0"/>
      <w:marBottom w:val="0"/>
      <w:divBdr>
        <w:top w:val="none" w:sz="0" w:space="0" w:color="auto"/>
        <w:left w:val="none" w:sz="0" w:space="0" w:color="auto"/>
        <w:bottom w:val="none" w:sz="0" w:space="0" w:color="auto"/>
        <w:right w:val="none" w:sz="0" w:space="0" w:color="auto"/>
      </w:divBdr>
    </w:div>
    <w:div w:id="1809475753">
      <w:bodyDiv w:val="1"/>
      <w:marLeft w:val="0"/>
      <w:marRight w:val="0"/>
      <w:marTop w:val="0"/>
      <w:marBottom w:val="0"/>
      <w:divBdr>
        <w:top w:val="none" w:sz="0" w:space="0" w:color="auto"/>
        <w:left w:val="none" w:sz="0" w:space="0" w:color="auto"/>
        <w:bottom w:val="none" w:sz="0" w:space="0" w:color="auto"/>
        <w:right w:val="none" w:sz="0" w:space="0" w:color="auto"/>
      </w:divBdr>
    </w:div>
    <w:div w:id="1816020417">
      <w:bodyDiv w:val="1"/>
      <w:marLeft w:val="0"/>
      <w:marRight w:val="0"/>
      <w:marTop w:val="0"/>
      <w:marBottom w:val="0"/>
      <w:divBdr>
        <w:top w:val="none" w:sz="0" w:space="0" w:color="auto"/>
        <w:left w:val="none" w:sz="0" w:space="0" w:color="auto"/>
        <w:bottom w:val="none" w:sz="0" w:space="0" w:color="auto"/>
        <w:right w:val="none" w:sz="0" w:space="0" w:color="auto"/>
      </w:divBdr>
    </w:div>
    <w:div w:id="1818952835">
      <w:bodyDiv w:val="1"/>
      <w:marLeft w:val="0"/>
      <w:marRight w:val="0"/>
      <w:marTop w:val="0"/>
      <w:marBottom w:val="0"/>
      <w:divBdr>
        <w:top w:val="none" w:sz="0" w:space="0" w:color="auto"/>
        <w:left w:val="none" w:sz="0" w:space="0" w:color="auto"/>
        <w:bottom w:val="none" w:sz="0" w:space="0" w:color="auto"/>
        <w:right w:val="none" w:sz="0" w:space="0" w:color="auto"/>
      </w:divBdr>
      <w:divsChild>
        <w:div w:id="487022455">
          <w:marLeft w:val="0"/>
          <w:marRight w:val="0"/>
          <w:marTop w:val="0"/>
          <w:marBottom w:val="0"/>
          <w:divBdr>
            <w:top w:val="none" w:sz="0" w:space="0" w:color="auto"/>
            <w:left w:val="none" w:sz="0" w:space="0" w:color="auto"/>
            <w:bottom w:val="none" w:sz="0" w:space="0" w:color="auto"/>
            <w:right w:val="none" w:sz="0" w:space="0" w:color="auto"/>
          </w:divBdr>
        </w:div>
      </w:divsChild>
    </w:div>
    <w:div w:id="1820924413">
      <w:bodyDiv w:val="1"/>
      <w:marLeft w:val="0"/>
      <w:marRight w:val="0"/>
      <w:marTop w:val="0"/>
      <w:marBottom w:val="0"/>
      <w:divBdr>
        <w:top w:val="none" w:sz="0" w:space="0" w:color="auto"/>
        <w:left w:val="none" w:sz="0" w:space="0" w:color="auto"/>
        <w:bottom w:val="none" w:sz="0" w:space="0" w:color="auto"/>
        <w:right w:val="none" w:sz="0" w:space="0" w:color="auto"/>
      </w:divBdr>
    </w:div>
    <w:div w:id="1821459396">
      <w:bodyDiv w:val="1"/>
      <w:marLeft w:val="0"/>
      <w:marRight w:val="0"/>
      <w:marTop w:val="0"/>
      <w:marBottom w:val="0"/>
      <w:divBdr>
        <w:top w:val="none" w:sz="0" w:space="0" w:color="auto"/>
        <w:left w:val="none" w:sz="0" w:space="0" w:color="auto"/>
        <w:bottom w:val="none" w:sz="0" w:space="0" w:color="auto"/>
        <w:right w:val="none" w:sz="0" w:space="0" w:color="auto"/>
      </w:divBdr>
    </w:div>
    <w:div w:id="1827236533">
      <w:bodyDiv w:val="1"/>
      <w:marLeft w:val="0"/>
      <w:marRight w:val="0"/>
      <w:marTop w:val="0"/>
      <w:marBottom w:val="0"/>
      <w:divBdr>
        <w:top w:val="none" w:sz="0" w:space="0" w:color="auto"/>
        <w:left w:val="none" w:sz="0" w:space="0" w:color="auto"/>
        <w:bottom w:val="none" w:sz="0" w:space="0" w:color="auto"/>
        <w:right w:val="none" w:sz="0" w:space="0" w:color="auto"/>
      </w:divBdr>
    </w:div>
    <w:div w:id="1827549086">
      <w:bodyDiv w:val="1"/>
      <w:marLeft w:val="0"/>
      <w:marRight w:val="0"/>
      <w:marTop w:val="0"/>
      <w:marBottom w:val="0"/>
      <w:divBdr>
        <w:top w:val="none" w:sz="0" w:space="0" w:color="auto"/>
        <w:left w:val="none" w:sz="0" w:space="0" w:color="auto"/>
        <w:bottom w:val="none" w:sz="0" w:space="0" w:color="auto"/>
        <w:right w:val="none" w:sz="0" w:space="0" w:color="auto"/>
      </w:divBdr>
    </w:div>
    <w:div w:id="1828086733">
      <w:bodyDiv w:val="1"/>
      <w:marLeft w:val="0"/>
      <w:marRight w:val="0"/>
      <w:marTop w:val="0"/>
      <w:marBottom w:val="0"/>
      <w:divBdr>
        <w:top w:val="none" w:sz="0" w:space="0" w:color="auto"/>
        <w:left w:val="none" w:sz="0" w:space="0" w:color="auto"/>
        <w:bottom w:val="none" w:sz="0" w:space="0" w:color="auto"/>
        <w:right w:val="none" w:sz="0" w:space="0" w:color="auto"/>
      </w:divBdr>
    </w:div>
    <w:div w:id="1828402607">
      <w:bodyDiv w:val="1"/>
      <w:marLeft w:val="0"/>
      <w:marRight w:val="0"/>
      <w:marTop w:val="0"/>
      <w:marBottom w:val="0"/>
      <w:divBdr>
        <w:top w:val="none" w:sz="0" w:space="0" w:color="auto"/>
        <w:left w:val="none" w:sz="0" w:space="0" w:color="auto"/>
        <w:bottom w:val="none" w:sz="0" w:space="0" w:color="auto"/>
        <w:right w:val="none" w:sz="0" w:space="0" w:color="auto"/>
      </w:divBdr>
    </w:div>
    <w:div w:id="1829439384">
      <w:bodyDiv w:val="1"/>
      <w:marLeft w:val="0"/>
      <w:marRight w:val="0"/>
      <w:marTop w:val="0"/>
      <w:marBottom w:val="0"/>
      <w:divBdr>
        <w:top w:val="none" w:sz="0" w:space="0" w:color="auto"/>
        <w:left w:val="none" w:sz="0" w:space="0" w:color="auto"/>
        <w:bottom w:val="none" w:sz="0" w:space="0" w:color="auto"/>
        <w:right w:val="none" w:sz="0" w:space="0" w:color="auto"/>
      </w:divBdr>
      <w:divsChild>
        <w:div w:id="1634403051">
          <w:marLeft w:val="0"/>
          <w:marRight w:val="0"/>
          <w:marTop w:val="0"/>
          <w:marBottom w:val="0"/>
          <w:divBdr>
            <w:top w:val="none" w:sz="0" w:space="0" w:color="auto"/>
            <w:left w:val="none" w:sz="0" w:space="0" w:color="auto"/>
            <w:bottom w:val="none" w:sz="0" w:space="0" w:color="auto"/>
            <w:right w:val="none" w:sz="0" w:space="0" w:color="auto"/>
          </w:divBdr>
        </w:div>
      </w:divsChild>
    </w:div>
    <w:div w:id="1829635587">
      <w:bodyDiv w:val="1"/>
      <w:marLeft w:val="0"/>
      <w:marRight w:val="0"/>
      <w:marTop w:val="0"/>
      <w:marBottom w:val="0"/>
      <w:divBdr>
        <w:top w:val="none" w:sz="0" w:space="0" w:color="auto"/>
        <w:left w:val="none" w:sz="0" w:space="0" w:color="auto"/>
        <w:bottom w:val="none" w:sz="0" w:space="0" w:color="auto"/>
        <w:right w:val="none" w:sz="0" w:space="0" w:color="auto"/>
      </w:divBdr>
    </w:div>
    <w:div w:id="1831865907">
      <w:bodyDiv w:val="1"/>
      <w:marLeft w:val="0"/>
      <w:marRight w:val="0"/>
      <w:marTop w:val="0"/>
      <w:marBottom w:val="0"/>
      <w:divBdr>
        <w:top w:val="none" w:sz="0" w:space="0" w:color="auto"/>
        <w:left w:val="none" w:sz="0" w:space="0" w:color="auto"/>
        <w:bottom w:val="none" w:sz="0" w:space="0" w:color="auto"/>
        <w:right w:val="none" w:sz="0" w:space="0" w:color="auto"/>
      </w:divBdr>
    </w:div>
    <w:div w:id="1832939885">
      <w:bodyDiv w:val="1"/>
      <w:marLeft w:val="0"/>
      <w:marRight w:val="0"/>
      <w:marTop w:val="0"/>
      <w:marBottom w:val="0"/>
      <w:divBdr>
        <w:top w:val="none" w:sz="0" w:space="0" w:color="auto"/>
        <w:left w:val="none" w:sz="0" w:space="0" w:color="auto"/>
        <w:bottom w:val="none" w:sz="0" w:space="0" w:color="auto"/>
        <w:right w:val="none" w:sz="0" w:space="0" w:color="auto"/>
      </w:divBdr>
    </w:div>
    <w:div w:id="1832940059">
      <w:bodyDiv w:val="1"/>
      <w:marLeft w:val="0"/>
      <w:marRight w:val="0"/>
      <w:marTop w:val="0"/>
      <w:marBottom w:val="0"/>
      <w:divBdr>
        <w:top w:val="none" w:sz="0" w:space="0" w:color="auto"/>
        <w:left w:val="none" w:sz="0" w:space="0" w:color="auto"/>
        <w:bottom w:val="none" w:sz="0" w:space="0" w:color="auto"/>
        <w:right w:val="none" w:sz="0" w:space="0" w:color="auto"/>
      </w:divBdr>
    </w:div>
    <w:div w:id="1834561288">
      <w:bodyDiv w:val="1"/>
      <w:marLeft w:val="0"/>
      <w:marRight w:val="0"/>
      <w:marTop w:val="0"/>
      <w:marBottom w:val="0"/>
      <w:divBdr>
        <w:top w:val="none" w:sz="0" w:space="0" w:color="auto"/>
        <w:left w:val="none" w:sz="0" w:space="0" w:color="auto"/>
        <w:bottom w:val="none" w:sz="0" w:space="0" w:color="auto"/>
        <w:right w:val="none" w:sz="0" w:space="0" w:color="auto"/>
      </w:divBdr>
    </w:div>
    <w:div w:id="1835994586">
      <w:bodyDiv w:val="1"/>
      <w:marLeft w:val="0"/>
      <w:marRight w:val="0"/>
      <w:marTop w:val="0"/>
      <w:marBottom w:val="0"/>
      <w:divBdr>
        <w:top w:val="none" w:sz="0" w:space="0" w:color="auto"/>
        <w:left w:val="none" w:sz="0" w:space="0" w:color="auto"/>
        <w:bottom w:val="none" w:sz="0" w:space="0" w:color="auto"/>
        <w:right w:val="none" w:sz="0" w:space="0" w:color="auto"/>
      </w:divBdr>
      <w:divsChild>
        <w:div w:id="50271413">
          <w:marLeft w:val="0"/>
          <w:marRight w:val="0"/>
          <w:marTop w:val="0"/>
          <w:marBottom w:val="0"/>
          <w:divBdr>
            <w:top w:val="none" w:sz="0" w:space="0" w:color="auto"/>
            <w:left w:val="none" w:sz="0" w:space="0" w:color="auto"/>
            <w:bottom w:val="none" w:sz="0" w:space="0" w:color="auto"/>
            <w:right w:val="none" w:sz="0" w:space="0" w:color="auto"/>
          </w:divBdr>
        </w:div>
      </w:divsChild>
    </w:div>
    <w:div w:id="1836189384">
      <w:bodyDiv w:val="1"/>
      <w:marLeft w:val="0"/>
      <w:marRight w:val="0"/>
      <w:marTop w:val="0"/>
      <w:marBottom w:val="0"/>
      <w:divBdr>
        <w:top w:val="none" w:sz="0" w:space="0" w:color="auto"/>
        <w:left w:val="none" w:sz="0" w:space="0" w:color="auto"/>
        <w:bottom w:val="none" w:sz="0" w:space="0" w:color="auto"/>
        <w:right w:val="none" w:sz="0" w:space="0" w:color="auto"/>
      </w:divBdr>
    </w:div>
    <w:div w:id="1837113174">
      <w:bodyDiv w:val="1"/>
      <w:marLeft w:val="0"/>
      <w:marRight w:val="0"/>
      <w:marTop w:val="0"/>
      <w:marBottom w:val="0"/>
      <w:divBdr>
        <w:top w:val="none" w:sz="0" w:space="0" w:color="auto"/>
        <w:left w:val="none" w:sz="0" w:space="0" w:color="auto"/>
        <w:bottom w:val="none" w:sz="0" w:space="0" w:color="auto"/>
        <w:right w:val="none" w:sz="0" w:space="0" w:color="auto"/>
      </w:divBdr>
    </w:div>
    <w:div w:id="1838030476">
      <w:bodyDiv w:val="1"/>
      <w:marLeft w:val="0"/>
      <w:marRight w:val="0"/>
      <w:marTop w:val="0"/>
      <w:marBottom w:val="0"/>
      <w:divBdr>
        <w:top w:val="none" w:sz="0" w:space="0" w:color="auto"/>
        <w:left w:val="none" w:sz="0" w:space="0" w:color="auto"/>
        <w:bottom w:val="none" w:sz="0" w:space="0" w:color="auto"/>
        <w:right w:val="none" w:sz="0" w:space="0" w:color="auto"/>
      </w:divBdr>
    </w:div>
    <w:div w:id="1839953295">
      <w:bodyDiv w:val="1"/>
      <w:marLeft w:val="0"/>
      <w:marRight w:val="0"/>
      <w:marTop w:val="0"/>
      <w:marBottom w:val="0"/>
      <w:divBdr>
        <w:top w:val="none" w:sz="0" w:space="0" w:color="auto"/>
        <w:left w:val="none" w:sz="0" w:space="0" w:color="auto"/>
        <w:bottom w:val="none" w:sz="0" w:space="0" w:color="auto"/>
        <w:right w:val="none" w:sz="0" w:space="0" w:color="auto"/>
      </w:divBdr>
    </w:div>
    <w:div w:id="1841656598">
      <w:bodyDiv w:val="1"/>
      <w:marLeft w:val="0"/>
      <w:marRight w:val="0"/>
      <w:marTop w:val="0"/>
      <w:marBottom w:val="0"/>
      <w:divBdr>
        <w:top w:val="none" w:sz="0" w:space="0" w:color="auto"/>
        <w:left w:val="none" w:sz="0" w:space="0" w:color="auto"/>
        <w:bottom w:val="none" w:sz="0" w:space="0" w:color="auto"/>
        <w:right w:val="none" w:sz="0" w:space="0" w:color="auto"/>
      </w:divBdr>
    </w:div>
    <w:div w:id="1841967753">
      <w:bodyDiv w:val="1"/>
      <w:marLeft w:val="0"/>
      <w:marRight w:val="0"/>
      <w:marTop w:val="0"/>
      <w:marBottom w:val="0"/>
      <w:divBdr>
        <w:top w:val="none" w:sz="0" w:space="0" w:color="auto"/>
        <w:left w:val="none" w:sz="0" w:space="0" w:color="auto"/>
        <w:bottom w:val="none" w:sz="0" w:space="0" w:color="auto"/>
        <w:right w:val="none" w:sz="0" w:space="0" w:color="auto"/>
      </w:divBdr>
    </w:div>
    <w:div w:id="1842742642">
      <w:bodyDiv w:val="1"/>
      <w:marLeft w:val="0"/>
      <w:marRight w:val="0"/>
      <w:marTop w:val="0"/>
      <w:marBottom w:val="0"/>
      <w:divBdr>
        <w:top w:val="none" w:sz="0" w:space="0" w:color="auto"/>
        <w:left w:val="none" w:sz="0" w:space="0" w:color="auto"/>
        <w:bottom w:val="none" w:sz="0" w:space="0" w:color="auto"/>
        <w:right w:val="none" w:sz="0" w:space="0" w:color="auto"/>
      </w:divBdr>
    </w:div>
    <w:div w:id="1843625100">
      <w:bodyDiv w:val="1"/>
      <w:marLeft w:val="0"/>
      <w:marRight w:val="0"/>
      <w:marTop w:val="0"/>
      <w:marBottom w:val="0"/>
      <w:divBdr>
        <w:top w:val="none" w:sz="0" w:space="0" w:color="auto"/>
        <w:left w:val="none" w:sz="0" w:space="0" w:color="auto"/>
        <w:bottom w:val="none" w:sz="0" w:space="0" w:color="auto"/>
        <w:right w:val="none" w:sz="0" w:space="0" w:color="auto"/>
      </w:divBdr>
    </w:div>
    <w:div w:id="1844474150">
      <w:bodyDiv w:val="1"/>
      <w:marLeft w:val="0"/>
      <w:marRight w:val="0"/>
      <w:marTop w:val="0"/>
      <w:marBottom w:val="0"/>
      <w:divBdr>
        <w:top w:val="none" w:sz="0" w:space="0" w:color="auto"/>
        <w:left w:val="none" w:sz="0" w:space="0" w:color="auto"/>
        <w:bottom w:val="none" w:sz="0" w:space="0" w:color="auto"/>
        <w:right w:val="none" w:sz="0" w:space="0" w:color="auto"/>
      </w:divBdr>
    </w:div>
    <w:div w:id="1844582954">
      <w:bodyDiv w:val="1"/>
      <w:marLeft w:val="0"/>
      <w:marRight w:val="0"/>
      <w:marTop w:val="0"/>
      <w:marBottom w:val="0"/>
      <w:divBdr>
        <w:top w:val="none" w:sz="0" w:space="0" w:color="auto"/>
        <w:left w:val="none" w:sz="0" w:space="0" w:color="auto"/>
        <w:bottom w:val="none" w:sz="0" w:space="0" w:color="auto"/>
        <w:right w:val="none" w:sz="0" w:space="0" w:color="auto"/>
      </w:divBdr>
    </w:div>
    <w:div w:id="1845167671">
      <w:bodyDiv w:val="1"/>
      <w:marLeft w:val="0"/>
      <w:marRight w:val="0"/>
      <w:marTop w:val="0"/>
      <w:marBottom w:val="0"/>
      <w:divBdr>
        <w:top w:val="none" w:sz="0" w:space="0" w:color="auto"/>
        <w:left w:val="none" w:sz="0" w:space="0" w:color="auto"/>
        <w:bottom w:val="none" w:sz="0" w:space="0" w:color="auto"/>
        <w:right w:val="none" w:sz="0" w:space="0" w:color="auto"/>
      </w:divBdr>
    </w:div>
    <w:div w:id="1845433778">
      <w:bodyDiv w:val="1"/>
      <w:marLeft w:val="0"/>
      <w:marRight w:val="0"/>
      <w:marTop w:val="0"/>
      <w:marBottom w:val="0"/>
      <w:divBdr>
        <w:top w:val="none" w:sz="0" w:space="0" w:color="auto"/>
        <w:left w:val="none" w:sz="0" w:space="0" w:color="auto"/>
        <w:bottom w:val="none" w:sz="0" w:space="0" w:color="auto"/>
        <w:right w:val="none" w:sz="0" w:space="0" w:color="auto"/>
      </w:divBdr>
    </w:div>
    <w:div w:id="1846506915">
      <w:bodyDiv w:val="1"/>
      <w:marLeft w:val="0"/>
      <w:marRight w:val="0"/>
      <w:marTop w:val="0"/>
      <w:marBottom w:val="0"/>
      <w:divBdr>
        <w:top w:val="none" w:sz="0" w:space="0" w:color="auto"/>
        <w:left w:val="none" w:sz="0" w:space="0" w:color="auto"/>
        <w:bottom w:val="none" w:sz="0" w:space="0" w:color="auto"/>
        <w:right w:val="none" w:sz="0" w:space="0" w:color="auto"/>
      </w:divBdr>
    </w:div>
    <w:div w:id="1848789448">
      <w:bodyDiv w:val="1"/>
      <w:marLeft w:val="0"/>
      <w:marRight w:val="0"/>
      <w:marTop w:val="0"/>
      <w:marBottom w:val="0"/>
      <w:divBdr>
        <w:top w:val="none" w:sz="0" w:space="0" w:color="auto"/>
        <w:left w:val="none" w:sz="0" w:space="0" w:color="auto"/>
        <w:bottom w:val="none" w:sz="0" w:space="0" w:color="auto"/>
        <w:right w:val="none" w:sz="0" w:space="0" w:color="auto"/>
      </w:divBdr>
    </w:div>
    <w:div w:id="1850099473">
      <w:bodyDiv w:val="1"/>
      <w:marLeft w:val="0"/>
      <w:marRight w:val="0"/>
      <w:marTop w:val="0"/>
      <w:marBottom w:val="0"/>
      <w:divBdr>
        <w:top w:val="none" w:sz="0" w:space="0" w:color="auto"/>
        <w:left w:val="none" w:sz="0" w:space="0" w:color="auto"/>
        <w:bottom w:val="none" w:sz="0" w:space="0" w:color="auto"/>
        <w:right w:val="none" w:sz="0" w:space="0" w:color="auto"/>
      </w:divBdr>
    </w:div>
    <w:div w:id="1850635990">
      <w:bodyDiv w:val="1"/>
      <w:marLeft w:val="0"/>
      <w:marRight w:val="0"/>
      <w:marTop w:val="0"/>
      <w:marBottom w:val="0"/>
      <w:divBdr>
        <w:top w:val="none" w:sz="0" w:space="0" w:color="auto"/>
        <w:left w:val="none" w:sz="0" w:space="0" w:color="auto"/>
        <w:bottom w:val="none" w:sz="0" w:space="0" w:color="auto"/>
        <w:right w:val="none" w:sz="0" w:space="0" w:color="auto"/>
      </w:divBdr>
    </w:div>
    <w:div w:id="1850675783">
      <w:bodyDiv w:val="1"/>
      <w:marLeft w:val="0"/>
      <w:marRight w:val="0"/>
      <w:marTop w:val="0"/>
      <w:marBottom w:val="0"/>
      <w:divBdr>
        <w:top w:val="none" w:sz="0" w:space="0" w:color="auto"/>
        <w:left w:val="none" w:sz="0" w:space="0" w:color="auto"/>
        <w:bottom w:val="none" w:sz="0" w:space="0" w:color="auto"/>
        <w:right w:val="none" w:sz="0" w:space="0" w:color="auto"/>
      </w:divBdr>
    </w:div>
    <w:div w:id="1851720323">
      <w:bodyDiv w:val="1"/>
      <w:marLeft w:val="0"/>
      <w:marRight w:val="0"/>
      <w:marTop w:val="0"/>
      <w:marBottom w:val="0"/>
      <w:divBdr>
        <w:top w:val="none" w:sz="0" w:space="0" w:color="auto"/>
        <w:left w:val="none" w:sz="0" w:space="0" w:color="auto"/>
        <w:bottom w:val="none" w:sz="0" w:space="0" w:color="auto"/>
        <w:right w:val="none" w:sz="0" w:space="0" w:color="auto"/>
      </w:divBdr>
    </w:div>
    <w:div w:id="1851947125">
      <w:bodyDiv w:val="1"/>
      <w:marLeft w:val="0"/>
      <w:marRight w:val="0"/>
      <w:marTop w:val="0"/>
      <w:marBottom w:val="0"/>
      <w:divBdr>
        <w:top w:val="none" w:sz="0" w:space="0" w:color="auto"/>
        <w:left w:val="none" w:sz="0" w:space="0" w:color="auto"/>
        <w:bottom w:val="none" w:sz="0" w:space="0" w:color="auto"/>
        <w:right w:val="none" w:sz="0" w:space="0" w:color="auto"/>
      </w:divBdr>
    </w:div>
    <w:div w:id="1853642838">
      <w:bodyDiv w:val="1"/>
      <w:marLeft w:val="0"/>
      <w:marRight w:val="0"/>
      <w:marTop w:val="0"/>
      <w:marBottom w:val="0"/>
      <w:divBdr>
        <w:top w:val="none" w:sz="0" w:space="0" w:color="auto"/>
        <w:left w:val="none" w:sz="0" w:space="0" w:color="auto"/>
        <w:bottom w:val="none" w:sz="0" w:space="0" w:color="auto"/>
        <w:right w:val="none" w:sz="0" w:space="0" w:color="auto"/>
      </w:divBdr>
    </w:div>
    <w:div w:id="1854103825">
      <w:bodyDiv w:val="1"/>
      <w:marLeft w:val="0"/>
      <w:marRight w:val="0"/>
      <w:marTop w:val="0"/>
      <w:marBottom w:val="0"/>
      <w:divBdr>
        <w:top w:val="none" w:sz="0" w:space="0" w:color="auto"/>
        <w:left w:val="none" w:sz="0" w:space="0" w:color="auto"/>
        <w:bottom w:val="none" w:sz="0" w:space="0" w:color="auto"/>
        <w:right w:val="none" w:sz="0" w:space="0" w:color="auto"/>
      </w:divBdr>
    </w:div>
    <w:div w:id="1856964831">
      <w:bodyDiv w:val="1"/>
      <w:marLeft w:val="0"/>
      <w:marRight w:val="0"/>
      <w:marTop w:val="0"/>
      <w:marBottom w:val="0"/>
      <w:divBdr>
        <w:top w:val="none" w:sz="0" w:space="0" w:color="auto"/>
        <w:left w:val="none" w:sz="0" w:space="0" w:color="auto"/>
        <w:bottom w:val="none" w:sz="0" w:space="0" w:color="auto"/>
        <w:right w:val="none" w:sz="0" w:space="0" w:color="auto"/>
      </w:divBdr>
    </w:div>
    <w:div w:id="1857691163">
      <w:bodyDiv w:val="1"/>
      <w:marLeft w:val="0"/>
      <w:marRight w:val="0"/>
      <w:marTop w:val="0"/>
      <w:marBottom w:val="0"/>
      <w:divBdr>
        <w:top w:val="none" w:sz="0" w:space="0" w:color="auto"/>
        <w:left w:val="none" w:sz="0" w:space="0" w:color="auto"/>
        <w:bottom w:val="none" w:sz="0" w:space="0" w:color="auto"/>
        <w:right w:val="none" w:sz="0" w:space="0" w:color="auto"/>
      </w:divBdr>
    </w:div>
    <w:div w:id="1858500704">
      <w:bodyDiv w:val="1"/>
      <w:marLeft w:val="0"/>
      <w:marRight w:val="0"/>
      <w:marTop w:val="0"/>
      <w:marBottom w:val="0"/>
      <w:divBdr>
        <w:top w:val="none" w:sz="0" w:space="0" w:color="auto"/>
        <w:left w:val="none" w:sz="0" w:space="0" w:color="auto"/>
        <w:bottom w:val="none" w:sz="0" w:space="0" w:color="auto"/>
        <w:right w:val="none" w:sz="0" w:space="0" w:color="auto"/>
      </w:divBdr>
    </w:div>
    <w:div w:id="1859613802">
      <w:bodyDiv w:val="1"/>
      <w:marLeft w:val="0"/>
      <w:marRight w:val="0"/>
      <w:marTop w:val="0"/>
      <w:marBottom w:val="0"/>
      <w:divBdr>
        <w:top w:val="none" w:sz="0" w:space="0" w:color="auto"/>
        <w:left w:val="none" w:sz="0" w:space="0" w:color="auto"/>
        <w:bottom w:val="none" w:sz="0" w:space="0" w:color="auto"/>
        <w:right w:val="none" w:sz="0" w:space="0" w:color="auto"/>
      </w:divBdr>
    </w:div>
    <w:div w:id="1860390835">
      <w:bodyDiv w:val="1"/>
      <w:marLeft w:val="0"/>
      <w:marRight w:val="0"/>
      <w:marTop w:val="0"/>
      <w:marBottom w:val="0"/>
      <w:divBdr>
        <w:top w:val="none" w:sz="0" w:space="0" w:color="auto"/>
        <w:left w:val="none" w:sz="0" w:space="0" w:color="auto"/>
        <w:bottom w:val="none" w:sz="0" w:space="0" w:color="auto"/>
        <w:right w:val="none" w:sz="0" w:space="0" w:color="auto"/>
      </w:divBdr>
    </w:div>
    <w:div w:id="1861357892">
      <w:bodyDiv w:val="1"/>
      <w:marLeft w:val="0"/>
      <w:marRight w:val="0"/>
      <w:marTop w:val="0"/>
      <w:marBottom w:val="0"/>
      <w:divBdr>
        <w:top w:val="none" w:sz="0" w:space="0" w:color="auto"/>
        <w:left w:val="none" w:sz="0" w:space="0" w:color="auto"/>
        <w:bottom w:val="none" w:sz="0" w:space="0" w:color="auto"/>
        <w:right w:val="none" w:sz="0" w:space="0" w:color="auto"/>
      </w:divBdr>
    </w:div>
    <w:div w:id="1861359011">
      <w:bodyDiv w:val="1"/>
      <w:marLeft w:val="0"/>
      <w:marRight w:val="0"/>
      <w:marTop w:val="0"/>
      <w:marBottom w:val="0"/>
      <w:divBdr>
        <w:top w:val="none" w:sz="0" w:space="0" w:color="auto"/>
        <w:left w:val="none" w:sz="0" w:space="0" w:color="auto"/>
        <w:bottom w:val="none" w:sz="0" w:space="0" w:color="auto"/>
        <w:right w:val="none" w:sz="0" w:space="0" w:color="auto"/>
      </w:divBdr>
    </w:div>
    <w:div w:id="1862861394">
      <w:bodyDiv w:val="1"/>
      <w:marLeft w:val="0"/>
      <w:marRight w:val="0"/>
      <w:marTop w:val="0"/>
      <w:marBottom w:val="0"/>
      <w:divBdr>
        <w:top w:val="none" w:sz="0" w:space="0" w:color="auto"/>
        <w:left w:val="none" w:sz="0" w:space="0" w:color="auto"/>
        <w:bottom w:val="none" w:sz="0" w:space="0" w:color="auto"/>
        <w:right w:val="none" w:sz="0" w:space="0" w:color="auto"/>
      </w:divBdr>
    </w:div>
    <w:div w:id="1863401474">
      <w:bodyDiv w:val="1"/>
      <w:marLeft w:val="0"/>
      <w:marRight w:val="0"/>
      <w:marTop w:val="0"/>
      <w:marBottom w:val="0"/>
      <w:divBdr>
        <w:top w:val="none" w:sz="0" w:space="0" w:color="auto"/>
        <w:left w:val="none" w:sz="0" w:space="0" w:color="auto"/>
        <w:bottom w:val="none" w:sz="0" w:space="0" w:color="auto"/>
        <w:right w:val="none" w:sz="0" w:space="0" w:color="auto"/>
      </w:divBdr>
    </w:div>
    <w:div w:id="1867911049">
      <w:bodyDiv w:val="1"/>
      <w:marLeft w:val="0"/>
      <w:marRight w:val="0"/>
      <w:marTop w:val="0"/>
      <w:marBottom w:val="0"/>
      <w:divBdr>
        <w:top w:val="none" w:sz="0" w:space="0" w:color="auto"/>
        <w:left w:val="none" w:sz="0" w:space="0" w:color="auto"/>
        <w:bottom w:val="none" w:sz="0" w:space="0" w:color="auto"/>
        <w:right w:val="none" w:sz="0" w:space="0" w:color="auto"/>
      </w:divBdr>
    </w:div>
    <w:div w:id="1868715863">
      <w:bodyDiv w:val="1"/>
      <w:marLeft w:val="0"/>
      <w:marRight w:val="0"/>
      <w:marTop w:val="0"/>
      <w:marBottom w:val="0"/>
      <w:divBdr>
        <w:top w:val="none" w:sz="0" w:space="0" w:color="auto"/>
        <w:left w:val="none" w:sz="0" w:space="0" w:color="auto"/>
        <w:bottom w:val="none" w:sz="0" w:space="0" w:color="auto"/>
        <w:right w:val="none" w:sz="0" w:space="0" w:color="auto"/>
      </w:divBdr>
    </w:div>
    <w:div w:id="1873959687">
      <w:bodyDiv w:val="1"/>
      <w:marLeft w:val="0"/>
      <w:marRight w:val="0"/>
      <w:marTop w:val="0"/>
      <w:marBottom w:val="0"/>
      <w:divBdr>
        <w:top w:val="none" w:sz="0" w:space="0" w:color="auto"/>
        <w:left w:val="none" w:sz="0" w:space="0" w:color="auto"/>
        <w:bottom w:val="none" w:sz="0" w:space="0" w:color="auto"/>
        <w:right w:val="none" w:sz="0" w:space="0" w:color="auto"/>
      </w:divBdr>
    </w:div>
    <w:div w:id="1876581043">
      <w:bodyDiv w:val="1"/>
      <w:marLeft w:val="0"/>
      <w:marRight w:val="0"/>
      <w:marTop w:val="0"/>
      <w:marBottom w:val="0"/>
      <w:divBdr>
        <w:top w:val="none" w:sz="0" w:space="0" w:color="auto"/>
        <w:left w:val="none" w:sz="0" w:space="0" w:color="auto"/>
        <w:bottom w:val="none" w:sz="0" w:space="0" w:color="auto"/>
        <w:right w:val="none" w:sz="0" w:space="0" w:color="auto"/>
      </w:divBdr>
    </w:div>
    <w:div w:id="1877620190">
      <w:bodyDiv w:val="1"/>
      <w:marLeft w:val="0"/>
      <w:marRight w:val="0"/>
      <w:marTop w:val="0"/>
      <w:marBottom w:val="0"/>
      <w:divBdr>
        <w:top w:val="none" w:sz="0" w:space="0" w:color="auto"/>
        <w:left w:val="none" w:sz="0" w:space="0" w:color="auto"/>
        <w:bottom w:val="none" w:sz="0" w:space="0" w:color="auto"/>
        <w:right w:val="none" w:sz="0" w:space="0" w:color="auto"/>
      </w:divBdr>
    </w:div>
    <w:div w:id="1879124697">
      <w:bodyDiv w:val="1"/>
      <w:marLeft w:val="0"/>
      <w:marRight w:val="0"/>
      <w:marTop w:val="0"/>
      <w:marBottom w:val="0"/>
      <w:divBdr>
        <w:top w:val="none" w:sz="0" w:space="0" w:color="auto"/>
        <w:left w:val="none" w:sz="0" w:space="0" w:color="auto"/>
        <w:bottom w:val="none" w:sz="0" w:space="0" w:color="auto"/>
        <w:right w:val="none" w:sz="0" w:space="0" w:color="auto"/>
      </w:divBdr>
    </w:div>
    <w:div w:id="1879271776">
      <w:bodyDiv w:val="1"/>
      <w:marLeft w:val="0"/>
      <w:marRight w:val="0"/>
      <w:marTop w:val="0"/>
      <w:marBottom w:val="0"/>
      <w:divBdr>
        <w:top w:val="none" w:sz="0" w:space="0" w:color="auto"/>
        <w:left w:val="none" w:sz="0" w:space="0" w:color="auto"/>
        <w:bottom w:val="none" w:sz="0" w:space="0" w:color="auto"/>
        <w:right w:val="none" w:sz="0" w:space="0" w:color="auto"/>
      </w:divBdr>
    </w:div>
    <w:div w:id="1879467872">
      <w:bodyDiv w:val="1"/>
      <w:marLeft w:val="0"/>
      <w:marRight w:val="0"/>
      <w:marTop w:val="0"/>
      <w:marBottom w:val="0"/>
      <w:divBdr>
        <w:top w:val="none" w:sz="0" w:space="0" w:color="auto"/>
        <w:left w:val="none" w:sz="0" w:space="0" w:color="auto"/>
        <w:bottom w:val="none" w:sz="0" w:space="0" w:color="auto"/>
        <w:right w:val="none" w:sz="0" w:space="0" w:color="auto"/>
      </w:divBdr>
    </w:div>
    <w:div w:id="1883055948">
      <w:bodyDiv w:val="1"/>
      <w:marLeft w:val="0"/>
      <w:marRight w:val="0"/>
      <w:marTop w:val="0"/>
      <w:marBottom w:val="0"/>
      <w:divBdr>
        <w:top w:val="none" w:sz="0" w:space="0" w:color="auto"/>
        <w:left w:val="none" w:sz="0" w:space="0" w:color="auto"/>
        <w:bottom w:val="none" w:sz="0" w:space="0" w:color="auto"/>
        <w:right w:val="none" w:sz="0" w:space="0" w:color="auto"/>
      </w:divBdr>
    </w:div>
    <w:div w:id="1883514765">
      <w:bodyDiv w:val="1"/>
      <w:marLeft w:val="0"/>
      <w:marRight w:val="0"/>
      <w:marTop w:val="0"/>
      <w:marBottom w:val="0"/>
      <w:divBdr>
        <w:top w:val="none" w:sz="0" w:space="0" w:color="auto"/>
        <w:left w:val="none" w:sz="0" w:space="0" w:color="auto"/>
        <w:bottom w:val="none" w:sz="0" w:space="0" w:color="auto"/>
        <w:right w:val="none" w:sz="0" w:space="0" w:color="auto"/>
      </w:divBdr>
    </w:div>
    <w:div w:id="1884710132">
      <w:bodyDiv w:val="1"/>
      <w:marLeft w:val="0"/>
      <w:marRight w:val="0"/>
      <w:marTop w:val="0"/>
      <w:marBottom w:val="0"/>
      <w:divBdr>
        <w:top w:val="none" w:sz="0" w:space="0" w:color="auto"/>
        <w:left w:val="none" w:sz="0" w:space="0" w:color="auto"/>
        <w:bottom w:val="none" w:sz="0" w:space="0" w:color="auto"/>
        <w:right w:val="none" w:sz="0" w:space="0" w:color="auto"/>
      </w:divBdr>
    </w:div>
    <w:div w:id="1886604048">
      <w:bodyDiv w:val="1"/>
      <w:marLeft w:val="0"/>
      <w:marRight w:val="0"/>
      <w:marTop w:val="0"/>
      <w:marBottom w:val="0"/>
      <w:divBdr>
        <w:top w:val="none" w:sz="0" w:space="0" w:color="auto"/>
        <w:left w:val="none" w:sz="0" w:space="0" w:color="auto"/>
        <w:bottom w:val="none" w:sz="0" w:space="0" w:color="auto"/>
        <w:right w:val="none" w:sz="0" w:space="0" w:color="auto"/>
      </w:divBdr>
    </w:div>
    <w:div w:id="1888181420">
      <w:bodyDiv w:val="1"/>
      <w:marLeft w:val="0"/>
      <w:marRight w:val="0"/>
      <w:marTop w:val="0"/>
      <w:marBottom w:val="0"/>
      <w:divBdr>
        <w:top w:val="none" w:sz="0" w:space="0" w:color="auto"/>
        <w:left w:val="none" w:sz="0" w:space="0" w:color="auto"/>
        <w:bottom w:val="none" w:sz="0" w:space="0" w:color="auto"/>
        <w:right w:val="none" w:sz="0" w:space="0" w:color="auto"/>
      </w:divBdr>
    </w:div>
    <w:div w:id="1890602642">
      <w:bodyDiv w:val="1"/>
      <w:marLeft w:val="0"/>
      <w:marRight w:val="0"/>
      <w:marTop w:val="0"/>
      <w:marBottom w:val="0"/>
      <w:divBdr>
        <w:top w:val="none" w:sz="0" w:space="0" w:color="auto"/>
        <w:left w:val="none" w:sz="0" w:space="0" w:color="auto"/>
        <w:bottom w:val="none" w:sz="0" w:space="0" w:color="auto"/>
        <w:right w:val="none" w:sz="0" w:space="0" w:color="auto"/>
      </w:divBdr>
    </w:div>
    <w:div w:id="1891377502">
      <w:bodyDiv w:val="1"/>
      <w:marLeft w:val="0"/>
      <w:marRight w:val="0"/>
      <w:marTop w:val="0"/>
      <w:marBottom w:val="0"/>
      <w:divBdr>
        <w:top w:val="none" w:sz="0" w:space="0" w:color="auto"/>
        <w:left w:val="none" w:sz="0" w:space="0" w:color="auto"/>
        <w:bottom w:val="none" w:sz="0" w:space="0" w:color="auto"/>
        <w:right w:val="none" w:sz="0" w:space="0" w:color="auto"/>
      </w:divBdr>
    </w:div>
    <w:div w:id="1895583639">
      <w:bodyDiv w:val="1"/>
      <w:marLeft w:val="0"/>
      <w:marRight w:val="0"/>
      <w:marTop w:val="0"/>
      <w:marBottom w:val="0"/>
      <w:divBdr>
        <w:top w:val="none" w:sz="0" w:space="0" w:color="auto"/>
        <w:left w:val="none" w:sz="0" w:space="0" w:color="auto"/>
        <w:bottom w:val="none" w:sz="0" w:space="0" w:color="auto"/>
        <w:right w:val="none" w:sz="0" w:space="0" w:color="auto"/>
      </w:divBdr>
    </w:div>
    <w:div w:id="1895776936">
      <w:bodyDiv w:val="1"/>
      <w:marLeft w:val="0"/>
      <w:marRight w:val="0"/>
      <w:marTop w:val="0"/>
      <w:marBottom w:val="0"/>
      <w:divBdr>
        <w:top w:val="none" w:sz="0" w:space="0" w:color="auto"/>
        <w:left w:val="none" w:sz="0" w:space="0" w:color="auto"/>
        <w:bottom w:val="none" w:sz="0" w:space="0" w:color="auto"/>
        <w:right w:val="none" w:sz="0" w:space="0" w:color="auto"/>
      </w:divBdr>
    </w:div>
    <w:div w:id="1896237023">
      <w:bodyDiv w:val="1"/>
      <w:marLeft w:val="0"/>
      <w:marRight w:val="0"/>
      <w:marTop w:val="0"/>
      <w:marBottom w:val="0"/>
      <w:divBdr>
        <w:top w:val="none" w:sz="0" w:space="0" w:color="auto"/>
        <w:left w:val="none" w:sz="0" w:space="0" w:color="auto"/>
        <w:bottom w:val="none" w:sz="0" w:space="0" w:color="auto"/>
        <w:right w:val="none" w:sz="0" w:space="0" w:color="auto"/>
      </w:divBdr>
    </w:div>
    <w:div w:id="1900703870">
      <w:bodyDiv w:val="1"/>
      <w:marLeft w:val="0"/>
      <w:marRight w:val="0"/>
      <w:marTop w:val="0"/>
      <w:marBottom w:val="0"/>
      <w:divBdr>
        <w:top w:val="none" w:sz="0" w:space="0" w:color="auto"/>
        <w:left w:val="none" w:sz="0" w:space="0" w:color="auto"/>
        <w:bottom w:val="none" w:sz="0" w:space="0" w:color="auto"/>
        <w:right w:val="none" w:sz="0" w:space="0" w:color="auto"/>
      </w:divBdr>
    </w:div>
    <w:div w:id="1901594102">
      <w:bodyDiv w:val="1"/>
      <w:marLeft w:val="0"/>
      <w:marRight w:val="0"/>
      <w:marTop w:val="0"/>
      <w:marBottom w:val="0"/>
      <w:divBdr>
        <w:top w:val="none" w:sz="0" w:space="0" w:color="auto"/>
        <w:left w:val="none" w:sz="0" w:space="0" w:color="auto"/>
        <w:bottom w:val="none" w:sz="0" w:space="0" w:color="auto"/>
        <w:right w:val="none" w:sz="0" w:space="0" w:color="auto"/>
      </w:divBdr>
      <w:divsChild>
        <w:div w:id="791171888">
          <w:marLeft w:val="0"/>
          <w:marRight w:val="0"/>
          <w:marTop w:val="0"/>
          <w:marBottom w:val="0"/>
          <w:divBdr>
            <w:top w:val="none" w:sz="0" w:space="0" w:color="auto"/>
            <w:left w:val="none" w:sz="0" w:space="0" w:color="auto"/>
            <w:bottom w:val="none" w:sz="0" w:space="0" w:color="auto"/>
            <w:right w:val="none" w:sz="0" w:space="0" w:color="auto"/>
          </w:divBdr>
        </w:div>
      </w:divsChild>
    </w:div>
    <w:div w:id="1902910275">
      <w:bodyDiv w:val="1"/>
      <w:marLeft w:val="0"/>
      <w:marRight w:val="0"/>
      <w:marTop w:val="0"/>
      <w:marBottom w:val="0"/>
      <w:divBdr>
        <w:top w:val="none" w:sz="0" w:space="0" w:color="auto"/>
        <w:left w:val="none" w:sz="0" w:space="0" w:color="auto"/>
        <w:bottom w:val="none" w:sz="0" w:space="0" w:color="auto"/>
        <w:right w:val="none" w:sz="0" w:space="0" w:color="auto"/>
      </w:divBdr>
    </w:div>
    <w:div w:id="1905338847">
      <w:bodyDiv w:val="1"/>
      <w:marLeft w:val="0"/>
      <w:marRight w:val="0"/>
      <w:marTop w:val="0"/>
      <w:marBottom w:val="0"/>
      <w:divBdr>
        <w:top w:val="none" w:sz="0" w:space="0" w:color="auto"/>
        <w:left w:val="none" w:sz="0" w:space="0" w:color="auto"/>
        <w:bottom w:val="none" w:sz="0" w:space="0" w:color="auto"/>
        <w:right w:val="none" w:sz="0" w:space="0" w:color="auto"/>
      </w:divBdr>
    </w:div>
    <w:div w:id="1906068852">
      <w:bodyDiv w:val="1"/>
      <w:marLeft w:val="0"/>
      <w:marRight w:val="0"/>
      <w:marTop w:val="0"/>
      <w:marBottom w:val="0"/>
      <w:divBdr>
        <w:top w:val="none" w:sz="0" w:space="0" w:color="auto"/>
        <w:left w:val="none" w:sz="0" w:space="0" w:color="auto"/>
        <w:bottom w:val="none" w:sz="0" w:space="0" w:color="auto"/>
        <w:right w:val="none" w:sz="0" w:space="0" w:color="auto"/>
      </w:divBdr>
    </w:div>
    <w:div w:id="1907908711">
      <w:bodyDiv w:val="1"/>
      <w:marLeft w:val="0"/>
      <w:marRight w:val="0"/>
      <w:marTop w:val="0"/>
      <w:marBottom w:val="0"/>
      <w:divBdr>
        <w:top w:val="none" w:sz="0" w:space="0" w:color="auto"/>
        <w:left w:val="none" w:sz="0" w:space="0" w:color="auto"/>
        <w:bottom w:val="none" w:sz="0" w:space="0" w:color="auto"/>
        <w:right w:val="none" w:sz="0" w:space="0" w:color="auto"/>
      </w:divBdr>
    </w:div>
    <w:div w:id="1910769662">
      <w:bodyDiv w:val="1"/>
      <w:marLeft w:val="0"/>
      <w:marRight w:val="0"/>
      <w:marTop w:val="0"/>
      <w:marBottom w:val="0"/>
      <w:divBdr>
        <w:top w:val="none" w:sz="0" w:space="0" w:color="auto"/>
        <w:left w:val="none" w:sz="0" w:space="0" w:color="auto"/>
        <w:bottom w:val="none" w:sz="0" w:space="0" w:color="auto"/>
        <w:right w:val="none" w:sz="0" w:space="0" w:color="auto"/>
      </w:divBdr>
    </w:div>
    <w:div w:id="1911311829">
      <w:bodyDiv w:val="1"/>
      <w:marLeft w:val="0"/>
      <w:marRight w:val="0"/>
      <w:marTop w:val="0"/>
      <w:marBottom w:val="0"/>
      <w:divBdr>
        <w:top w:val="none" w:sz="0" w:space="0" w:color="auto"/>
        <w:left w:val="none" w:sz="0" w:space="0" w:color="auto"/>
        <w:bottom w:val="none" w:sz="0" w:space="0" w:color="auto"/>
        <w:right w:val="none" w:sz="0" w:space="0" w:color="auto"/>
      </w:divBdr>
    </w:div>
    <w:div w:id="1912538832">
      <w:bodyDiv w:val="1"/>
      <w:marLeft w:val="0"/>
      <w:marRight w:val="0"/>
      <w:marTop w:val="0"/>
      <w:marBottom w:val="0"/>
      <w:divBdr>
        <w:top w:val="none" w:sz="0" w:space="0" w:color="auto"/>
        <w:left w:val="none" w:sz="0" w:space="0" w:color="auto"/>
        <w:bottom w:val="none" w:sz="0" w:space="0" w:color="auto"/>
        <w:right w:val="none" w:sz="0" w:space="0" w:color="auto"/>
      </w:divBdr>
    </w:div>
    <w:div w:id="1914122103">
      <w:bodyDiv w:val="1"/>
      <w:marLeft w:val="0"/>
      <w:marRight w:val="0"/>
      <w:marTop w:val="0"/>
      <w:marBottom w:val="0"/>
      <w:divBdr>
        <w:top w:val="none" w:sz="0" w:space="0" w:color="auto"/>
        <w:left w:val="none" w:sz="0" w:space="0" w:color="auto"/>
        <w:bottom w:val="none" w:sz="0" w:space="0" w:color="auto"/>
        <w:right w:val="none" w:sz="0" w:space="0" w:color="auto"/>
      </w:divBdr>
    </w:div>
    <w:div w:id="1920284792">
      <w:bodyDiv w:val="1"/>
      <w:marLeft w:val="0"/>
      <w:marRight w:val="0"/>
      <w:marTop w:val="0"/>
      <w:marBottom w:val="0"/>
      <w:divBdr>
        <w:top w:val="none" w:sz="0" w:space="0" w:color="auto"/>
        <w:left w:val="none" w:sz="0" w:space="0" w:color="auto"/>
        <w:bottom w:val="none" w:sz="0" w:space="0" w:color="auto"/>
        <w:right w:val="none" w:sz="0" w:space="0" w:color="auto"/>
      </w:divBdr>
    </w:div>
    <w:div w:id="1921792921">
      <w:bodyDiv w:val="1"/>
      <w:marLeft w:val="0"/>
      <w:marRight w:val="0"/>
      <w:marTop w:val="0"/>
      <w:marBottom w:val="0"/>
      <w:divBdr>
        <w:top w:val="none" w:sz="0" w:space="0" w:color="auto"/>
        <w:left w:val="none" w:sz="0" w:space="0" w:color="auto"/>
        <w:bottom w:val="none" w:sz="0" w:space="0" w:color="auto"/>
        <w:right w:val="none" w:sz="0" w:space="0" w:color="auto"/>
      </w:divBdr>
    </w:div>
    <w:div w:id="1923639883">
      <w:bodyDiv w:val="1"/>
      <w:marLeft w:val="0"/>
      <w:marRight w:val="0"/>
      <w:marTop w:val="0"/>
      <w:marBottom w:val="0"/>
      <w:divBdr>
        <w:top w:val="none" w:sz="0" w:space="0" w:color="auto"/>
        <w:left w:val="none" w:sz="0" w:space="0" w:color="auto"/>
        <w:bottom w:val="none" w:sz="0" w:space="0" w:color="auto"/>
        <w:right w:val="none" w:sz="0" w:space="0" w:color="auto"/>
      </w:divBdr>
    </w:div>
    <w:div w:id="1924950701">
      <w:bodyDiv w:val="1"/>
      <w:marLeft w:val="0"/>
      <w:marRight w:val="0"/>
      <w:marTop w:val="0"/>
      <w:marBottom w:val="0"/>
      <w:divBdr>
        <w:top w:val="none" w:sz="0" w:space="0" w:color="auto"/>
        <w:left w:val="none" w:sz="0" w:space="0" w:color="auto"/>
        <w:bottom w:val="none" w:sz="0" w:space="0" w:color="auto"/>
        <w:right w:val="none" w:sz="0" w:space="0" w:color="auto"/>
      </w:divBdr>
    </w:div>
    <w:div w:id="1925407610">
      <w:bodyDiv w:val="1"/>
      <w:marLeft w:val="0"/>
      <w:marRight w:val="0"/>
      <w:marTop w:val="0"/>
      <w:marBottom w:val="0"/>
      <w:divBdr>
        <w:top w:val="none" w:sz="0" w:space="0" w:color="auto"/>
        <w:left w:val="none" w:sz="0" w:space="0" w:color="auto"/>
        <w:bottom w:val="none" w:sz="0" w:space="0" w:color="auto"/>
        <w:right w:val="none" w:sz="0" w:space="0" w:color="auto"/>
      </w:divBdr>
    </w:div>
    <w:div w:id="1927810597">
      <w:bodyDiv w:val="1"/>
      <w:marLeft w:val="0"/>
      <w:marRight w:val="0"/>
      <w:marTop w:val="0"/>
      <w:marBottom w:val="0"/>
      <w:divBdr>
        <w:top w:val="none" w:sz="0" w:space="0" w:color="auto"/>
        <w:left w:val="none" w:sz="0" w:space="0" w:color="auto"/>
        <w:bottom w:val="none" w:sz="0" w:space="0" w:color="auto"/>
        <w:right w:val="none" w:sz="0" w:space="0" w:color="auto"/>
      </w:divBdr>
    </w:div>
    <w:div w:id="1931350670">
      <w:bodyDiv w:val="1"/>
      <w:marLeft w:val="0"/>
      <w:marRight w:val="0"/>
      <w:marTop w:val="0"/>
      <w:marBottom w:val="0"/>
      <w:divBdr>
        <w:top w:val="none" w:sz="0" w:space="0" w:color="auto"/>
        <w:left w:val="none" w:sz="0" w:space="0" w:color="auto"/>
        <w:bottom w:val="none" w:sz="0" w:space="0" w:color="auto"/>
        <w:right w:val="none" w:sz="0" w:space="0" w:color="auto"/>
      </w:divBdr>
    </w:div>
    <w:div w:id="1932739154">
      <w:bodyDiv w:val="1"/>
      <w:marLeft w:val="0"/>
      <w:marRight w:val="0"/>
      <w:marTop w:val="0"/>
      <w:marBottom w:val="0"/>
      <w:divBdr>
        <w:top w:val="none" w:sz="0" w:space="0" w:color="auto"/>
        <w:left w:val="none" w:sz="0" w:space="0" w:color="auto"/>
        <w:bottom w:val="none" w:sz="0" w:space="0" w:color="auto"/>
        <w:right w:val="none" w:sz="0" w:space="0" w:color="auto"/>
      </w:divBdr>
    </w:div>
    <w:div w:id="1933396847">
      <w:bodyDiv w:val="1"/>
      <w:marLeft w:val="0"/>
      <w:marRight w:val="0"/>
      <w:marTop w:val="0"/>
      <w:marBottom w:val="0"/>
      <w:divBdr>
        <w:top w:val="none" w:sz="0" w:space="0" w:color="auto"/>
        <w:left w:val="none" w:sz="0" w:space="0" w:color="auto"/>
        <w:bottom w:val="none" w:sz="0" w:space="0" w:color="auto"/>
        <w:right w:val="none" w:sz="0" w:space="0" w:color="auto"/>
      </w:divBdr>
    </w:div>
    <w:div w:id="1933858475">
      <w:bodyDiv w:val="1"/>
      <w:marLeft w:val="0"/>
      <w:marRight w:val="0"/>
      <w:marTop w:val="0"/>
      <w:marBottom w:val="0"/>
      <w:divBdr>
        <w:top w:val="none" w:sz="0" w:space="0" w:color="auto"/>
        <w:left w:val="none" w:sz="0" w:space="0" w:color="auto"/>
        <w:bottom w:val="none" w:sz="0" w:space="0" w:color="auto"/>
        <w:right w:val="none" w:sz="0" w:space="0" w:color="auto"/>
      </w:divBdr>
      <w:divsChild>
        <w:div w:id="533421469">
          <w:marLeft w:val="0"/>
          <w:marRight w:val="0"/>
          <w:marTop w:val="0"/>
          <w:marBottom w:val="0"/>
          <w:divBdr>
            <w:top w:val="none" w:sz="0" w:space="0" w:color="auto"/>
            <w:left w:val="none" w:sz="0" w:space="0" w:color="auto"/>
            <w:bottom w:val="none" w:sz="0" w:space="0" w:color="auto"/>
            <w:right w:val="none" w:sz="0" w:space="0" w:color="auto"/>
          </w:divBdr>
        </w:div>
      </w:divsChild>
    </w:div>
    <w:div w:id="1934241510">
      <w:bodyDiv w:val="1"/>
      <w:marLeft w:val="0"/>
      <w:marRight w:val="0"/>
      <w:marTop w:val="0"/>
      <w:marBottom w:val="0"/>
      <w:divBdr>
        <w:top w:val="none" w:sz="0" w:space="0" w:color="auto"/>
        <w:left w:val="none" w:sz="0" w:space="0" w:color="auto"/>
        <w:bottom w:val="none" w:sz="0" w:space="0" w:color="auto"/>
        <w:right w:val="none" w:sz="0" w:space="0" w:color="auto"/>
      </w:divBdr>
    </w:div>
    <w:div w:id="1943143781">
      <w:bodyDiv w:val="1"/>
      <w:marLeft w:val="0"/>
      <w:marRight w:val="0"/>
      <w:marTop w:val="0"/>
      <w:marBottom w:val="0"/>
      <w:divBdr>
        <w:top w:val="none" w:sz="0" w:space="0" w:color="auto"/>
        <w:left w:val="none" w:sz="0" w:space="0" w:color="auto"/>
        <w:bottom w:val="none" w:sz="0" w:space="0" w:color="auto"/>
        <w:right w:val="none" w:sz="0" w:space="0" w:color="auto"/>
      </w:divBdr>
    </w:div>
    <w:div w:id="1946427174">
      <w:bodyDiv w:val="1"/>
      <w:marLeft w:val="0"/>
      <w:marRight w:val="0"/>
      <w:marTop w:val="0"/>
      <w:marBottom w:val="0"/>
      <w:divBdr>
        <w:top w:val="none" w:sz="0" w:space="0" w:color="auto"/>
        <w:left w:val="none" w:sz="0" w:space="0" w:color="auto"/>
        <w:bottom w:val="none" w:sz="0" w:space="0" w:color="auto"/>
        <w:right w:val="none" w:sz="0" w:space="0" w:color="auto"/>
      </w:divBdr>
    </w:div>
    <w:div w:id="1950236137">
      <w:bodyDiv w:val="1"/>
      <w:marLeft w:val="0"/>
      <w:marRight w:val="0"/>
      <w:marTop w:val="0"/>
      <w:marBottom w:val="0"/>
      <w:divBdr>
        <w:top w:val="none" w:sz="0" w:space="0" w:color="auto"/>
        <w:left w:val="none" w:sz="0" w:space="0" w:color="auto"/>
        <w:bottom w:val="none" w:sz="0" w:space="0" w:color="auto"/>
        <w:right w:val="none" w:sz="0" w:space="0" w:color="auto"/>
      </w:divBdr>
    </w:div>
    <w:div w:id="1950703364">
      <w:bodyDiv w:val="1"/>
      <w:marLeft w:val="0"/>
      <w:marRight w:val="0"/>
      <w:marTop w:val="0"/>
      <w:marBottom w:val="0"/>
      <w:divBdr>
        <w:top w:val="none" w:sz="0" w:space="0" w:color="auto"/>
        <w:left w:val="none" w:sz="0" w:space="0" w:color="auto"/>
        <w:bottom w:val="none" w:sz="0" w:space="0" w:color="auto"/>
        <w:right w:val="none" w:sz="0" w:space="0" w:color="auto"/>
      </w:divBdr>
    </w:div>
    <w:div w:id="1952321478">
      <w:bodyDiv w:val="1"/>
      <w:marLeft w:val="0"/>
      <w:marRight w:val="0"/>
      <w:marTop w:val="0"/>
      <w:marBottom w:val="0"/>
      <w:divBdr>
        <w:top w:val="none" w:sz="0" w:space="0" w:color="auto"/>
        <w:left w:val="none" w:sz="0" w:space="0" w:color="auto"/>
        <w:bottom w:val="none" w:sz="0" w:space="0" w:color="auto"/>
        <w:right w:val="none" w:sz="0" w:space="0" w:color="auto"/>
      </w:divBdr>
    </w:div>
    <w:div w:id="1954097648">
      <w:bodyDiv w:val="1"/>
      <w:marLeft w:val="0"/>
      <w:marRight w:val="0"/>
      <w:marTop w:val="0"/>
      <w:marBottom w:val="0"/>
      <w:divBdr>
        <w:top w:val="none" w:sz="0" w:space="0" w:color="auto"/>
        <w:left w:val="none" w:sz="0" w:space="0" w:color="auto"/>
        <w:bottom w:val="none" w:sz="0" w:space="0" w:color="auto"/>
        <w:right w:val="none" w:sz="0" w:space="0" w:color="auto"/>
      </w:divBdr>
    </w:div>
    <w:div w:id="1954245362">
      <w:bodyDiv w:val="1"/>
      <w:marLeft w:val="0"/>
      <w:marRight w:val="0"/>
      <w:marTop w:val="0"/>
      <w:marBottom w:val="0"/>
      <w:divBdr>
        <w:top w:val="none" w:sz="0" w:space="0" w:color="auto"/>
        <w:left w:val="none" w:sz="0" w:space="0" w:color="auto"/>
        <w:bottom w:val="none" w:sz="0" w:space="0" w:color="auto"/>
        <w:right w:val="none" w:sz="0" w:space="0" w:color="auto"/>
      </w:divBdr>
    </w:div>
    <w:div w:id="1954247501">
      <w:bodyDiv w:val="1"/>
      <w:marLeft w:val="0"/>
      <w:marRight w:val="0"/>
      <w:marTop w:val="0"/>
      <w:marBottom w:val="0"/>
      <w:divBdr>
        <w:top w:val="none" w:sz="0" w:space="0" w:color="auto"/>
        <w:left w:val="none" w:sz="0" w:space="0" w:color="auto"/>
        <w:bottom w:val="none" w:sz="0" w:space="0" w:color="auto"/>
        <w:right w:val="none" w:sz="0" w:space="0" w:color="auto"/>
      </w:divBdr>
    </w:div>
    <w:div w:id="1955867859">
      <w:bodyDiv w:val="1"/>
      <w:marLeft w:val="0"/>
      <w:marRight w:val="0"/>
      <w:marTop w:val="0"/>
      <w:marBottom w:val="0"/>
      <w:divBdr>
        <w:top w:val="none" w:sz="0" w:space="0" w:color="auto"/>
        <w:left w:val="none" w:sz="0" w:space="0" w:color="auto"/>
        <w:bottom w:val="none" w:sz="0" w:space="0" w:color="auto"/>
        <w:right w:val="none" w:sz="0" w:space="0" w:color="auto"/>
      </w:divBdr>
    </w:div>
    <w:div w:id="1957323834">
      <w:bodyDiv w:val="1"/>
      <w:marLeft w:val="0"/>
      <w:marRight w:val="0"/>
      <w:marTop w:val="0"/>
      <w:marBottom w:val="0"/>
      <w:divBdr>
        <w:top w:val="none" w:sz="0" w:space="0" w:color="auto"/>
        <w:left w:val="none" w:sz="0" w:space="0" w:color="auto"/>
        <w:bottom w:val="none" w:sz="0" w:space="0" w:color="auto"/>
        <w:right w:val="none" w:sz="0" w:space="0" w:color="auto"/>
      </w:divBdr>
    </w:div>
    <w:div w:id="1958489792">
      <w:bodyDiv w:val="1"/>
      <w:marLeft w:val="0"/>
      <w:marRight w:val="0"/>
      <w:marTop w:val="0"/>
      <w:marBottom w:val="0"/>
      <w:divBdr>
        <w:top w:val="none" w:sz="0" w:space="0" w:color="auto"/>
        <w:left w:val="none" w:sz="0" w:space="0" w:color="auto"/>
        <w:bottom w:val="none" w:sz="0" w:space="0" w:color="auto"/>
        <w:right w:val="none" w:sz="0" w:space="0" w:color="auto"/>
      </w:divBdr>
    </w:div>
    <w:div w:id="1959798445">
      <w:bodyDiv w:val="1"/>
      <w:marLeft w:val="0"/>
      <w:marRight w:val="0"/>
      <w:marTop w:val="0"/>
      <w:marBottom w:val="0"/>
      <w:divBdr>
        <w:top w:val="none" w:sz="0" w:space="0" w:color="auto"/>
        <w:left w:val="none" w:sz="0" w:space="0" w:color="auto"/>
        <w:bottom w:val="none" w:sz="0" w:space="0" w:color="auto"/>
        <w:right w:val="none" w:sz="0" w:space="0" w:color="auto"/>
      </w:divBdr>
    </w:div>
    <w:div w:id="1963421272">
      <w:bodyDiv w:val="1"/>
      <w:marLeft w:val="0"/>
      <w:marRight w:val="0"/>
      <w:marTop w:val="0"/>
      <w:marBottom w:val="0"/>
      <w:divBdr>
        <w:top w:val="none" w:sz="0" w:space="0" w:color="auto"/>
        <w:left w:val="none" w:sz="0" w:space="0" w:color="auto"/>
        <w:bottom w:val="none" w:sz="0" w:space="0" w:color="auto"/>
        <w:right w:val="none" w:sz="0" w:space="0" w:color="auto"/>
      </w:divBdr>
    </w:div>
    <w:div w:id="1964388641">
      <w:bodyDiv w:val="1"/>
      <w:marLeft w:val="0"/>
      <w:marRight w:val="0"/>
      <w:marTop w:val="0"/>
      <w:marBottom w:val="0"/>
      <w:divBdr>
        <w:top w:val="none" w:sz="0" w:space="0" w:color="auto"/>
        <w:left w:val="none" w:sz="0" w:space="0" w:color="auto"/>
        <w:bottom w:val="none" w:sz="0" w:space="0" w:color="auto"/>
        <w:right w:val="none" w:sz="0" w:space="0" w:color="auto"/>
      </w:divBdr>
    </w:div>
    <w:div w:id="1965232931">
      <w:bodyDiv w:val="1"/>
      <w:marLeft w:val="0"/>
      <w:marRight w:val="0"/>
      <w:marTop w:val="0"/>
      <w:marBottom w:val="0"/>
      <w:divBdr>
        <w:top w:val="none" w:sz="0" w:space="0" w:color="auto"/>
        <w:left w:val="none" w:sz="0" w:space="0" w:color="auto"/>
        <w:bottom w:val="none" w:sz="0" w:space="0" w:color="auto"/>
        <w:right w:val="none" w:sz="0" w:space="0" w:color="auto"/>
      </w:divBdr>
    </w:div>
    <w:div w:id="1968899020">
      <w:bodyDiv w:val="1"/>
      <w:marLeft w:val="0"/>
      <w:marRight w:val="0"/>
      <w:marTop w:val="0"/>
      <w:marBottom w:val="0"/>
      <w:divBdr>
        <w:top w:val="none" w:sz="0" w:space="0" w:color="auto"/>
        <w:left w:val="none" w:sz="0" w:space="0" w:color="auto"/>
        <w:bottom w:val="none" w:sz="0" w:space="0" w:color="auto"/>
        <w:right w:val="none" w:sz="0" w:space="0" w:color="auto"/>
      </w:divBdr>
    </w:div>
    <w:div w:id="1969164536">
      <w:bodyDiv w:val="1"/>
      <w:marLeft w:val="0"/>
      <w:marRight w:val="0"/>
      <w:marTop w:val="0"/>
      <w:marBottom w:val="0"/>
      <w:divBdr>
        <w:top w:val="none" w:sz="0" w:space="0" w:color="auto"/>
        <w:left w:val="none" w:sz="0" w:space="0" w:color="auto"/>
        <w:bottom w:val="none" w:sz="0" w:space="0" w:color="auto"/>
        <w:right w:val="none" w:sz="0" w:space="0" w:color="auto"/>
      </w:divBdr>
    </w:div>
    <w:div w:id="1969436872">
      <w:bodyDiv w:val="1"/>
      <w:marLeft w:val="0"/>
      <w:marRight w:val="0"/>
      <w:marTop w:val="0"/>
      <w:marBottom w:val="0"/>
      <w:divBdr>
        <w:top w:val="none" w:sz="0" w:space="0" w:color="auto"/>
        <w:left w:val="none" w:sz="0" w:space="0" w:color="auto"/>
        <w:bottom w:val="none" w:sz="0" w:space="0" w:color="auto"/>
        <w:right w:val="none" w:sz="0" w:space="0" w:color="auto"/>
      </w:divBdr>
    </w:div>
    <w:div w:id="1971940463">
      <w:bodyDiv w:val="1"/>
      <w:marLeft w:val="0"/>
      <w:marRight w:val="0"/>
      <w:marTop w:val="0"/>
      <w:marBottom w:val="0"/>
      <w:divBdr>
        <w:top w:val="none" w:sz="0" w:space="0" w:color="auto"/>
        <w:left w:val="none" w:sz="0" w:space="0" w:color="auto"/>
        <w:bottom w:val="none" w:sz="0" w:space="0" w:color="auto"/>
        <w:right w:val="none" w:sz="0" w:space="0" w:color="auto"/>
      </w:divBdr>
    </w:div>
    <w:div w:id="1972051286">
      <w:bodyDiv w:val="1"/>
      <w:marLeft w:val="0"/>
      <w:marRight w:val="0"/>
      <w:marTop w:val="0"/>
      <w:marBottom w:val="0"/>
      <w:divBdr>
        <w:top w:val="none" w:sz="0" w:space="0" w:color="auto"/>
        <w:left w:val="none" w:sz="0" w:space="0" w:color="auto"/>
        <w:bottom w:val="none" w:sz="0" w:space="0" w:color="auto"/>
        <w:right w:val="none" w:sz="0" w:space="0" w:color="auto"/>
      </w:divBdr>
    </w:div>
    <w:div w:id="1974408843">
      <w:bodyDiv w:val="1"/>
      <w:marLeft w:val="0"/>
      <w:marRight w:val="0"/>
      <w:marTop w:val="0"/>
      <w:marBottom w:val="0"/>
      <w:divBdr>
        <w:top w:val="none" w:sz="0" w:space="0" w:color="auto"/>
        <w:left w:val="none" w:sz="0" w:space="0" w:color="auto"/>
        <w:bottom w:val="none" w:sz="0" w:space="0" w:color="auto"/>
        <w:right w:val="none" w:sz="0" w:space="0" w:color="auto"/>
      </w:divBdr>
    </w:div>
    <w:div w:id="1974824149">
      <w:bodyDiv w:val="1"/>
      <w:marLeft w:val="0"/>
      <w:marRight w:val="0"/>
      <w:marTop w:val="0"/>
      <w:marBottom w:val="0"/>
      <w:divBdr>
        <w:top w:val="none" w:sz="0" w:space="0" w:color="auto"/>
        <w:left w:val="none" w:sz="0" w:space="0" w:color="auto"/>
        <w:bottom w:val="none" w:sz="0" w:space="0" w:color="auto"/>
        <w:right w:val="none" w:sz="0" w:space="0" w:color="auto"/>
      </w:divBdr>
    </w:div>
    <w:div w:id="1975256180">
      <w:bodyDiv w:val="1"/>
      <w:marLeft w:val="0"/>
      <w:marRight w:val="0"/>
      <w:marTop w:val="0"/>
      <w:marBottom w:val="0"/>
      <w:divBdr>
        <w:top w:val="none" w:sz="0" w:space="0" w:color="auto"/>
        <w:left w:val="none" w:sz="0" w:space="0" w:color="auto"/>
        <w:bottom w:val="none" w:sz="0" w:space="0" w:color="auto"/>
        <w:right w:val="none" w:sz="0" w:space="0" w:color="auto"/>
      </w:divBdr>
    </w:div>
    <w:div w:id="1978685667">
      <w:bodyDiv w:val="1"/>
      <w:marLeft w:val="0"/>
      <w:marRight w:val="0"/>
      <w:marTop w:val="0"/>
      <w:marBottom w:val="0"/>
      <w:divBdr>
        <w:top w:val="none" w:sz="0" w:space="0" w:color="auto"/>
        <w:left w:val="none" w:sz="0" w:space="0" w:color="auto"/>
        <w:bottom w:val="none" w:sz="0" w:space="0" w:color="auto"/>
        <w:right w:val="none" w:sz="0" w:space="0" w:color="auto"/>
      </w:divBdr>
      <w:divsChild>
        <w:div w:id="1683237167">
          <w:marLeft w:val="0"/>
          <w:marRight w:val="0"/>
          <w:marTop w:val="0"/>
          <w:marBottom w:val="0"/>
          <w:divBdr>
            <w:top w:val="none" w:sz="0" w:space="0" w:color="auto"/>
            <w:left w:val="none" w:sz="0" w:space="0" w:color="auto"/>
            <w:bottom w:val="none" w:sz="0" w:space="0" w:color="auto"/>
            <w:right w:val="none" w:sz="0" w:space="0" w:color="auto"/>
          </w:divBdr>
        </w:div>
      </w:divsChild>
    </w:div>
    <w:div w:id="1979796330">
      <w:bodyDiv w:val="1"/>
      <w:marLeft w:val="0"/>
      <w:marRight w:val="0"/>
      <w:marTop w:val="0"/>
      <w:marBottom w:val="0"/>
      <w:divBdr>
        <w:top w:val="none" w:sz="0" w:space="0" w:color="auto"/>
        <w:left w:val="none" w:sz="0" w:space="0" w:color="auto"/>
        <w:bottom w:val="none" w:sz="0" w:space="0" w:color="auto"/>
        <w:right w:val="none" w:sz="0" w:space="0" w:color="auto"/>
      </w:divBdr>
    </w:div>
    <w:div w:id="1981181600">
      <w:bodyDiv w:val="1"/>
      <w:marLeft w:val="0"/>
      <w:marRight w:val="0"/>
      <w:marTop w:val="0"/>
      <w:marBottom w:val="0"/>
      <w:divBdr>
        <w:top w:val="none" w:sz="0" w:space="0" w:color="auto"/>
        <w:left w:val="none" w:sz="0" w:space="0" w:color="auto"/>
        <w:bottom w:val="none" w:sz="0" w:space="0" w:color="auto"/>
        <w:right w:val="none" w:sz="0" w:space="0" w:color="auto"/>
      </w:divBdr>
    </w:div>
    <w:div w:id="1981183666">
      <w:bodyDiv w:val="1"/>
      <w:marLeft w:val="0"/>
      <w:marRight w:val="0"/>
      <w:marTop w:val="0"/>
      <w:marBottom w:val="0"/>
      <w:divBdr>
        <w:top w:val="none" w:sz="0" w:space="0" w:color="auto"/>
        <w:left w:val="none" w:sz="0" w:space="0" w:color="auto"/>
        <w:bottom w:val="none" w:sz="0" w:space="0" w:color="auto"/>
        <w:right w:val="none" w:sz="0" w:space="0" w:color="auto"/>
      </w:divBdr>
    </w:div>
    <w:div w:id="1981956176">
      <w:bodyDiv w:val="1"/>
      <w:marLeft w:val="0"/>
      <w:marRight w:val="0"/>
      <w:marTop w:val="0"/>
      <w:marBottom w:val="0"/>
      <w:divBdr>
        <w:top w:val="none" w:sz="0" w:space="0" w:color="auto"/>
        <w:left w:val="none" w:sz="0" w:space="0" w:color="auto"/>
        <w:bottom w:val="none" w:sz="0" w:space="0" w:color="auto"/>
        <w:right w:val="none" w:sz="0" w:space="0" w:color="auto"/>
      </w:divBdr>
    </w:div>
    <w:div w:id="1984460672">
      <w:bodyDiv w:val="1"/>
      <w:marLeft w:val="0"/>
      <w:marRight w:val="0"/>
      <w:marTop w:val="0"/>
      <w:marBottom w:val="0"/>
      <w:divBdr>
        <w:top w:val="none" w:sz="0" w:space="0" w:color="auto"/>
        <w:left w:val="none" w:sz="0" w:space="0" w:color="auto"/>
        <w:bottom w:val="none" w:sz="0" w:space="0" w:color="auto"/>
        <w:right w:val="none" w:sz="0" w:space="0" w:color="auto"/>
      </w:divBdr>
    </w:div>
    <w:div w:id="1988169462">
      <w:bodyDiv w:val="1"/>
      <w:marLeft w:val="0"/>
      <w:marRight w:val="0"/>
      <w:marTop w:val="0"/>
      <w:marBottom w:val="0"/>
      <w:divBdr>
        <w:top w:val="none" w:sz="0" w:space="0" w:color="auto"/>
        <w:left w:val="none" w:sz="0" w:space="0" w:color="auto"/>
        <w:bottom w:val="none" w:sz="0" w:space="0" w:color="auto"/>
        <w:right w:val="none" w:sz="0" w:space="0" w:color="auto"/>
      </w:divBdr>
    </w:div>
    <w:div w:id="1988590442">
      <w:bodyDiv w:val="1"/>
      <w:marLeft w:val="0"/>
      <w:marRight w:val="0"/>
      <w:marTop w:val="0"/>
      <w:marBottom w:val="0"/>
      <w:divBdr>
        <w:top w:val="none" w:sz="0" w:space="0" w:color="auto"/>
        <w:left w:val="none" w:sz="0" w:space="0" w:color="auto"/>
        <w:bottom w:val="none" w:sz="0" w:space="0" w:color="auto"/>
        <w:right w:val="none" w:sz="0" w:space="0" w:color="auto"/>
      </w:divBdr>
    </w:div>
    <w:div w:id="1989895635">
      <w:bodyDiv w:val="1"/>
      <w:marLeft w:val="0"/>
      <w:marRight w:val="0"/>
      <w:marTop w:val="0"/>
      <w:marBottom w:val="0"/>
      <w:divBdr>
        <w:top w:val="none" w:sz="0" w:space="0" w:color="auto"/>
        <w:left w:val="none" w:sz="0" w:space="0" w:color="auto"/>
        <w:bottom w:val="none" w:sz="0" w:space="0" w:color="auto"/>
        <w:right w:val="none" w:sz="0" w:space="0" w:color="auto"/>
      </w:divBdr>
    </w:div>
    <w:div w:id="1991323299">
      <w:bodyDiv w:val="1"/>
      <w:marLeft w:val="0"/>
      <w:marRight w:val="0"/>
      <w:marTop w:val="0"/>
      <w:marBottom w:val="0"/>
      <w:divBdr>
        <w:top w:val="none" w:sz="0" w:space="0" w:color="auto"/>
        <w:left w:val="none" w:sz="0" w:space="0" w:color="auto"/>
        <w:bottom w:val="none" w:sz="0" w:space="0" w:color="auto"/>
        <w:right w:val="none" w:sz="0" w:space="0" w:color="auto"/>
      </w:divBdr>
    </w:div>
    <w:div w:id="1993675182">
      <w:bodyDiv w:val="1"/>
      <w:marLeft w:val="0"/>
      <w:marRight w:val="0"/>
      <w:marTop w:val="0"/>
      <w:marBottom w:val="0"/>
      <w:divBdr>
        <w:top w:val="none" w:sz="0" w:space="0" w:color="auto"/>
        <w:left w:val="none" w:sz="0" w:space="0" w:color="auto"/>
        <w:bottom w:val="none" w:sz="0" w:space="0" w:color="auto"/>
        <w:right w:val="none" w:sz="0" w:space="0" w:color="auto"/>
      </w:divBdr>
    </w:div>
    <w:div w:id="1993679344">
      <w:bodyDiv w:val="1"/>
      <w:marLeft w:val="0"/>
      <w:marRight w:val="0"/>
      <w:marTop w:val="0"/>
      <w:marBottom w:val="0"/>
      <w:divBdr>
        <w:top w:val="none" w:sz="0" w:space="0" w:color="auto"/>
        <w:left w:val="none" w:sz="0" w:space="0" w:color="auto"/>
        <w:bottom w:val="none" w:sz="0" w:space="0" w:color="auto"/>
        <w:right w:val="none" w:sz="0" w:space="0" w:color="auto"/>
      </w:divBdr>
    </w:div>
    <w:div w:id="1994947995">
      <w:bodyDiv w:val="1"/>
      <w:marLeft w:val="0"/>
      <w:marRight w:val="0"/>
      <w:marTop w:val="0"/>
      <w:marBottom w:val="0"/>
      <w:divBdr>
        <w:top w:val="none" w:sz="0" w:space="0" w:color="auto"/>
        <w:left w:val="none" w:sz="0" w:space="0" w:color="auto"/>
        <w:bottom w:val="none" w:sz="0" w:space="0" w:color="auto"/>
        <w:right w:val="none" w:sz="0" w:space="0" w:color="auto"/>
      </w:divBdr>
    </w:div>
    <w:div w:id="1995720565">
      <w:bodyDiv w:val="1"/>
      <w:marLeft w:val="0"/>
      <w:marRight w:val="0"/>
      <w:marTop w:val="0"/>
      <w:marBottom w:val="0"/>
      <w:divBdr>
        <w:top w:val="none" w:sz="0" w:space="0" w:color="auto"/>
        <w:left w:val="none" w:sz="0" w:space="0" w:color="auto"/>
        <w:bottom w:val="none" w:sz="0" w:space="0" w:color="auto"/>
        <w:right w:val="none" w:sz="0" w:space="0" w:color="auto"/>
      </w:divBdr>
    </w:div>
    <w:div w:id="1995991245">
      <w:bodyDiv w:val="1"/>
      <w:marLeft w:val="0"/>
      <w:marRight w:val="0"/>
      <w:marTop w:val="0"/>
      <w:marBottom w:val="0"/>
      <w:divBdr>
        <w:top w:val="none" w:sz="0" w:space="0" w:color="auto"/>
        <w:left w:val="none" w:sz="0" w:space="0" w:color="auto"/>
        <w:bottom w:val="none" w:sz="0" w:space="0" w:color="auto"/>
        <w:right w:val="none" w:sz="0" w:space="0" w:color="auto"/>
      </w:divBdr>
    </w:div>
    <w:div w:id="1996445299">
      <w:bodyDiv w:val="1"/>
      <w:marLeft w:val="0"/>
      <w:marRight w:val="0"/>
      <w:marTop w:val="0"/>
      <w:marBottom w:val="0"/>
      <w:divBdr>
        <w:top w:val="none" w:sz="0" w:space="0" w:color="auto"/>
        <w:left w:val="none" w:sz="0" w:space="0" w:color="auto"/>
        <w:bottom w:val="none" w:sz="0" w:space="0" w:color="auto"/>
        <w:right w:val="none" w:sz="0" w:space="0" w:color="auto"/>
      </w:divBdr>
    </w:div>
    <w:div w:id="1996763435">
      <w:bodyDiv w:val="1"/>
      <w:marLeft w:val="0"/>
      <w:marRight w:val="0"/>
      <w:marTop w:val="0"/>
      <w:marBottom w:val="0"/>
      <w:divBdr>
        <w:top w:val="none" w:sz="0" w:space="0" w:color="auto"/>
        <w:left w:val="none" w:sz="0" w:space="0" w:color="auto"/>
        <w:bottom w:val="none" w:sz="0" w:space="0" w:color="auto"/>
        <w:right w:val="none" w:sz="0" w:space="0" w:color="auto"/>
      </w:divBdr>
    </w:div>
    <w:div w:id="1997029707">
      <w:bodyDiv w:val="1"/>
      <w:marLeft w:val="0"/>
      <w:marRight w:val="0"/>
      <w:marTop w:val="0"/>
      <w:marBottom w:val="0"/>
      <w:divBdr>
        <w:top w:val="none" w:sz="0" w:space="0" w:color="auto"/>
        <w:left w:val="none" w:sz="0" w:space="0" w:color="auto"/>
        <w:bottom w:val="none" w:sz="0" w:space="0" w:color="auto"/>
        <w:right w:val="none" w:sz="0" w:space="0" w:color="auto"/>
      </w:divBdr>
    </w:div>
    <w:div w:id="1997149439">
      <w:bodyDiv w:val="1"/>
      <w:marLeft w:val="0"/>
      <w:marRight w:val="0"/>
      <w:marTop w:val="0"/>
      <w:marBottom w:val="0"/>
      <w:divBdr>
        <w:top w:val="none" w:sz="0" w:space="0" w:color="auto"/>
        <w:left w:val="none" w:sz="0" w:space="0" w:color="auto"/>
        <w:bottom w:val="none" w:sz="0" w:space="0" w:color="auto"/>
        <w:right w:val="none" w:sz="0" w:space="0" w:color="auto"/>
      </w:divBdr>
    </w:div>
    <w:div w:id="1997341726">
      <w:bodyDiv w:val="1"/>
      <w:marLeft w:val="0"/>
      <w:marRight w:val="0"/>
      <w:marTop w:val="0"/>
      <w:marBottom w:val="0"/>
      <w:divBdr>
        <w:top w:val="none" w:sz="0" w:space="0" w:color="auto"/>
        <w:left w:val="none" w:sz="0" w:space="0" w:color="auto"/>
        <w:bottom w:val="none" w:sz="0" w:space="0" w:color="auto"/>
        <w:right w:val="none" w:sz="0" w:space="0" w:color="auto"/>
      </w:divBdr>
    </w:div>
    <w:div w:id="1997802666">
      <w:bodyDiv w:val="1"/>
      <w:marLeft w:val="0"/>
      <w:marRight w:val="0"/>
      <w:marTop w:val="0"/>
      <w:marBottom w:val="0"/>
      <w:divBdr>
        <w:top w:val="none" w:sz="0" w:space="0" w:color="auto"/>
        <w:left w:val="none" w:sz="0" w:space="0" w:color="auto"/>
        <w:bottom w:val="none" w:sz="0" w:space="0" w:color="auto"/>
        <w:right w:val="none" w:sz="0" w:space="0" w:color="auto"/>
      </w:divBdr>
    </w:div>
    <w:div w:id="1998798853">
      <w:bodyDiv w:val="1"/>
      <w:marLeft w:val="0"/>
      <w:marRight w:val="0"/>
      <w:marTop w:val="0"/>
      <w:marBottom w:val="0"/>
      <w:divBdr>
        <w:top w:val="none" w:sz="0" w:space="0" w:color="auto"/>
        <w:left w:val="none" w:sz="0" w:space="0" w:color="auto"/>
        <w:bottom w:val="none" w:sz="0" w:space="0" w:color="auto"/>
        <w:right w:val="none" w:sz="0" w:space="0" w:color="auto"/>
      </w:divBdr>
    </w:div>
    <w:div w:id="1999334577">
      <w:bodyDiv w:val="1"/>
      <w:marLeft w:val="0"/>
      <w:marRight w:val="0"/>
      <w:marTop w:val="0"/>
      <w:marBottom w:val="0"/>
      <w:divBdr>
        <w:top w:val="none" w:sz="0" w:space="0" w:color="auto"/>
        <w:left w:val="none" w:sz="0" w:space="0" w:color="auto"/>
        <w:bottom w:val="none" w:sz="0" w:space="0" w:color="auto"/>
        <w:right w:val="none" w:sz="0" w:space="0" w:color="auto"/>
      </w:divBdr>
    </w:div>
    <w:div w:id="2000302467">
      <w:bodyDiv w:val="1"/>
      <w:marLeft w:val="0"/>
      <w:marRight w:val="0"/>
      <w:marTop w:val="0"/>
      <w:marBottom w:val="0"/>
      <w:divBdr>
        <w:top w:val="none" w:sz="0" w:space="0" w:color="auto"/>
        <w:left w:val="none" w:sz="0" w:space="0" w:color="auto"/>
        <w:bottom w:val="none" w:sz="0" w:space="0" w:color="auto"/>
        <w:right w:val="none" w:sz="0" w:space="0" w:color="auto"/>
      </w:divBdr>
    </w:div>
    <w:div w:id="2002275693">
      <w:bodyDiv w:val="1"/>
      <w:marLeft w:val="0"/>
      <w:marRight w:val="0"/>
      <w:marTop w:val="0"/>
      <w:marBottom w:val="0"/>
      <w:divBdr>
        <w:top w:val="none" w:sz="0" w:space="0" w:color="auto"/>
        <w:left w:val="none" w:sz="0" w:space="0" w:color="auto"/>
        <w:bottom w:val="none" w:sz="0" w:space="0" w:color="auto"/>
        <w:right w:val="none" w:sz="0" w:space="0" w:color="auto"/>
      </w:divBdr>
      <w:divsChild>
        <w:div w:id="353192758">
          <w:marLeft w:val="0"/>
          <w:marRight w:val="0"/>
          <w:marTop w:val="0"/>
          <w:marBottom w:val="0"/>
          <w:divBdr>
            <w:top w:val="none" w:sz="0" w:space="0" w:color="auto"/>
            <w:left w:val="none" w:sz="0" w:space="0" w:color="auto"/>
            <w:bottom w:val="none" w:sz="0" w:space="0" w:color="auto"/>
            <w:right w:val="none" w:sz="0" w:space="0" w:color="auto"/>
          </w:divBdr>
        </w:div>
      </w:divsChild>
    </w:div>
    <w:div w:id="2004771902">
      <w:bodyDiv w:val="1"/>
      <w:marLeft w:val="0"/>
      <w:marRight w:val="0"/>
      <w:marTop w:val="0"/>
      <w:marBottom w:val="0"/>
      <w:divBdr>
        <w:top w:val="none" w:sz="0" w:space="0" w:color="auto"/>
        <w:left w:val="none" w:sz="0" w:space="0" w:color="auto"/>
        <w:bottom w:val="none" w:sz="0" w:space="0" w:color="auto"/>
        <w:right w:val="none" w:sz="0" w:space="0" w:color="auto"/>
      </w:divBdr>
    </w:div>
    <w:div w:id="2006325208">
      <w:bodyDiv w:val="1"/>
      <w:marLeft w:val="0"/>
      <w:marRight w:val="0"/>
      <w:marTop w:val="0"/>
      <w:marBottom w:val="0"/>
      <w:divBdr>
        <w:top w:val="none" w:sz="0" w:space="0" w:color="auto"/>
        <w:left w:val="none" w:sz="0" w:space="0" w:color="auto"/>
        <w:bottom w:val="none" w:sz="0" w:space="0" w:color="auto"/>
        <w:right w:val="none" w:sz="0" w:space="0" w:color="auto"/>
      </w:divBdr>
    </w:div>
    <w:div w:id="2006779449">
      <w:bodyDiv w:val="1"/>
      <w:marLeft w:val="0"/>
      <w:marRight w:val="0"/>
      <w:marTop w:val="0"/>
      <w:marBottom w:val="0"/>
      <w:divBdr>
        <w:top w:val="none" w:sz="0" w:space="0" w:color="auto"/>
        <w:left w:val="none" w:sz="0" w:space="0" w:color="auto"/>
        <w:bottom w:val="none" w:sz="0" w:space="0" w:color="auto"/>
        <w:right w:val="none" w:sz="0" w:space="0" w:color="auto"/>
      </w:divBdr>
    </w:div>
    <w:div w:id="2007391344">
      <w:bodyDiv w:val="1"/>
      <w:marLeft w:val="0"/>
      <w:marRight w:val="0"/>
      <w:marTop w:val="0"/>
      <w:marBottom w:val="0"/>
      <w:divBdr>
        <w:top w:val="none" w:sz="0" w:space="0" w:color="auto"/>
        <w:left w:val="none" w:sz="0" w:space="0" w:color="auto"/>
        <w:bottom w:val="none" w:sz="0" w:space="0" w:color="auto"/>
        <w:right w:val="none" w:sz="0" w:space="0" w:color="auto"/>
      </w:divBdr>
    </w:div>
    <w:div w:id="2008482298">
      <w:bodyDiv w:val="1"/>
      <w:marLeft w:val="0"/>
      <w:marRight w:val="0"/>
      <w:marTop w:val="0"/>
      <w:marBottom w:val="0"/>
      <w:divBdr>
        <w:top w:val="none" w:sz="0" w:space="0" w:color="auto"/>
        <w:left w:val="none" w:sz="0" w:space="0" w:color="auto"/>
        <w:bottom w:val="none" w:sz="0" w:space="0" w:color="auto"/>
        <w:right w:val="none" w:sz="0" w:space="0" w:color="auto"/>
      </w:divBdr>
    </w:div>
    <w:div w:id="2008513925">
      <w:bodyDiv w:val="1"/>
      <w:marLeft w:val="0"/>
      <w:marRight w:val="0"/>
      <w:marTop w:val="0"/>
      <w:marBottom w:val="0"/>
      <w:divBdr>
        <w:top w:val="none" w:sz="0" w:space="0" w:color="auto"/>
        <w:left w:val="none" w:sz="0" w:space="0" w:color="auto"/>
        <w:bottom w:val="none" w:sz="0" w:space="0" w:color="auto"/>
        <w:right w:val="none" w:sz="0" w:space="0" w:color="auto"/>
      </w:divBdr>
    </w:div>
    <w:div w:id="2009090679">
      <w:bodyDiv w:val="1"/>
      <w:marLeft w:val="0"/>
      <w:marRight w:val="0"/>
      <w:marTop w:val="0"/>
      <w:marBottom w:val="0"/>
      <w:divBdr>
        <w:top w:val="none" w:sz="0" w:space="0" w:color="auto"/>
        <w:left w:val="none" w:sz="0" w:space="0" w:color="auto"/>
        <w:bottom w:val="none" w:sz="0" w:space="0" w:color="auto"/>
        <w:right w:val="none" w:sz="0" w:space="0" w:color="auto"/>
      </w:divBdr>
    </w:div>
    <w:div w:id="2009554636">
      <w:bodyDiv w:val="1"/>
      <w:marLeft w:val="0"/>
      <w:marRight w:val="0"/>
      <w:marTop w:val="0"/>
      <w:marBottom w:val="0"/>
      <w:divBdr>
        <w:top w:val="none" w:sz="0" w:space="0" w:color="auto"/>
        <w:left w:val="none" w:sz="0" w:space="0" w:color="auto"/>
        <w:bottom w:val="none" w:sz="0" w:space="0" w:color="auto"/>
        <w:right w:val="none" w:sz="0" w:space="0" w:color="auto"/>
      </w:divBdr>
      <w:divsChild>
        <w:div w:id="888106525">
          <w:marLeft w:val="0"/>
          <w:marRight w:val="0"/>
          <w:marTop w:val="0"/>
          <w:marBottom w:val="0"/>
          <w:divBdr>
            <w:top w:val="none" w:sz="0" w:space="0" w:color="auto"/>
            <w:left w:val="none" w:sz="0" w:space="0" w:color="auto"/>
            <w:bottom w:val="none" w:sz="0" w:space="0" w:color="auto"/>
            <w:right w:val="none" w:sz="0" w:space="0" w:color="auto"/>
          </w:divBdr>
        </w:div>
      </w:divsChild>
    </w:div>
    <w:div w:id="2011129691">
      <w:bodyDiv w:val="1"/>
      <w:marLeft w:val="0"/>
      <w:marRight w:val="0"/>
      <w:marTop w:val="0"/>
      <w:marBottom w:val="0"/>
      <w:divBdr>
        <w:top w:val="none" w:sz="0" w:space="0" w:color="auto"/>
        <w:left w:val="none" w:sz="0" w:space="0" w:color="auto"/>
        <w:bottom w:val="none" w:sz="0" w:space="0" w:color="auto"/>
        <w:right w:val="none" w:sz="0" w:space="0" w:color="auto"/>
      </w:divBdr>
    </w:div>
    <w:div w:id="2011178210">
      <w:bodyDiv w:val="1"/>
      <w:marLeft w:val="0"/>
      <w:marRight w:val="0"/>
      <w:marTop w:val="0"/>
      <w:marBottom w:val="0"/>
      <w:divBdr>
        <w:top w:val="none" w:sz="0" w:space="0" w:color="auto"/>
        <w:left w:val="none" w:sz="0" w:space="0" w:color="auto"/>
        <w:bottom w:val="none" w:sz="0" w:space="0" w:color="auto"/>
        <w:right w:val="none" w:sz="0" w:space="0" w:color="auto"/>
      </w:divBdr>
      <w:divsChild>
        <w:div w:id="582956709">
          <w:marLeft w:val="0"/>
          <w:marRight w:val="0"/>
          <w:marTop w:val="0"/>
          <w:marBottom w:val="0"/>
          <w:divBdr>
            <w:top w:val="none" w:sz="0" w:space="0" w:color="auto"/>
            <w:left w:val="none" w:sz="0" w:space="0" w:color="auto"/>
            <w:bottom w:val="none" w:sz="0" w:space="0" w:color="auto"/>
            <w:right w:val="none" w:sz="0" w:space="0" w:color="auto"/>
          </w:divBdr>
        </w:div>
      </w:divsChild>
    </w:div>
    <w:div w:id="2013558608">
      <w:bodyDiv w:val="1"/>
      <w:marLeft w:val="0"/>
      <w:marRight w:val="0"/>
      <w:marTop w:val="0"/>
      <w:marBottom w:val="0"/>
      <w:divBdr>
        <w:top w:val="none" w:sz="0" w:space="0" w:color="auto"/>
        <w:left w:val="none" w:sz="0" w:space="0" w:color="auto"/>
        <w:bottom w:val="none" w:sz="0" w:space="0" w:color="auto"/>
        <w:right w:val="none" w:sz="0" w:space="0" w:color="auto"/>
      </w:divBdr>
      <w:divsChild>
        <w:div w:id="1049918803">
          <w:marLeft w:val="0"/>
          <w:marRight w:val="0"/>
          <w:marTop w:val="0"/>
          <w:marBottom w:val="0"/>
          <w:divBdr>
            <w:top w:val="none" w:sz="0" w:space="0" w:color="auto"/>
            <w:left w:val="none" w:sz="0" w:space="0" w:color="auto"/>
            <w:bottom w:val="none" w:sz="0" w:space="0" w:color="auto"/>
            <w:right w:val="none" w:sz="0" w:space="0" w:color="auto"/>
          </w:divBdr>
        </w:div>
      </w:divsChild>
    </w:div>
    <w:div w:id="2015260524">
      <w:bodyDiv w:val="1"/>
      <w:marLeft w:val="0"/>
      <w:marRight w:val="0"/>
      <w:marTop w:val="0"/>
      <w:marBottom w:val="0"/>
      <w:divBdr>
        <w:top w:val="none" w:sz="0" w:space="0" w:color="auto"/>
        <w:left w:val="none" w:sz="0" w:space="0" w:color="auto"/>
        <w:bottom w:val="none" w:sz="0" w:space="0" w:color="auto"/>
        <w:right w:val="none" w:sz="0" w:space="0" w:color="auto"/>
      </w:divBdr>
    </w:div>
    <w:div w:id="2016762665">
      <w:bodyDiv w:val="1"/>
      <w:marLeft w:val="0"/>
      <w:marRight w:val="0"/>
      <w:marTop w:val="0"/>
      <w:marBottom w:val="0"/>
      <w:divBdr>
        <w:top w:val="none" w:sz="0" w:space="0" w:color="auto"/>
        <w:left w:val="none" w:sz="0" w:space="0" w:color="auto"/>
        <w:bottom w:val="none" w:sz="0" w:space="0" w:color="auto"/>
        <w:right w:val="none" w:sz="0" w:space="0" w:color="auto"/>
      </w:divBdr>
    </w:div>
    <w:div w:id="2019043278">
      <w:bodyDiv w:val="1"/>
      <w:marLeft w:val="0"/>
      <w:marRight w:val="0"/>
      <w:marTop w:val="0"/>
      <w:marBottom w:val="0"/>
      <w:divBdr>
        <w:top w:val="none" w:sz="0" w:space="0" w:color="auto"/>
        <w:left w:val="none" w:sz="0" w:space="0" w:color="auto"/>
        <w:bottom w:val="none" w:sz="0" w:space="0" w:color="auto"/>
        <w:right w:val="none" w:sz="0" w:space="0" w:color="auto"/>
      </w:divBdr>
    </w:div>
    <w:div w:id="2019043498">
      <w:bodyDiv w:val="1"/>
      <w:marLeft w:val="0"/>
      <w:marRight w:val="0"/>
      <w:marTop w:val="0"/>
      <w:marBottom w:val="0"/>
      <w:divBdr>
        <w:top w:val="none" w:sz="0" w:space="0" w:color="auto"/>
        <w:left w:val="none" w:sz="0" w:space="0" w:color="auto"/>
        <w:bottom w:val="none" w:sz="0" w:space="0" w:color="auto"/>
        <w:right w:val="none" w:sz="0" w:space="0" w:color="auto"/>
      </w:divBdr>
    </w:div>
    <w:div w:id="2021816170">
      <w:bodyDiv w:val="1"/>
      <w:marLeft w:val="0"/>
      <w:marRight w:val="0"/>
      <w:marTop w:val="0"/>
      <w:marBottom w:val="0"/>
      <w:divBdr>
        <w:top w:val="none" w:sz="0" w:space="0" w:color="auto"/>
        <w:left w:val="none" w:sz="0" w:space="0" w:color="auto"/>
        <w:bottom w:val="none" w:sz="0" w:space="0" w:color="auto"/>
        <w:right w:val="none" w:sz="0" w:space="0" w:color="auto"/>
      </w:divBdr>
    </w:div>
    <w:div w:id="2021852978">
      <w:bodyDiv w:val="1"/>
      <w:marLeft w:val="0"/>
      <w:marRight w:val="0"/>
      <w:marTop w:val="0"/>
      <w:marBottom w:val="0"/>
      <w:divBdr>
        <w:top w:val="none" w:sz="0" w:space="0" w:color="auto"/>
        <w:left w:val="none" w:sz="0" w:space="0" w:color="auto"/>
        <w:bottom w:val="none" w:sz="0" w:space="0" w:color="auto"/>
        <w:right w:val="none" w:sz="0" w:space="0" w:color="auto"/>
      </w:divBdr>
    </w:div>
    <w:div w:id="2022734178">
      <w:bodyDiv w:val="1"/>
      <w:marLeft w:val="0"/>
      <w:marRight w:val="0"/>
      <w:marTop w:val="0"/>
      <w:marBottom w:val="0"/>
      <w:divBdr>
        <w:top w:val="none" w:sz="0" w:space="0" w:color="auto"/>
        <w:left w:val="none" w:sz="0" w:space="0" w:color="auto"/>
        <w:bottom w:val="none" w:sz="0" w:space="0" w:color="auto"/>
        <w:right w:val="none" w:sz="0" w:space="0" w:color="auto"/>
      </w:divBdr>
    </w:div>
    <w:div w:id="2022974624">
      <w:bodyDiv w:val="1"/>
      <w:marLeft w:val="0"/>
      <w:marRight w:val="0"/>
      <w:marTop w:val="0"/>
      <w:marBottom w:val="0"/>
      <w:divBdr>
        <w:top w:val="none" w:sz="0" w:space="0" w:color="auto"/>
        <w:left w:val="none" w:sz="0" w:space="0" w:color="auto"/>
        <w:bottom w:val="none" w:sz="0" w:space="0" w:color="auto"/>
        <w:right w:val="none" w:sz="0" w:space="0" w:color="auto"/>
      </w:divBdr>
    </w:div>
    <w:div w:id="2023623597">
      <w:bodyDiv w:val="1"/>
      <w:marLeft w:val="0"/>
      <w:marRight w:val="0"/>
      <w:marTop w:val="0"/>
      <w:marBottom w:val="0"/>
      <w:divBdr>
        <w:top w:val="none" w:sz="0" w:space="0" w:color="auto"/>
        <w:left w:val="none" w:sz="0" w:space="0" w:color="auto"/>
        <w:bottom w:val="none" w:sz="0" w:space="0" w:color="auto"/>
        <w:right w:val="none" w:sz="0" w:space="0" w:color="auto"/>
      </w:divBdr>
    </w:div>
    <w:div w:id="2025128943">
      <w:bodyDiv w:val="1"/>
      <w:marLeft w:val="0"/>
      <w:marRight w:val="0"/>
      <w:marTop w:val="0"/>
      <w:marBottom w:val="0"/>
      <w:divBdr>
        <w:top w:val="none" w:sz="0" w:space="0" w:color="auto"/>
        <w:left w:val="none" w:sz="0" w:space="0" w:color="auto"/>
        <w:bottom w:val="none" w:sz="0" w:space="0" w:color="auto"/>
        <w:right w:val="none" w:sz="0" w:space="0" w:color="auto"/>
      </w:divBdr>
    </w:div>
    <w:div w:id="2025356039">
      <w:bodyDiv w:val="1"/>
      <w:marLeft w:val="0"/>
      <w:marRight w:val="0"/>
      <w:marTop w:val="0"/>
      <w:marBottom w:val="0"/>
      <w:divBdr>
        <w:top w:val="none" w:sz="0" w:space="0" w:color="auto"/>
        <w:left w:val="none" w:sz="0" w:space="0" w:color="auto"/>
        <w:bottom w:val="none" w:sz="0" w:space="0" w:color="auto"/>
        <w:right w:val="none" w:sz="0" w:space="0" w:color="auto"/>
      </w:divBdr>
    </w:div>
    <w:div w:id="2026592188">
      <w:bodyDiv w:val="1"/>
      <w:marLeft w:val="0"/>
      <w:marRight w:val="0"/>
      <w:marTop w:val="0"/>
      <w:marBottom w:val="0"/>
      <w:divBdr>
        <w:top w:val="none" w:sz="0" w:space="0" w:color="auto"/>
        <w:left w:val="none" w:sz="0" w:space="0" w:color="auto"/>
        <w:bottom w:val="none" w:sz="0" w:space="0" w:color="auto"/>
        <w:right w:val="none" w:sz="0" w:space="0" w:color="auto"/>
      </w:divBdr>
    </w:div>
    <w:div w:id="2027975394">
      <w:bodyDiv w:val="1"/>
      <w:marLeft w:val="0"/>
      <w:marRight w:val="0"/>
      <w:marTop w:val="0"/>
      <w:marBottom w:val="0"/>
      <w:divBdr>
        <w:top w:val="none" w:sz="0" w:space="0" w:color="auto"/>
        <w:left w:val="none" w:sz="0" w:space="0" w:color="auto"/>
        <w:bottom w:val="none" w:sz="0" w:space="0" w:color="auto"/>
        <w:right w:val="none" w:sz="0" w:space="0" w:color="auto"/>
      </w:divBdr>
    </w:div>
    <w:div w:id="2028405297">
      <w:bodyDiv w:val="1"/>
      <w:marLeft w:val="0"/>
      <w:marRight w:val="0"/>
      <w:marTop w:val="0"/>
      <w:marBottom w:val="0"/>
      <w:divBdr>
        <w:top w:val="none" w:sz="0" w:space="0" w:color="auto"/>
        <w:left w:val="none" w:sz="0" w:space="0" w:color="auto"/>
        <w:bottom w:val="none" w:sz="0" w:space="0" w:color="auto"/>
        <w:right w:val="none" w:sz="0" w:space="0" w:color="auto"/>
      </w:divBdr>
    </w:div>
    <w:div w:id="2029211621">
      <w:bodyDiv w:val="1"/>
      <w:marLeft w:val="0"/>
      <w:marRight w:val="0"/>
      <w:marTop w:val="0"/>
      <w:marBottom w:val="0"/>
      <w:divBdr>
        <w:top w:val="none" w:sz="0" w:space="0" w:color="auto"/>
        <w:left w:val="none" w:sz="0" w:space="0" w:color="auto"/>
        <w:bottom w:val="none" w:sz="0" w:space="0" w:color="auto"/>
        <w:right w:val="none" w:sz="0" w:space="0" w:color="auto"/>
      </w:divBdr>
    </w:div>
    <w:div w:id="2029915462">
      <w:bodyDiv w:val="1"/>
      <w:marLeft w:val="0"/>
      <w:marRight w:val="0"/>
      <w:marTop w:val="0"/>
      <w:marBottom w:val="0"/>
      <w:divBdr>
        <w:top w:val="none" w:sz="0" w:space="0" w:color="auto"/>
        <w:left w:val="none" w:sz="0" w:space="0" w:color="auto"/>
        <w:bottom w:val="none" w:sz="0" w:space="0" w:color="auto"/>
        <w:right w:val="none" w:sz="0" w:space="0" w:color="auto"/>
      </w:divBdr>
    </w:div>
    <w:div w:id="2033483685">
      <w:bodyDiv w:val="1"/>
      <w:marLeft w:val="0"/>
      <w:marRight w:val="0"/>
      <w:marTop w:val="0"/>
      <w:marBottom w:val="0"/>
      <w:divBdr>
        <w:top w:val="none" w:sz="0" w:space="0" w:color="auto"/>
        <w:left w:val="none" w:sz="0" w:space="0" w:color="auto"/>
        <w:bottom w:val="none" w:sz="0" w:space="0" w:color="auto"/>
        <w:right w:val="none" w:sz="0" w:space="0" w:color="auto"/>
      </w:divBdr>
    </w:div>
    <w:div w:id="2038659108">
      <w:bodyDiv w:val="1"/>
      <w:marLeft w:val="0"/>
      <w:marRight w:val="0"/>
      <w:marTop w:val="0"/>
      <w:marBottom w:val="0"/>
      <w:divBdr>
        <w:top w:val="none" w:sz="0" w:space="0" w:color="auto"/>
        <w:left w:val="none" w:sz="0" w:space="0" w:color="auto"/>
        <w:bottom w:val="none" w:sz="0" w:space="0" w:color="auto"/>
        <w:right w:val="none" w:sz="0" w:space="0" w:color="auto"/>
      </w:divBdr>
    </w:div>
    <w:div w:id="2038701622">
      <w:bodyDiv w:val="1"/>
      <w:marLeft w:val="0"/>
      <w:marRight w:val="0"/>
      <w:marTop w:val="0"/>
      <w:marBottom w:val="0"/>
      <w:divBdr>
        <w:top w:val="none" w:sz="0" w:space="0" w:color="auto"/>
        <w:left w:val="none" w:sz="0" w:space="0" w:color="auto"/>
        <w:bottom w:val="none" w:sz="0" w:space="0" w:color="auto"/>
        <w:right w:val="none" w:sz="0" w:space="0" w:color="auto"/>
      </w:divBdr>
    </w:div>
    <w:div w:id="2039423857">
      <w:bodyDiv w:val="1"/>
      <w:marLeft w:val="0"/>
      <w:marRight w:val="0"/>
      <w:marTop w:val="0"/>
      <w:marBottom w:val="0"/>
      <w:divBdr>
        <w:top w:val="none" w:sz="0" w:space="0" w:color="auto"/>
        <w:left w:val="none" w:sz="0" w:space="0" w:color="auto"/>
        <w:bottom w:val="none" w:sz="0" w:space="0" w:color="auto"/>
        <w:right w:val="none" w:sz="0" w:space="0" w:color="auto"/>
      </w:divBdr>
    </w:div>
    <w:div w:id="2039507580">
      <w:bodyDiv w:val="1"/>
      <w:marLeft w:val="0"/>
      <w:marRight w:val="0"/>
      <w:marTop w:val="0"/>
      <w:marBottom w:val="0"/>
      <w:divBdr>
        <w:top w:val="none" w:sz="0" w:space="0" w:color="auto"/>
        <w:left w:val="none" w:sz="0" w:space="0" w:color="auto"/>
        <w:bottom w:val="none" w:sz="0" w:space="0" w:color="auto"/>
        <w:right w:val="none" w:sz="0" w:space="0" w:color="auto"/>
      </w:divBdr>
    </w:div>
    <w:div w:id="2041204367">
      <w:bodyDiv w:val="1"/>
      <w:marLeft w:val="0"/>
      <w:marRight w:val="0"/>
      <w:marTop w:val="0"/>
      <w:marBottom w:val="0"/>
      <w:divBdr>
        <w:top w:val="none" w:sz="0" w:space="0" w:color="auto"/>
        <w:left w:val="none" w:sz="0" w:space="0" w:color="auto"/>
        <w:bottom w:val="none" w:sz="0" w:space="0" w:color="auto"/>
        <w:right w:val="none" w:sz="0" w:space="0" w:color="auto"/>
      </w:divBdr>
    </w:div>
    <w:div w:id="2042129559">
      <w:bodyDiv w:val="1"/>
      <w:marLeft w:val="0"/>
      <w:marRight w:val="0"/>
      <w:marTop w:val="0"/>
      <w:marBottom w:val="0"/>
      <w:divBdr>
        <w:top w:val="none" w:sz="0" w:space="0" w:color="auto"/>
        <w:left w:val="none" w:sz="0" w:space="0" w:color="auto"/>
        <w:bottom w:val="none" w:sz="0" w:space="0" w:color="auto"/>
        <w:right w:val="none" w:sz="0" w:space="0" w:color="auto"/>
      </w:divBdr>
    </w:div>
    <w:div w:id="2042198784">
      <w:bodyDiv w:val="1"/>
      <w:marLeft w:val="0"/>
      <w:marRight w:val="0"/>
      <w:marTop w:val="0"/>
      <w:marBottom w:val="0"/>
      <w:divBdr>
        <w:top w:val="none" w:sz="0" w:space="0" w:color="auto"/>
        <w:left w:val="none" w:sz="0" w:space="0" w:color="auto"/>
        <w:bottom w:val="none" w:sz="0" w:space="0" w:color="auto"/>
        <w:right w:val="none" w:sz="0" w:space="0" w:color="auto"/>
      </w:divBdr>
    </w:div>
    <w:div w:id="2043676101">
      <w:bodyDiv w:val="1"/>
      <w:marLeft w:val="0"/>
      <w:marRight w:val="0"/>
      <w:marTop w:val="0"/>
      <w:marBottom w:val="0"/>
      <w:divBdr>
        <w:top w:val="none" w:sz="0" w:space="0" w:color="auto"/>
        <w:left w:val="none" w:sz="0" w:space="0" w:color="auto"/>
        <w:bottom w:val="none" w:sz="0" w:space="0" w:color="auto"/>
        <w:right w:val="none" w:sz="0" w:space="0" w:color="auto"/>
      </w:divBdr>
    </w:div>
    <w:div w:id="2045328217">
      <w:bodyDiv w:val="1"/>
      <w:marLeft w:val="0"/>
      <w:marRight w:val="0"/>
      <w:marTop w:val="0"/>
      <w:marBottom w:val="0"/>
      <w:divBdr>
        <w:top w:val="none" w:sz="0" w:space="0" w:color="auto"/>
        <w:left w:val="none" w:sz="0" w:space="0" w:color="auto"/>
        <w:bottom w:val="none" w:sz="0" w:space="0" w:color="auto"/>
        <w:right w:val="none" w:sz="0" w:space="0" w:color="auto"/>
      </w:divBdr>
    </w:div>
    <w:div w:id="2045399695">
      <w:bodyDiv w:val="1"/>
      <w:marLeft w:val="0"/>
      <w:marRight w:val="0"/>
      <w:marTop w:val="0"/>
      <w:marBottom w:val="0"/>
      <w:divBdr>
        <w:top w:val="none" w:sz="0" w:space="0" w:color="auto"/>
        <w:left w:val="none" w:sz="0" w:space="0" w:color="auto"/>
        <w:bottom w:val="none" w:sz="0" w:space="0" w:color="auto"/>
        <w:right w:val="none" w:sz="0" w:space="0" w:color="auto"/>
      </w:divBdr>
    </w:div>
    <w:div w:id="2045864839">
      <w:bodyDiv w:val="1"/>
      <w:marLeft w:val="0"/>
      <w:marRight w:val="0"/>
      <w:marTop w:val="0"/>
      <w:marBottom w:val="0"/>
      <w:divBdr>
        <w:top w:val="none" w:sz="0" w:space="0" w:color="auto"/>
        <w:left w:val="none" w:sz="0" w:space="0" w:color="auto"/>
        <w:bottom w:val="none" w:sz="0" w:space="0" w:color="auto"/>
        <w:right w:val="none" w:sz="0" w:space="0" w:color="auto"/>
      </w:divBdr>
    </w:div>
    <w:div w:id="2045865831">
      <w:bodyDiv w:val="1"/>
      <w:marLeft w:val="0"/>
      <w:marRight w:val="0"/>
      <w:marTop w:val="0"/>
      <w:marBottom w:val="0"/>
      <w:divBdr>
        <w:top w:val="none" w:sz="0" w:space="0" w:color="auto"/>
        <w:left w:val="none" w:sz="0" w:space="0" w:color="auto"/>
        <w:bottom w:val="none" w:sz="0" w:space="0" w:color="auto"/>
        <w:right w:val="none" w:sz="0" w:space="0" w:color="auto"/>
      </w:divBdr>
    </w:div>
    <w:div w:id="2045905260">
      <w:bodyDiv w:val="1"/>
      <w:marLeft w:val="0"/>
      <w:marRight w:val="0"/>
      <w:marTop w:val="0"/>
      <w:marBottom w:val="0"/>
      <w:divBdr>
        <w:top w:val="none" w:sz="0" w:space="0" w:color="auto"/>
        <w:left w:val="none" w:sz="0" w:space="0" w:color="auto"/>
        <w:bottom w:val="none" w:sz="0" w:space="0" w:color="auto"/>
        <w:right w:val="none" w:sz="0" w:space="0" w:color="auto"/>
      </w:divBdr>
    </w:div>
    <w:div w:id="2046101851">
      <w:bodyDiv w:val="1"/>
      <w:marLeft w:val="0"/>
      <w:marRight w:val="0"/>
      <w:marTop w:val="0"/>
      <w:marBottom w:val="0"/>
      <w:divBdr>
        <w:top w:val="none" w:sz="0" w:space="0" w:color="auto"/>
        <w:left w:val="none" w:sz="0" w:space="0" w:color="auto"/>
        <w:bottom w:val="none" w:sz="0" w:space="0" w:color="auto"/>
        <w:right w:val="none" w:sz="0" w:space="0" w:color="auto"/>
      </w:divBdr>
    </w:div>
    <w:div w:id="2046563648">
      <w:bodyDiv w:val="1"/>
      <w:marLeft w:val="0"/>
      <w:marRight w:val="0"/>
      <w:marTop w:val="0"/>
      <w:marBottom w:val="0"/>
      <w:divBdr>
        <w:top w:val="none" w:sz="0" w:space="0" w:color="auto"/>
        <w:left w:val="none" w:sz="0" w:space="0" w:color="auto"/>
        <w:bottom w:val="none" w:sz="0" w:space="0" w:color="auto"/>
        <w:right w:val="none" w:sz="0" w:space="0" w:color="auto"/>
      </w:divBdr>
    </w:div>
    <w:div w:id="2049137920">
      <w:bodyDiv w:val="1"/>
      <w:marLeft w:val="0"/>
      <w:marRight w:val="0"/>
      <w:marTop w:val="0"/>
      <w:marBottom w:val="0"/>
      <w:divBdr>
        <w:top w:val="none" w:sz="0" w:space="0" w:color="auto"/>
        <w:left w:val="none" w:sz="0" w:space="0" w:color="auto"/>
        <w:bottom w:val="none" w:sz="0" w:space="0" w:color="auto"/>
        <w:right w:val="none" w:sz="0" w:space="0" w:color="auto"/>
      </w:divBdr>
    </w:div>
    <w:div w:id="2051488264">
      <w:bodyDiv w:val="1"/>
      <w:marLeft w:val="0"/>
      <w:marRight w:val="0"/>
      <w:marTop w:val="0"/>
      <w:marBottom w:val="0"/>
      <w:divBdr>
        <w:top w:val="none" w:sz="0" w:space="0" w:color="auto"/>
        <w:left w:val="none" w:sz="0" w:space="0" w:color="auto"/>
        <w:bottom w:val="none" w:sz="0" w:space="0" w:color="auto"/>
        <w:right w:val="none" w:sz="0" w:space="0" w:color="auto"/>
      </w:divBdr>
    </w:div>
    <w:div w:id="2055231755">
      <w:bodyDiv w:val="1"/>
      <w:marLeft w:val="0"/>
      <w:marRight w:val="0"/>
      <w:marTop w:val="0"/>
      <w:marBottom w:val="0"/>
      <w:divBdr>
        <w:top w:val="none" w:sz="0" w:space="0" w:color="auto"/>
        <w:left w:val="none" w:sz="0" w:space="0" w:color="auto"/>
        <w:bottom w:val="none" w:sz="0" w:space="0" w:color="auto"/>
        <w:right w:val="none" w:sz="0" w:space="0" w:color="auto"/>
      </w:divBdr>
    </w:div>
    <w:div w:id="2055496084">
      <w:bodyDiv w:val="1"/>
      <w:marLeft w:val="0"/>
      <w:marRight w:val="0"/>
      <w:marTop w:val="0"/>
      <w:marBottom w:val="0"/>
      <w:divBdr>
        <w:top w:val="none" w:sz="0" w:space="0" w:color="auto"/>
        <w:left w:val="none" w:sz="0" w:space="0" w:color="auto"/>
        <w:bottom w:val="none" w:sz="0" w:space="0" w:color="auto"/>
        <w:right w:val="none" w:sz="0" w:space="0" w:color="auto"/>
      </w:divBdr>
    </w:div>
    <w:div w:id="2056419819">
      <w:bodyDiv w:val="1"/>
      <w:marLeft w:val="0"/>
      <w:marRight w:val="0"/>
      <w:marTop w:val="0"/>
      <w:marBottom w:val="0"/>
      <w:divBdr>
        <w:top w:val="none" w:sz="0" w:space="0" w:color="auto"/>
        <w:left w:val="none" w:sz="0" w:space="0" w:color="auto"/>
        <w:bottom w:val="none" w:sz="0" w:space="0" w:color="auto"/>
        <w:right w:val="none" w:sz="0" w:space="0" w:color="auto"/>
      </w:divBdr>
      <w:divsChild>
        <w:div w:id="1944921294">
          <w:marLeft w:val="0"/>
          <w:marRight w:val="0"/>
          <w:marTop w:val="0"/>
          <w:marBottom w:val="0"/>
          <w:divBdr>
            <w:top w:val="none" w:sz="0" w:space="0" w:color="auto"/>
            <w:left w:val="none" w:sz="0" w:space="0" w:color="auto"/>
            <w:bottom w:val="none" w:sz="0" w:space="0" w:color="auto"/>
            <w:right w:val="none" w:sz="0" w:space="0" w:color="auto"/>
          </w:divBdr>
          <w:divsChild>
            <w:div w:id="140000904">
              <w:marLeft w:val="0"/>
              <w:marRight w:val="0"/>
              <w:marTop w:val="0"/>
              <w:marBottom w:val="0"/>
              <w:divBdr>
                <w:top w:val="none" w:sz="0" w:space="0" w:color="auto"/>
                <w:left w:val="none" w:sz="0" w:space="0" w:color="auto"/>
                <w:bottom w:val="none" w:sz="0" w:space="0" w:color="auto"/>
                <w:right w:val="none" w:sz="0" w:space="0" w:color="auto"/>
              </w:divBdr>
              <w:divsChild>
                <w:div w:id="869218838">
                  <w:marLeft w:val="0"/>
                  <w:marRight w:val="0"/>
                  <w:marTop w:val="0"/>
                  <w:marBottom w:val="0"/>
                  <w:divBdr>
                    <w:top w:val="none" w:sz="0" w:space="0" w:color="auto"/>
                    <w:left w:val="none" w:sz="0" w:space="0" w:color="auto"/>
                    <w:bottom w:val="none" w:sz="0" w:space="0" w:color="auto"/>
                    <w:right w:val="none" w:sz="0" w:space="0" w:color="auto"/>
                  </w:divBdr>
                  <w:divsChild>
                    <w:div w:id="147793770">
                      <w:marLeft w:val="0"/>
                      <w:marRight w:val="0"/>
                      <w:marTop w:val="0"/>
                      <w:marBottom w:val="0"/>
                      <w:divBdr>
                        <w:top w:val="none" w:sz="0" w:space="0" w:color="auto"/>
                        <w:left w:val="none" w:sz="0" w:space="0" w:color="auto"/>
                        <w:bottom w:val="none" w:sz="0" w:space="0" w:color="auto"/>
                        <w:right w:val="none" w:sz="0" w:space="0" w:color="auto"/>
                      </w:divBdr>
                      <w:divsChild>
                        <w:div w:id="1959021567">
                          <w:marLeft w:val="0"/>
                          <w:marRight w:val="0"/>
                          <w:marTop w:val="0"/>
                          <w:marBottom w:val="0"/>
                          <w:divBdr>
                            <w:top w:val="none" w:sz="0" w:space="0" w:color="auto"/>
                            <w:left w:val="none" w:sz="0" w:space="0" w:color="auto"/>
                            <w:bottom w:val="none" w:sz="0" w:space="0" w:color="auto"/>
                            <w:right w:val="none" w:sz="0" w:space="0" w:color="auto"/>
                          </w:divBdr>
                          <w:divsChild>
                            <w:div w:id="1246768988">
                              <w:marLeft w:val="0"/>
                              <w:marRight w:val="0"/>
                              <w:marTop w:val="0"/>
                              <w:marBottom w:val="0"/>
                              <w:divBdr>
                                <w:top w:val="none" w:sz="0" w:space="0" w:color="auto"/>
                                <w:left w:val="none" w:sz="0" w:space="0" w:color="auto"/>
                                <w:bottom w:val="none" w:sz="0" w:space="0" w:color="auto"/>
                                <w:right w:val="none" w:sz="0" w:space="0" w:color="auto"/>
                              </w:divBdr>
                              <w:divsChild>
                                <w:div w:id="113719448">
                                  <w:marLeft w:val="0"/>
                                  <w:marRight w:val="0"/>
                                  <w:marTop w:val="0"/>
                                  <w:marBottom w:val="0"/>
                                  <w:divBdr>
                                    <w:top w:val="none" w:sz="0" w:space="0" w:color="auto"/>
                                    <w:left w:val="none" w:sz="0" w:space="0" w:color="auto"/>
                                    <w:bottom w:val="none" w:sz="0" w:space="0" w:color="auto"/>
                                    <w:right w:val="none" w:sz="0" w:space="0" w:color="auto"/>
                                  </w:divBdr>
                                  <w:divsChild>
                                    <w:div w:id="1199780240">
                                      <w:marLeft w:val="0"/>
                                      <w:marRight w:val="0"/>
                                      <w:marTop w:val="0"/>
                                      <w:marBottom w:val="0"/>
                                      <w:divBdr>
                                        <w:top w:val="none" w:sz="0" w:space="0" w:color="auto"/>
                                        <w:left w:val="none" w:sz="0" w:space="0" w:color="auto"/>
                                        <w:bottom w:val="none" w:sz="0" w:space="0" w:color="auto"/>
                                        <w:right w:val="none" w:sz="0" w:space="0" w:color="auto"/>
                                      </w:divBdr>
                                      <w:divsChild>
                                        <w:div w:id="1407535114">
                                          <w:marLeft w:val="0"/>
                                          <w:marRight w:val="0"/>
                                          <w:marTop w:val="0"/>
                                          <w:marBottom w:val="0"/>
                                          <w:divBdr>
                                            <w:top w:val="none" w:sz="0" w:space="0" w:color="auto"/>
                                            <w:left w:val="none" w:sz="0" w:space="0" w:color="auto"/>
                                            <w:bottom w:val="none" w:sz="0" w:space="0" w:color="auto"/>
                                            <w:right w:val="none" w:sz="0" w:space="0" w:color="auto"/>
                                          </w:divBdr>
                                          <w:divsChild>
                                            <w:div w:id="1170290130">
                                              <w:marLeft w:val="0"/>
                                              <w:marRight w:val="0"/>
                                              <w:marTop w:val="0"/>
                                              <w:marBottom w:val="0"/>
                                              <w:divBdr>
                                                <w:top w:val="none" w:sz="0" w:space="0" w:color="auto"/>
                                                <w:left w:val="none" w:sz="0" w:space="0" w:color="auto"/>
                                                <w:bottom w:val="none" w:sz="0" w:space="0" w:color="auto"/>
                                                <w:right w:val="none" w:sz="0" w:space="0" w:color="auto"/>
                                              </w:divBdr>
                                              <w:divsChild>
                                                <w:div w:id="171802104">
                                                  <w:marLeft w:val="0"/>
                                                  <w:marRight w:val="0"/>
                                                  <w:marTop w:val="0"/>
                                                  <w:marBottom w:val="0"/>
                                                  <w:divBdr>
                                                    <w:top w:val="none" w:sz="0" w:space="0" w:color="auto"/>
                                                    <w:left w:val="none" w:sz="0" w:space="0" w:color="auto"/>
                                                    <w:bottom w:val="none" w:sz="0" w:space="0" w:color="auto"/>
                                                    <w:right w:val="none" w:sz="0" w:space="0" w:color="auto"/>
                                                  </w:divBdr>
                                                  <w:divsChild>
                                                    <w:div w:id="1473519435">
                                                      <w:marLeft w:val="0"/>
                                                      <w:marRight w:val="0"/>
                                                      <w:marTop w:val="0"/>
                                                      <w:marBottom w:val="0"/>
                                                      <w:divBdr>
                                                        <w:top w:val="none" w:sz="0" w:space="0" w:color="auto"/>
                                                        <w:left w:val="none" w:sz="0" w:space="0" w:color="auto"/>
                                                        <w:bottom w:val="none" w:sz="0" w:space="0" w:color="auto"/>
                                                        <w:right w:val="none" w:sz="0" w:space="0" w:color="auto"/>
                                                      </w:divBdr>
                                                      <w:divsChild>
                                                        <w:div w:id="203296624">
                                                          <w:marLeft w:val="0"/>
                                                          <w:marRight w:val="0"/>
                                                          <w:marTop w:val="0"/>
                                                          <w:marBottom w:val="0"/>
                                                          <w:divBdr>
                                                            <w:top w:val="none" w:sz="0" w:space="0" w:color="auto"/>
                                                            <w:left w:val="none" w:sz="0" w:space="0" w:color="auto"/>
                                                            <w:bottom w:val="none" w:sz="0" w:space="0" w:color="auto"/>
                                                            <w:right w:val="none" w:sz="0" w:space="0" w:color="auto"/>
                                                          </w:divBdr>
                                                          <w:divsChild>
                                                            <w:div w:id="1492676232">
                                                              <w:marLeft w:val="0"/>
                                                              <w:marRight w:val="0"/>
                                                              <w:marTop w:val="0"/>
                                                              <w:marBottom w:val="0"/>
                                                              <w:divBdr>
                                                                <w:top w:val="none" w:sz="0" w:space="0" w:color="auto"/>
                                                                <w:left w:val="none" w:sz="0" w:space="0" w:color="auto"/>
                                                                <w:bottom w:val="none" w:sz="0" w:space="0" w:color="auto"/>
                                                                <w:right w:val="none" w:sz="0" w:space="0" w:color="auto"/>
                                                              </w:divBdr>
                                                              <w:divsChild>
                                                                <w:div w:id="737018552">
                                                                  <w:marLeft w:val="0"/>
                                                                  <w:marRight w:val="0"/>
                                                                  <w:marTop w:val="0"/>
                                                                  <w:marBottom w:val="0"/>
                                                                  <w:divBdr>
                                                                    <w:top w:val="none" w:sz="0" w:space="0" w:color="auto"/>
                                                                    <w:left w:val="none" w:sz="0" w:space="0" w:color="auto"/>
                                                                    <w:bottom w:val="none" w:sz="0" w:space="0" w:color="auto"/>
                                                                    <w:right w:val="none" w:sz="0" w:space="0" w:color="auto"/>
                                                                  </w:divBdr>
                                                                  <w:divsChild>
                                                                    <w:div w:id="207369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6467963">
      <w:bodyDiv w:val="1"/>
      <w:marLeft w:val="0"/>
      <w:marRight w:val="0"/>
      <w:marTop w:val="0"/>
      <w:marBottom w:val="0"/>
      <w:divBdr>
        <w:top w:val="none" w:sz="0" w:space="0" w:color="auto"/>
        <w:left w:val="none" w:sz="0" w:space="0" w:color="auto"/>
        <w:bottom w:val="none" w:sz="0" w:space="0" w:color="auto"/>
        <w:right w:val="none" w:sz="0" w:space="0" w:color="auto"/>
      </w:divBdr>
    </w:div>
    <w:div w:id="2057048070">
      <w:bodyDiv w:val="1"/>
      <w:marLeft w:val="0"/>
      <w:marRight w:val="0"/>
      <w:marTop w:val="0"/>
      <w:marBottom w:val="0"/>
      <w:divBdr>
        <w:top w:val="none" w:sz="0" w:space="0" w:color="auto"/>
        <w:left w:val="none" w:sz="0" w:space="0" w:color="auto"/>
        <w:bottom w:val="none" w:sz="0" w:space="0" w:color="auto"/>
        <w:right w:val="none" w:sz="0" w:space="0" w:color="auto"/>
      </w:divBdr>
    </w:div>
    <w:div w:id="2059625977">
      <w:bodyDiv w:val="1"/>
      <w:marLeft w:val="0"/>
      <w:marRight w:val="0"/>
      <w:marTop w:val="0"/>
      <w:marBottom w:val="0"/>
      <w:divBdr>
        <w:top w:val="none" w:sz="0" w:space="0" w:color="auto"/>
        <w:left w:val="none" w:sz="0" w:space="0" w:color="auto"/>
        <w:bottom w:val="none" w:sz="0" w:space="0" w:color="auto"/>
        <w:right w:val="none" w:sz="0" w:space="0" w:color="auto"/>
      </w:divBdr>
    </w:div>
    <w:div w:id="2064785836">
      <w:bodyDiv w:val="1"/>
      <w:marLeft w:val="0"/>
      <w:marRight w:val="0"/>
      <w:marTop w:val="0"/>
      <w:marBottom w:val="0"/>
      <w:divBdr>
        <w:top w:val="none" w:sz="0" w:space="0" w:color="auto"/>
        <w:left w:val="none" w:sz="0" w:space="0" w:color="auto"/>
        <w:bottom w:val="none" w:sz="0" w:space="0" w:color="auto"/>
        <w:right w:val="none" w:sz="0" w:space="0" w:color="auto"/>
      </w:divBdr>
    </w:div>
    <w:div w:id="2065056447">
      <w:bodyDiv w:val="1"/>
      <w:marLeft w:val="0"/>
      <w:marRight w:val="0"/>
      <w:marTop w:val="0"/>
      <w:marBottom w:val="0"/>
      <w:divBdr>
        <w:top w:val="none" w:sz="0" w:space="0" w:color="auto"/>
        <w:left w:val="none" w:sz="0" w:space="0" w:color="auto"/>
        <w:bottom w:val="none" w:sz="0" w:space="0" w:color="auto"/>
        <w:right w:val="none" w:sz="0" w:space="0" w:color="auto"/>
      </w:divBdr>
    </w:div>
    <w:div w:id="2065520261">
      <w:bodyDiv w:val="1"/>
      <w:marLeft w:val="0"/>
      <w:marRight w:val="0"/>
      <w:marTop w:val="0"/>
      <w:marBottom w:val="0"/>
      <w:divBdr>
        <w:top w:val="none" w:sz="0" w:space="0" w:color="auto"/>
        <w:left w:val="none" w:sz="0" w:space="0" w:color="auto"/>
        <w:bottom w:val="none" w:sz="0" w:space="0" w:color="auto"/>
        <w:right w:val="none" w:sz="0" w:space="0" w:color="auto"/>
      </w:divBdr>
    </w:div>
    <w:div w:id="2065792329">
      <w:bodyDiv w:val="1"/>
      <w:marLeft w:val="0"/>
      <w:marRight w:val="0"/>
      <w:marTop w:val="0"/>
      <w:marBottom w:val="0"/>
      <w:divBdr>
        <w:top w:val="none" w:sz="0" w:space="0" w:color="auto"/>
        <w:left w:val="none" w:sz="0" w:space="0" w:color="auto"/>
        <w:bottom w:val="none" w:sz="0" w:space="0" w:color="auto"/>
        <w:right w:val="none" w:sz="0" w:space="0" w:color="auto"/>
      </w:divBdr>
    </w:div>
    <w:div w:id="2067560570">
      <w:bodyDiv w:val="1"/>
      <w:marLeft w:val="0"/>
      <w:marRight w:val="0"/>
      <w:marTop w:val="0"/>
      <w:marBottom w:val="0"/>
      <w:divBdr>
        <w:top w:val="none" w:sz="0" w:space="0" w:color="auto"/>
        <w:left w:val="none" w:sz="0" w:space="0" w:color="auto"/>
        <w:bottom w:val="none" w:sz="0" w:space="0" w:color="auto"/>
        <w:right w:val="none" w:sz="0" w:space="0" w:color="auto"/>
      </w:divBdr>
    </w:div>
    <w:div w:id="2067753807">
      <w:bodyDiv w:val="1"/>
      <w:marLeft w:val="0"/>
      <w:marRight w:val="0"/>
      <w:marTop w:val="0"/>
      <w:marBottom w:val="0"/>
      <w:divBdr>
        <w:top w:val="none" w:sz="0" w:space="0" w:color="auto"/>
        <w:left w:val="none" w:sz="0" w:space="0" w:color="auto"/>
        <w:bottom w:val="none" w:sz="0" w:space="0" w:color="auto"/>
        <w:right w:val="none" w:sz="0" w:space="0" w:color="auto"/>
      </w:divBdr>
    </w:div>
    <w:div w:id="2068066640">
      <w:bodyDiv w:val="1"/>
      <w:marLeft w:val="0"/>
      <w:marRight w:val="0"/>
      <w:marTop w:val="0"/>
      <w:marBottom w:val="0"/>
      <w:divBdr>
        <w:top w:val="none" w:sz="0" w:space="0" w:color="auto"/>
        <w:left w:val="none" w:sz="0" w:space="0" w:color="auto"/>
        <w:bottom w:val="none" w:sz="0" w:space="0" w:color="auto"/>
        <w:right w:val="none" w:sz="0" w:space="0" w:color="auto"/>
      </w:divBdr>
    </w:div>
    <w:div w:id="2069961443">
      <w:bodyDiv w:val="1"/>
      <w:marLeft w:val="0"/>
      <w:marRight w:val="0"/>
      <w:marTop w:val="0"/>
      <w:marBottom w:val="0"/>
      <w:divBdr>
        <w:top w:val="none" w:sz="0" w:space="0" w:color="auto"/>
        <w:left w:val="none" w:sz="0" w:space="0" w:color="auto"/>
        <w:bottom w:val="none" w:sz="0" w:space="0" w:color="auto"/>
        <w:right w:val="none" w:sz="0" w:space="0" w:color="auto"/>
      </w:divBdr>
      <w:divsChild>
        <w:div w:id="549457817">
          <w:marLeft w:val="0"/>
          <w:marRight w:val="0"/>
          <w:marTop w:val="0"/>
          <w:marBottom w:val="0"/>
          <w:divBdr>
            <w:top w:val="none" w:sz="0" w:space="0" w:color="auto"/>
            <w:left w:val="none" w:sz="0" w:space="0" w:color="auto"/>
            <w:bottom w:val="none" w:sz="0" w:space="0" w:color="auto"/>
            <w:right w:val="none" w:sz="0" w:space="0" w:color="auto"/>
          </w:divBdr>
        </w:div>
      </w:divsChild>
    </w:div>
    <w:div w:id="2072969341">
      <w:bodyDiv w:val="1"/>
      <w:marLeft w:val="0"/>
      <w:marRight w:val="0"/>
      <w:marTop w:val="0"/>
      <w:marBottom w:val="0"/>
      <w:divBdr>
        <w:top w:val="none" w:sz="0" w:space="0" w:color="auto"/>
        <w:left w:val="none" w:sz="0" w:space="0" w:color="auto"/>
        <w:bottom w:val="none" w:sz="0" w:space="0" w:color="auto"/>
        <w:right w:val="none" w:sz="0" w:space="0" w:color="auto"/>
      </w:divBdr>
    </w:div>
    <w:div w:id="2073580622">
      <w:bodyDiv w:val="1"/>
      <w:marLeft w:val="0"/>
      <w:marRight w:val="0"/>
      <w:marTop w:val="0"/>
      <w:marBottom w:val="0"/>
      <w:divBdr>
        <w:top w:val="none" w:sz="0" w:space="0" w:color="auto"/>
        <w:left w:val="none" w:sz="0" w:space="0" w:color="auto"/>
        <w:bottom w:val="none" w:sz="0" w:space="0" w:color="auto"/>
        <w:right w:val="none" w:sz="0" w:space="0" w:color="auto"/>
      </w:divBdr>
    </w:div>
    <w:div w:id="2075395317">
      <w:bodyDiv w:val="1"/>
      <w:marLeft w:val="0"/>
      <w:marRight w:val="0"/>
      <w:marTop w:val="0"/>
      <w:marBottom w:val="0"/>
      <w:divBdr>
        <w:top w:val="none" w:sz="0" w:space="0" w:color="auto"/>
        <w:left w:val="none" w:sz="0" w:space="0" w:color="auto"/>
        <w:bottom w:val="none" w:sz="0" w:space="0" w:color="auto"/>
        <w:right w:val="none" w:sz="0" w:space="0" w:color="auto"/>
      </w:divBdr>
    </w:div>
    <w:div w:id="2075664669">
      <w:bodyDiv w:val="1"/>
      <w:marLeft w:val="0"/>
      <w:marRight w:val="0"/>
      <w:marTop w:val="0"/>
      <w:marBottom w:val="0"/>
      <w:divBdr>
        <w:top w:val="none" w:sz="0" w:space="0" w:color="auto"/>
        <w:left w:val="none" w:sz="0" w:space="0" w:color="auto"/>
        <w:bottom w:val="none" w:sz="0" w:space="0" w:color="auto"/>
        <w:right w:val="none" w:sz="0" w:space="0" w:color="auto"/>
      </w:divBdr>
    </w:div>
    <w:div w:id="2078359648">
      <w:bodyDiv w:val="1"/>
      <w:marLeft w:val="0"/>
      <w:marRight w:val="0"/>
      <w:marTop w:val="0"/>
      <w:marBottom w:val="0"/>
      <w:divBdr>
        <w:top w:val="none" w:sz="0" w:space="0" w:color="auto"/>
        <w:left w:val="none" w:sz="0" w:space="0" w:color="auto"/>
        <w:bottom w:val="none" w:sz="0" w:space="0" w:color="auto"/>
        <w:right w:val="none" w:sz="0" w:space="0" w:color="auto"/>
      </w:divBdr>
    </w:div>
    <w:div w:id="2078631442">
      <w:bodyDiv w:val="1"/>
      <w:marLeft w:val="0"/>
      <w:marRight w:val="0"/>
      <w:marTop w:val="0"/>
      <w:marBottom w:val="0"/>
      <w:divBdr>
        <w:top w:val="none" w:sz="0" w:space="0" w:color="auto"/>
        <w:left w:val="none" w:sz="0" w:space="0" w:color="auto"/>
        <w:bottom w:val="none" w:sz="0" w:space="0" w:color="auto"/>
        <w:right w:val="none" w:sz="0" w:space="0" w:color="auto"/>
      </w:divBdr>
    </w:div>
    <w:div w:id="2079085599">
      <w:bodyDiv w:val="1"/>
      <w:marLeft w:val="0"/>
      <w:marRight w:val="0"/>
      <w:marTop w:val="0"/>
      <w:marBottom w:val="0"/>
      <w:divBdr>
        <w:top w:val="none" w:sz="0" w:space="0" w:color="auto"/>
        <w:left w:val="none" w:sz="0" w:space="0" w:color="auto"/>
        <w:bottom w:val="none" w:sz="0" w:space="0" w:color="auto"/>
        <w:right w:val="none" w:sz="0" w:space="0" w:color="auto"/>
      </w:divBdr>
    </w:div>
    <w:div w:id="2080324057">
      <w:bodyDiv w:val="1"/>
      <w:marLeft w:val="0"/>
      <w:marRight w:val="0"/>
      <w:marTop w:val="0"/>
      <w:marBottom w:val="0"/>
      <w:divBdr>
        <w:top w:val="none" w:sz="0" w:space="0" w:color="auto"/>
        <w:left w:val="none" w:sz="0" w:space="0" w:color="auto"/>
        <w:bottom w:val="none" w:sz="0" w:space="0" w:color="auto"/>
        <w:right w:val="none" w:sz="0" w:space="0" w:color="auto"/>
      </w:divBdr>
    </w:div>
    <w:div w:id="2080665938">
      <w:bodyDiv w:val="1"/>
      <w:marLeft w:val="0"/>
      <w:marRight w:val="0"/>
      <w:marTop w:val="0"/>
      <w:marBottom w:val="0"/>
      <w:divBdr>
        <w:top w:val="none" w:sz="0" w:space="0" w:color="auto"/>
        <w:left w:val="none" w:sz="0" w:space="0" w:color="auto"/>
        <w:bottom w:val="none" w:sz="0" w:space="0" w:color="auto"/>
        <w:right w:val="none" w:sz="0" w:space="0" w:color="auto"/>
      </w:divBdr>
    </w:div>
    <w:div w:id="2082217211">
      <w:bodyDiv w:val="1"/>
      <w:marLeft w:val="0"/>
      <w:marRight w:val="0"/>
      <w:marTop w:val="0"/>
      <w:marBottom w:val="0"/>
      <w:divBdr>
        <w:top w:val="none" w:sz="0" w:space="0" w:color="auto"/>
        <w:left w:val="none" w:sz="0" w:space="0" w:color="auto"/>
        <w:bottom w:val="none" w:sz="0" w:space="0" w:color="auto"/>
        <w:right w:val="none" w:sz="0" w:space="0" w:color="auto"/>
      </w:divBdr>
    </w:div>
    <w:div w:id="2083748908">
      <w:bodyDiv w:val="1"/>
      <w:marLeft w:val="0"/>
      <w:marRight w:val="0"/>
      <w:marTop w:val="0"/>
      <w:marBottom w:val="0"/>
      <w:divBdr>
        <w:top w:val="none" w:sz="0" w:space="0" w:color="auto"/>
        <w:left w:val="none" w:sz="0" w:space="0" w:color="auto"/>
        <w:bottom w:val="none" w:sz="0" w:space="0" w:color="auto"/>
        <w:right w:val="none" w:sz="0" w:space="0" w:color="auto"/>
      </w:divBdr>
    </w:div>
    <w:div w:id="2084142006">
      <w:bodyDiv w:val="1"/>
      <w:marLeft w:val="0"/>
      <w:marRight w:val="0"/>
      <w:marTop w:val="0"/>
      <w:marBottom w:val="0"/>
      <w:divBdr>
        <w:top w:val="none" w:sz="0" w:space="0" w:color="auto"/>
        <w:left w:val="none" w:sz="0" w:space="0" w:color="auto"/>
        <w:bottom w:val="none" w:sz="0" w:space="0" w:color="auto"/>
        <w:right w:val="none" w:sz="0" w:space="0" w:color="auto"/>
      </w:divBdr>
    </w:div>
    <w:div w:id="2084522718">
      <w:bodyDiv w:val="1"/>
      <w:marLeft w:val="0"/>
      <w:marRight w:val="0"/>
      <w:marTop w:val="0"/>
      <w:marBottom w:val="0"/>
      <w:divBdr>
        <w:top w:val="none" w:sz="0" w:space="0" w:color="auto"/>
        <w:left w:val="none" w:sz="0" w:space="0" w:color="auto"/>
        <w:bottom w:val="none" w:sz="0" w:space="0" w:color="auto"/>
        <w:right w:val="none" w:sz="0" w:space="0" w:color="auto"/>
      </w:divBdr>
    </w:div>
    <w:div w:id="2085101337">
      <w:bodyDiv w:val="1"/>
      <w:marLeft w:val="0"/>
      <w:marRight w:val="0"/>
      <w:marTop w:val="0"/>
      <w:marBottom w:val="0"/>
      <w:divBdr>
        <w:top w:val="none" w:sz="0" w:space="0" w:color="auto"/>
        <w:left w:val="none" w:sz="0" w:space="0" w:color="auto"/>
        <w:bottom w:val="none" w:sz="0" w:space="0" w:color="auto"/>
        <w:right w:val="none" w:sz="0" w:space="0" w:color="auto"/>
      </w:divBdr>
    </w:div>
    <w:div w:id="2085179970">
      <w:bodyDiv w:val="1"/>
      <w:marLeft w:val="0"/>
      <w:marRight w:val="0"/>
      <w:marTop w:val="0"/>
      <w:marBottom w:val="0"/>
      <w:divBdr>
        <w:top w:val="none" w:sz="0" w:space="0" w:color="auto"/>
        <w:left w:val="none" w:sz="0" w:space="0" w:color="auto"/>
        <w:bottom w:val="none" w:sz="0" w:space="0" w:color="auto"/>
        <w:right w:val="none" w:sz="0" w:space="0" w:color="auto"/>
      </w:divBdr>
    </w:div>
    <w:div w:id="2090275464">
      <w:bodyDiv w:val="1"/>
      <w:marLeft w:val="0"/>
      <w:marRight w:val="0"/>
      <w:marTop w:val="0"/>
      <w:marBottom w:val="0"/>
      <w:divBdr>
        <w:top w:val="none" w:sz="0" w:space="0" w:color="auto"/>
        <w:left w:val="none" w:sz="0" w:space="0" w:color="auto"/>
        <w:bottom w:val="none" w:sz="0" w:space="0" w:color="auto"/>
        <w:right w:val="none" w:sz="0" w:space="0" w:color="auto"/>
      </w:divBdr>
    </w:div>
    <w:div w:id="2091849924">
      <w:bodyDiv w:val="1"/>
      <w:marLeft w:val="0"/>
      <w:marRight w:val="0"/>
      <w:marTop w:val="0"/>
      <w:marBottom w:val="0"/>
      <w:divBdr>
        <w:top w:val="none" w:sz="0" w:space="0" w:color="auto"/>
        <w:left w:val="none" w:sz="0" w:space="0" w:color="auto"/>
        <w:bottom w:val="none" w:sz="0" w:space="0" w:color="auto"/>
        <w:right w:val="none" w:sz="0" w:space="0" w:color="auto"/>
      </w:divBdr>
    </w:div>
    <w:div w:id="2093622705">
      <w:bodyDiv w:val="1"/>
      <w:marLeft w:val="0"/>
      <w:marRight w:val="0"/>
      <w:marTop w:val="0"/>
      <w:marBottom w:val="0"/>
      <w:divBdr>
        <w:top w:val="none" w:sz="0" w:space="0" w:color="auto"/>
        <w:left w:val="none" w:sz="0" w:space="0" w:color="auto"/>
        <w:bottom w:val="none" w:sz="0" w:space="0" w:color="auto"/>
        <w:right w:val="none" w:sz="0" w:space="0" w:color="auto"/>
      </w:divBdr>
    </w:div>
    <w:div w:id="2093812590">
      <w:bodyDiv w:val="1"/>
      <w:marLeft w:val="0"/>
      <w:marRight w:val="0"/>
      <w:marTop w:val="0"/>
      <w:marBottom w:val="0"/>
      <w:divBdr>
        <w:top w:val="none" w:sz="0" w:space="0" w:color="auto"/>
        <w:left w:val="none" w:sz="0" w:space="0" w:color="auto"/>
        <w:bottom w:val="none" w:sz="0" w:space="0" w:color="auto"/>
        <w:right w:val="none" w:sz="0" w:space="0" w:color="auto"/>
      </w:divBdr>
    </w:div>
    <w:div w:id="2093967157">
      <w:bodyDiv w:val="1"/>
      <w:marLeft w:val="0"/>
      <w:marRight w:val="0"/>
      <w:marTop w:val="0"/>
      <w:marBottom w:val="0"/>
      <w:divBdr>
        <w:top w:val="none" w:sz="0" w:space="0" w:color="auto"/>
        <w:left w:val="none" w:sz="0" w:space="0" w:color="auto"/>
        <w:bottom w:val="none" w:sz="0" w:space="0" w:color="auto"/>
        <w:right w:val="none" w:sz="0" w:space="0" w:color="auto"/>
      </w:divBdr>
    </w:div>
    <w:div w:id="2094356187">
      <w:bodyDiv w:val="1"/>
      <w:marLeft w:val="0"/>
      <w:marRight w:val="0"/>
      <w:marTop w:val="0"/>
      <w:marBottom w:val="0"/>
      <w:divBdr>
        <w:top w:val="none" w:sz="0" w:space="0" w:color="auto"/>
        <w:left w:val="none" w:sz="0" w:space="0" w:color="auto"/>
        <w:bottom w:val="none" w:sz="0" w:space="0" w:color="auto"/>
        <w:right w:val="none" w:sz="0" w:space="0" w:color="auto"/>
      </w:divBdr>
    </w:div>
    <w:div w:id="2097246798">
      <w:bodyDiv w:val="1"/>
      <w:marLeft w:val="0"/>
      <w:marRight w:val="0"/>
      <w:marTop w:val="0"/>
      <w:marBottom w:val="0"/>
      <w:divBdr>
        <w:top w:val="none" w:sz="0" w:space="0" w:color="auto"/>
        <w:left w:val="none" w:sz="0" w:space="0" w:color="auto"/>
        <w:bottom w:val="none" w:sz="0" w:space="0" w:color="auto"/>
        <w:right w:val="none" w:sz="0" w:space="0" w:color="auto"/>
      </w:divBdr>
    </w:div>
    <w:div w:id="2098818714">
      <w:bodyDiv w:val="1"/>
      <w:marLeft w:val="0"/>
      <w:marRight w:val="0"/>
      <w:marTop w:val="0"/>
      <w:marBottom w:val="0"/>
      <w:divBdr>
        <w:top w:val="none" w:sz="0" w:space="0" w:color="auto"/>
        <w:left w:val="none" w:sz="0" w:space="0" w:color="auto"/>
        <w:bottom w:val="none" w:sz="0" w:space="0" w:color="auto"/>
        <w:right w:val="none" w:sz="0" w:space="0" w:color="auto"/>
      </w:divBdr>
    </w:div>
    <w:div w:id="2099713570">
      <w:bodyDiv w:val="1"/>
      <w:marLeft w:val="0"/>
      <w:marRight w:val="0"/>
      <w:marTop w:val="0"/>
      <w:marBottom w:val="0"/>
      <w:divBdr>
        <w:top w:val="none" w:sz="0" w:space="0" w:color="auto"/>
        <w:left w:val="none" w:sz="0" w:space="0" w:color="auto"/>
        <w:bottom w:val="none" w:sz="0" w:space="0" w:color="auto"/>
        <w:right w:val="none" w:sz="0" w:space="0" w:color="auto"/>
      </w:divBdr>
    </w:div>
    <w:div w:id="2099791080">
      <w:bodyDiv w:val="1"/>
      <w:marLeft w:val="0"/>
      <w:marRight w:val="0"/>
      <w:marTop w:val="0"/>
      <w:marBottom w:val="0"/>
      <w:divBdr>
        <w:top w:val="none" w:sz="0" w:space="0" w:color="auto"/>
        <w:left w:val="none" w:sz="0" w:space="0" w:color="auto"/>
        <w:bottom w:val="none" w:sz="0" w:space="0" w:color="auto"/>
        <w:right w:val="none" w:sz="0" w:space="0" w:color="auto"/>
      </w:divBdr>
    </w:div>
    <w:div w:id="2100130490">
      <w:bodyDiv w:val="1"/>
      <w:marLeft w:val="0"/>
      <w:marRight w:val="0"/>
      <w:marTop w:val="0"/>
      <w:marBottom w:val="0"/>
      <w:divBdr>
        <w:top w:val="none" w:sz="0" w:space="0" w:color="auto"/>
        <w:left w:val="none" w:sz="0" w:space="0" w:color="auto"/>
        <w:bottom w:val="none" w:sz="0" w:space="0" w:color="auto"/>
        <w:right w:val="none" w:sz="0" w:space="0" w:color="auto"/>
      </w:divBdr>
    </w:div>
    <w:div w:id="2102027028">
      <w:bodyDiv w:val="1"/>
      <w:marLeft w:val="0"/>
      <w:marRight w:val="0"/>
      <w:marTop w:val="0"/>
      <w:marBottom w:val="0"/>
      <w:divBdr>
        <w:top w:val="none" w:sz="0" w:space="0" w:color="auto"/>
        <w:left w:val="none" w:sz="0" w:space="0" w:color="auto"/>
        <w:bottom w:val="none" w:sz="0" w:space="0" w:color="auto"/>
        <w:right w:val="none" w:sz="0" w:space="0" w:color="auto"/>
      </w:divBdr>
    </w:div>
    <w:div w:id="2104916779">
      <w:bodyDiv w:val="1"/>
      <w:marLeft w:val="0"/>
      <w:marRight w:val="0"/>
      <w:marTop w:val="0"/>
      <w:marBottom w:val="0"/>
      <w:divBdr>
        <w:top w:val="none" w:sz="0" w:space="0" w:color="auto"/>
        <w:left w:val="none" w:sz="0" w:space="0" w:color="auto"/>
        <w:bottom w:val="none" w:sz="0" w:space="0" w:color="auto"/>
        <w:right w:val="none" w:sz="0" w:space="0" w:color="auto"/>
      </w:divBdr>
    </w:div>
    <w:div w:id="2106268481">
      <w:bodyDiv w:val="1"/>
      <w:marLeft w:val="0"/>
      <w:marRight w:val="0"/>
      <w:marTop w:val="0"/>
      <w:marBottom w:val="0"/>
      <w:divBdr>
        <w:top w:val="none" w:sz="0" w:space="0" w:color="auto"/>
        <w:left w:val="none" w:sz="0" w:space="0" w:color="auto"/>
        <w:bottom w:val="none" w:sz="0" w:space="0" w:color="auto"/>
        <w:right w:val="none" w:sz="0" w:space="0" w:color="auto"/>
      </w:divBdr>
    </w:div>
    <w:div w:id="2106729529">
      <w:bodyDiv w:val="1"/>
      <w:marLeft w:val="0"/>
      <w:marRight w:val="0"/>
      <w:marTop w:val="0"/>
      <w:marBottom w:val="0"/>
      <w:divBdr>
        <w:top w:val="none" w:sz="0" w:space="0" w:color="auto"/>
        <w:left w:val="none" w:sz="0" w:space="0" w:color="auto"/>
        <w:bottom w:val="none" w:sz="0" w:space="0" w:color="auto"/>
        <w:right w:val="none" w:sz="0" w:space="0" w:color="auto"/>
      </w:divBdr>
    </w:div>
    <w:div w:id="2108503515">
      <w:bodyDiv w:val="1"/>
      <w:marLeft w:val="0"/>
      <w:marRight w:val="0"/>
      <w:marTop w:val="0"/>
      <w:marBottom w:val="0"/>
      <w:divBdr>
        <w:top w:val="none" w:sz="0" w:space="0" w:color="auto"/>
        <w:left w:val="none" w:sz="0" w:space="0" w:color="auto"/>
        <w:bottom w:val="none" w:sz="0" w:space="0" w:color="auto"/>
        <w:right w:val="none" w:sz="0" w:space="0" w:color="auto"/>
      </w:divBdr>
    </w:div>
    <w:div w:id="2113235524">
      <w:bodyDiv w:val="1"/>
      <w:marLeft w:val="0"/>
      <w:marRight w:val="0"/>
      <w:marTop w:val="0"/>
      <w:marBottom w:val="0"/>
      <w:divBdr>
        <w:top w:val="none" w:sz="0" w:space="0" w:color="auto"/>
        <w:left w:val="none" w:sz="0" w:space="0" w:color="auto"/>
        <w:bottom w:val="none" w:sz="0" w:space="0" w:color="auto"/>
        <w:right w:val="none" w:sz="0" w:space="0" w:color="auto"/>
      </w:divBdr>
    </w:div>
    <w:div w:id="2113553213">
      <w:bodyDiv w:val="1"/>
      <w:marLeft w:val="0"/>
      <w:marRight w:val="0"/>
      <w:marTop w:val="0"/>
      <w:marBottom w:val="0"/>
      <w:divBdr>
        <w:top w:val="none" w:sz="0" w:space="0" w:color="auto"/>
        <w:left w:val="none" w:sz="0" w:space="0" w:color="auto"/>
        <w:bottom w:val="none" w:sz="0" w:space="0" w:color="auto"/>
        <w:right w:val="none" w:sz="0" w:space="0" w:color="auto"/>
      </w:divBdr>
    </w:div>
    <w:div w:id="2113822000">
      <w:bodyDiv w:val="1"/>
      <w:marLeft w:val="0"/>
      <w:marRight w:val="0"/>
      <w:marTop w:val="0"/>
      <w:marBottom w:val="0"/>
      <w:divBdr>
        <w:top w:val="none" w:sz="0" w:space="0" w:color="auto"/>
        <w:left w:val="none" w:sz="0" w:space="0" w:color="auto"/>
        <w:bottom w:val="none" w:sz="0" w:space="0" w:color="auto"/>
        <w:right w:val="none" w:sz="0" w:space="0" w:color="auto"/>
      </w:divBdr>
    </w:div>
    <w:div w:id="2115055610">
      <w:bodyDiv w:val="1"/>
      <w:marLeft w:val="0"/>
      <w:marRight w:val="0"/>
      <w:marTop w:val="0"/>
      <w:marBottom w:val="0"/>
      <w:divBdr>
        <w:top w:val="none" w:sz="0" w:space="0" w:color="auto"/>
        <w:left w:val="none" w:sz="0" w:space="0" w:color="auto"/>
        <w:bottom w:val="none" w:sz="0" w:space="0" w:color="auto"/>
        <w:right w:val="none" w:sz="0" w:space="0" w:color="auto"/>
      </w:divBdr>
    </w:div>
    <w:div w:id="2119131500">
      <w:bodyDiv w:val="1"/>
      <w:marLeft w:val="0"/>
      <w:marRight w:val="0"/>
      <w:marTop w:val="0"/>
      <w:marBottom w:val="0"/>
      <w:divBdr>
        <w:top w:val="none" w:sz="0" w:space="0" w:color="auto"/>
        <w:left w:val="none" w:sz="0" w:space="0" w:color="auto"/>
        <w:bottom w:val="none" w:sz="0" w:space="0" w:color="auto"/>
        <w:right w:val="none" w:sz="0" w:space="0" w:color="auto"/>
      </w:divBdr>
    </w:div>
    <w:div w:id="2119326542">
      <w:bodyDiv w:val="1"/>
      <w:marLeft w:val="0"/>
      <w:marRight w:val="0"/>
      <w:marTop w:val="0"/>
      <w:marBottom w:val="0"/>
      <w:divBdr>
        <w:top w:val="none" w:sz="0" w:space="0" w:color="auto"/>
        <w:left w:val="none" w:sz="0" w:space="0" w:color="auto"/>
        <w:bottom w:val="none" w:sz="0" w:space="0" w:color="auto"/>
        <w:right w:val="none" w:sz="0" w:space="0" w:color="auto"/>
      </w:divBdr>
    </w:div>
    <w:div w:id="2121339828">
      <w:bodyDiv w:val="1"/>
      <w:marLeft w:val="0"/>
      <w:marRight w:val="0"/>
      <w:marTop w:val="0"/>
      <w:marBottom w:val="0"/>
      <w:divBdr>
        <w:top w:val="none" w:sz="0" w:space="0" w:color="auto"/>
        <w:left w:val="none" w:sz="0" w:space="0" w:color="auto"/>
        <w:bottom w:val="none" w:sz="0" w:space="0" w:color="auto"/>
        <w:right w:val="none" w:sz="0" w:space="0" w:color="auto"/>
      </w:divBdr>
    </w:div>
    <w:div w:id="2121796518">
      <w:bodyDiv w:val="1"/>
      <w:marLeft w:val="0"/>
      <w:marRight w:val="0"/>
      <w:marTop w:val="0"/>
      <w:marBottom w:val="0"/>
      <w:divBdr>
        <w:top w:val="none" w:sz="0" w:space="0" w:color="auto"/>
        <w:left w:val="none" w:sz="0" w:space="0" w:color="auto"/>
        <w:bottom w:val="none" w:sz="0" w:space="0" w:color="auto"/>
        <w:right w:val="none" w:sz="0" w:space="0" w:color="auto"/>
      </w:divBdr>
    </w:div>
    <w:div w:id="2122798868">
      <w:bodyDiv w:val="1"/>
      <w:marLeft w:val="0"/>
      <w:marRight w:val="0"/>
      <w:marTop w:val="0"/>
      <w:marBottom w:val="0"/>
      <w:divBdr>
        <w:top w:val="none" w:sz="0" w:space="0" w:color="auto"/>
        <w:left w:val="none" w:sz="0" w:space="0" w:color="auto"/>
        <w:bottom w:val="none" w:sz="0" w:space="0" w:color="auto"/>
        <w:right w:val="none" w:sz="0" w:space="0" w:color="auto"/>
      </w:divBdr>
    </w:div>
    <w:div w:id="2124298520">
      <w:bodyDiv w:val="1"/>
      <w:marLeft w:val="0"/>
      <w:marRight w:val="0"/>
      <w:marTop w:val="0"/>
      <w:marBottom w:val="0"/>
      <w:divBdr>
        <w:top w:val="none" w:sz="0" w:space="0" w:color="auto"/>
        <w:left w:val="none" w:sz="0" w:space="0" w:color="auto"/>
        <w:bottom w:val="none" w:sz="0" w:space="0" w:color="auto"/>
        <w:right w:val="none" w:sz="0" w:space="0" w:color="auto"/>
      </w:divBdr>
    </w:div>
    <w:div w:id="2124766154">
      <w:bodyDiv w:val="1"/>
      <w:marLeft w:val="0"/>
      <w:marRight w:val="0"/>
      <w:marTop w:val="0"/>
      <w:marBottom w:val="0"/>
      <w:divBdr>
        <w:top w:val="none" w:sz="0" w:space="0" w:color="auto"/>
        <w:left w:val="none" w:sz="0" w:space="0" w:color="auto"/>
        <w:bottom w:val="none" w:sz="0" w:space="0" w:color="auto"/>
        <w:right w:val="none" w:sz="0" w:space="0" w:color="auto"/>
      </w:divBdr>
    </w:div>
    <w:div w:id="2124884661">
      <w:bodyDiv w:val="1"/>
      <w:marLeft w:val="0"/>
      <w:marRight w:val="0"/>
      <w:marTop w:val="0"/>
      <w:marBottom w:val="0"/>
      <w:divBdr>
        <w:top w:val="none" w:sz="0" w:space="0" w:color="auto"/>
        <w:left w:val="none" w:sz="0" w:space="0" w:color="auto"/>
        <w:bottom w:val="none" w:sz="0" w:space="0" w:color="auto"/>
        <w:right w:val="none" w:sz="0" w:space="0" w:color="auto"/>
      </w:divBdr>
    </w:div>
    <w:div w:id="2125494302">
      <w:bodyDiv w:val="1"/>
      <w:marLeft w:val="0"/>
      <w:marRight w:val="0"/>
      <w:marTop w:val="0"/>
      <w:marBottom w:val="0"/>
      <w:divBdr>
        <w:top w:val="none" w:sz="0" w:space="0" w:color="auto"/>
        <w:left w:val="none" w:sz="0" w:space="0" w:color="auto"/>
        <w:bottom w:val="none" w:sz="0" w:space="0" w:color="auto"/>
        <w:right w:val="none" w:sz="0" w:space="0" w:color="auto"/>
      </w:divBdr>
    </w:div>
    <w:div w:id="2125686843">
      <w:bodyDiv w:val="1"/>
      <w:marLeft w:val="0"/>
      <w:marRight w:val="0"/>
      <w:marTop w:val="0"/>
      <w:marBottom w:val="0"/>
      <w:divBdr>
        <w:top w:val="none" w:sz="0" w:space="0" w:color="auto"/>
        <w:left w:val="none" w:sz="0" w:space="0" w:color="auto"/>
        <w:bottom w:val="none" w:sz="0" w:space="0" w:color="auto"/>
        <w:right w:val="none" w:sz="0" w:space="0" w:color="auto"/>
      </w:divBdr>
    </w:div>
    <w:div w:id="2126269867">
      <w:bodyDiv w:val="1"/>
      <w:marLeft w:val="0"/>
      <w:marRight w:val="0"/>
      <w:marTop w:val="0"/>
      <w:marBottom w:val="0"/>
      <w:divBdr>
        <w:top w:val="none" w:sz="0" w:space="0" w:color="auto"/>
        <w:left w:val="none" w:sz="0" w:space="0" w:color="auto"/>
        <w:bottom w:val="none" w:sz="0" w:space="0" w:color="auto"/>
        <w:right w:val="none" w:sz="0" w:space="0" w:color="auto"/>
      </w:divBdr>
    </w:div>
    <w:div w:id="2129349267">
      <w:bodyDiv w:val="1"/>
      <w:marLeft w:val="0"/>
      <w:marRight w:val="0"/>
      <w:marTop w:val="0"/>
      <w:marBottom w:val="0"/>
      <w:divBdr>
        <w:top w:val="none" w:sz="0" w:space="0" w:color="auto"/>
        <w:left w:val="none" w:sz="0" w:space="0" w:color="auto"/>
        <w:bottom w:val="none" w:sz="0" w:space="0" w:color="auto"/>
        <w:right w:val="none" w:sz="0" w:space="0" w:color="auto"/>
      </w:divBdr>
    </w:div>
    <w:div w:id="2133593305">
      <w:bodyDiv w:val="1"/>
      <w:marLeft w:val="0"/>
      <w:marRight w:val="0"/>
      <w:marTop w:val="0"/>
      <w:marBottom w:val="0"/>
      <w:divBdr>
        <w:top w:val="none" w:sz="0" w:space="0" w:color="auto"/>
        <w:left w:val="none" w:sz="0" w:space="0" w:color="auto"/>
        <w:bottom w:val="none" w:sz="0" w:space="0" w:color="auto"/>
        <w:right w:val="none" w:sz="0" w:space="0" w:color="auto"/>
      </w:divBdr>
      <w:divsChild>
        <w:div w:id="1289627377">
          <w:marLeft w:val="0"/>
          <w:marRight w:val="0"/>
          <w:marTop w:val="0"/>
          <w:marBottom w:val="0"/>
          <w:divBdr>
            <w:top w:val="none" w:sz="0" w:space="0" w:color="auto"/>
            <w:left w:val="none" w:sz="0" w:space="0" w:color="auto"/>
            <w:bottom w:val="none" w:sz="0" w:space="0" w:color="auto"/>
            <w:right w:val="none" w:sz="0" w:space="0" w:color="auto"/>
          </w:divBdr>
        </w:div>
      </w:divsChild>
    </w:div>
    <w:div w:id="2138256365">
      <w:bodyDiv w:val="1"/>
      <w:marLeft w:val="0"/>
      <w:marRight w:val="0"/>
      <w:marTop w:val="0"/>
      <w:marBottom w:val="0"/>
      <w:divBdr>
        <w:top w:val="none" w:sz="0" w:space="0" w:color="auto"/>
        <w:left w:val="none" w:sz="0" w:space="0" w:color="auto"/>
        <w:bottom w:val="none" w:sz="0" w:space="0" w:color="auto"/>
        <w:right w:val="none" w:sz="0" w:space="0" w:color="auto"/>
      </w:divBdr>
    </w:div>
    <w:div w:id="2138520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6.emf"/><Relationship Id="rId21" Type="http://schemas.openxmlformats.org/officeDocument/2006/relationships/image" Target="media/image11.emf"/><Relationship Id="rId42" Type="http://schemas.openxmlformats.org/officeDocument/2006/relationships/image" Target="media/image32.emf"/><Relationship Id="rId47" Type="http://schemas.openxmlformats.org/officeDocument/2006/relationships/image" Target="media/image37.emf"/><Relationship Id="rId63" Type="http://schemas.openxmlformats.org/officeDocument/2006/relationships/image" Target="media/image53.emf"/><Relationship Id="rId68" Type="http://schemas.openxmlformats.org/officeDocument/2006/relationships/image" Target="media/image58.emf"/><Relationship Id="rId84" Type="http://schemas.openxmlformats.org/officeDocument/2006/relationships/image" Target="media/image74.emf"/><Relationship Id="rId89" Type="http://schemas.openxmlformats.org/officeDocument/2006/relationships/image" Target="media/image79.emf"/><Relationship Id="rId7" Type="http://schemas.openxmlformats.org/officeDocument/2006/relationships/settings" Target="settings.xml"/><Relationship Id="rId71" Type="http://schemas.openxmlformats.org/officeDocument/2006/relationships/image" Target="media/image61.emf"/><Relationship Id="rId92" Type="http://schemas.openxmlformats.org/officeDocument/2006/relationships/image" Target="media/image82.emf"/><Relationship Id="rId2" Type="http://schemas.openxmlformats.org/officeDocument/2006/relationships/customXml" Target="../customXml/item2.xml"/><Relationship Id="rId16" Type="http://schemas.openxmlformats.org/officeDocument/2006/relationships/image" Target="media/image6.emf"/><Relationship Id="rId29" Type="http://schemas.openxmlformats.org/officeDocument/2006/relationships/image" Target="media/image19.emf"/><Relationship Id="rId107" Type="http://schemas.microsoft.com/office/2016/09/relationships/commentsIds" Target="commentsIds.xml"/><Relationship Id="rId11" Type="http://schemas.openxmlformats.org/officeDocument/2006/relationships/image" Target="media/image1.emf"/><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image" Target="media/image30.emf"/><Relationship Id="rId45" Type="http://schemas.openxmlformats.org/officeDocument/2006/relationships/image" Target="media/image35.emf"/><Relationship Id="rId53" Type="http://schemas.openxmlformats.org/officeDocument/2006/relationships/image" Target="media/image43.emf"/><Relationship Id="rId58" Type="http://schemas.openxmlformats.org/officeDocument/2006/relationships/image" Target="media/image48.emf"/><Relationship Id="rId66" Type="http://schemas.openxmlformats.org/officeDocument/2006/relationships/image" Target="media/image56.emf"/><Relationship Id="rId74" Type="http://schemas.openxmlformats.org/officeDocument/2006/relationships/image" Target="media/image64.emf"/><Relationship Id="rId79" Type="http://schemas.openxmlformats.org/officeDocument/2006/relationships/image" Target="media/image69.emf"/><Relationship Id="rId87" Type="http://schemas.openxmlformats.org/officeDocument/2006/relationships/image" Target="media/image77.png"/><Relationship Id="rId102"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51.emf"/><Relationship Id="rId82" Type="http://schemas.openxmlformats.org/officeDocument/2006/relationships/image" Target="media/image72.emf"/><Relationship Id="rId90" Type="http://schemas.openxmlformats.org/officeDocument/2006/relationships/image" Target="media/image80.emf"/><Relationship Id="rId95" Type="http://schemas.openxmlformats.org/officeDocument/2006/relationships/image" Target="media/image85.emf"/><Relationship Id="rId19" Type="http://schemas.openxmlformats.org/officeDocument/2006/relationships/image" Target="media/image9.emf"/><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image" Target="media/image33.emf"/><Relationship Id="rId48" Type="http://schemas.openxmlformats.org/officeDocument/2006/relationships/image" Target="media/image38.emf"/><Relationship Id="rId56" Type="http://schemas.openxmlformats.org/officeDocument/2006/relationships/image" Target="media/image46.emf"/><Relationship Id="rId64" Type="http://schemas.openxmlformats.org/officeDocument/2006/relationships/image" Target="media/image54.emf"/><Relationship Id="rId69" Type="http://schemas.openxmlformats.org/officeDocument/2006/relationships/image" Target="media/image59.emf"/><Relationship Id="rId77" Type="http://schemas.openxmlformats.org/officeDocument/2006/relationships/image" Target="media/image67.emf"/><Relationship Id="rId100"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image" Target="media/image41.emf"/><Relationship Id="rId72" Type="http://schemas.openxmlformats.org/officeDocument/2006/relationships/image" Target="media/image62.emf"/><Relationship Id="rId80" Type="http://schemas.openxmlformats.org/officeDocument/2006/relationships/image" Target="media/image70.emf"/><Relationship Id="rId85" Type="http://schemas.openxmlformats.org/officeDocument/2006/relationships/image" Target="media/image75.emf"/><Relationship Id="rId93" Type="http://schemas.openxmlformats.org/officeDocument/2006/relationships/image" Target="media/image83.emf"/><Relationship Id="rId98" Type="http://schemas.openxmlformats.org/officeDocument/2006/relationships/image" Target="media/image88.emf"/><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 Id="rId46" Type="http://schemas.openxmlformats.org/officeDocument/2006/relationships/image" Target="media/image36.emf"/><Relationship Id="rId59" Type="http://schemas.openxmlformats.org/officeDocument/2006/relationships/image" Target="media/image49.emf"/><Relationship Id="rId67" Type="http://schemas.openxmlformats.org/officeDocument/2006/relationships/image" Target="media/image57.emf"/><Relationship Id="rId108" Type="http://schemas.microsoft.com/office/2018/08/relationships/commentsExtensible" Target="commentsExtensible.xml"/><Relationship Id="rId20" Type="http://schemas.openxmlformats.org/officeDocument/2006/relationships/image" Target="media/image10.emf"/><Relationship Id="rId41" Type="http://schemas.openxmlformats.org/officeDocument/2006/relationships/image" Target="media/image31.emf"/><Relationship Id="rId54" Type="http://schemas.openxmlformats.org/officeDocument/2006/relationships/image" Target="media/image44.emf"/><Relationship Id="rId62" Type="http://schemas.openxmlformats.org/officeDocument/2006/relationships/image" Target="media/image52.emf"/><Relationship Id="rId70" Type="http://schemas.openxmlformats.org/officeDocument/2006/relationships/image" Target="media/image60.emf"/><Relationship Id="rId75" Type="http://schemas.openxmlformats.org/officeDocument/2006/relationships/image" Target="media/image65.emf"/><Relationship Id="rId83" Type="http://schemas.openxmlformats.org/officeDocument/2006/relationships/image" Target="media/image73.emf"/><Relationship Id="rId88" Type="http://schemas.openxmlformats.org/officeDocument/2006/relationships/image" Target="media/image78.emf"/><Relationship Id="rId91" Type="http://schemas.openxmlformats.org/officeDocument/2006/relationships/image" Target="media/image81.emf"/><Relationship Id="rId96" Type="http://schemas.openxmlformats.org/officeDocument/2006/relationships/image" Target="media/image86.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49" Type="http://schemas.openxmlformats.org/officeDocument/2006/relationships/image" Target="media/image39.emf"/><Relationship Id="rId57" Type="http://schemas.openxmlformats.org/officeDocument/2006/relationships/image" Target="media/image47.emf"/><Relationship Id="rId10" Type="http://schemas.openxmlformats.org/officeDocument/2006/relationships/endnotes" Target="endnotes.xml"/><Relationship Id="rId31" Type="http://schemas.openxmlformats.org/officeDocument/2006/relationships/image" Target="media/image21.emf"/><Relationship Id="rId44" Type="http://schemas.openxmlformats.org/officeDocument/2006/relationships/image" Target="media/image34.emf"/><Relationship Id="rId52" Type="http://schemas.openxmlformats.org/officeDocument/2006/relationships/image" Target="media/image42.emf"/><Relationship Id="rId60" Type="http://schemas.openxmlformats.org/officeDocument/2006/relationships/image" Target="media/image50.emf"/><Relationship Id="rId65" Type="http://schemas.openxmlformats.org/officeDocument/2006/relationships/image" Target="media/image55.emf"/><Relationship Id="rId73" Type="http://schemas.openxmlformats.org/officeDocument/2006/relationships/image" Target="media/image63.emf"/><Relationship Id="rId78" Type="http://schemas.openxmlformats.org/officeDocument/2006/relationships/image" Target="media/image68.emf"/><Relationship Id="rId81" Type="http://schemas.openxmlformats.org/officeDocument/2006/relationships/image" Target="media/image71.emf"/><Relationship Id="rId86" Type="http://schemas.openxmlformats.org/officeDocument/2006/relationships/image" Target="media/image76.emf"/><Relationship Id="rId94" Type="http://schemas.openxmlformats.org/officeDocument/2006/relationships/image" Target="media/image84.emf"/><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image" Target="media/image8.png"/><Relationship Id="rId39" Type="http://schemas.openxmlformats.org/officeDocument/2006/relationships/image" Target="media/image29.emf"/><Relationship Id="rId34" Type="http://schemas.openxmlformats.org/officeDocument/2006/relationships/image" Target="media/image24.emf"/><Relationship Id="rId50" Type="http://schemas.openxmlformats.org/officeDocument/2006/relationships/image" Target="media/image40.emf"/><Relationship Id="rId55" Type="http://schemas.openxmlformats.org/officeDocument/2006/relationships/image" Target="media/image45.emf"/><Relationship Id="rId76" Type="http://schemas.openxmlformats.org/officeDocument/2006/relationships/image" Target="media/image66.emf"/><Relationship Id="rId97" Type="http://schemas.openxmlformats.org/officeDocument/2006/relationships/image" Target="media/image87.emf"/></Relationships>
</file>

<file path=word/_rels/header1.xml.rels><?xml version="1.0" encoding="UTF-8" standalone="yes"?>
<Relationships xmlns="http://schemas.openxmlformats.org/package/2006/relationships"><Relationship Id="rId1" Type="http://schemas.openxmlformats.org/officeDocument/2006/relationships/image" Target="media/image8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8F11BDC41DB7D4F9F945297A936FBF3" ma:contentTypeVersion="1" ma:contentTypeDescription="Crie um novo documento." ma:contentTypeScope="" ma:versionID="077310c38954d617e053da517d454bf0">
  <xsd:schema xmlns:xsd="http://www.w3.org/2001/XMLSchema" xmlns:xs="http://www.w3.org/2001/XMLSchema" xmlns:p="http://schemas.microsoft.com/office/2006/metadata/properties" xmlns:ns1="http://schemas.microsoft.com/sharepoint/v3" targetNamespace="http://schemas.microsoft.com/office/2006/metadata/properties" ma:root="true" ma:fieldsID="27df3e864a1ba1b0c791d115cbe994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Data de Início de Agendamento é uma coluna de site criada pelo recurso de Publicação. Ela é usada para especificar a data e hora em que essa página aparecerá pela primeira vez aos visitantes do site." ma:hidden="true" ma:internalName="PublishingStartDate">
      <xsd:simpleType>
        <xsd:restriction base="dms:Unknown"/>
      </xsd:simpleType>
    </xsd:element>
    <xsd:element name="PublishingExpirationDate" ma:index="9"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FEB54-1FDA-4F11-AAF1-BB2A7D2A675E}">
  <ds:schemaRefs>
    <ds:schemaRef ds:uri="http://schemas.microsoft.com/sharepoint/v3/contenttype/forms"/>
  </ds:schemaRefs>
</ds:datastoreItem>
</file>

<file path=customXml/itemProps2.xml><?xml version="1.0" encoding="utf-8"?>
<ds:datastoreItem xmlns:ds="http://schemas.openxmlformats.org/officeDocument/2006/customXml" ds:itemID="{94A94510-A1F7-4BDD-B660-E4F70695B5A2}"/>
</file>

<file path=customXml/itemProps3.xml><?xml version="1.0" encoding="utf-8"?>
<ds:datastoreItem xmlns:ds="http://schemas.openxmlformats.org/officeDocument/2006/customXml" ds:itemID="{6D3B8884-A2FC-4BB7-BB9D-48A4129B0B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8C71EC-A427-45B5-86FF-0F9E44EC9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70</Pages>
  <Words>24122</Words>
  <Characters>130263</Characters>
  <Application>Microsoft Office Word</Application>
  <DocSecurity>0</DocSecurity>
  <Lines>1085</Lines>
  <Paragraphs>308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Eletrobrás</Company>
  <LinksUpToDate>false</LinksUpToDate>
  <CharactersWithSpaces>154077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Rodrigues, Leticia Ferreira</dc:creator>
  <cp:keywords/>
  <dc:description/>
  <cp:lastModifiedBy>Beatriz Albino da Silva</cp:lastModifiedBy>
  <cp:revision>88</cp:revision>
  <cp:lastPrinted>2021-03-22T10:32:00Z</cp:lastPrinted>
  <dcterms:created xsi:type="dcterms:W3CDTF">2022-03-25T19:37:00Z</dcterms:created>
  <dcterms:modified xsi:type="dcterms:W3CDTF">2022-03-25T23:47:00Z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Creator">
    <vt:lpwstr>Microsoft® Word 2010</vt:lpwstr>
  </property>
  <property fmtid="{D5CDD505-2E9C-101B-9397-08002B2CF9AE}" pid="4" name="LastSaved">
    <vt:filetime>2018-04-26T00:00:00Z</vt:filetime>
  </property>
  <property fmtid="{D5CDD505-2E9C-101B-9397-08002B2CF9AE}" pid="5" name="ContentTypeId">
    <vt:lpwstr>0x010100C8F11BDC41DB7D4F9F945297A936FBF3</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ContentBits">
    <vt:lpwstr>0</vt:lpwstr>
  </property>
  <property fmtid="{D5CDD505-2E9C-101B-9397-08002B2CF9AE}" pid="11" name="MSIP_Label_ea60d57e-af5b-4752-ac57-3e4f28ca11dc_SetDate">
    <vt:lpwstr>2021-04-26T14:48:44Z</vt:lpwstr>
  </property>
  <property fmtid="{D5CDD505-2E9C-101B-9397-08002B2CF9AE}" pid="12" name="MSIP_Label_ea60d57e-af5b-4752-ac57-3e4f28ca11dc_ActionId">
    <vt:lpwstr>fa25882e-b6ed-404c-8bba-cfc992ea1e51</vt:lpwstr>
  </property>
  <property fmtid="{D5CDD505-2E9C-101B-9397-08002B2CF9AE}" pid="13" name="MSIP_Label_abcb16ef-e8d6-41dd-8dd5-c325e19c0bbd_Enabled">
    <vt:lpwstr>true</vt:lpwstr>
  </property>
  <property fmtid="{D5CDD505-2E9C-101B-9397-08002B2CF9AE}" pid="14" name="MSIP_Label_abcb16ef-e8d6-41dd-8dd5-c325e19c0bbd_SetDate">
    <vt:lpwstr>2021-11-12T04:36:26Z</vt:lpwstr>
  </property>
  <property fmtid="{D5CDD505-2E9C-101B-9397-08002B2CF9AE}" pid="15" name="MSIP_Label_abcb16ef-e8d6-41dd-8dd5-c325e19c0bbd_Method">
    <vt:lpwstr>Privileged</vt:lpwstr>
  </property>
  <property fmtid="{D5CDD505-2E9C-101B-9397-08002B2CF9AE}" pid="16" name="MSIP_Label_abcb16ef-e8d6-41dd-8dd5-c325e19c0bbd_Name">
    <vt:lpwstr>Confidencial</vt:lpwstr>
  </property>
  <property fmtid="{D5CDD505-2E9C-101B-9397-08002B2CF9AE}" pid="17" name="MSIP_Label_abcb16ef-e8d6-41dd-8dd5-c325e19c0bbd_SiteId">
    <vt:lpwstr>8a0ffb54-9716-4a93-9158-9e3a7206f18e</vt:lpwstr>
  </property>
  <property fmtid="{D5CDD505-2E9C-101B-9397-08002B2CF9AE}" pid="18" name="MSIP_Label_abcb16ef-e8d6-41dd-8dd5-c325e19c0bbd_ActionId">
    <vt:lpwstr>9cba6e32-7542-45e2-af7b-90ab98009bd8</vt:lpwstr>
  </property>
  <property fmtid="{D5CDD505-2E9C-101B-9397-08002B2CF9AE}" pid="19" name="MSIP_Label_abcb16ef-e8d6-41dd-8dd5-c325e19c0bbd_ContentBits">
    <vt:lpwstr>2</vt:lpwstr>
  </property>
  <property fmtid="{D5CDD505-2E9C-101B-9397-08002B2CF9AE}" pid="20" name="DSLxDOC_CLOSING">
    <vt:lpwstr>1</vt:lpwstr>
  </property>
  <property fmtid="{D5CDD505-2E9C-101B-9397-08002B2CF9AE}" pid="21" name="SSDCxCLASSFICATION_LEVEL">
    <vt:lpwstr>4</vt:lpwstr>
  </property>
  <property fmtid="{D5CDD505-2E9C-101B-9397-08002B2CF9AE}" pid="22" name="SSDCxCLASSFICATION_USER">
    <vt:lpwstr>PWCGLB\aoliveira006</vt:lpwstr>
  </property>
  <property fmtid="{D5CDD505-2E9C-101B-9397-08002B2CF9AE}" pid="23" name="SSDCxCLASSFICATION_DATE">
    <vt:lpwstr>18/03/2022 15:13:25</vt:lpwstr>
  </property>
  <property fmtid="{D5CDD505-2E9C-101B-9397-08002B2CF9AE}" pid="24" name="SSDCxCLASSFICATION_GUID">
    <vt:lpwstr>C945C3FD44923FEDE9A9B84164F08D6B</vt:lpwstr>
  </property>
  <property fmtid="{D5CDD505-2E9C-101B-9397-08002B2CF9AE}" pid="25" name="SSDCxCLASSFICATION_LANG">
    <vt:lpwstr>pt</vt:lpwstr>
  </property>
</Properties>
</file>