
<file path=[Content_Types].xml><?xml version="1.0" encoding="utf-8"?>
<Types xmlns="http://schemas.openxmlformats.org/package/2006/content-types">
  <Default Extension="png" ContentType="image/png"/>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16DAB" w14:textId="46E43478" w:rsidR="004644A0" w:rsidRPr="00D33399" w:rsidRDefault="00796E77" w:rsidP="005144E2">
      <w:pPr>
        <w:widowControl/>
        <w:tabs>
          <w:tab w:val="left" w:pos="4111"/>
        </w:tabs>
        <w:jc w:val="center"/>
        <w:rPr>
          <w:rFonts w:ascii="Arial" w:hAnsi="Arial" w:cs="Arial"/>
          <w:b/>
          <w:sz w:val="28"/>
          <w:szCs w:val="28"/>
        </w:rPr>
      </w:pPr>
      <w:r w:rsidRPr="00D33399">
        <w:rPr>
          <w:rFonts w:ascii="Arial" w:hAnsi="Arial" w:cs="Arial"/>
          <w:b/>
          <w:sz w:val="28"/>
          <w:szCs w:val="28"/>
        </w:rPr>
        <w:t>NOTAS EXPLICATIVAS DA ADMINISTRAÇÃO ÀS DEMONSTRAÇÕES FINANCEIRAS</w:t>
      </w:r>
      <w:r w:rsidR="00BD56D9" w:rsidRPr="00D33399">
        <w:rPr>
          <w:rFonts w:ascii="Arial" w:hAnsi="Arial" w:cs="Arial"/>
          <w:b/>
          <w:sz w:val="28"/>
          <w:szCs w:val="28"/>
        </w:rPr>
        <w:t xml:space="preserve"> INTERMEDIÁRIAS</w:t>
      </w:r>
      <w:r w:rsidRPr="00D33399">
        <w:rPr>
          <w:rFonts w:ascii="Arial" w:hAnsi="Arial" w:cs="Arial"/>
          <w:b/>
          <w:sz w:val="28"/>
          <w:szCs w:val="28"/>
        </w:rPr>
        <w:t xml:space="preserve"> </w:t>
      </w:r>
      <w:r w:rsidR="00901037" w:rsidRPr="00D33399">
        <w:rPr>
          <w:rFonts w:ascii="Arial" w:hAnsi="Arial" w:cs="Arial"/>
          <w:b/>
          <w:sz w:val="28"/>
          <w:szCs w:val="28"/>
        </w:rPr>
        <w:t xml:space="preserve">EM </w:t>
      </w:r>
      <w:r w:rsidRPr="00D33399">
        <w:rPr>
          <w:rFonts w:ascii="Arial" w:hAnsi="Arial" w:cs="Arial"/>
          <w:b/>
          <w:sz w:val="28"/>
          <w:szCs w:val="28"/>
        </w:rPr>
        <w:t>3</w:t>
      </w:r>
      <w:r w:rsidR="00B63AAF" w:rsidRPr="00D33399">
        <w:rPr>
          <w:rFonts w:ascii="Arial" w:hAnsi="Arial" w:cs="Arial"/>
          <w:b/>
          <w:sz w:val="28"/>
          <w:szCs w:val="28"/>
        </w:rPr>
        <w:t>0</w:t>
      </w:r>
      <w:r w:rsidRPr="00D33399">
        <w:rPr>
          <w:rFonts w:ascii="Arial" w:hAnsi="Arial" w:cs="Arial"/>
          <w:b/>
          <w:sz w:val="28"/>
          <w:szCs w:val="28"/>
        </w:rPr>
        <w:t xml:space="preserve"> DE </w:t>
      </w:r>
      <w:r w:rsidR="006C4D9F" w:rsidRPr="00D33399">
        <w:rPr>
          <w:rFonts w:ascii="Arial" w:hAnsi="Arial" w:cs="Arial"/>
          <w:b/>
          <w:sz w:val="28"/>
          <w:szCs w:val="28"/>
        </w:rPr>
        <w:t>SETEMBRO</w:t>
      </w:r>
      <w:r w:rsidR="00B63AAF" w:rsidRPr="00D33399">
        <w:rPr>
          <w:rFonts w:ascii="Arial" w:hAnsi="Arial" w:cs="Arial"/>
          <w:b/>
          <w:sz w:val="28"/>
          <w:szCs w:val="28"/>
        </w:rPr>
        <w:t xml:space="preserve"> </w:t>
      </w:r>
      <w:r w:rsidRPr="00D33399">
        <w:rPr>
          <w:rFonts w:ascii="Arial" w:hAnsi="Arial" w:cs="Arial"/>
          <w:b/>
          <w:sz w:val="28"/>
          <w:szCs w:val="28"/>
        </w:rPr>
        <w:t>DE 20</w:t>
      </w:r>
      <w:r w:rsidR="004D7D3C" w:rsidRPr="00D33399">
        <w:rPr>
          <w:rFonts w:ascii="Arial" w:hAnsi="Arial" w:cs="Arial"/>
          <w:b/>
          <w:sz w:val="28"/>
          <w:szCs w:val="28"/>
        </w:rPr>
        <w:t>20</w:t>
      </w:r>
    </w:p>
    <w:p w14:paraId="69C8FBF4" w14:textId="77777777" w:rsidR="003F4719" w:rsidRPr="00D33399" w:rsidRDefault="003F4719" w:rsidP="005144E2">
      <w:pPr>
        <w:widowControl/>
        <w:jc w:val="center"/>
        <w:rPr>
          <w:rFonts w:ascii="Arial" w:hAnsi="Arial" w:cs="Arial"/>
          <w:b/>
          <w:sz w:val="22"/>
          <w:szCs w:val="22"/>
        </w:rPr>
      </w:pPr>
      <w:r w:rsidRPr="00D33399">
        <w:rPr>
          <w:rFonts w:ascii="Arial" w:hAnsi="Arial" w:cs="Arial"/>
          <w:b/>
          <w:sz w:val="22"/>
          <w:szCs w:val="22"/>
        </w:rPr>
        <w:t>(em milhares de reais, exceto quando indicado de outra forma)</w:t>
      </w:r>
    </w:p>
    <w:p w14:paraId="5E76C0BE" w14:textId="77777777" w:rsidR="0020523C" w:rsidRPr="00D33399" w:rsidRDefault="0020523C" w:rsidP="005144E2">
      <w:pPr>
        <w:widowControl/>
        <w:jc w:val="both"/>
        <w:rPr>
          <w:rFonts w:ascii="Arial" w:hAnsi="Arial" w:cs="Arial"/>
          <w:b/>
        </w:rPr>
      </w:pPr>
    </w:p>
    <w:p w14:paraId="0CCD1198" w14:textId="77777777" w:rsidR="0001072E" w:rsidRPr="00D33399" w:rsidRDefault="0001072E" w:rsidP="005144E2">
      <w:pPr>
        <w:widowControl/>
        <w:jc w:val="both"/>
        <w:rPr>
          <w:rFonts w:ascii="Arial" w:hAnsi="Arial" w:cs="Arial"/>
          <w:b/>
        </w:rPr>
      </w:pPr>
    </w:p>
    <w:p w14:paraId="32289C28" w14:textId="77777777" w:rsidR="001171CF" w:rsidRPr="00D33399" w:rsidRDefault="001171CF" w:rsidP="005144E2">
      <w:pPr>
        <w:widowControl/>
        <w:jc w:val="both"/>
        <w:rPr>
          <w:rFonts w:ascii="Arial" w:hAnsi="Arial" w:cs="Arial"/>
          <w:b/>
        </w:rPr>
      </w:pPr>
    </w:p>
    <w:p w14:paraId="5AFB7D40" w14:textId="77777777" w:rsidR="003F4719" w:rsidRPr="00D33399" w:rsidRDefault="003F4719" w:rsidP="005144E2">
      <w:pPr>
        <w:widowControl/>
        <w:jc w:val="both"/>
        <w:rPr>
          <w:rFonts w:ascii="Arial" w:hAnsi="Arial" w:cs="Arial"/>
          <w:color w:val="00B0F0"/>
          <w:sz w:val="26"/>
          <w:szCs w:val="26"/>
        </w:rPr>
      </w:pPr>
      <w:r w:rsidRPr="00D33399">
        <w:rPr>
          <w:rFonts w:ascii="Arial" w:hAnsi="Arial" w:cs="Arial"/>
          <w:b/>
          <w:sz w:val="26"/>
          <w:szCs w:val="26"/>
        </w:rPr>
        <w:t>NOTA 1 – CONTEXTO OPERACIONAL</w:t>
      </w:r>
    </w:p>
    <w:p w14:paraId="7D00EE77" w14:textId="77777777" w:rsidR="002B44FD" w:rsidRPr="00D33399" w:rsidRDefault="002B44FD" w:rsidP="005144E2">
      <w:pPr>
        <w:widowControl/>
        <w:jc w:val="both"/>
        <w:rPr>
          <w:rFonts w:ascii="Arial" w:hAnsi="Arial" w:cs="Arial"/>
        </w:rPr>
      </w:pPr>
    </w:p>
    <w:p w14:paraId="27C952DA" w14:textId="77777777" w:rsidR="005C1E44" w:rsidRPr="00D33399" w:rsidRDefault="005C1E44" w:rsidP="005144E2">
      <w:pPr>
        <w:widowControl/>
        <w:jc w:val="both"/>
        <w:rPr>
          <w:rFonts w:ascii="Arial" w:hAnsi="Arial" w:cs="Arial"/>
        </w:rPr>
      </w:pPr>
    </w:p>
    <w:p w14:paraId="717C4657" w14:textId="4FAD652C" w:rsidR="003F4719" w:rsidRPr="00D33399" w:rsidRDefault="002F19CC" w:rsidP="005144E2">
      <w:pPr>
        <w:widowControl/>
        <w:jc w:val="both"/>
        <w:rPr>
          <w:rFonts w:ascii="Arial" w:hAnsi="Arial" w:cs="Arial"/>
        </w:rPr>
      </w:pPr>
      <w:r w:rsidRPr="00D33399">
        <w:rPr>
          <w:rFonts w:ascii="Arial" w:hAnsi="Arial" w:cs="Arial"/>
        </w:rPr>
        <w:t xml:space="preserve">A ELETROBRAS TERMONUCLEAR S.A. </w:t>
      </w:r>
      <w:r w:rsidR="003F4719" w:rsidRPr="00D33399">
        <w:rPr>
          <w:rFonts w:ascii="Arial" w:hAnsi="Arial" w:cs="Arial"/>
        </w:rPr>
        <w:t xml:space="preserve">- ELETRONUCLEAR, (denominada "ELETRONUCLEAR" ou "Companhia"), </w:t>
      </w:r>
      <w:r w:rsidR="00CC01D3" w:rsidRPr="00D33399">
        <w:rPr>
          <w:rFonts w:ascii="Arial" w:hAnsi="Arial" w:cs="Arial"/>
        </w:rPr>
        <w:t>c</w:t>
      </w:r>
      <w:r w:rsidR="00D52420" w:rsidRPr="00D33399">
        <w:rPr>
          <w:rFonts w:ascii="Arial" w:hAnsi="Arial" w:cs="Arial"/>
        </w:rPr>
        <w:t>o</w:t>
      </w:r>
      <w:r w:rsidR="00064290" w:rsidRPr="00D33399">
        <w:rPr>
          <w:rFonts w:ascii="Arial" w:hAnsi="Arial" w:cs="Arial"/>
        </w:rPr>
        <w:t>mpanhia</w:t>
      </w:r>
      <w:r w:rsidR="003F4719" w:rsidRPr="00D33399">
        <w:rPr>
          <w:rFonts w:ascii="Arial" w:hAnsi="Arial" w:cs="Arial"/>
        </w:rPr>
        <w:t xml:space="preserve"> de capital fechado, controlada pela Centrais Elétricas Brasileiras S.A. - ELETROBRAS, com sua sede fixada na Rua da Candelária, nº 65 - 2º ao 14º andares - Centro - Rio de Janeiro - RJ - CEP 20.091-020 tem como atividade principal a construção e operação de usinas nucleares, a geração de energia elétrica delas decorrentes e a realização de serviços de engenharia e correlatos, sendo essas atividades regulamentadas e fiscalizadas pela Agência Nacional de Energia Elétrica - A</w:t>
      </w:r>
      <w:r w:rsidR="00F83106" w:rsidRPr="00D33399">
        <w:rPr>
          <w:rFonts w:ascii="Arial" w:hAnsi="Arial" w:cs="Arial"/>
        </w:rPr>
        <w:t>neel</w:t>
      </w:r>
      <w:r w:rsidR="003F4719" w:rsidRPr="00D33399">
        <w:rPr>
          <w:rFonts w:ascii="Arial" w:hAnsi="Arial" w:cs="Arial"/>
        </w:rPr>
        <w:t>, vinculada ao Ministério de Minas e Energia</w:t>
      </w:r>
      <w:r w:rsidR="00D52420" w:rsidRPr="00D33399">
        <w:rPr>
          <w:rFonts w:ascii="Arial" w:hAnsi="Arial" w:cs="Arial"/>
        </w:rPr>
        <w:t xml:space="preserve"> - MME</w:t>
      </w:r>
      <w:r w:rsidR="003F4719" w:rsidRPr="00D33399">
        <w:rPr>
          <w:rFonts w:ascii="Arial" w:hAnsi="Arial" w:cs="Arial"/>
        </w:rPr>
        <w:t>. Dentro do escopo desse objeto, a Companhia vem exercendo basicamente a</w:t>
      </w:r>
      <w:r w:rsidR="00242066" w:rsidRPr="00D33399">
        <w:rPr>
          <w:rFonts w:ascii="Arial" w:hAnsi="Arial" w:cs="Arial"/>
        </w:rPr>
        <w:t>s atividades de exploração das U</w:t>
      </w:r>
      <w:r w:rsidR="003F4719" w:rsidRPr="00D33399">
        <w:rPr>
          <w:rFonts w:ascii="Arial" w:hAnsi="Arial" w:cs="Arial"/>
        </w:rPr>
        <w:t xml:space="preserve">sinas Angra 1 e Angra 2, com potência nominal de 1.990 MW, bem como a construção da terceira unidade </w:t>
      </w:r>
      <w:r w:rsidR="00064290" w:rsidRPr="00D33399">
        <w:rPr>
          <w:rFonts w:ascii="Arial" w:hAnsi="Arial" w:cs="Arial"/>
        </w:rPr>
        <w:t>nu</w:t>
      </w:r>
      <w:r w:rsidR="00564576" w:rsidRPr="00D33399">
        <w:rPr>
          <w:rFonts w:ascii="Arial" w:hAnsi="Arial" w:cs="Arial"/>
        </w:rPr>
        <w:t>cleo</w:t>
      </w:r>
      <w:r w:rsidR="00782DCE" w:rsidRPr="00D33399">
        <w:rPr>
          <w:rFonts w:ascii="Arial" w:hAnsi="Arial" w:cs="Arial"/>
        </w:rPr>
        <w:t>elétrica, denominada U</w:t>
      </w:r>
      <w:r w:rsidR="003F4719" w:rsidRPr="00D33399">
        <w:rPr>
          <w:rFonts w:ascii="Arial" w:hAnsi="Arial" w:cs="Arial"/>
        </w:rPr>
        <w:t xml:space="preserve">sina Angra 3, cujo estágio está descrito na </w:t>
      </w:r>
      <w:r w:rsidR="00904EEC" w:rsidRPr="00D33399">
        <w:rPr>
          <w:rFonts w:ascii="Arial" w:hAnsi="Arial" w:cs="Arial"/>
        </w:rPr>
        <w:t>nota</w:t>
      </w:r>
      <w:r w:rsidR="003F4719" w:rsidRPr="00D33399">
        <w:rPr>
          <w:rFonts w:ascii="Arial" w:hAnsi="Arial" w:cs="Arial"/>
        </w:rPr>
        <w:t xml:space="preserve"> 14g, todas integrantes da Central Nuclear Almirante Álvaro Alberto - CNAAA.</w:t>
      </w:r>
    </w:p>
    <w:p w14:paraId="47A36CF1" w14:textId="77777777" w:rsidR="00F21038" w:rsidRPr="00D33399" w:rsidRDefault="00F21038" w:rsidP="005144E2">
      <w:pPr>
        <w:widowControl/>
        <w:jc w:val="both"/>
        <w:rPr>
          <w:rFonts w:ascii="Arial" w:hAnsi="Arial" w:cs="Arial"/>
        </w:rPr>
      </w:pPr>
    </w:p>
    <w:p w14:paraId="639744C5" w14:textId="77777777" w:rsidR="00986867" w:rsidRPr="00D33399" w:rsidRDefault="003F4719" w:rsidP="005144E2">
      <w:pPr>
        <w:jc w:val="both"/>
        <w:rPr>
          <w:rFonts w:ascii="Arial" w:hAnsi="Arial" w:cs="Arial"/>
          <w:snapToGrid w:val="0"/>
        </w:rPr>
      </w:pPr>
      <w:r w:rsidRPr="00D33399">
        <w:rPr>
          <w:rFonts w:ascii="Arial" w:hAnsi="Arial" w:cs="Arial"/>
          <w:snapToGrid w:val="0"/>
        </w:rPr>
        <w:t>A seguir, detalhes sobre as autorizações para construção e operação das usinas componentes da Central Nuclear:</w:t>
      </w:r>
    </w:p>
    <w:p w14:paraId="3D3636FF" w14:textId="77777777" w:rsidR="00447842" w:rsidRPr="00D33399" w:rsidRDefault="00D32A6C" w:rsidP="005144E2">
      <w:pPr>
        <w:jc w:val="both"/>
        <w:rPr>
          <w:rFonts w:ascii="Arial" w:hAnsi="Arial" w:cs="Arial"/>
          <w:snapToGrid w:val="0"/>
        </w:rPr>
      </w:pPr>
      <w:r w:rsidRPr="00D33399">
        <w:rPr>
          <w:rFonts w:ascii="Arial" w:hAnsi="Arial" w:cs="Arial"/>
          <w:snapToGrid w:val="0"/>
        </w:rPr>
        <w:object w:dxaOrig="11101" w:dyaOrig="3204" w14:anchorId="6EFEB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pt;height:128.5pt" o:ole="">
            <v:imagedata r:id="rId8" o:title=""/>
          </v:shape>
          <o:OLEObject Type="Embed" ProgID="Excel.Sheet.8" ShapeID="_x0000_i1025" DrawAspect="Content" ObjectID="_1666527503" r:id="rId9"/>
        </w:object>
      </w:r>
    </w:p>
    <w:p w14:paraId="63E8B105" w14:textId="77777777" w:rsidR="002E3F1E" w:rsidRPr="00D33399" w:rsidRDefault="003F4719" w:rsidP="005144E2">
      <w:pPr>
        <w:widowControl/>
        <w:jc w:val="both"/>
        <w:rPr>
          <w:rFonts w:ascii="Arial" w:hAnsi="Arial" w:cs="Arial"/>
        </w:rPr>
      </w:pPr>
      <w:r w:rsidRPr="00D33399">
        <w:rPr>
          <w:rFonts w:ascii="Arial" w:hAnsi="Arial" w:cs="Arial"/>
        </w:rPr>
        <w:t>A energia elétrica gerada pela Companhia, a partir de 1º de janeiro de 2013, foi rateada entre todas as concessionárias, permissionárias ou autorizadas de serviço público de distribuição no Sistema Interligado Nacional – SIN, de acordo com a metodologia estabelecida na Resolução Normativa nº 530, editada em 21 de dezembro de 2012, pela A</w:t>
      </w:r>
      <w:r w:rsidR="00D35BCA" w:rsidRPr="00D33399">
        <w:rPr>
          <w:rFonts w:ascii="Arial" w:hAnsi="Arial" w:cs="Arial"/>
        </w:rPr>
        <w:t>neel</w:t>
      </w:r>
      <w:r w:rsidRPr="00D33399">
        <w:rPr>
          <w:rFonts w:ascii="Arial" w:hAnsi="Arial" w:cs="Arial"/>
        </w:rPr>
        <w:t>, para o cálculo das cotas-partes anuais referentes à energia das centrais de geração Angra 1 e Angra 2 e as condições para a comercialização dessa energia na forma do art.11, da Lei nº 12.111/2009.</w:t>
      </w:r>
    </w:p>
    <w:p w14:paraId="70DC0B98" w14:textId="77777777" w:rsidR="00C57A0A" w:rsidRPr="00D33399" w:rsidRDefault="00C57A0A" w:rsidP="00C57A0A">
      <w:pPr>
        <w:widowControl/>
        <w:ind w:left="360" w:hanging="360"/>
        <w:jc w:val="both"/>
        <w:rPr>
          <w:rFonts w:ascii="Arial" w:hAnsi="Arial" w:cs="Arial"/>
          <w:i/>
          <w:sz w:val="16"/>
          <w:szCs w:val="16"/>
        </w:rPr>
      </w:pPr>
    </w:p>
    <w:p w14:paraId="44B5ACF2" w14:textId="77777777" w:rsidR="003F4719" w:rsidRPr="00D33399" w:rsidRDefault="003F4719" w:rsidP="005144E2">
      <w:pPr>
        <w:widowControl/>
        <w:tabs>
          <w:tab w:val="left" w:pos="142"/>
        </w:tabs>
        <w:jc w:val="both"/>
        <w:rPr>
          <w:rFonts w:ascii="Arial" w:hAnsi="Arial" w:cs="Arial"/>
        </w:rPr>
      </w:pPr>
      <w:r w:rsidRPr="00D33399">
        <w:rPr>
          <w:rFonts w:ascii="Arial" w:hAnsi="Arial" w:cs="Arial"/>
        </w:rPr>
        <w:t xml:space="preserve">Essas cotas-partes representam o percentual da energia proveniente das usinas, a ser alocado a cada distribuidora, calculado pela razão entre o seu mercado faturado dos </w:t>
      </w:r>
      <w:r w:rsidRPr="00D33399">
        <w:rPr>
          <w:rFonts w:ascii="Arial" w:hAnsi="Arial" w:cs="Arial"/>
        </w:rPr>
        <w:lastRenderedPageBreak/>
        <w:t>consumidores e a soma dos mercados faturados dos consumidores cativos de todas as distribuidoras do Sistema Interligado Nacional - SIN.</w:t>
      </w:r>
    </w:p>
    <w:p w14:paraId="08B89AF5" w14:textId="77777777" w:rsidR="003F4719" w:rsidRPr="00D33399" w:rsidRDefault="003F4719" w:rsidP="005144E2">
      <w:pPr>
        <w:widowControl/>
        <w:tabs>
          <w:tab w:val="left" w:pos="142"/>
        </w:tabs>
        <w:jc w:val="both"/>
        <w:rPr>
          <w:rFonts w:ascii="Arial" w:hAnsi="Arial" w:cs="Arial"/>
        </w:rPr>
      </w:pPr>
    </w:p>
    <w:p w14:paraId="2D1D50B8" w14:textId="13B13CAC" w:rsidR="003F4719" w:rsidRPr="00D33399" w:rsidRDefault="003F4719" w:rsidP="005144E2">
      <w:pPr>
        <w:widowControl/>
        <w:tabs>
          <w:tab w:val="left" w:pos="142"/>
        </w:tabs>
        <w:jc w:val="both"/>
        <w:rPr>
          <w:rFonts w:ascii="Arial" w:hAnsi="Arial" w:cs="Arial"/>
        </w:rPr>
      </w:pPr>
      <w:r w:rsidRPr="00D33399">
        <w:rPr>
          <w:rFonts w:ascii="Arial" w:hAnsi="Arial" w:cs="Arial"/>
        </w:rPr>
        <w:t>A A</w:t>
      </w:r>
      <w:r w:rsidR="0094209A" w:rsidRPr="00D33399">
        <w:rPr>
          <w:rFonts w:ascii="Arial" w:hAnsi="Arial" w:cs="Arial"/>
        </w:rPr>
        <w:t>neel</w:t>
      </w:r>
      <w:r w:rsidRPr="00D33399">
        <w:rPr>
          <w:rFonts w:ascii="Arial" w:hAnsi="Arial" w:cs="Arial"/>
        </w:rPr>
        <w:t xml:space="preserve"> estabeleceu as cotas-partes anuais referentes à geração para os anos de 2013 a 202</w:t>
      </w:r>
      <w:r w:rsidR="0065043F" w:rsidRPr="00D33399">
        <w:rPr>
          <w:rFonts w:ascii="Arial" w:hAnsi="Arial" w:cs="Arial"/>
        </w:rPr>
        <w:t>7</w:t>
      </w:r>
      <w:r w:rsidRPr="00D33399">
        <w:rPr>
          <w:rFonts w:ascii="Arial" w:hAnsi="Arial" w:cs="Arial"/>
        </w:rPr>
        <w:t>, bem como os montantes de energia a serem alocadas às distribuidoras do SIN, através das Resoluções Homologatórias:</w:t>
      </w:r>
    </w:p>
    <w:p w14:paraId="58AE60A9" w14:textId="77777777" w:rsidR="003F4719" w:rsidRPr="00D33399" w:rsidRDefault="003F4719" w:rsidP="005144E2">
      <w:pPr>
        <w:widowControl/>
        <w:tabs>
          <w:tab w:val="left" w:pos="142"/>
        </w:tabs>
        <w:jc w:val="both"/>
        <w:rPr>
          <w:rFonts w:ascii="Arial" w:hAnsi="Arial" w:cs="Arial"/>
        </w:rPr>
      </w:pPr>
    </w:p>
    <w:p w14:paraId="09BE3730" w14:textId="77777777" w:rsidR="003F4719" w:rsidRPr="00D33399" w:rsidRDefault="003F4719" w:rsidP="005144E2">
      <w:pPr>
        <w:widowControl/>
        <w:tabs>
          <w:tab w:val="left" w:pos="142"/>
        </w:tabs>
        <w:jc w:val="both"/>
        <w:rPr>
          <w:rFonts w:ascii="Arial" w:hAnsi="Arial" w:cs="Arial"/>
        </w:rPr>
      </w:pPr>
      <w:r w:rsidRPr="00D33399">
        <w:rPr>
          <w:rFonts w:ascii="Arial" w:hAnsi="Arial" w:cs="Arial"/>
        </w:rPr>
        <w:t>- 1.830/2014 de 25 de novembro de 2014</w:t>
      </w:r>
      <w:r w:rsidR="0064292C" w:rsidRPr="00D33399">
        <w:rPr>
          <w:rFonts w:ascii="Arial" w:hAnsi="Arial" w:cs="Arial"/>
        </w:rPr>
        <w:t xml:space="preserve"> (cotas-partes de 2020)</w:t>
      </w:r>
    </w:p>
    <w:p w14:paraId="6157DE90" w14:textId="77777777" w:rsidR="00364C39" w:rsidRPr="00D33399" w:rsidRDefault="00364C39" w:rsidP="005144E2">
      <w:pPr>
        <w:widowControl/>
        <w:tabs>
          <w:tab w:val="left" w:pos="142"/>
        </w:tabs>
        <w:jc w:val="both"/>
        <w:rPr>
          <w:rFonts w:ascii="Arial" w:hAnsi="Arial" w:cs="Arial"/>
        </w:rPr>
      </w:pPr>
      <w:r w:rsidRPr="00D33399">
        <w:rPr>
          <w:rFonts w:ascii="Arial" w:hAnsi="Arial" w:cs="Arial"/>
        </w:rPr>
        <w:t>- 2.011/2015 de 15 de dezembro de 2015</w:t>
      </w:r>
      <w:r w:rsidR="0064292C" w:rsidRPr="00D33399">
        <w:rPr>
          <w:rFonts w:ascii="Arial" w:hAnsi="Arial" w:cs="Arial"/>
        </w:rPr>
        <w:t xml:space="preserve"> (cotas-partes de 2021)</w:t>
      </w:r>
    </w:p>
    <w:p w14:paraId="03022803" w14:textId="77777777" w:rsidR="00BB1E41" w:rsidRPr="00D33399" w:rsidRDefault="00BB1E41" w:rsidP="005144E2">
      <w:pPr>
        <w:widowControl/>
        <w:tabs>
          <w:tab w:val="left" w:pos="142"/>
        </w:tabs>
        <w:jc w:val="both"/>
        <w:rPr>
          <w:rFonts w:ascii="Arial" w:hAnsi="Arial" w:cs="Arial"/>
        </w:rPr>
      </w:pPr>
      <w:r w:rsidRPr="00D33399">
        <w:rPr>
          <w:rFonts w:ascii="Arial" w:hAnsi="Arial" w:cs="Arial"/>
        </w:rPr>
        <w:t>- 2.179/2016 de 29 de novembro de 2016 (cotas-partes de 2022)</w:t>
      </w:r>
    </w:p>
    <w:p w14:paraId="04C5AB93" w14:textId="77777777" w:rsidR="007C59F8" w:rsidRPr="00D33399" w:rsidRDefault="007C59F8" w:rsidP="005144E2">
      <w:pPr>
        <w:widowControl/>
        <w:tabs>
          <w:tab w:val="left" w:pos="142"/>
        </w:tabs>
        <w:jc w:val="both"/>
        <w:rPr>
          <w:rFonts w:ascii="Arial" w:hAnsi="Arial" w:cs="Arial"/>
        </w:rPr>
      </w:pPr>
      <w:r w:rsidRPr="00D33399">
        <w:rPr>
          <w:rFonts w:ascii="Arial" w:hAnsi="Arial" w:cs="Arial"/>
        </w:rPr>
        <w:t>- 2.354/2017 de 05 de dezembro</w:t>
      </w:r>
      <w:r w:rsidR="00825B3D" w:rsidRPr="00D33399">
        <w:rPr>
          <w:rFonts w:ascii="Arial" w:hAnsi="Arial" w:cs="Arial"/>
        </w:rPr>
        <w:t xml:space="preserve"> de 2017 (cotas-partes de 2023)</w:t>
      </w:r>
    </w:p>
    <w:p w14:paraId="2E53C786" w14:textId="77777777" w:rsidR="00825B3D" w:rsidRPr="00D33399" w:rsidRDefault="00825B3D" w:rsidP="005144E2">
      <w:pPr>
        <w:widowControl/>
        <w:tabs>
          <w:tab w:val="left" w:pos="142"/>
        </w:tabs>
        <w:jc w:val="both"/>
        <w:rPr>
          <w:rFonts w:ascii="Arial" w:hAnsi="Arial" w:cs="Arial"/>
        </w:rPr>
      </w:pPr>
      <w:r w:rsidRPr="00D33399">
        <w:rPr>
          <w:rFonts w:ascii="Arial" w:hAnsi="Arial" w:cs="Arial"/>
        </w:rPr>
        <w:t>- 2.499/2018 de 18 de dezembro de 2018 (cotas-partes de 2024 a 2026)</w:t>
      </w:r>
    </w:p>
    <w:p w14:paraId="5B8501C4" w14:textId="77777777" w:rsidR="00CF471E" w:rsidRPr="00D33399" w:rsidRDefault="00CF471E" w:rsidP="00CF471E">
      <w:pPr>
        <w:widowControl/>
        <w:tabs>
          <w:tab w:val="left" w:pos="142"/>
        </w:tabs>
        <w:jc w:val="both"/>
        <w:rPr>
          <w:rFonts w:ascii="Arial" w:hAnsi="Arial" w:cs="Arial"/>
        </w:rPr>
      </w:pPr>
      <w:r w:rsidRPr="00D33399">
        <w:rPr>
          <w:rFonts w:ascii="Arial" w:hAnsi="Arial" w:cs="Arial"/>
        </w:rPr>
        <w:t>- 2.643/2019 de 26 de novembro de 2019 (cotas-partes de 2027)</w:t>
      </w:r>
    </w:p>
    <w:p w14:paraId="5FBC7297" w14:textId="77777777" w:rsidR="00CF471E" w:rsidRPr="00D33399" w:rsidRDefault="00CF471E" w:rsidP="005144E2">
      <w:pPr>
        <w:widowControl/>
        <w:tabs>
          <w:tab w:val="left" w:pos="142"/>
        </w:tabs>
        <w:jc w:val="both"/>
        <w:rPr>
          <w:rFonts w:ascii="Arial" w:hAnsi="Arial" w:cs="Arial"/>
        </w:rPr>
      </w:pPr>
    </w:p>
    <w:p w14:paraId="5F1A3516" w14:textId="77777777" w:rsidR="00825B3D" w:rsidRPr="00D33399" w:rsidRDefault="00825B3D" w:rsidP="005144E2">
      <w:pPr>
        <w:widowControl/>
        <w:tabs>
          <w:tab w:val="left" w:pos="142"/>
        </w:tabs>
        <w:jc w:val="both"/>
        <w:rPr>
          <w:rFonts w:ascii="Arial" w:hAnsi="Arial" w:cs="Arial"/>
        </w:rPr>
      </w:pPr>
    </w:p>
    <w:p w14:paraId="0B7380A6" w14:textId="359CB3BA" w:rsidR="003F4719" w:rsidRPr="00D33399" w:rsidRDefault="003F4719" w:rsidP="005144E2">
      <w:pPr>
        <w:jc w:val="both"/>
        <w:rPr>
          <w:rFonts w:ascii="Arial" w:hAnsi="Arial" w:cs="Arial"/>
        </w:rPr>
      </w:pPr>
      <w:r w:rsidRPr="00D33399">
        <w:rPr>
          <w:rFonts w:ascii="Arial" w:hAnsi="Arial" w:cs="Arial"/>
        </w:rPr>
        <w:t xml:space="preserve">A Companhia apresenta capital circulante líquido </w:t>
      </w:r>
      <w:r w:rsidR="00453CC0" w:rsidRPr="00D33399">
        <w:rPr>
          <w:rFonts w:ascii="Arial" w:hAnsi="Arial" w:cs="Arial"/>
        </w:rPr>
        <w:t>negativo</w:t>
      </w:r>
      <w:r w:rsidRPr="00D33399">
        <w:rPr>
          <w:rFonts w:ascii="Arial" w:hAnsi="Arial" w:cs="Arial"/>
        </w:rPr>
        <w:t xml:space="preserve"> de </w:t>
      </w:r>
      <w:r w:rsidR="005031C8" w:rsidRPr="00D33399">
        <w:rPr>
          <w:rFonts w:ascii="Arial" w:hAnsi="Arial" w:cs="Arial"/>
        </w:rPr>
        <w:t>R</w:t>
      </w:r>
      <w:r w:rsidR="00132377" w:rsidRPr="00D33399">
        <w:rPr>
          <w:rFonts w:ascii="Arial" w:hAnsi="Arial" w:cs="Arial"/>
        </w:rPr>
        <w:t>$</w:t>
      </w:r>
      <w:r w:rsidR="00D46937" w:rsidRPr="00D33399">
        <w:rPr>
          <w:rFonts w:ascii="Arial" w:hAnsi="Arial" w:cs="Arial"/>
        </w:rPr>
        <w:t xml:space="preserve"> 5</w:t>
      </w:r>
      <w:r w:rsidR="0074722B">
        <w:rPr>
          <w:rFonts w:ascii="Arial" w:hAnsi="Arial" w:cs="Arial"/>
        </w:rPr>
        <w:t>7</w:t>
      </w:r>
      <w:r w:rsidR="00D46937" w:rsidRPr="00D33399">
        <w:rPr>
          <w:rFonts w:ascii="Arial" w:hAnsi="Arial" w:cs="Arial"/>
        </w:rPr>
        <w:t>9.</w:t>
      </w:r>
      <w:r w:rsidR="0074722B">
        <w:rPr>
          <w:rFonts w:ascii="Arial" w:hAnsi="Arial" w:cs="Arial"/>
        </w:rPr>
        <w:t>451</w:t>
      </w:r>
      <w:r w:rsidR="00D46937" w:rsidRPr="00D33399">
        <w:rPr>
          <w:rFonts w:ascii="Arial" w:hAnsi="Arial" w:cs="Arial"/>
        </w:rPr>
        <w:t xml:space="preserve"> </w:t>
      </w:r>
      <w:r w:rsidRPr="00D33399">
        <w:rPr>
          <w:rFonts w:ascii="Arial" w:hAnsi="Arial" w:cs="Arial"/>
        </w:rPr>
        <w:t>em 3</w:t>
      </w:r>
      <w:r w:rsidR="00C80B6E" w:rsidRPr="00D33399">
        <w:rPr>
          <w:rFonts w:ascii="Arial" w:hAnsi="Arial" w:cs="Arial"/>
        </w:rPr>
        <w:t>0</w:t>
      </w:r>
      <w:r w:rsidR="00613660" w:rsidRPr="00D33399">
        <w:rPr>
          <w:rFonts w:ascii="Arial" w:hAnsi="Arial" w:cs="Arial"/>
        </w:rPr>
        <w:t xml:space="preserve"> de </w:t>
      </w:r>
      <w:r w:rsidR="00E14D8F" w:rsidRPr="00D33399">
        <w:rPr>
          <w:rFonts w:ascii="Arial" w:hAnsi="Arial" w:cs="Arial"/>
        </w:rPr>
        <w:t>setembro</w:t>
      </w:r>
      <w:r w:rsidR="00613660" w:rsidRPr="00D33399">
        <w:rPr>
          <w:rFonts w:ascii="Arial" w:hAnsi="Arial" w:cs="Arial"/>
        </w:rPr>
        <w:t xml:space="preserve"> </w:t>
      </w:r>
      <w:r w:rsidRPr="00D33399">
        <w:rPr>
          <w:rFonts w:ascii="Arial" w:hAnsi="Arial" w:cs="Arial"/>
        </w:rPr>
        <w:t>de 20</w:t>
      </w:r>
      <w:r w:rsidR="004D7D3C" w:rsidRPr="00D33399">
        <w:rPr>
          <w:rFonts w:ascii="Arial" w:hAnsi="Arial" w:cs="Arial"/>
        </w:rPr>
        <w:t>20</w:t>
      </w:r>
      <w:r w:rsidRPr="00D33399">
        <w:rPr>
          <w:rFonts w:ascii="Arial" w:hAnsi="Arial" w:cs="Arial"/>
        </w:rPr>
        <w:t xml:space="preserve"> (R$ </w:t>
      </w:r>
      <w:r w:rsidR="008B2C63" w:rsidRPr="00D33399">
        <w:rPr>
          <w:rFonts w:ascii="Arial" w:hAnsi="Arial" w:cs="Arial"/>
        </w:rPr>
        <w:t>6</w:t>
      </w:r>
      <w:r w:rsidR="004D7D3C" w:rsidRPr="00D33399">
        <w:rPr>
          <w:rFonts w:ascii="Arial" w:hAnsi="Arial" w:cs="Arial"/>
        </w:rPr>
        <w:t>74.316</w:t>
      </w:r>
      <w:r w:rsidRPr="00D33399">
        <w:rPr>
          <w:rFonts w:ascii="Arial" w:hAnsi="Arial" w:cs="Arial"/>
        </w:rPr>
        <w:t xml:space="preserve">, em 31 de </w:t>
      </w:r>
      <w:r w:rsidR="007D37D9" w:rsidRPr="00D33399">
        <w:rPr>
          <w:rFonts w:ascii="Arial" w:hAnsi="Arial" w:cs="Arial"/>
        </w:rPr>
        <w:t>d</w:t>
      </w:r>
      <w:r w:rsidRPr="00D33399">
        <w:rPr>
          <w:rFonts w:ascii="Arial" w:hAnsi="Arial" w:cs="Arial"/>
        </w:rPr>
        <w:t>ezembro de 201</w:t>
      </w:r>
      <w:r w:rsidR="004D7D3C" w:rsidRPr="00D33399">
        <w:rPr>
          <w:rFonts w:ascii="Arial" w:hAnsi="Arial" w:cs="Arial"/>
        </w:rPr>
        <w:t>9</w:t>
      </w:r>
      <w:r w:rsidRPr="00D33399">
        <w:rPr>
          <w:rFonts w:ascii="Arial" w:hAnsi="Arial" w:cs="Arial"/>
        </w:rPr>
        <w:t>)</w:t>
      </w:r>
      <w:r w:rsidR="00A21423" w:rsidRPr="00D33399">
        <w:rPr>
          <w:rFonts w:ascii="Arial" w:hAnsi="Arial" w:cs="Arial"/>
        </w:rPr>
        <w:t>.</w:t>
      </w:r>
      <w:r w:rsidR="0032123A" w:rsidRPr="00D33399">
        <w:rPr>
          <w:rFonts w:ascii="Arial" w:hAnsi="Arial" w:cs="Arial"/>
        </w:rPr>
        <w:t xml:space="preserve"> </w:t>
      </w:r>
      <w:r w:rsidR="00EF1F6C" w:rsidRPr="00D33399">
        <w:rPr>
          <w:rFonts w:ascii="Arial" w:hAnsi="Arial" w:cs="Arial"/>
        </w:rPr>
        <w:t>As tratativas sobre a liquidez da Companhia podem ser observadas na nota 4.1d</w:t>
      </w:r>
      <w:r w:rsidR="0032123A" w:rsidRPr="00D33399">
        <w:rPr>
          <w:rFonts w:ascii="Arial" w:hAnsi="Arial" w:cs="Arial"/>
        </w:rPr>
        <w:t>.</w:t>
      </w:r>
    </w:p>
    <w:p w14:paraId="691B0E75" w14:textId="77777777" w:rsidR="00B45FA5" w:rsidRPr="00D33399" w:rsidRDefault="00B45FA5" w:rsidP="005144E2">
      <w:pPr>
        <w:widowControl/>
        <w:tabs>
          <w:tab w:val="left" w:pos="142"/>
        </w:tabs>
        <w:jc w:val="both"/>
        <w:rPr>
          <w:rFonts w:ascii="Arial" w:hAnsi="Arial" w:cs="Arial"/>
        </w:rPr>
      </w:pPr>
    </w:p>
    <w:p w14:paraId="6E625EAA" w14:textId="77777777" w:rsidR="00BB3E7B" w:rsidRPr="001C450C" w:rsidRDefault="00BB3E7B" w:rsidP="005144E2">
      <w:pPr>
        <w:widowControl/>
        <w:tabs>
          <w:tab w:val="left" w:pos="142"/>
        </w:tabs>
        <w:jc w:val="both"/>
        <w:rPr>
          <w:rFonts w:ascii="Arial" w:hAnsi="Arial" w:cs="Arial"/>
        </w:rPr>
      </w:pPr>
    </w:p>
    <w:p w14:paraId="273A0C08" w14:textId="29E47866" w:rsidR="001F5F94" w:rsidRPr="001C450C" w:rsidRDefault="004E5294" w:rsidP="001F5F94">
      <w:pPr>
        <w:pStyle w:val="yiv6459758197msolistparagraph"/>
        <w:shd w:val="clear" w:color="auto" w:fill="FFFFFF"/>
        <w:spacing w:before="0" w:beforeAutospacing="0" w:after="0" w:afterAutospacing="0"/>
        <w:jc w:val="both"/>
        <w:rPr>
          <w:rFonts w:ascii="Arial" w:hAnsi="Arial" w:cs="Arial"/>
          <w:b/>
          <w:color w:val="000000" w:themeColor="text1"/>
          <w:sz w:val="26"/>
          <w:szCs w:val="26"/>
          <w:u w:val="single"/>
        </w:rPr>
      </w:pPr>
      <w:r>
        <w:rPr>
          <w:rFonts w:ascii="Arial" w:hAnsi="Arial" w:cs="Arial"/>
          <w:b/>
        </w:rPr>
        <w:t>1</w:t>
      </w:r>
      <w:r w:rsidRPr="00D33399">
        <w:rPr>
          <w:rFonts w:ascii="Arial" w:hAnsi="Arial" w:cs="Arial"/>
          <w:b/>
        </w:rPr>
        <w:t>.1 -</w:t>
      </w:r>
      <w:r w:rsidRPr="00D33399">
        <w:rPr>
          <w:rFonts w:ascii="Arial" w:hAnsi="Arial" w:cs="Arial"/>
          <w:b/>
        </w:rPr>
        <w:tab/>
      </w:r>
      <w:r w:rsidR="001F5F94" w:rsidRPr="004E5294">
        <w:rPr>
          <w:rFonts w:ascii="Arial" w:hAnsi="Arial" w:cs="Arial"/>
          <w:b/>
          <w:color w:val="000000" w:themeColor="text1"/>
          <w:sz w:val="26"/>
          <w:szCs w:val="26"/>
        </w:rPr>
        <w:t>COVID-19</w:t>
      </w:r>
      <w:r w:rsidR="001F5F94" w:rsidRPr="001C450C">
        <w:rPr>
          <w:rFonts w:ascii="Arial" w:hAnsi="Arial" w:cs="Arial"/>
          <w:b/>
          <w:color w:val="000000" w:themeColor="text1"/>
          <w:sz w:val="26"/>
          <w:szCs w:val="26"/>
          <w:u w:val="single"/>
        </w:rPr>
        <w:t xml:space="preserve"> </w:t>
      </w:r>
    </w:p>
    <w:p w14:paraId="78EC59D5" w14:textId="77777777" w:rsidR="001F5F94" w:rsidRPr="001C450C" w:rsidRDefault="001F5F94" w:rsidP="001F5F94">
      <w:pPr>
        <w:pStyle w:val="yiv6459758197msolistparagraph"/>
        <w:shd w:val="clear" w:color="auto" w:fill="FFFFFF"/>
        <w:spacing w:before="0" w:beforeAutospacing="0" w:after="0" w:afterAutospacing="0"/>
        <w:jc w:val="both"/>
        <w:rPr>
          <w:rFonts w:ascii="Arial" w:hAnsi="Arial" w:cs="Arial"/>
          <w:color w:val="000000" w:themeColor="text1"/>
        </w:rPr>
      </w:pPr>
    </w:p>
    <w:p w14:paraId="58561D55"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rPr>
        <w:t>A Companhia vem seguindo as recomendações do Ministério da Saúde, do Governo do Estado do Rio de Janeiro e das cidades onde se encontram suas unidades administrativas e operacionais, e vem adotando todas as medidas para manter a normalidade de suas atividades, dado o setor estratégico em que está inserida</w:t>
      </w:r>
      <w:r w:rsidRPr="00D33399">
        <w:rPr>
          <w:rFonts w:ascii="Arial" w:hAnsi="Arial" w:cs="Arial"/>
          <w:color w:val="000000" w:themeColor="text1"/>
        </w:rPr>
        <w:t>.</w:t>
      </w:r>
    </w:p>
    <w:p w14:paraId="7AB033A5" w14:textId="77777777" w:rsidR="000E2EC0" w:rsidRPr="00D33399" w:rsidRDefault="000E2EC0" w:rsidP="000E2EC0">
      <w:pPr>
        <w:jc w:val="both"/>
        <w:rPr>
          <w:rFonts w:ascii="Arial" w:hAnsi="Arial" w:cs="Arial"/>
          <w:color w:val="000000" w:themeColor="text1"/>
        </w:rPr>
      </w:pPr>
    </w:p>
    <w:p w14:paraId="54BA451D"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A Companhia mantém acompanhamento diligente das suas operações, tendo aprimorado os protocolos originais de operação e ações emergenciais a serem adotadas. A força de trabalho tem desempenhado com êxito suas atividades e, não se observou até o momento, nenhum impacto operacional significativo causado pela pandemia da COVID-19.</w:t>
      </w:r>
    </w:p>
    <w:p w14:paraId="08FA5343" w14:textId="77777777" w:rsidR="000E2EC0" w:rsidRPr="00D33399" w:rsidRDefault="000E2EC0" w:rsidP="000E2EC0">
      <w:pPr>
        <w:jc w:val="both"/>
        <w:rPr>
          <w:rFonts w:ascii="Arial" w:hAnsi="Arial" w:cs="Arial"/>
          <w:color w:val="000000" w:themeColor="text1"/>
        </w:rPr>
      </w:pPr>
    </w:p>
    <w:p w14:paraId="0658F022"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A principal característica da pandemia até este momento, sob a ótica econômico financeira, é a incerteza, fato que não favorece análises probabilísticas para a determinação de cenários a partir da precariedade de informações macroeconômicas cruciais a este tipo de exercício. Nessa conjuntura, surge a necessidade de avaliar-se impacto sobre as atividades da Companhia para fins das demonstrações financeiras intermediárias do terceiro trimestre de 2020. </w:t>
      </w:r>
    </w:p>
    <w:p w14:paraId="1D010412"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  </w:t>
      </w:r>
    </w:p>
    <w:p w14:paraId="4B05F776"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 xml:space="preserve">No que diz respeito aos impactos da redução de mercado, observa-se que a partir do isolamento social imposto em meados do mês de março de 2020, o consumo no Brasil vem sendo reduzido se comparado ao observado em semanas anteriores ao comando de isolamento, com um forte decréscimo da carga média até o fim de maio, na ordem de 14 GW médios, e a partir de junho apresentando pequenas oscilações, motivados por </w:t>
      </w:r>
      <w:r w:rsidRPr="00D33399">
        <w:rPr>
          <w:rFonts w:ascii="Arial" w:hAnsi="Arial" w:cs="Arial"/>
          <w:color w:val="000000" w:themeColor="text1"/>
        </w:rPr>
        <w:lastRenderedPageBreak/>
        <w:t>variações de temperatura e pelo início de flexibilizações ao isolamento em alguns Estados Brasileiros.</w:t>
      </w:r>
    </w:p>
    <w:p w14:paraId="3EF34A4D"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 </w:t>
      </w:r>
    </w:p>
    <w:p w14:paraId="16763D0C"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Diante do cenário atual, a Companhia vem acompanhando o planejado para sua receita de Geração com o realizado. Até o momento não houve evidências de perdas, sejam operacionais ou financeiras ocorridas por inadimplência. Acredita-se que se houver perdas, estas serão momentâneas, com gradual recuperação conforme melhora da situação econômica em geral.</w:t>
      </w:r>
    </w:p>
    <w:p w14:paraId="5110BD5D"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 </w:t>
      </w:r>
    </w:p>
    <w:p w14:paraId="3A94FE96" w14:textId="0A3D87FB" w:rsidR="005E0E9A" w:rsidRDefault="000E2EC0" w:rsidP="000E2EC0">
      <w:pPr>
        <w:jc w:val="both"/>
        <w:rPr>
          <w:rFonts w:ascii="Arial" w:hAnsi="Arial" w:cs="Arial"/>
          <w:color w:val="000000" w:themeColor="text1"/>
        </w:rPr>
      </w:pPr>
      <w:r w:rsidRPr="00D33399">
        <w:rPr>
          <w:rFonts w:ascii="Arial" w:hAnsi="Arial" w:cs="Arial"/>
          <w:color w:val="000000" w:themeColor="text1"/>
        </w:rPr>
        <w:t>Nesse sentido, a Aneel e o MME têm promovido medidas para promover maior liquidez para as distribuidoras, como o Despacho Aneel nº 936, de 07 de abril de 2020, que ampliou o limite para o processamento do Mecanismo de Venda de Excedentes de 15% para 30% em 2020, com vistas à redução da sobrecontratação das distribuidoras, ocasionada pela redução de demanda, e a Resolução Normativa nº 881, também de 07 de abril de 2020, que autorizou o repasse para as distribuidoras do Sistema Interligado Nacional - SIN e para parte dos agentes do mercado livre, de recursos financeiros disponíveis no fundo de reserva para alívio futuro de encargos, com a finalidade de contribuir para a manutenção de suas obrigações junto ao setor elétrico. Nesse contexto, cabe destaque para a introdução da chamada “Conta-Covid” pela Medida Provisória nº 950, de 08 de abril de 2020, regulada pelo Decreto nº 10.350 de 18 de maio de 2020 e pela Resolução Aneel nº 885, de 23 de junho de 2020.  Tais instrumentos normativos tratam de uma operação financeira cuja finalidade é dar liquidez às distribuidoras, mitigando os efeitos da inadimplência e da sobrecontratação associadas à crise da Covid-19, a qual está em vias de implementação</w:t>
      </w:r>
    </w:p>
    <w:p w14:paraId="0E0ADF5F" w14:textId="77777777" w:rsidR="005E0E9A" w:rsidRDefault="005E0E9A" w:rsidP="001F5F94">
      <w:pPr>
        <w:jc w:val="both"/>
        <w:rPr>
          <w:rFonts w:ascii="Arial" w:hAnsi="Arial" w:cs="Arial"/>
          <w:color w:val="000000" w:themeColor="text1"/>
        </w:rPr>
      </w:pPr>
    </w:p>
    <w:p w14:paraId="23049D72" w14:textId="6D117711" w:rsidR="002B5DF1" w:rsidRPr="00067006" w:rsidRDefault="002B5DF1" w:rsidP="00067006">
      <w:pPr>
        <w:pStyle w:val="PargrafodaLista"/>
        <w:widowControl/>
        <w:numPr>
          <w:ilvl w:val="0"/>
          <w:numId w:val="25"/>
        </w:numPr>
        <w:spacing w:line="240" w:lineRule="auto"/>
        <w:ind w:left="426" w:hanging="426"/>
        <w:jc w:val="both"/>
        <w:rPr>
          <w:rFonts w:ascii="Arial" w:hAnsi="Arial" w:cs="Arial"/>
          <w:b/>
          <w:color w:val="000000" w:themeColor="text1"/>
        </w:rPr>
      </w:pPr>
      <w:r w:rsidRPr="00067006">
        <w:rPr>
          <w:rFonts w:ascii="Arial" w:hAnsi="Arial" w:cs="Arial"/>
          <w:b/>
          <w:color w:val="000000" w:themeColor="text1"/>
        </w:rPr>
        <w:t xml:space="preserve"> Perdas esperadas de créditos de liquidação duvidosa</w:t>
      </w:r>
    </w:p>
    <w:p w14:paraId="0318D08C" w14:textId="77777777" w:rsidR="002B5DF1" w:rsidRPr="007A011D" w:rsidRDefault="002B5DF1" w:rsidP="002B5DF1">
      <w:pPr>
        <w:jc w:val="both"/>
        <w:rPr>
          <w:rFonts w:ascii="Arial" w:hAnsi="Arial" w:cs="Arial"/>
          <w:color w:val="000000" w:themeColor="text1"/>
          <w:sz w:val="16"/>
          <w:szCs w:val="16"/>
        </w:rPr>
      </w:pPr>
      <w:r w:rsidRPr="00D33399">
        <w:rPr>
          <w:rFonts w:ascii="Arial" w:hAnsi="Arial" w:cs="Arial"/>
          <w:color w:val="000000" w:themeColor="text1"/>
        </w:rPr>
        <w:t> </w:t>
      </w:r>
    </w:p>
    <w:p w14:paraId="21E3A631"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A emergência de saúde pública de caráter internacional causada pela Covid-19 terá sérios impactos na economia mundial assim como na economia brasileira. Ademais, vem sendo esperada uma queda de faturamento dos agentes do setor elétrico decorrente da retração da atividade econômica, principalmente dos segmentos comercial e industrial.</w:t>
      </w:r>
    </w:p>
    <w:p w14:paraId="356B5D8C" w14:textId="77777777" w:rsidR="000E2EC0" w:rsidRPr="00D33399" w:rsidRDefault="000E2EC0" w:rsidP="000E2EC0">
      <w:pPr>
        <w:jc w:val="both"/>
        <w:rPr>
          <w:rFonts w:ascii="Arial" w:hAnsi="Arial" w:cs="Arial"/>
          <w:color w:val="000000" w:themeColor="text1"/>
        </w:rPr>
      </w:pPr>
    </w:p>
    <w:p w14:paraId="72F0A317"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Há uma preocupação em especial com as Distribuidoras de energia em caso de inadimplência dos consumidores. O mesmo se diga quanto a potencial queda de demanda de energia e sobrecontratação das Distribuidoras nos ambientes livre e regulado de comercialização.</w:t>
      </w:r>
    </w:p>
    <w:p w14:paraId="14ADA464"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 </w:t>
      </w:r>
    </w:p>
    <w:p w14:paraId="64884DB1" w14:textId="77777777" w:rsidR="000E2EC0" w:rsidRPr="00D33399" w:rsidRDefault="000E2EC0" w:rsidP="000E2EC0">
      <w:pPr>
        <w:autoSpaceDE w:val="0"/>
        <w:autoSpaceDN w:val="0"/>
        <w:jc w:val="both"/>
        <w:rPr>
          <w:rFonts w:ascii="Arial" w:hAnsi="Arial" w:cs="Arial"/>
          <w:color w:val="000000" w:themeColor="text1"/>
        </w:rPr>
      </w:pPr>
      <w:r w:rsidRPr="00D33399">
        <w:rPr>
          <w:rFonts w:ascii="Arial" w:hAnsi="Arial" w:cs="Arial"/>
          <w:color w:val="000000" w:themeColor="text1"/>
        </w:rPr>
        <w:t>Neste último trimestre a expectativa de risco se alterou para melhor devido à regulamentação da chamada Conta-Covid, que tem como objetivos amortecer os impactos da pandemia do novo Coronavírus nas contas de luz e injetar liquidez nas empresas do setor elétrico. A Conta-Covid endereça os problemas vivenciados pelas distribuidoras ao lhes garantir recursos financeiros necessários para compensar a perda de receita temporária em decorrência da pandemia e protege o resto da cadeia setorial ao permitir que as distribuidoras continuem honrando seus contratos.</w:t>
      </w:r>
    </w:p>
    <w:p w14:paraId="5C19766F" w14:textId="77777777" w:rsidR="000E2EC0" w:rsidRPr="00D33399" w:rsidRDefault="000E2EC0" w:rsidP="000E2EC0">
      <w:pPr>
        <w:autoSpaceDE w:val="0"/>
        <w:autoSpaceDN w:val="0"/>
        <w:jc w:val="both"/>
        <w:rPr>
          <w:rFonts w:ascii="Arial" w:hAnsi="Arial" w:cs="Arial"/>
          <w:color w:val="000000" w:themeColor="text1"/>
        </w:rPr>
      </w:pPr>
      <w:r w:rsidRPr="00D33399">
        <w:rPr>
          <w:rFonts w:ascii="Arial" w:hAnsi="Arial" w:cs="Arial"/>
          <w:color w:val="000000" w:themeColor="text1"/>
        </w:rPr>
        <w:lastRenderedPageBreak/>
        <w:t xml:space="preserve"> </w:t>
      </w:r>
    </w:p>
    <w:p w14:paraId="2BD8EE13" w14:textId="57E1792F" w:rsidR="00A814C8" w:rsidRPr="00A814C8" w:rsidRDefault="000E2EC0" w:rsidP="000E2EC0">
      <w:pPr>
        <w:autoSpaceDE w:val="0"/>
        <w:autoSpaceDN w:val="0"/>
        <w:jc w:val="both"/>
        <w:rPr>
          <w:rFonts w:ascii="Arial" w:hAnsi="Arial" w:cs="Arial"/>
          <w:color w:val="000000" w:themeColor="text1"/>
        </w:rPr>
      </w:pPr>
      <w:r w:rsidRPr="00D33399">
        <w:rPr>
          <w:rFonts w:ascii="Arial" w:hAnsi="Arial" w:cs="Arial"/>
          <w:color w:val="000000" w:themeColor="text1"/>
        </w:rPr>
        <w:t>Para o terceiro trimestre de 2020 não houve provisionamento referente aos aspectos relacionados à alteração de risco derivados da pandemia</w:t>
      </w:r>
      <w:r w:rsidR="00A814C8" w:rsidRPr="00A814C8">
        <w:rPr>
          <w:rFonts w:ascii="Arial" w:hAnsi="Arial" w:cs="Arial"/>
          <w:color w:val="000000" w:themeColor="text1"/>
        </w:rPr>
        <w:t>.</w:t>
      </w:r>
    </w:p>
    <w:p w14:paraId="3EADB97E" w14:textId="28E4B4C7" w:rsidR="002B5DF1" w:rsidRDefault="002B5DF1" w:rsidP="002B5DF1">
      <w:pPr>
        <w:jc w:val="both"/>
        <w:rPr>
          <w:rFonts w:ascii="Arial" w:hAnsi="Arial" w:cs="Arial"/>
          <w:color w:val="000000" w:themeColor="text1"/>
        </w:rPr>
      </w:pPr>
    </w:p>
    <w:p w14:paraId="0E60AE83" w14:textId="77777777" w:rsidR="00A814C8" w:rsidRPr="00D33399" w:rsidRDefault="00A814C8" w:rsidP="002B5DF1">
      <w:pPr>
        <w:jc w:val="both"/>
        <w:rPr>
          <w:rFonts w:ascii="Arial" w:hAnsi="Arial" w:cs="Arial"/>
          <w:color w:val="000000" w:themeColor="text1"/>
        </w:rPr>
      </w:pPr>
    </w:p>
    <w:p w14:paraId="11F60A05" w14:textId="5AB40811" w:rsidR="00A95B88" w:rsidRPr="00067006" w:rsidRDefault="00A95B88" w:rsidP="00A95B88">
      <w:pPr>
        <w:jc w:val="both"/>
        <w:rPr>
          <w:rFonts w:ascii="Arial" w:hAnsi="Arial" w:cs="Arial"/>
          <w:b/>
          <w:color w:val="000000" w:themeColor="text1"/>
        </w:rPr>
      </w:pPr>
      <w:r w:rsidRPr="00D33399">
        <w:rPr>
          <w:rFonts w:ascii="Arial" w:hAnsi="Arial" w:cs="Arial"/>
          <w:color w:val="000000" w:themeColor="text1"/>
        </w:rPr>
        <w:t> </w:t>
      </w:r>
      <w:r w:rsidR="00067006" w:rsidRPr="00067006">
        <w:rPr>
          <w:rFonts w:ascii="Arial" w:hAnsi="Arial" w:cs="Arial"/>
          <w:b/>
          <w:color w:val="000000" w:themeColor="text1"/>
        </w:rPr>
        <w:t>b)</w:t>
      </w:r>
      <w:r w:rsidRPr="00067006">
        <w:rPr>
          <w:rFonts w:ascii="Arial" w:hAnsi="Arial" w:cs="Arial"/>
          <w:b/>
          <w:color w:val="000000" w:themeColor="text1"/>
        </w:rPr>
        <w:t xml:space="preserve"> Avaliação atuarial dos planos de benefício pós-emprego</w:t>
      </w:r>
    </w:p>
    <w:p w14:paraId="26EB0A81" w14:textId="77777777" w:rsidR="00A95B88" w:rsidRPr="007A011D" w:rsidRDefault="00A95B88" w:rsidP="00A95B88">
      <w:pPr>
        <w:jc w:val="both"/>
        <w:rPr>
          <w:rFonts w:ascii="Arial" w:hAnsi="Arial" w:cs="Arial"/>
          <w:color w:val="000000" w:themeColor="text1"/>
          <w:sz w:val="16"/>
          <w:szCs w:val="16"/>
        </w:rPr>
      </w:pPr>
      <w:r w:rsidRPr="00D33399">
        <w:rPr>
          <w:rFonts w:ascii="Arial" w:hAnsi="Arial" w:cs="Arial"/>
          <w:color w:val="000000" w:themeColor="text1"/>
        </w:rPr>
        <w:t> </w:t>
      </w:r>
    </w:p>
    <w:p w14:paraId="461872E2"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 xml:space="preserve">Em virtude do cenário econômico observado na data base de 30 de setembro de 2020, a Companhia sensibilizou dois dos principais componentes utilizados para a mensuração dos passivos atuariais dos benefícios pós-emprego, notadamente aqueles relacionados aos benefícios de aposentadoria. Os componentes para os quais foram observadas alterações significativas foram o valor justo dos ativos e as taxas de descontos utilizadas para descontar as obrigações de benefícios pós-emprego, substancialmente mensuradas pela NTN-B e não foi identificado efeitos relevantes. </w:t>
      </w:r>
    </w:p>
    <w:p w14:paraId="32FC34C0"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 </w:t>
      </w:r>
    </w:p>
    <w:p w14:paraId="2A91B235" w14:textId="10806BC4" w:rsidR="00DD6565" w:rsidRPr="00DD6565" w:rsidRDefault="000E2EC0" w:rsidP="000E2EC0">
      <w:pPr>
        <w:autoSpaceDE w:val="0"/>
        <w:autoSpaceDN w:val="0"/>
        <w:jc w:val="both"/>
        <w:rPr>
          <w:rFonts w:ascii="Arial" w:hAnsi="Arial" w:cs="Arial"/>
          <w:color w:val="000000" w:themeColor="text1"/>
        </w:rPr>
      </w:pPr>
      <w:r w:rsidRPr="00D33399">
        <w:rPr>
          <w:rFonts w:ascii="Arial" w:hAnsi="Arial" w:cs="Arial"/>
          <w:color w:val="000000" w:themeColor="text1"/>
        </w:rPr>
        <w:t>A Companhia irá manter o acompanhamento de seus saldos atuariais e realizará ajustes no passivo atuarial quando se apresentarem relevantes.</w:t>
      </w:r>
      <w:r>
        <w:rPr>
          <w:rFonts w:ascii="Arial" w:hAnsi="Arial" w:cs="Arial"/>
          <w:color w:val="000000" w:themeColor="text1"/>
        </w:rPr>
        <w:t xml:space="preserve"> A nova avaliação atuarial dos planos de benefício pós-emprego e respectivos registros serão efetuados em 31 de dezembro de 2020</w:t>
      </w:r>
      <w:r w:rsidR="00DD6565" w:rsidRPr="00DD6565">
        <w:rPr>
          <w:rFonts w:ascii="Arial" w:hAnsi="Arial" w:cs="Arial"/>
          <w:color w:val="000000" w:themeColor="text1"/>
        </w:rPr>
        <w:t>.</w:t>
      </w:r>
    </w:p>
    <w:p w14:paraId="44A492E5" w14:textId="77777777" w:rsidR="00DD6565" w:rsidRPr="00D33399" w:rsidRDefault="00DD6565" w:rsidP="00A95B88">
      <w:pPr>
        <w:jc w:val="both"/>
        <w:rPr>
          <w:rFonts w:ascii="Arial" w:hAnsi="Arial" w:cs="Arial"/>
          <w:color w:val="000000" w:themeColor="text1"/>
        </w:rPr>
      </w:pPr>
    </w:p>
    <w:p w14:paraId="09206A19" w14:textId="77777777" w:rsidR="00A95B88" w:rsidRPr="00D33399" w:rsidRDefault="00A95B88" w:rsidP="001F5F94">
      <w:pPr>
        <w:widowControl/>
        <w:tabs>
          <w:tab w:val="num" w:pos="360"/>
        </w:tabs>
        <w:jc w:val="both"/>
        <w:rPr>
          <w:rFonts w:ascii="Arial" w:hAnsi="Arial" w:cs="Arial"/>
        </w:rPr>
      </w:pPr>
    </w:p>
    <w:p w14:paraId="3B930365" w14:textId="77777777" w:rsidR="00A95B88" w:rsidRPr="001C450C" w:rsidRDefault="00A95B88" w:rsidP="001F5F94">
      <w:pPr>
        <w:widowControl/>
        <w:tabs>
          <w:tab w:val="num" w:pos="360"/>
        </w:tabs>
        <w:jc w:val="both"/>
        <w:rPr>
          <w:rFonts w:ascii="Arial" w:hAnsi="Arial" w:cs="Arial"/>
        </w:rPr>
      </w:pPr>
    </w:p>
    <w:p w14:paraId="1B63A435" w14:textId="52453E8A" w:rsidR="001F5F94" w:rsidRPr="004E5294" w:rsidRDefault="00067006" w:rsidP="001F5F94">
      <w:pPr>
        <w:jc w:val="both"/>
        <w:rPr>
          <w:rFonts w:ascii="Arial" w:hAnsi="Arial" w:cs="Arial"/>
          <w:b/>
          <w:i/>
          <w:color w:val="000000" w:themeColor="text1"/>
        </w:rPr>
      </w:pPr>
      <w:r>
        <w:rPr>
          <w:rFonts w:ascii="Arial" w:hAnsi="Arial" w:cs="Arial"/>
          <w:b/>
          <w:color w:val="000000" w:themeColor="text1"/>
        </w:rPr>
        <w:t>c)</w:t>
      </w:r>
      <w:r w:rsidR="001F5F94" w:rsidRPr="004E5294">
        <w:rPr>
          <w:rFonts w:ascii="Arial" w:hAnsi="Arial" w:cs="Arial"/>
          <w:b/>
          <w:color w:val="000000" w:themeColor="text1"/>
        </w:rPr>
        <w:t xml:space="preserve"> Análise de recuperabilidade de ativos de longo prazo – </w:t>
      </w:r>
      <w:r w:rsidR="001F5F94" w:rsidRPr="004E5294">
        <w:rPr>
          <w:rFonts w:ascii="Arial" w:hAnsi="Arial" w:cs="Arial"/>
          <w:b/>
          <w:i/>
          <w:color w:val="000000" w:themeColor="text1"/>
        </w:rPr>
        <w:t>Impairment</w:t>
      </w:r>
    </w:p>
    <w:p w14:paraId="589F3EB9" w14:textId="77777777" w:rsidR="001F5F94" w:rsidRPr="007A011D" w:rsidRDefault="001F5F94" w:rsidP="001F5F94">
      <w:pPr>
        <w:jc w:val="both"/>
        <w:rPr>
          <w:rFonts w:ascii="Arial" w:hAnsi="Arial" w:cs="Arial"/>
          <w:color w:val="000000" w:themeColor="text1"/>
          <w:sz w:val="16"/>
          <w:szCs w:val="16"/>
        </w:rPr>
      </w:pPr>
      <w:r w:rsidRPr="00D33399">
        <w:rPr>
          <w:rFonts w:ascii="Arial" w:hAnsi="Arial" w:cs="Arial"/>
          <w:color w:val="000000" w:themeColor="text1"/>
        </w:rPr>
        <w:t> </w:t>
      </w:r>
    </w:p>
    <w:p w14:paraId="64C913A2"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Conforme o disposto no CPC-01 – Redução de valor recuperável, é necessário verificar a recuperabilidade dos ativos quando mudanças significativas ocorreram durante o período (ou ocorrerão em futuro próximo) no mercado ou no ambiente econômico em que a entidade opera e essas mudanças terão um efeito adverso sobre a entidade, ou quando o valor contábil do patrimônio líquido da entidade for superior à sua capitalização de mercado.</w:t>
      </w:r>
    </w:p>
    <w:p w14:paraId="11030AC4"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 </w:t>
      </w:r>
    </w:p>
    <w:p w14:paraId="3CC0BDAC"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No panorama atual devido à pandemia, de fato observa-se mudança significativa no ambiente econômico do País, porém, até o momento, vislumbra-se pouco impacto nas projeções de receita e operacionais da Companhia. </w:t>
      </w:r>
    </w:p>
    <w:p w14:paraId="4939395D"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 </w:t>
      </w:r>
    </w:p>
    <w:p w14:paraId="6EC22087" w14:textId="335A825F" w:rsidR="001F5F94" w:rsidRPr="00D33399" w:rsidRDefault="000E2EC0" w:rsidP="000E2EC0">
      <w:pPr>
        <w:jc w:val="both"/>
        <w:rPr>
          <w:rFonts w:ascii="Arial" w:hAnsi="Arial" w:cs="Arial"/>
          <w:color w:val="000000" w:themeColor="text1"/>
        </w:rPr>
      </w:pPr>
      <w:r w:rsidRPr="00D874EF">
        <w:rPr>
          <w:rFonts w:ascii="Arial" w:hAnsi="Arial" w:cs="Arial"/>
          <w:color w:val="000000" w:themeColor="text1"/>
        </w:rPr>
        <w:t>Desta forma, no momento não se vislumbra necessidade de atualização do teste de</w:t>
      </w:r>
      <w:r w:rsidRPr="00D874EF">
        <w:rPr>
          <w:rFonts w:ascii="Arial" w:hAnsi="Arial" w:cs="Arial"/>
          <w:i/>
          <w:color w:val="000000" w:themeColor="text1"/>
        </w:rPr>
        <w:t> impairment</w:t>
      </w:r>
      <w:r w:rsidRPr="00D874EF">
        <w:rPr>
          <w:rFonts w:ascii="Arial" w:hAnsi="Arial" w:cs="Arial"/>
          <w:color w:val="000000" w:themeColor="text1"/>
        </w:rPr>
        <w:t> realizado com as informações financeiras do quarto trimestre de 2019. Entretanto, a Companhia sensibilizou os testes de seus ativos relevantes, em especial Angra 3, que já possui provisão de recuperabilidade registrada e não foi encontrada necessidade de incremento de provisão em relação às provisões ora registradas</w:t>
      </w:r>
      <w:r w:rsidR="00B30978">
        <w:rPr>
          <w:rFonts w:ascii="Arial" w:hAnsi="Arial" w:cs="Arial"/>
          <w:color w:val="000000" w:themeColor="text1"/>
        </w:rPr>
        <w:t>.</w:t>
      </w:r>
      <w:r w:rsidR="001F5F94" w:rsidRPr="00D874EF">
        <w:rPr>
          <w:rFonts w:ascii="Arial" w:hAnsi="Arial" w:cs="Arial"/>
          <w:color w:val="000000" w:themeColor="text1"/>
        </w:rPr>
        <w:t> </w:t>
      </w:r>
    </w:p>
    <w:p w14:paraId="7222AACE" w14:textId="77777777" w:rsidR="00A71FD5" w:rsidRPr="00D33399" w:rsidRDefault="00A71FD5" w:rsidP="001F5F94">
      <w:pPr>
        <w:jc w:val="both"/>
        <w:rPr>
          <w:rFonts w:ascii="Arial" w:hAnsi="Arial" w:cs="Arial"/>
          <w:color w:val="000000" w:themeColor="text1"/>
        </w:rPr>
      </w:pPr>
    </w:p>
    <w:p w14:paraId="31FD5248" w14:textId="77777777" w:rsidR="001F5F94" w:rsidRPr="00D33399" w:rsidRDefault="001F5F94" w:rsidP="001F5F94">
      <w:pPr>
        <w:jc w:val="both"/>
        <w:rPr>
          <w:rFonts w:ascii="Arial" w:hAnsi="Arial" w:cs="Arial"/>
          <w:color w:val="000000" w:themeColor="text1"/>
        </w:rPr>
      </w:pPr>
    </w:p>
    <w:p w14:paraId="70B0EF5F" w14:textId="77777777" w:rsidR="001F5F94" w:rsidRPr="00D33399" w:rsidRDefault="001F5F94" w:rsidP="005144E2">
      <w:pPr>
        <w:widowControl/>
        <w:tabs>
          <w:tab w:val="left" w:pos="142"/>
        </w:tabs>
        <w:jc w:val="both"/>
        <w:rPr>
          <w:rFonts w:ascii="Arial" w:hAnsi="Arial" w:cs="Arial"/>
          <w:b/>
          <w:sz w:val="26"/>
          <w:szCs w:val="26"/>
        </w:rPr>
      </w:pPr>
    </w:p>
    <w:p w14:paraId="4ED6A01C" w14:textId="77777777" w:rsidR="003F4719" w:rsidRPr="00D33399" w:rsidRDefault="003F4719" w:rsidP="005144E2">
      <w:pPr>
        <w:widowControl/>
        <w:tabs>
          <w:tab w:val="left" w:pos="142"/>
        </w:tabs>
        <w:jc w:val="both"/>
        <w:rPr>
          <w:rFonts w:ascii="Arial" w:hAnsi="Arial" w:cs="Arial"/>
          <w:b/>
          <w:sz w:val="26"/>
          <w:szCs w:val="26"/>
        </w:rPr>
      </w:pPr>
      <w:r w:rsidRPr="00D33399">
        <w:rPr>
          <w:rFonts w:ascii="Arial" w:hAnsi="Arial" w:cs="Arial"/>
          <w:b/>
          <w:sz w:val="26"/>
          <w:szCs w:val="26"/>
        </w:rPr>
        <w:lastRenderedPageBreak/>
        <w:t>NOTA 2 – PREPARAÇÃO E APRESENTAÇÃO DAS DEMONSTRAÇÕES FINANCEIRAS</w:t>
      </w:r>
    </w:p>
    <w:p w14:paraId="1AC931DC" w14:textId="77777777" w:rsidR="003F4719" w:rsidRPr="00D33399" w:rsidRDefault="003F4719" w:rsidP="005144E2">
      <w:pPr>
        <w:widowControl/>
        <w:tabs>
          <w:tab w:val="left" w:pos="142"/>
        </w:tabs>
        <w:jc w:val="both"/>
        <w:rPr>
          <w:rFonts w:ascii="Arial" w:hAnsi="Arial" w:cs="Arial"/>
          <w:b/>
        </w:rPr>
      </w:pPr>
    </w:p>
    <w:p w14:paraId="7F1F3074" w14:textId="77777777" w:rsidR="0085155A" w:rsidRPr="00D33399" w:rsidRDefault="0085155A" w:rsidP="005144E2">
      <w:pPr>
        <w:jc w:val="both"/>
        <w:rPr>
          <w:rFonts w:ascii="Arial" w:hAnsi="Arial" w:cs="Arial"/>
          <w:sz w:val="16"/>
          <w:szCs w:val="16"/>
        </w:rPr>
      </w:pPr>
    </w:p>
    <w:p w14:paraId="6A92D08B" w14:textId="77777777" w:rsidR="00DF5D8C" w:rsidRPr="00D33399" w:rsidRDefault="00DF5D8C" w:rsidP="005144E2">
      <w:pPr>
        <w:widowControl/>
        <w:tabs>
          <w:tab w:val="left" w:pos="142"/>
        </w:tabs>
        <w:jc w:val="both"/>
        <w:rPr>
          <w:rFonts w:ascii="Arial" w:hAnsi="Arial" w:cs="Arial"/>
          <w:b/>
        </w:rPr>
      </w:pPr>
      <w:r w:rsidRPr="00D33399">
        <w:rPr>
          <w:rFonts w:ascii="Arial" w:hAnsi="Arial" w:cs="Arial"/>
          <w:b/>
        </w:rPr>
        <w:t>a) Base de preparação</w:t>
      </w:r>
    </w:p>
    <w:p w14:paraId="1D574ED2" w14:textId="77777777" w:rsidR="002E0711" w:rsidRPr="00D33399" w:rsidRDefault="002E0711" w:rsidP="005144E2">
      <w:pPr>
        <w:widowControl/>
        <w:tabs>
          <w:tab w:val="left" w:pos="142"/>
        </w:tabs>
        <w:jc w:val="both"/>
        <w:rPr>
          <w:rFonts w:ascii="Arial" w:hAnsi="Arial" w:cs="Arial"/>
          <w:b/>
        </w:rPr>
      </w:pPr>
    </w:p>
    <w:p w14:paraId="39779E77" w14:textId="25D01294" w:rsidR="002E0711" w:rsidRPr="00D33399" w:rsidRDefault="002E0711" w:rsidP="002E0711">
      <w:pPr>
        <w:jc w:val="both"/>
        <w:rPr>
          <w:rFonts w:ascii="Arial" w:hAnsi="Arial"/>
          <w:szCs w:val="20"/>
        </w:rPr>
      </w:pPr>
      <w:r w:rsidRPr="00D33399">
        <w:rPr>
          <w:rFonts w:ascii="Arial" w:hAnsi="Arial"/>
          <w:szCs w:val="20"/>
        </w:rPr>
        <w:t xml:space="preserve">As demonstrações </w:t>
      </w:r>
      <w:r w:rsidRPr="00D33399">
        <w:rPr>
          <w:rFonts w:ascii="Arial" w:hAnsi="Arial" w:cs="Arial"/>
        </w:rPr>
        <w:t>financeiras intermediá</w:t>
      </w:r>
      <w:r w:rsidR="00BD7720" w:rsidRPr="00D33399">
        <w:rPr>
          <w:rFonts w:ascii="Arial" w:hAnsi="Arial" w:cs="Arial"/>
        </w:rPr>
        <w:t xml:space="preserve">rias relativas ao período de </w:t>
      </w:r>
      <w:r w:rsidR="008556E7" w:rsidRPr="00D33399">
        <w:rPr>
          <w:rFonts w:ascii="Arial" w:hAnsi="Arial" w:cs="Arial"/>
        </w:rPr>
        <w:t>nove</w:t>
      </w:r>
      <w:r w:rsidRPr="00D33399">
        <w:rPr>
          <w:rFonts w:ascii="Arial" w:hAnsi="Arial" w:cs="Arial"/>
        </w:rPr>
        <w:t xml:space="preserve"> meses findos em 3</w:t>
      </w:r>
      <w:r w:rsidR="00DA6B99" w:rsidRPr="00D33399">
        <w:rPr>
          <w:rFonts w:ascii="Arial" w:hAnsi="Arial" w:cs="Arial"/>
        </w:rPr>
        <w:t>0</w:t>
      </w:r>
      <w:r w:rsidRPr="00D33399">
        <w:rPr>
          <w:rFonts w:ascii="Arial" w:hAnsi="Arial" w:cs="Arial"/>
        </w:rPr>
        <w:t xml:space="preserve"> de </w:t>
      </w:r>
      <w:r w:rsidR="008556E7" w:rsidRPr="00D33399">
        <w:rPr>
          <w:rFonts w:ascii="Arial" w:hAnsi="Arial" w:cs="Arial"/>
        </w:rPr>
        <w:t xml:space="preserve">setembro </w:t>
      </w:r>
      <w:r w:rsidRPr="00D33399">
        <w:rPr>
          <w:rFonts w:ascii="Arial" w:hAnsi="Arial" w:cs="Arial"/>
        </w:rPr>
        <w:t xml:space="preserve">de 2020 foram elaboradas e </w:t>
      </w:r>
      <w:r w:rsidRPr="00D33399">
        <w:rPr>
          <w:rFonts w:ascii="Arial" w:hAnsi="Arial"/>
          <w:szCs w:val="20"/>
        </w:rPr>
        <w:t>estão apresentadas conforme as práticas contábeis adotadas no Brasil (BR GAAP) emitidas pelo Comitê de Pronunciamentos Contábeis - CPC.</w:t>
      </w:r>
    </w:p>
    <w:p w14:paraId="3D06FC58" w14:textId="77777777" w:rsidR="00DF5D8C" w:rsidRPr="00D33399" w:rsidRDefault="00DF5D8C" w:rsidP="005144E2">
      <w:pPr>
        <w:tabs>
          <w:tab w:val="left" w:pos="1470"/>
        </w:tabs>
        <w:jc w:val="both"/>
        <w:rPr>
          <w:rFonts w:ascii="Arial" w:hAnsi="Arial" w:cs="Arial"/>
        </w:rPr>
      </w:pPr>
    </w:p>
    <w:p w14:paraId="053D520B" w14:textId="3A9F42D9" w:rsidR="00724ABD" w:rsidRPr="00D33399" w:rsidRDefault="00724ABD" w:rsidP="005144E2">
      <w:pPr>
        <w:jc w:val="both"/>
        <w:rPr>
          <w:rFonts w:ascii="Arial" w:hAnsi="Arial" w:cs="Arial"/>
        </w:rPr>
      </w:pPr>
      <w:r w:rsidRPr="00D33399">
        <w:rPr>
          <w:rFonts w:ascii="Arial" w:hAnsi="Arial" w:cs="Arial"/>
        </w:rPr>
        <w:t xml:space="preserve">As demonstrações financeiras </w:t>
      </w:r>
      <w:r w:rsidR="00CC01D3" w:rsidRPr="00D33399">
        <w:rPr>
          <w:rFonts w:ascii="Arial" w:hAnsi="Arial" w:cs="Arial"/>
        </w:rPr>
        <w:t xml:space="preserve">intermediárias </w:t>
      </w:r>
      <w:r w:rsidRPr="00D33399">
        <w:rPr>
          <w:rFonts w:ascii="Arial" w:hAnsi="Arial" w:cs="Arial"/>
        </w:rPr>
        <w:t xml:space="preserve">foram preparadas considerando o custo histórico como base de valor, </w:t>
      </w:r>
      <w:r w:rsidR="00447842" w:rsidRPr="00D33399">
        <w:rPr>
          <w:rFonts w:ascii="Arial" w:hAnsi="Arial" w:cs="Arial"/>
        </w:rPr>
        <w:t>com</w:t>
      </w:r>
      <w:r w:rsidRPr="00D33399">
        <w:rPr>
          <w:rFonts w:ascii="Arial" w:hAnsi="Arial" w:cs="Arial"/>
        </w:rPr>
        <w:t xml:space="preserve"> exceção de certos ativos e passivos financeiros (inclusive instrumentos derivativos) mensurados a valor justo</w:t>
      </w:r>
      <w:r w:rsidR="00AD3BF1" w:rsidRPr="00D33399">
        <w:rPr>
          <w:rFonts w:ascii="Arial" w:hAnsi="Arial" w:cs="Arial"/>
        </w:rPr>
        <w:t>.</w:t>
      </w:r>
    </w:p>
    <w:p w14:paraId="1C8120A1" w14:textId="77777777" w:rsidR="00724ABD" w:rsidRPr="00D33399" w:rsidRDefault="00724ABD" w:rsidP="005144E2">
      <w:pPr>
        <w:jc w:val="both"/>
        <w:rPr>
          <w:rFonts w:ascii="Arial" w:hAnsi="Arial" w:cs="Arial"/>
        </w:rPr>
      </w:pPr>
    </w:p>
    <w:p w14:paraId="20CD6F8C" w14:textId="06DFB6C8" w:rsidR="00D201D3" w:rsidRPr="00D33399" w:rsidRDefault="00D201D3" w:rsidP="005144E2">
      <w:pPr>
        <w:widowControl/>
        <w:tabs>
          <w:tab w:val="left" w:pos="142"/>
        </w:tabs>
        <w:jc w:val="both"/>
        <w:rPr>
          <w:rFonts w:ascii="Arial" w:hAnsi="Arial" w:cs="Arial"/>
        </w:rPr>
      </w:pPr>
      <w:r w:rsidRPr="008A3909">
        <w:rPr>
          <w:rFonts w:ascii="Arial" w:hAnsi="Arial" w:cs="Arial"/>
        </w:rPr>
        <w:t>As presentes demonstrações financeiras</w:t>
      </w:r>
      <w:r w:rsidR="00CC01D3" w:rsidRPr="008A3909">
        <w:rPr>
          <w:rFonts w:ascii="Arial" w:hAnsi="Arial" w:cs="Arial"/>
        </w:rPr>
        <w:t xml:space="preserve"> intermediárias</w:t>
      </w:r>
      <w:r w:rsidRPr="008A3909">
        <w:rPr>
          <w:rFonts w:ascii="Arial" w:hAnsi="Arial" w:cs="Arial"/>
        </w:rPr>
        <w:t xml:space="preserve"> foram aprovadas pel</w:t>
      </w:r>
      <w:r w:rsidR="00F52580" w:rsidRPr="008A3909">
        <w:rPr>
          <w:rFonts w:ascii="Arial" w:hAnsi="Arial" w:cs="Arial"/>
        </w:rPr>
        <w:t>a</w:t>
      </w:r>
      <w:r w:rsidR="00A90330" w:rsidRPr="008A3909">
        <w:rPr>
          <w:rFonts w:ascii="Arial" w:hAnsi="Arial" w:cs="Arial"/>
        </w:rPr>
        <w:t xml:space="preserve"> </w:t>
      </w:r>
      <w:r w:rsidR="00F52580" w:rsidRPr="008A3909">
        <w:rPr>
          <w:rFonts w:ascii="Arial" w:hAnsi="Arial" w:cs="Arial"/>
        </w:rPr>
        <w:t>Diretoria Executiva</w:t>
      </w:r>
      <w:r w:rsidRPr="008A3909">
        <w:rPr>
          <w:rFonts w:ascii="Arial" w:hAnsi="Arial" w:cs="Arial"/>
        </w:rPr>
        <w:t xml:space="preserve"> em </w:t>
      </w:r>
      <w:r w:rsidR="00B4229D">
        <w:rPr>
          <w:rFonts w:ascii="Arial" w:hAnsi="Arial" w:cs="Arial"/>
        </w:rPr>
        <w:t>10</w:t>
      </w:r>
      <w:r w:rsidR="00217479" w:rsidRPr="008A3909">
        <w:rPr>
          <w:rFonts w:ascii="Arial" w:hAnsi="Arial" w:cs="Arial"/>
        </w:rPr>
        <w:t xml:space="preserve"> de novembro de 2020.</w:t>
      </w:r>
      <w:r w:rsidR="004D7D3C" w:rsidRPr="00D33399">
        <w:rPr>
          <w:rFonts w:ascii="Arial" w:hAnsi="Arial" w:cs="Arial"/>
        </w:rPr>
        <w:t xml:space="preserve"> </w:t>
      </w:r>
    </w:p>
    <w:p w14:paraId="043D0409" w14:textId="77777777" w:rsidR="002E0711" w:rsidRPr="00D33399" w:rsidRDefault="002E0711" w:rsidP="005144E2">
      <w:pPr>
        <w:widowControl/>
        <w:tabs>
          <w:tab w:val="left" w:pos="142"/>
        </w:tabs>
        <w:jc w:val="both"/>
        <w:rPr>
          <w:rFonts w:ascii="Arial" w:hAnsi="Arial" w:cs="Arial"/>
        </w:rPr>
      </w:pPr>
    </w:p>
    <w:p w14:paraId="62C7FB76" w14:textId="521B28E5" w:rsidR="002E0711" w:rsidRPr="00D33399" w:rsidRDefault="002E0711" w:rsidP="005144E2">
      <w:pPr>
        <w:widowControl/>
        <w:tabs>
          <w:tab w:val="left" w:pos="142"/>
        </w:tabs>
        <w:jc w:val="both"/>
        <w:rPr>
          <w:rFonts w:ascii="Arial" w:hAnsi="Arial" w:cs="Arial"/>
        </w:rPr>
      </w:pPr>
      <w:r w:rsidRPr="00D33399">
        <w:rPr>
          <w:rFonts w:ascii="Arial" w:hAnsi="Arial" w:cs="Arial"/>
        </w:rPr>
        <w:t>A preparação de demonstrações financeiras</w:t>
      </w:r>
      <w:r w:rsidR="00CC01D3" w:rsidRPr="00D33399">
        <w:rPr>
          <w:rFonts w:ascii="Arial" w:hAnsi="Arial" w:cs="Arial"/>
        </w:rPr>
        <w:t xml:space="preserve"> intermediárias</w:t>
      </w:r>
      <w:r w:rsidRPr="00D33399">
        <w:rPr>
          <w:rFonts w:ascii="Arial" w:hAnsi="Arial" w:cs="Arial"/>
        </w:rPr>
        <w:t xml:space="preserve"> requer o uso de certas estimativas contábeis críticas e, também, o exercício de julgamento por parte da administração da Companhia no processo de aplicação das políticas contábeis. Aquelas áreas que requerem maior nível de julgamento e possuem maior complexidade, bem como as áreas nas quais premissas e estimativas são significativas para as demonstrações financeiras</w:t>
      </w:r>
      <w:r w:rsidR="00F75497" w:rsidRPr="00D33399">
        <w:rPr>
          <w:rFonts w:ascii="Arial" w:hAnsi="Arial" w:cs="Arial"/>
        </w:rPr>
        <w:t xml:space="preserve"> intermediárias</w:t>
      </w:r>
      <w:r w:rsidRPr="00D33399">
        <w:rPr>
          <w:rFonts w:ascii="Arial" w:hAnsi="Arial" w:cs="Arial"/>
        </w:rPr>
        <w:t xml:space="preserve">, estão divulgadas na </w:t>
      </w:r>
      <w:r w:rsidR="008E0652">
        <w:rPr>
          <w:rFonts w:ascii="Arial" w:hAnsi="Arial" w:cs="Arial"/>
        </w:rPr>
        <w:t>n</w:t>
      </w:r>
      <w:r w:rsidRPr="00D33399">
        <w:rPr>
          <w:rFonts w:ascii="Arial" w:hAnsi="Arial" w:cs="Arial"/>
        </w:rPr>
        <w:t>ota 3.1. das demonstrações financeiras da Companhia para o exercício findo em 31 de dezembro de 2019, divulgadas no jornal Valor Econômico, no dia 20 de abril de 2020 e no website da Companhia. Não houve alteração significativa em relação a essas premissas e estimativas ao longo do período findo em 3</w:t>
      </w:r>
      <w:r w:rsidR="00DA6B99" w:rsidRPr="00D33399">
        <w:rPr>
          <w:rFonts w:ascii="Arial" w:hAnsi="Arial" w:cs="Arial"/>
        </w:rPr>
        <w:t>0</w:t>
      </w:r>
      <w:r w:rsidRPr="00D33399">
        <w:rPr>
          <w:rFonts w:ascii="Arial" w:hAnsi="Arial" w:cs="Arial"/>
        </w:rPr>
        <w:t xml:space="preserve"> de </w:t>
      </w:r>
      <w:r w:rsidR="008556E7" w:rsidRPr="00D33399">
        <w:rPr>
          <w:rFonts w:ascii="Arial" w:hAnsi="Arial" w:cs="Arial"/>
        </w:rPr>
        <w:t>setembro</w:t>
      </w:r>
      <w:r w:rsidRPr="00D33399">
        <w:rPr>
          <w:rFonts w:ascii="Arial" w:hAnsi="Arial" w:cs="Arial"/>
        </w:rPr>
        <w:t xml:space="preserve"> de 20</w:t>
      </w:r>
      <w:r w:rsidR="00DA6B99" w:rsidRPr="00D33399">
        <w:rPr>
          <w:rFonts w:ascii="Arial" w:hAnsi="Arial" w:cs="Arial"/>
        </w:rPr>
        <w:t>20.</w:t>
      </w:r>
    </w:p>
    <w:p w14:paraId="03A6C242" w14:textId="77777777" w:rsidR="00D201D3" w:rsidRPr="00D33399" w:rsidRDefault="00D201D3" w:rsidP="005144E2">
      <w:pPr>
        <w:widowControl/>
        <w:tabs>
          <w:tab w:val="left" w:pos="142"/>
        </w:tabs>
        <w:jc w:val="both"/>
        <w:rPr>
          <w:rFonts w:ascii="Arial" w:hAnsi="Arial" w:cs="Arial"/>
        </w:rPr>
      </w:pPr>
    </w:p>
    <w:p w14:paraId="2F770F5B" w14:textId="12D1831A" w:rsidR="00D201D3" w:rsidRPr="00D33399" w:rsidRDefault="00D201D3" w:rsidP="005144E2">
      <w:pPr>
        <w:jc w:val="both"/>
        <w:rPr>
          <w:rFonts w:ascii="Arial" w:hAnsi="Arial" w:cs="Arial"/>
        </w:rPr>
      </w:pPr>
      <w:r w:rsidRPr="00D33399">
        <w:rPr>
          <w:rFonts w:ascii="Arial" w:hAnsi="Arial" w:cs="Arial"/>
        </w:rPr>
        <w:t xml:space="preserve">A Administração da </w:t>
      </w:r>
      <w:r w:rsidR="00564576" w:rsidRPr="00D33399">
        <w:rPr>
          <w:rFonts w:ascii="Arial" w:hAnsi="Arial" w:cs="Arial"/>
        </w:rPr>
        <w:t>C</w:t>
      </w:r>
      <w:r w:rsidRPr="00D33399">
        <w:rPr>
          <w:rFonts w:ascii="Arial" w:hAnsi="Arial" w:cs="Arial"/>
        </w:rPr>
        <w:t>ompanhia confirma que todas as informações relevantes próprias das Demonstrações Financeiras</w:t>
      </w:r>
      <w:r w:rsidR="00CC01D3" w:rsidRPr="00D33399">
        <w:rPr>
          <w:rFonts w:ascii="Arial" w:hAnsi="Arial" w:cs="Arial"/>
        </w:rPr>
        <w:t xml:space="preserve"> Intermediárias</w:t>
      </w:r>
      <w:r w:rsidRPr="00D33399">
        <w:rPr>
          <w:rFonts w:ascii="Arial" w:hAnsi="Arial" w:cs="Arial"/>
        </w:rPr>
        <w:t>, e somente elas, estão sendo evidenciadas, e que correspondem às utilizadas por ela na sua gestão.</w:t>
      </w:r>
    </w:p>
    <w:p w14:paraId="0594E470" w14:textId="77777777" w:rsidR="006A28C5" w:rsidRPr="00D33399" w:rsidRDefault="006A28C5" w:rsidP="005144E2">
      <w:pPr>
        <w:jc w:val="both"/>
        <w:rPr>
          <w:rFonts w:ascii="Arial" w:hAnsi="Arial" w:cs="Arial"/>
        </w:rPr>
      </w:pPr>
    </w:p>
    <w:p w14:paraId="3C0C5004" w14:textId="77777777" w:rsidR="0085155A" w:rsidRPr="00D33399" w:rsidRDefault="0085155A" w:rsidP="005144E2">
      <w:pPr>
        <w:jc w:val="both"/>
        <w:rPr>
          <w:rFonts w:ascii="Arial" w:hAnsi="Arial" w:cs="Arial"/>
          <w:sz w:val="16"/>
          <w:szCs w:val="16"/>
        </w:rPr>
      </w:pPr>
    </w:p>
    <w:p w14:paraId="3F666D30" w14:textId="5A4A0A99" w:rsidR="005D014B" w:rsidRPr="008E0652" w:rsidRDefault="005A785B" w:rsidP="008E0652">
      <w:pPr>
        <w:pStyle w:val="PargrafodaLista"/>
        <w:numPr>
          <w:ilvl w:val="0"/>
          <w:numId w:val="25"/>
        </w:numPr>
        <w:ind w:left="426" w:hanging="426"/>
        <w:jc w:val="both"/>
        <w:rPr>
          <w:rFonts w:ascii="Arial" w:hAnsi="Arial" w:cs="Arial"/>
          <w:b/>
        </w:rPr>
      </w:pPr>
      <w:r w:rsidRPr="008E0652">
        <w:rPr>
          <w:rFonts w:ascii="Arial" w:hAnsi="Arial" w:cs="Arial"/>
          <w:b/>
        </w:rPr>
        <w:t>Moeda funcional e de apresentação</w:t>
      </w:r>
    </w:p>
    <w:p w14:paraId="5777AC11" w14:textId="77777777" w:rsidR="003F4719" w:rsidRPr="00D33399" w:rsidRDefault="003F4719" w:rsidP="005144E2">
      <w:pPr>
        <w:jc w:val="both"/>
        <w:rPr>
          <w:rFonts w:ascii="Arial" w:hAnsi="Arial" w:cs="Arial"/>
        </w:rPr>
      </w:pPr>
    </w:p>
    <w:p w14:paraId="2510FC04" w14:textId="77777777" w:rsidR="005D014B" w:rsidRPr="00D33399" w:rsidRDefault="005D014B" w:rsidP="005144E2">
      <w:pPr>
        <w:widowControl/>
        <w:jc w:val="both"/>
        <w:rPr>
          <w:rFonts w:ascii="Arial" w:hAnsi="Arial" w:cs="Arial"/>
        </w:rPr>
      </w:pPr>
      <w:r w:rsidRPr="00D33399">
        <w:rPr>
          <w:rFonts w:ascii="Arial" w:hAnsi="Arial" w:cs="Arial"/>
        </w:rPr>
        <w:t xml:space="preserve">A moeda funcional da Companhia é o Real. Transações em moeda estrangeira são convertidas para a moeda funcional pelas taxas de câmbio nas datas das transações. Ativos e passivos monetários denominados e apurados em moedas estrangeiras na data do balanço são convertidos para a moeda funcional à taxa de câmbio naquela data. Ativos e passivos não monetários que são mensurados pelo valor justo em moeda estrangeira são convertidos para a moeda funcional à taxa de câmbio na data em que o valor justo foi determinado. Itens não monetários que são mensurados com base no custo histórico em moeda estrangeira são convertidos pela taxa de câmbio na data da transação. As </w:t>
      </w:r>
      <w:r w:rsidRPr="00D33399">
        <w:rPr>
          <w:rFonts w:ascii="Arial" w:hAnsi="Arial" w:cs="Arial"/>
        </w:rPr>
        <w:lastRenderedPageBreak/>
        <w:t>diferenças de moedas estrangeiras resultantes da conversão são geralmente reconhecidas no resultado.</w:t>
      </w:r>
    </w:p>
    <w:p w14:paraId="17A0F840" w14:textId="77777777" w:rsidR="008167EF" w:rsidRPr="00D33399" w:rsidRDefault="008167EF" w:rsidP="005144E2">
      <w:pPr>
        <w:widowControl/>
        <w:jc w:val="both"/>
        <w:rPr>
          <w:rFonts w:ascii="Arial" w:hAnsi="Arial" w:cs="Arial"/>
        </w:rPr>
      </w:pPr>
    </w:p>
    <w:p w14:paraId="15607E14" w14:textId="77777777" w:rsidR="005D014B" w:rsidRPr="00D33399" w:rsidRDefault="005D014B" w:rsidP="005144E2">
      <w:pPr>
        <w:widowControl/>
        <w:jc w:val="both"/>
        <w:rPr>
          <w:rFonts w:ascii="Arial" w:hAnsi="Arial" w:cs="Arial"/>
        </w:rPr>
      </w:pPr>
      <w:r w:rsidRPr="00D33399">
        <w:rPr>
          <w:rFonts w:ascii="Arial" w:hAnsi="Arial" w:cs="Arial"/>
        </w:rPr>
        <w:t>As taxas utilizadas na conversão da moeda estrangeira para a moeda funcional da Companhia estão apresentadas abaixo:</w:t>
      </w:r>
    </w:p>
    <w:p w14:paraId="31D17C0A" w14:textId="77777777" w:rsidR="00B22721" w:rsidRPr="00D33399" w:rsidRDefault="00B22721" w:rsidP="005144E2">
      <w:pPr>
        <w:widowControl/>
        <w:jc w:val="both"/>
        <w:rPr>
          <w:rFonts w:ascii="Arial" w:hAnsi="Arial" w:cs="Arial"/>
          <w:sz w:val="16"/>
          <w:szCs w:val="16"/>
        </w:rPr>
      </w:pPr>
    </w:p>
    <w:p w14:paraId="4C905D01" w14:textId="56175A30" w:rsidR="00371848" w:rsidRPr="00D33399" w:rsidRDefault="006379BD" w:rsidP="005144E2">
      <w:pPr>
        <w:widowControl/>
        <w:jc w:val="both"/>
        <w:rPr>
          <w:rFonts w:ascii="Arial" w:hAnsi="Arial" w:cs="Arial"/>
        </w:rPr>
      </w:pPr>
      <w:r w:rsidRPr="00D33399">
        <w:rPr>
          <w:noProof/>
        </w:rPr>
        <w:drawing>
          <wp:inline distT="0" distB="0" distL="0" distR="0" wp14:anchorId="606ACEE6" wp14:editId="4CDDF157">
            <wp:extent cx="6073140" cy="1146046"/>
            <wp:effectExtent l="0" t="0" r="381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3140" cy="1146046"/>
                    </a:xfrm>
                    <a:prstGeom prst="rect">
                      <a:avLst/>
                    </a:prstGeom>
                    <a:noFill/>
                    <a:ln>
                      <a:noFill/>
                    </a:ln>
                  </pic:spPr>
                </pic:pic>
              </a:graphicData>
            </a:graphic>
          </wp:inline>
        </w:drawing>
      </w:r>
    </w:p>
    <w:p w14:paraId="594CD33E" w14:textId="77777777" w:rsidR="00333A6A" w:rsidRPr="00D33399" w:rsidRDefault="00333A6A" w:rsidP="005144E2">
      <w:pPr>
        <w:widowControl/>
        <w:jc w:val="both"/>
        <w:rPr>
          <w:rFonts w:ascii="Arial" w:hAnsi="Arial" w:cs="Arial"/>
        </w:rPr>
      </w:pPr>
    </w:p>
    <w:p w14:paraId="7350D03B" w14:textId="77777777" w:rsidR="00333A6A" w:rsidRPr="00D33399" w:rsidRDefault="00333A6A" w:rsidP="005144E2">
      <w:pPr>
        <w:widowControl/>
        <w:jc w:val="both"/>
        <w:rPr>
          <w:rFonts w:ascii="Arial" w:hAnsi="Arial" w:cs="Arial"/>
          <w:sz w:val="16"/>
          <w:szCs w:val="16"/>
        </w:rPr>
      </w:pPr>
    </w:p>
    <w:p w14:paraId="7E51580C" w14:textId="7DC19EA7" w:rsidR="00876D35" w:rsidRPr="00D33399" w:rsidRDefault="008E0652" w:rsidP="00876D35">
      <w:pPr>
        <w:rPr>
          <w:rFonts w:ascii="Arial" w:hAnsi="Arial" w:cs="Arial"/>
          <w:b/>
          <w:bCs/>
        </w:rPr>
      </w:pPr>
      <w:r>
        <w:rPr>
          <w:rFonts w:ascii="Arial" w:hAnsi="Arial" w:cs="Arial"/>
          <w:b/>
          <w:bCs/>
        </w:rPr>
        <w:t>c)</w:t>
      </w:r>
      <w:r w:rsidR="00876D35" w:rsidRPr="00D33399">
        <w:rPr>
          <w:rFonts w:ascii="Arial" w:hAnsi="Arial" w:cs="Arial"/>
          <w:b/>
          <w:bCs/>
        </w:rPr>
        <w:t xml:space="preserve"> Demonstração do Valor Adicionado (“DVA”)</w:t>
      </w:r>
      <w:r w:rsidR="00545AE5" w:rsidRPr="00D33399">
        <w:rPr>
          <w:rFonts w:ascii="Arial" w:hAnsi="Arial" w:cs="Arial"/>
          <w:b/>
          <w:bCs/>
        </w:rPr>
        <w:t xml:space="preserve"> </w:t>
      </w:r>
    </w:p>
    <w:p w14:paraId="11ABC4DD" w14:textId="77777777" w:rsidR="00876D35" w:rsidRPr="00D33399" w:rsidRDefault="00876D35" w:rsidP="00876D35">
      <w:pPr>
        <w:jc w:val="both"/>
        <w:rPr>
          <w:rFonts w:ascii="Arial" w:hAnsi="Arial" w:cs="Arial"/>
          <w:sz w:val="16"/>
          <w:szCs w:val="16"/>
        </w:rPr>
      </w:pPr>
    </w:p>
    <w:p w14:paraId="05AC198C" w14:textId="36BE0263" w:rsidR="00876D35" w:rsidRPr="00D33399" w:rsidRDefault="00876D35" w:rsidP="00876D35">
      <w:pPr>
        <w:jc w:val="both"/>
        <w:rPr>
          <w:rFonts w:ascii="Arial" w:hAnsi="Arial" w:cs="Arial"/>
        </w:rPr>
      </w:pPr>
      <w:r w:rsidRPr="00D33399">
        <w:rPr>
          <w:rFonts w:ascii="Arial" w:hAnsi="Arial" w:cs="Arial"/>
        </w:rPr>
        <w:t>A Companhia elaborou Demonstração do Valor Adicionado (DVA) nos termos do pronunciamento técnico CPC 09 - Demonstração do Valor Adicionado, as quais são apresentadas como informação suplementar das demonstrações financeiras</w:t>
      </w:r>
      <w:r w:rsidR="00F75497" w:rsidRPr="00D33399">
        <w:rPr>
          <w:rFonts w:ascii="Arial" w:hAnsi="Arial" w:cs="Arial"/>
        </w:rPr>
        <w:t xml:space="preserve"> intermediárias</w:t>
      </w:r>
      <w:r w:rsidRPr="00D33399">
        <w:rPr>
          <w:rFonts w:ascii="Arial" w:hAnsi="Arial" w:cs="Arial"/>
        </w:rPr>
        <w:t>.</w:t>
      </w:r>
    </w:p>
    <w:p w14:paraId="365CB95F" w14:textId="77777777" w:rsidR="00876D35" w:rsidRPr="00D33399" w:rsidRDefault="00876D35" w:rsidP="00350320">
      <w:pPr>
        <w:ind w:left="1134"/>
        <w:jc w:val="both"/>
        <w:rPr>
          <w:rFonts w:ascii="Arial" w:hAnsi="Arial" w:cs="Arial"/>
        </w:rPr>
      </w:pPr>
    </w:p>
    <w:p w14:paraId="163F1143" w14:textId="77777777" w:rsidR="009F2AEA" w:rsidRPr="00D33399" w:rsidRDefault="009F2AEA" w:rsidP="00350320">
      <w:pPr>
        <w:ind w:left="1134"/>
        <w:jc w:val="both"/>
        <w:rPr>
          <w:rFonts w:ascii="Arial" w:hAnsi="Arial" w:cs="Arial"/>
        </w:rPr>
      </w:pPr>
    </w:p>
    <w:p w14:paraId="0C85E653" w14:textId="77777777" w:rsidR="009F2AEA" w:rsidRPr="00D33399" w:rsidRDefault="009F2AEA" w:rsidP="00350320">
      <w:pPr>
        <w:ind w:left="1134"/>
        <w:jc w:val="both"/>
        <w:rPr>
          <w:rFonts w:ascii="Arial" w:hAnsi="Arial" w:cs="Arial"/>
        </w:rPr>
      </w:pPr>
    </w:p>
    <w:p w14:paraId="08D77DD6" w14:textId="77777777" w:rsidR="003F7AA5" w:rsidRPr="00D33399" w:rsidRDefault="003F7AA5" w:rsidP="003F7AA5">
      <w:pPr>
        <w:widowControl/>
        <w:ind w:left="505" w:hanging="505"/>
        <w:jc w:val="both"/>
        <w:outlineLvl w:val="0"/>
        <w:rPr>
          <w:rFonts w:ascii="Arial" w:hAnsi="Arial" w:cs="Arial"/>
          <w:b/>
          <w:bCs/>
          <w:sz w:val="26"/>
          <w:szCs w:val="26"/>
        </w:rPr>
      </w:pPr>
      <w:r w:rsidRPr="00D33399">
        <w:rPr>
          <w:rFonts w:ascii="Arial" w:hAnsi="Arial" w:cs="Arial"/>
          <w:b/>
          <w:bCs/>
          <w:sz w:val="26"/>
          <w:szCs w:val="26"/>
        </w:rPr>
        <w:t>NOTA 3 – DESCRIÇÃO DAS PRINCIPAIS PRÁTICAS CONTÁBEIS ADOTADAS</w:t>
      </w:r>
    </w:p>
    <w:p w14:paraId="4E033111" w14:textId="77777777" w:rsidR="003F7AA5" w:rsidRPr="00D33399" w:rsidRDefault="003F7AA5" w:rsidP="003F7AA5">
      <w:pPr>
        <w:widowControl/>
        <w:ind w:left="505" w:hanging="505"/>
        <w:jc w:val="both"/>
        <w:outlineLvl w:val="0"/>
        <w:rPr>
          <w:rFonts w:ascii="Arial" w:hAnsi="Arial" w:cs="Arial"/>
          <w:b/>
          <w:bCs/>
        </w:rPr>
      </w:pPr>
    </w:p>
    <w:p w14:paraId="79808353" w14:textId="77777777" w:rsidR="006379BD" w:rsidRPr="00D33399" w:rsidRDefault="006379BD" w:rsidP="003F7AA5">
      <w:pPr>
        <w:widowControl/>
        <w:ind w:left="505" w:hanging="505"/>
        <w:jc w:val="both"/>
        <w:outlineLvl w:val="0"/>
        <w:rPr>
          <w:rFonts w:ascii="Arial" w:hAnsi="Arial" w:cs="Arial"/>
          <w:b/>
          <w:bCs/>
        </w:rPr>
      </w:pPr>
    </w:p>
    <w:p w14:paraId="61AEE6B0" w14:textId="77777777" w:rsidR="003334D3" w:rsidRPr="00D33399" w:rsidRDefault="00C27B98" w:rsidP="00333A6A">
      <w:pPr>
        <w:jc w:val="both"/>
        <w:rPr>
          <w:rFonts w:ascii="Arial" w:hAnsi="Arial" w:cs="Arial"/>
          <w:b/>
        </w:rPr>
      </w:pPr>
      <w:r w:rsidRPr="00D33399">
        <w:rPr>
          <w:rFonts w:ascii="Arial" w:hAnsi="Arial" w:cs="Arial"/>
          <w:szCs w:val="20"/>
        </w:rPr>
        <w:t xml:space="preserve">As práticas contábeis e os métodos de cálculo utilizados na preparação dessas demonstrações </w:t>
      </w:r>
      <w:r w:rsidRPr="00D33399">
        <w:rPr>
          <w:rFonts w:ascii="Arial" w:hAnsi="Arial" w:cs="Arial"/>
        </w:rPr>
        <w:t>financeiras intermediárias são os mesmos adotados na preparação das demonstrações financeiras da Companhia do exercício findo em 31 de dezembro de 201</w:t>
      </w:r>
      <w:r w:rsidR="00333A6A" w:rsidRPr="00D33399">
        <w:rPr>
          <w:rFonts w:ascii="Arial" w:hAnsi="Arial" w:cs="Arial"/>
        </w:rPr>
        <w:t>9</w:t>
      </w:r>
      <w:r w:rsidRPr="00D33399">
        <w:rPr>
          <w:rFonts w:ascii="Arial" w:hAnsi="Arial" w:cs="Arial"/>
        </w:rPr>
        <w:t xml:space="preserve">, divulgadas no jornal Valor Econômico, no dia 20 de abril de 2020 e no </w:t>
      </w:r>
      <w:r w:rsidRPr="008E0652">
        <w:rPr>
          <w:rFonts w:ascii="Arial" w:hAnsi="Arial" w:cs="Arial"/>
          <w:i/>
        </w:rPr>
        <w:t xml:space="preserve">website </w:t>
      </w:r>
      <w:r w:rsidRPr="00D33399">
        <w:rPr>
          <w:rFonts w:ascii="Arial" w:hAnsi="Arial" w:cs="Arial"/>
        </w:rPr>
        <w:t>da Companhia</w:t>
      </w:r>
      <w:r w:rsidR="00333A6A" w:rsidRPr="00D33399">
        <w:rPr>
          <w:rFonts w:ascii="Arial" w:hAnsi="Arial" w:cs="Arial"/>
        </w:rPr>
        <w:t>.</w:t>
      </w:r>
      <w:r w:rsidR="00333A6A" w:rsidRPr="00D33399">
        <w:rPr>
          <w:rFonts w:ascii="Arial" w:hAnsi="Arial" w:cs="Arial"/>
          <w:b/>
        </w:rPr>
        <w:t xml:space="preserve"> </w:t>
      </w:r>
    </w:p>
    <w:p w14:paraId="3BC3372F" w14:textId="36D49654" w:rsidR="00333A6A" w:rsidRDefault="00333A6A" w:rsidP="005144E2">
      <w:pPr>
        <w:widowControl/>
        <w:jc w:val="both"/>
        <w:rPr>
          <w:rFonts w:ascii="Arial" w:hAnsi="Arial" w:cs="Arial"/>
          <w:b/>
        </w:rPr>
      </w:pPr>
    </w:p>
    <w:p w14:paraId="1497DCE6" w14:textId="77777777" w:rsidR="00680C6C" w:rsidRPr="00D33399" w:rsidRDefault="00680C6C" w:rsidP="005144E2">
      <w:pPr>
        <w:widowControl/>
        <w:jc w:val="both"/>
        <w:rPr>
          <w:rFonts w:ascii="Arial" w:hAnsi="Arial" w:cs="Arial"/>
          <w:b/>
        </w:rPr>
      </w:pPr>
    </w:p>
    <w:p w14:paraId="3B0196C5" w14:textId="77777777" w:rsidR="00E2433A" w:rsidRPr="00D33399" w:rsidRDefault="00E2433A" w:rsidP="005144E2">
      <w:pPr>
        <w:widowControl/>
        <w:jc w:val="both"/>
        <w:rPr>
          <w:rFonts w:ascii="Arial" w:hAnsi="Arial" w:cs="Arial"/>
          <w:b/>
        </w:rPr>
      </w:pPr>
    </w:p>
    <w:p w14:paraId="4B28E1C9" w14:textId="77777777" w:rsidR="003F4719" w:rsidRPr="00D33399" w:rsidRDefault="003F4719" w:rsidP="005144E2">
      <w:pPr>
        <w:widowControl/>
        <w:jc w:val="both"/>
        <w:rPr>
          <w:rFonts w:ascii="Arial" w:hAnsi="Arial" w:cs="Arial"/>
          <w:b/>
          <w:sz w:val="26"/>
          <w:szCs w:val="26"/>
        </w:rPr>
      </w:pPr>
      <w:r w:rsidRPr="00D33399">
        <w:rPr>
          <w:rFonts w:ascii="Arial" w:hAnsi="Arial" w:cs="Arial"/>
          <w:b/>
          <w:sz w:val="26"/>
          <w:szCs w:val="26"/>
        </w:rPr>
        <w:t>NOTA 4 – INSTRUMENTOS FINANCEIROS E GESTÃO DE RISCO</w:t>
      </w:r>
    </w:p>
    <w:p w14:paraId="7A6AC271" w14:textId="77777777" w:rsidR="002B44FD" w:rsidRPr="00D33399" w:rsidRDefault="002B44FD" w:rsidP="005144E2">
      <w:pPr>
        <w:widowControl/>
        <w:jc w:val="both"/>
        <w:rPr>
          <w:rFonts w:ascii="Arial" w:hAnsi="Arial" w:cs="Arial"/>
          <w:b/>
        </w:rPr>
      </w:pPr>
    </w:p>
    <w:p w14:paraId="5C61B818" w14:textId="77777777" w:rsidR="00B70D8D" w:rsidRPr="00D33399" w:rsidRDefault="00B70D8D" w:rsidP="005144E2">
      <w:pPr>
        <w:widowControl/>
        <w:jc w:val="both"/>
        <w:rPr>
          <w:rFonts w:ascii="Arial" w:hAnsi="Arial" w:cs="Arial"/>
          <w:b/>
        </w:rPr>
      </w:pPr>
    </w:p>
    <w:p w14:paraId="153A4064" w14:textId="2923652E" w:rsidR="0071601B" w:rsidRPr="00D33399" w:rsidRDefault="0071601B" w:rsidP="005144E2">
      <w:pPr>
        <w:widowControl/>
        <w:jc w:val="both"/>
        <w:rPr>
          <w:rFonts w:ascii="Arial" w:hAnsi="Arial" w:cs="Arial"/>
        </w:rPr>
      </w:pPr>
      <w:r w:rsidRPr="00D33399">
        <w:rPr>
          <w:rFonts w:ascii="Arial" w:hAnsi="Arial" w:cs="Arial"/>
        </w:rPr>
        <w:t xml:space="preserve">As descrições dos saldos contábeis </w:t>
      </w:r>
      <w:r w:rsidR="00447842" w:rsidRPr="00D33399">
        <w:rPr>
          <w:rFonts w:ascii="Arial" w:hAnsi="Arial" w:cs="Arial"/>
        </w:rPr>
        <w:t xml:space="preserve">por categoria </w:t>
      </w:r>
      <w:r w:rsidRPr="00D33399">
        <w:rPr>
          <w:rFonts w:ascii="Arial" w:hAnsi="Arial" w:cs="Arial"/>
        </w:rPr>
        <w:t>dos instrumentos financeiros inclusos nas demonstrações financeiras estão identificadas a seguir</w:t>
      </w:r>
      <w:r w:rsidR="00660DEF" w:rsidRPr="00D33399">
        <w:rPr>
          <w:rFonts w:ascii="Arial" w:hAnsi="Arial" w:cs="Arial"/>
        </w:rPr>
        <w:t>:</w:t>
      </w:r>
    </w:p>
    <w:p w14:paraId="76C50AC6" w14:textId="4A53AAE4" w:rsidR="001061A3" w:rsidRPr="00D33399" w:rsidRDefault="00203C71" w:rsidP="005144E2">
      <w:pPr>
        <w:widowControl/>
        <w:jc w:val="both"/>
        <w:rPr>
          <w:rFonts w:ascii="Arial" w:hAnsi="Arial" w:cs="Arial"/>
          <w:sz w:val="16"/>
          <w:szCs w:val="16"/>
        </w:rPr>
      </w:pPr>
      <w:r w:rsidRPr="00203C71">
        <w:rPr>
          <w:rFonts w:ascii="Arial" w:hAnsi="Arial" w:cs="Arial"/>
          <w:sz w:val="16"/>
          <w:szCs w:val="16"/>
        </w:rPr>
        <w:lastRenderedPageBreak/>
        <w:t xml:space="preserve"> </w:t>
      </w:r>
      <w:r w:rsidR="00A445F1" w:rsidRPr="00A445F1">
        <w:rPr>
          <w:noProof/>
        </w:rPr>
        <w:drawing>
          <wp:inline distT="0" distB="0" distL="0" distR="0" wp14:anchorId="42ABA30A" wp14:editId="047DC47C">
            <wp:extent cx="6073140" cy="3592071"/>
            <wp:effectExtent l="0" t="0" r="3810" b="889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3140" cy="3592071"/>
                    </a:xfrm>
                    <a:prstGeom prst="rect">
                      <a:avLst/>
                    </a:prstGeom>
                    <a:noFill/>
                    <a:ln>
                      <a:noFill/>
                    </a:ln>
                  </pic:spPr>
                </pic:pic>
              </a:graphicData>
            </a:graphic>
          </wp:inline>
        </w:drawing>
      </w:r>
    </w:p>
    <w:p w14:paraId="7F36D467" w14:textId="77777777" w:rsidR="00A86614" w:rsidRPr="00D33399" w:rsidRDefault="00A86614" w:rsidP="005144E2">
      <w:pPr>
        <w:widowControl/>
        <w:jc w:val="both"/>
        <w:rPr>
          <w:rFonts w:ascii="Arial" w:hAnsi="Arial" w:cs="Arial"/>
        </w:rPr>
      </w:pPr>
    </w:p>
    <w:p w14:paraId="757F635C" w14:textId="77777777" w:rsidR="000F6F1C" w:rsidRPr="00D33399" w:rsidRDefault="000F6F1C" w:rsidP="005144E2">
      <w:pPr>
        <w:widowControl/>
        <w:jc w:val="both"/>
        <w:rPr>
          <w:rFonts w:ascii="Arial" w:hAnsi="Arial" w:cs="Arial"/>
          <w:sz w:val="16"/>
          <w:szCs w:val="16"/>
        </w:rPr>
      </w:pPr>
    </w:p>
    <w:p w14:paraId="3313B6E2" w14:textId="77777777" w:rsidR="003F4719" w:rsidRPr="00D33399" w:rsidRDefault="003F4719" w:rsidP="005144E2">
      <w:pPr>
        <w:widowControl/>
        <w:jc w:val="both"/>
        <w:rPr>
          <w:rFonts w:ascii="Arial" w:hAnsi="Arial" w:cs="Arial"/>
          <w:b/>
        </w:rPr>
      </w:pPr>
      <w:r w:rsidRPr="00D33399">
        <w:rPr>
          <w:rFonts w:ascii="Arial" w:hAnsi="Arial" w:cs="Arial"/>
          <w:b/>
        </w:rPr>
        <w:t>4.1 -</w:t>
      </w:r>
      <w:r w:rsidRPr="00D33399">
        <w:rPr>
          <w:rFonts w:ascii="Arial" w:hAnsi="Arial" w:cs="Arial"/>
          <w:b/>
        </w:rPr>
        <w:tab/>
        <w:t>Fatores de risco</w:t>
      </w:r>
    </w:p>
    <w:p w14:paraId="165BDCB0" w14:textId="77777777" w:rsidR="0020523C" w:rsidRPr="00D33399" w:rsidRDefault="0020523C" w:rsidP="005144E2">
      <w:pPr>
        <w:widowControl/>
        <w:jc w:val="both"/>
        <w:rPr>
          <w:rFonts w:ascii="Arial" w:hAnsi="Arial" w:cs="Arial"/>
          <w:b/>
        </w:rPr>
      </w:pPr>
    </w:p>
    <w:p w14:paraId="5D2E0495" w14:textId="77777777" w:rsidR="003F4719" w:rsidRPr="00D33399" w:rsidRDefault="003F4719" w:rsidP="005144E2">
      <w:pPr>
        <w:jc w:val="both"/>
        <w:rPr>
          <w:rFonts w:ascii="Arial" w:hAnsi="Arial" w:cs="Arial"/>
        </w:rPr>
      </w:pPr>
      <w:r w:rsidRPr="00D33399">
        <w:rPr>
          <w:rFonts w:ascii="Arial" w:hAnsi="Arial" w:cs="Arial"/>
        </w:rPr>
        <w:t xml:space="preserve">O Conselho de Administração da Companhia </w:t>
      </w:r>
      <w:r w:rsidR="00F56EE3" w:rsidRPr="00D33399">
        <w:rPr>
          <w:rFonts w:ascii="Arial" w:hAnsi="Arial" w:cs="Arial"/>
        </w:rPr>
        <w:t xml:space="preserve">- </w:t>
      </w:r>
      <w:r w:rsidRPr="00D33399">
        <w:rPr>
          <w:rFonts w:ascii="Arial" w:hAnsi="Arial" w:cs="Arial"/>
        </w:rPr>
        <w:t>CA tem a responsabilidade global para o estabelecimento e supervisão da estrutura de gerenciamento de risco da Companhia. A Auditoria Interna</w:t>
      </w:r>
      <w:r w:rsidR="001061A3" w:rsidRPr="00D33399">
        <w:rPr>
          <w:rFonts w:ascii="Arial" w:hAnsi="Arial" w:cs="Arial"/>
        </w:rPr>
        <w:t>,</w:t>
      </w:r>
      <w:r w:rsidRPr="00D33399">
        <w:rPr>
          <w:rFonts w:ascii="Arial" w:hAnsi="Arial" w:cs="Arial"/>
        </w:rPr>
        <w:t xml:space="preserve"> a </w:t>
      </w:r>
      <w:r w:rsidR="00A074F4" w:rsidRPr="00D33399">
        <w:rPr>
          <w:rFonts w:ascii="Arial" w:hAnsi="Arial" w:cs="Arial"/>
        </w:rPr>
        <w:t>Superintendência de Governança, Gestão de Riscos e Conformidade</w:t>
      </w:r>
      <w:r w:rsidRPr="00D33399">
        <w:rPr>
          <w:rFonts w:ascii="Arial" w:hAnsi="Arial" w:cs="Arial"/>
        </w:rPr>
        <w:t xml:space="preserve"> são responsáveis pelo desenvolvimento e acompanhamento das políticas de gerenciamento de risco da Companhia. O reporte de suas atividades é feito regularmente ao Conselho de Administração. </w:t>
      </w:r>
    </w:p>
    <w:p w14:paraId="4972AE42" w14:textId="77777777" w:rsidR="003F4719" w:rsidRPr="00D33399" w:rsidRDefault="003F4719" w:rsidP="005144E2">
      <w:pPr>
        <w:widowControl/>
        <w:jc w:val="both"/>
        <w:rPr>
          <w:rFonts w:ascii="Arial" w:hAnsi="Arial" w:cs="Arial"/>
        </w:rPr>
      </w:pPr>
    </w:p>
    <w:p w14:paraId="4F93E38E" w14:textId="77777777" w:rsidR="003F4719" w:rsidRPr="00D33399" w:rsidRDefault="003F4719" w:rsidP="005144E2">
      <w:pPr>
        <w:widowControl/>
        <w:jc w:val="both"/>
        <w:rPr>
          <w:rFonts w:ascii="Arial" w:hAnsi="Arial" w:cs="Arial"/>
        </w:rPr>
      </w:pPr>
      <w:r w:rsidRPr="00D33399">
        <w:rPr>
          <w:rFonts w:ascii="Arial" w:hAnsi="Arial" w:cs="Arial"/>
        </w:rPr>
        <w:t>As políticas de gerenciamento de risco da Companhia são estabelecidas para identificar e analisar os riscos aos quais a E</w:t>
      </w:r>
      <w:r w:rsidR="00683FE2" w:rsidRPr="00D33399">
        <w:rPr>
          <w:rFonts w:ascii="Arial" w:hAnsi="Arial" w:cs="Arial"/>
        </w:rPr>
        <w:t>LETRONUCLEAR</w:t>
      </w:r>
      <w:r w:rsidRPr="00D33399">
        <w:rPr>
          <w:rFonts w:ascii="Arial" w:hAnsi="Arial" w:cs="Arial"/>
        </w:rPr>
        <w:t xml:space="preserve"> está exposta, para definir limites de riscos e controles apropriados, e para monitorar os riscos e a aderência aos limites definidos. As políticas de gerenciamento de risco e os sistemas são revisados regularmente para refletir mudanças nas condições de mercado e nas atividades da Companhia. A </w:t>
      </w:r>
      <w:r w:rsidR="007D4391" w:rsidRPr="00D33399">
        <w:rPr>
          <w:rFonts w:ascii="Arial" w:hAnsi="Arial" w:cs="Arial"/>
        </w:rPr>
        <w:t>ELETRONUCLEAR</w:t>
      </w:r>
      <w:r w:rsidRPr="00D33399">
        <w:rPr>
          <w:rFonts w:ascii="Arial" w:hAnsi="Arial" w:cs="Arial"/>
        </w:rPr>
        <w:t>, através de suas normas e procedimentos de treinamento e gerenciamento, busca manter um ambiente de disciplina e controle, no qual todos os funcionários tenham consciência de suas atribuições e obrigações.</w:t>
      </w:r>
    </w:p>
    <w:p w14:paraId="103F86B3" w14:textId="77777777" w:rsidR="003F4719" w:rsidRPr="00D33399" w:rsidRDefault="003F4719" w:rsidP="005144E2">
      <w:pPr>
        <w:widowControl/>
        <w:jc w:val="both"/>
        <w:rPr>
          <w:rFonts w:ascii="Arial" w:hAnsi="Arial" w:cs="Arial"/>
        </w:rPr>
      </w:pPr>
      <w:r w:rsidRPr="00D33399">
        <w:rPr>
          <w:rFonts w:ascii="Arial" w:hAnsi="Arial" w:cs="Arial"/>
        </w:rPr>
        <w:t>A Companhia possui exposição aos seguintes riscos:</w:t>
      </w:r>
    </w:p>
    <w:p w14:paraId="701F4AAE" w14:textId="77777777" w:rsidR="006D1F76" w:rsidRPr="00D33399" w:rsidRDefault="006D1F76" w:rsidP="005144E2">
      <w:pPr>
        <w:widowControl/>
        <w:jc w:val="both"/>
        <w:rPr>
          <w:rFonts w:ascii="Arial" w:hAnsi="Arial" w:cs="Arial"/>
        </w:rPr>
      </w:pPr>
    </w:p>
    <w:p w14:paraId="7B80E440" w14:textId="77777777" w:rsidR="003F4719" w:rsidRPr="00D33399" w:rsidRDefault="003F4719" w:rsidP="005144E2">
      <w:pPr>
        <w:pStyle w:val="PargrafodaLista"/>
        <w:widowControl/>
        <w:numPr>
          <w:ilvl w:val="0"/>
          <w:numId w:val="10"/>
        </w:numPr>
        <w:ind w:left="357" w:hanging="357"/>
        <w:jc w:val="both"/>
        <w:rPr>
          <w:rFonts w:ascii="Arial" w:hAnsi="Arial" w:cs="Arial"/>
        </w:rPr>
      </w:pPr>
      <w:r w:rsidRPr="00D33399">
        <w:rPr>
          <w:rFonts w:ascii="Arial" w:hAnsi="Arial" w:cs="Arial"/>
        </w:rPr>
        <w:t>Riscos de mercado</w:t>
      </w:r>
    </w:p>
    <w:p w14:paraId="1AC172F3" w14:textId="77777777" w:rsidR="003F4719" w:rsidRPr="00D33399" w:rsidRDefault="003F4719" w:rsidP="005144E2">
      <w:pPr>
        <w:pStyle w:val="PargrafodaLista"/>
        <w:widowControl/>
        <w:numPr>
          <w:ilvl w:val="0"/>
          <w:numId w:val="10"/>
        </w:numPr>
        <w:ind w:left="357" w:hanging="357"/>
        <w:jc w:val="both"/>
        <w:rPr>
          <w:rFonts w:ascii="Arial" w:hAnsi="Arial" w:cs="Arial"/>
        </w:rPr>
      </w:pPr>
      <w:r w:rsidRPr="00D33399">
        <w:rPr>
          <w:rFonts w:ascii="Arial" w:hAnsi="Arial" w:cs="Arial"/>
        </w:rPr>
        <w:t>Risco de crédito</w:t>
      </w:r>
    </w:p>
    <w:p w14:paraId="0A6385F5" w14:textId="77777777" w:rsidR="003F4719" w:rsidRPr="00D33399" w:rsidRDefault="003F4719" w:rsidP="005144E2">
      <w:pPr>
        <w:pStyle w:val="PargrafodaLista"/>
        <w:widowControl/>
        <w:numPr>
          <w:ilvl w:val="0"/>
          <w:numId w:val="10"/>
        </w:numPr>
        <w:ind w:left="357" w:hanging="357"/>
        <w:jc w:val="both"/>
        <w:rPr>
          <w:rFonts w:ascii="Arial" w:hAnsi="Arial" w:cs="Arial"/>
        </w:rPr>
      </w:pPr>
      <w:r w:rsidRPr="00D33399">
        <w:rPr>
          <w:rFonts w:ascii="Arial" w:hAnsi="Arial" w:cs="Arial"/>
        </w:rPr>
        <w:t>Risco de liquidez</w:t>
      </w:r>
    </w:p>
    <w:p w14:paraId="2716CBE4" w14:textId="77777777" w:rsidR="003F4719" w:rsidRPr="00D33399" w:rsidRDefault="003F4719" w:rsidP="005144E2">
      <w:pPr>
        <w:pStyle w:val="PargrafodaLista"/>
        <w:widowControl/>
        <w:numPr>
          <w:ilvl w:val="0"/>
          <w:numId w:val="10"/>
        </w:numPr>
        <w:ind w:left="357" w:hanging="357"/>
        <w:jc w:val="both"/>
        <w:rPr>
          <w:rFonts w:ascii="Arial" w:hAnsi="Arial" w:cs="Arial"/>
        </w:rPr>
      </w:pPr>
      <w:r w:rsidRPr="00D33399">
        <w:rPr>
          <w:rFonts w:ascii="Arial" w:hAnsi="Arial" w:cs="Arial"/>
        </w:rPr>
        <w:lastRenderedPageBreak/>
        <w:t>Risco operacional</w:t>
      </w:r>
    </w:p>
    <w:p w14:paraId="3098B309" w14:textId="77777777" w:rsidR="00F56EE3" w:rsidRPr="00D33399" w:rsidRDefault="00F56EE3" w:rsidP="005144E2">
      <w:pPr>
        <w:pStyle w:val="PargrafodaLista"/>
        <w:widowControl/>
        <w:ind w:left="357"/>
        <w:jc w:val="both"/>
        <w:rPr>
          <w:rFonts w:ascii="Arial" w:hAnsi="Arial" w:cs="Arial"/>
        </w:rPr>
      </w:pPr>
    </w:p>
    <w:p w14:paraId="6D192580" w14:textId="77777777" w:rsidR="00B34CC6" w:rsidRPr="00D33399" w:rsidRDefault="00B34CC6" w:rsidP="005144E2">
      <w:pPr>
        <w:pStyle w:val="PargrafodaLista"/>
        <w:widowControl/>
        <w:ind w:left="357"/>
        <w:jc w:val="both"/>
        <w:rPr>
          <w:rFonts w:ascii="Arial" w:hAnsi="Arial" w:cs="Arial"/>
          <w:sz w:val="16"/>
          <w:szCs w:val="16"/>
        </w:rPr>
      </w:pPr>
    </w:p>
    <w:p w14:paraId="78C09968" w14:textId="77777777" w:rsidR="003F4719" w:rsidRPr="00D33399" w:rsidRDefault="003F4719" w:rsidP="005144E2">
      <w:pPr>
        <w:widowControl/>
        <w:tabs>
          <w:tab w:val="left" w:pos="180"/>
        </w:tabs>
        <w:jc w:val="both"/>
        <w:rPr>
          <w:rFonts w:ascii="Arial" w:hAnsi="Arial" w:cs="Arial"/>
          <w:b/>
        </w:rPr>
      </w:pPr>
      <w:r w:rsidRPr="00D33399">
        <w:rPr>
          <w:rFonts w:ascii="Arial" w:hAnsi="Arial" w:cs="Arial"/>
          <w:b/>
        </w:rPr>
        <w:t>a) Riscos de mercado</w:t>
      </w:r>
    </w:p>
    <w:p w14:paraId="0FCA1901" w14:textId="77777777" w:rsidR="003F4719" w:rsidRPr="00D33399" w:rsidRDefault="003F4719" w:rsidP="005144E2">
      <w:pPr>
        <w:widowControl/>
        <w:tabs>
          <w:tab w:val="left" w:pos="180"/>
        </w:tabs>
        <w:jc w:val="both"/>
        <w:rPr>
          <w:rFonts w:ascii="Arial" w:hAnsi="Arial" w:cs="Arial"/>
          <w:b/>
          <w:sz w:val="16"/>
          <w:szCs w:val="16"/>
        </w:rPr>
      </w:pPr>
    </w:p>
    <w:p w14:paraId="572DF655" w14:textId="77777777" w:rsidR="003F4719" w:rsidRPr="00D33399" w:rsidRDefault="003F4719" w:rsidP="005144E2">
      <w:pPr>
        <w:widowControl/>
        <w:jc w:val="both"/>
        <w:rPr>
          <w:rFonts w:ascii="Arial" w:hAnsi="Arial" w:cs="Arial"/>
        </w:rPr>
      </w:pPr>
      <w:r w:rsidRPr="00D33399">
        <w:rPr>
          <w:rFonts w:ascii="Arial" w:hAnsi="Arial" w:cs="Arial"/>
        </w:rPr>
        <w:t>Risco de mercado é o risco de alterações nos preços de mercado</w:t>
      </w:r>
      <w:r w:rsidR="005D1518" w:rsidRPr="00D33399">
        <w:rPr>
          <w:rFonts w:ascii="Arial" w:hAnsi="Arial" w:cs="Arial"/>
        </w:rPr>
        <w:t>,</w:t>
      </w:r>
      <w:r w:rsidRPr="00D33399">
        <w:rPr>
          <w:rFonts w:ascii="Arial" w:hAnsi="Arial" w:cs="Arial"/>
        </w:rPr>
        <w:t xml:space="preserve"> tais como</w:t>
      </w:r>
      <w:r w:rsidR="005D1518" w:rsidRPr="00D33399">
        <w:rPr>
          <w:rFonts w:ascii="Arial" w:hAnsi="Arial" w:cs="Arial"/>
        </w:rPr>
        <w:t>:</w:t>
      </w:r>
      <w:r w:rsidRPr="00D33399">
        <w:rPr>
          <w:rFonts w:ascii="Arial" w:hAnsi="Arial" w:cs="Arial"/>
        </w:rPr>
        <w:t xml:space="preserve"> as taxas de câmbio e taxas de juros e outros riscos de preço que irão afetar os ganhos da Companhia ou o valor de suas participações em instrumentos financeiros. O objetivo do gerenciamento de risco de mercado é gerenciar e controlar as exposições a </w:t>
      </w:r>
      <w:r w:rsidR="00B45FA5" w:rsidRPr="00D33399">
        <w:rPr>
          <w:rFonts w:ascii="Arial" w:hAnsi="Arial" w:cs="Arial"/>
        </w:rPr>
        <w:t xml:space="preserve">esses </w:t>
      </w:r>
      <w:r w:rsidRPr="00D33399">
        <w:rPr>
          <w:rFonts w:ascii="Arial" w:hAnsi="Arial" w:cs="Arial"/>
        </w:rPr>
        <w:t>riscos, dentro de parâmetros aceitáveis, e ao mesmo tempo otimizar o retorno, a saber:</w:t>
      </w:r>
    </w:p>
    <w:p w14:paraId="194FF2D9" w14:textId="77777777" w:rsidR="00C9401A" w:rsidRPr="00D33399" w:rsidRDefault="00C9401A" w:rsidP="005144E2">
      <w:pPr>
        <w:widowControl/>
        <w:tabs>
          <w:tab w:val="left" w:pos="180"/>
        </w:tabs>
        <w:jc w:val="both"/>
        <w:rPr>
          <w:rFonts w:ascii="Arial" w:hAnsi="Arial" w:cs="Arial"/>
          <w:b/>
        </w:rPr>
      </w:pPr>
    </w:p>
    <w:p w14:paraId="2B242BC0" w14:textId="77777777" w:rsidR="003F4719" w:rsidRPr="00D33399" w:rsidRDefault="003F4719" w:rsidP="005144E2">
      <w:pPr>
        <w:widowControl/>
        <w:tabs>
          <w:tab w:val="left" w:pos="180"/>
        </w:tabs>
        <w:jc w:val="both"/>
        <w:rPr>
          <w:rFonts w:ascii="Arial" w:hAnsi="Arial" w:cs="Arial"/>
          <w:b/>
        </w:rPr>
      </w:pPr>
      <w:r w:rsidRPr="00D33399">
        <w:rPr>
          <w:rFonts w:ascii="Arial" w:hAnsi="Arial" w:cs="Arial"/>
          <w:b/>
        </w:rPr>
        <w:t>a.1) Risco de taxa de câmbio</w:t>
      </w:r>
    </w:p>
    <w:p w14:paraId="25AF3214" w14:textId="77777777" w:rsidR="003F4719" w:rsidRPr="00D33399" w:rsidRDefault="003F4719" w:rsidP="005144E2">
      <w:pPr>
        <w:widowControl/>
        <w:jc w:val="both"/>
        <w:rPr>
          <w:rFonts w:ascii="Arial" w:hAnsi="Arial" w:cs="Arial"/>
          <w:sz w:val="16"/>
          <w:szCs w:val="16"/>
        </w:rPr>
      </w:pPr>
    </w:p>
    <w:p w14:paraId="4D20EE20" w14:textId="77777777" w:rsidR="003F4719" w:rsidRPr="00D33399" w:rsidRDefault="003F4719" w:rsidP="005144E2">
      <w:pPr>
        <w:widowControl/>
        <w:jc w:val="both"/>
        <w:rPr>
          <w:rFonts w:ascii="Arial" w:hAnsi="Arial" w:cs="Arial"/>
        </w:rPr>
      </w:pPr>
      <w:r w:rsidRPr="00D33399">
        <w:rPr>
          <w:rFonts w:ascii="Arial" w:hAnsi="Arial" w:cs="Arial"/>
        </w:rPr>
        <w:t>Os riscos de flutuação nas taxas de câmbio podem estar associados às exposições de algumas moedas em relação a ativos e passivos da Companhia, basicamente com relação ao dólar dos Estados Unidos (fundo financeiro para descomissionamento e fornecedores) e ao euro (fornecedores).</w:t>
      </w:r>
    </w:p>
    <w:p w14:paraId="035C18B2" w14:textId="77777777" w:rsidR="003F4719" w:rsidRPr="00D33399" w:rsidRDefault="003F4719" w:rsidP="005144E2">
      <w:pPr>
        <w:widowControl/>
        <w:jc w:val="both"/>
        <w:rPr>
          <w:rFonts w:ascii="Arial" w:hAnsi="Arial" w:cs="Arial"/>
        </w:rPr>
      </w:pPr>
    </w:p>
    <w:p w14:paraId="7F2C1AAF" w14:textId="77777777" w:rsidR="0085155A" w:rsidRPr="00D33399" w:rsidRDefault="003F4719" w:rsidP="005144E2">
      <w:pPr>
        <w:widowControl/>
        <w:jc w:val="both"/>
        <w:rPr>
          <w:rFonts w:ascii="Arial" w:hAnsi="Arial" w:cs="Arial"/>
        </w:rPr>
      </w:pPr>
      <w:r w:rsidRPr="00D33399">
        <w:rPr>
          <w:rFonts w:ascii="Arial" w:hAnsi="Arial" w:cs="Arial"/>
        </w:rPr>
        <w:t xml:space="preserve">Com exceção de compra de dólar futuro, detalhado na </w:t>
      </w:r>
      <w:r w:rsidR="00D90D34" w:rsidRPr="00D33399">
        <w:rPr>
          <w:rFonts w:ascii="Arial" w:hAnsi="Arial" w:cs="Arial"/>
        </w:rPr>
        <w:t>n</w:t>
      </w:r>
      <w:r w:rsidRPr="00D33399">
        <w:rPr>
          <w:rFonts w:ascii="Arial" w:hAnsi="Arial" w:cs="Arial"/>
        </w:rPr>
        <w:t xml:space="preserve">ota 11, que compõem a carteira do fundo exclusivo para descomissionamento, não há operações financeiras contratadas que protejam a Companhia dessa exposição. </w:t>
      </w:r>
    </w:p>
    <w:p w14:paraId="49D8D99B" w14:textId="77777777" w:rsidR="00A05B23" w:rsidRPr="00D33399" w:rsidRDefault="00A05B23" w:rsidP="005144E2">
      <w:pPr>
        <w:widowControl/>
        <w:jc w:val="both"/>
        <w:rPr>
          <w:rFonts w:ascii="Arial" w:hAnsi="Arial" w:cs="Arial"/>
        </w:rPr>
      </w:pPr>
    </w:p>
    <w:p w14:paraId="32163BBF" w14:textId="77777777" w:rsidR="003F4719" w:rsidRPr="00D33399" w:rsidRDefault="003F4719" w:rsidP="005144E2">
      <w:pPr>
        <w:widowControl/>
        <w:jc w:val="both"/>
        <w:rPr>
          <w:rFonts w:ascii="Arial" w:hAnsi="Arial" w:cs="Arial"/>
        </w:rPr>
      </w:pPr>
      <w:r w:rsidRPr="00D33399">
        <w:rPr>
          <w:rFonts w:ascii="Arial" w:hAnsi="Arial" w:cs="Arial"/>
        </w:rPr>
        <w:t xml:space="preserve">A exposição total do risco de câmbio pode ser resumida na análise de sensibilidade abaixo: </w:t>
      </w:r>
    </w:p>
    <w:p w14:paraId="0D43C3F7" w14:textId="77777777" w:rsidR="00311B43" w:rsidRPr="00D33399" w:rsidRDefault="00311B43" w:rsidP="005144E2">
      <w:pPr>
        <w:widowControl/>
        <w:jc w:val="both"/>
        <w:rPr>
          <w:rFonts w:ascii="Arial" w:hAnsi="Arial" w:cs="Arial"/>
        </w:rPr>
      </w:pPr>
    </w:p>
    <w:p w14:paraId="7BC1812A" w14:textId="24AA927C" w:rsidR="00311B43" w:rsidRPr="00D33399" w:rsidRDefault="00CB50A1" w:rsidP="005144E2">
      <w:pPr>
        <w:widowControl/>
        <w:jc w:val="both"/>
        <w:rPr>
          <w:rFonts w:ascii="Arial" w:hAnsi="Arial" w:cs="Arial"/>
        </w:rPr>
      </w:pPr>
      <w:r w:rsidRPr="00D33399">
        <w:rPr>
          <w:noProof/>
        </w:rPr>
        <w:drawing>
          <wp:inline distT="0" distB="0" distL="0" distR="0" wp14:anchorId="72091BC8" wp14:editId="2E7DA187">
            <wp:extent cx="5962650" cy="1971675"/>
            <wp:effectExtent l="0" t="0" r="0" b="952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0" cy="1971675"/>
                    </a:xfrm>
                    <a:prstGeom prst="rect">
                      <a:avLst/>
                    </a:prstGeom>
                    <a:noFill/>
                    <a:ln>
                      <a:noFill/>
                    </a:ln>
                  </pic:spPr>
                </pic:pic>
              </a:graphicData>
            </a:graphic>
          </wp:inline>
        </w:drawing>
      </w:r>
    </w:p>
    <w:p w14:paraId="330D82AF" w14:textId="77777777" w:rsidR="0060716B" w:rsidRPr="00D33399" w:rsidRDefault="0060716B" w:rsidP="005144E2">
      <w:pPr>
        <w:widowControl/>
        <w:jc w:val="both"/>
        <w:rPr>
          <w:rFonts w:ascii="Arial" w:hAnsi="Arial" w:cs="Arial"/>
          <w:sz w:val="16"/>
          <w:szCs w:val="16"/>
        </w:rPr>
      </w:pPr>
    </w:p>
    <w:p w14:paraId="41464072" w14:textId="77777777" w:rsidR="00CB50A1" w:rsidRPr="00D33399" w:rsidRDefault="00CB50A1" w:rsidP="005144E2">
      <w:pPr>
        <w:widowControl/>
        <w:jc w:val="both"/>
        <w:rPr>
          <w:noProof/>
        </w:rPr>
      </w:pPr>
    </w:p>
    <w:p w14:paraId="5F35127B" w14:textId="77777777" w:rsidR="00CB50A1" w:rsidRPr="00D33399" w:rsidRDefault="00CB50A1" w:rsidP="005144E2">
      <w:pPr>
        <w:widowControl/>
        <w:jc w:val="both"/>
        <w:rPr>
          <w:noProof/>
        </w:rPr>
      </w:pPr>
    </w:p>
    <w:p w14:paraId="7A704A54" w14:textId="5EDBD693" w:rsidR="00CB50A1" w:rsidRPr="00D33399" w:rsidRDefault="00D1305E" w:rsidP="005144E2">
      <w:pPr>
        <w:widowControl/>
        <w:jc w:val="both"/>
        <w:rPr>
          <w:rFonts w:ascii="Arial" w:hAnsi="Arial" w:cs="Arial"/>
          <w:sz w:val="16"/>
          <w:szCs w:val="16"/>
        </w:rPr>
      </w:pPr>
      <w:r w:rsidRPr="00D33399">
        <w:rPr>
          <w:noProof/>
        </w:rPr>
        <w:drawing>
          <wp:inline distT="0" distB="0" distL="0" distR="0" wp14:anchorId="1A1C286D" wp14:editId="66E44945">
            <wp:extent cx="3954780" cy="1097280"/>
            <wp:effectExtent l="0" t="0" r="762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4780" cy="1097280"/>
                    </a:xfrm>
                    <a:prstGeom prst="rect">
                      <a:avLst/>
                    </a:prstGeom>
                    <a:noFill/>
                    <a:ln>
                      <a:noFill/>
                    </a:ln>
                  </pic:spPr>
                </pic:pic>
              </a:graphicData>
            </a:graphic>
          </wp:inline>
        </w:drawing>
      </w:r>
    </w:p>
    <w:p w14:paraId="7B9664A7" w14:textId="77777777" w:rsidR="00CB50A1" w:rsidRPr="00D33399" w:rsidRDefault="00CB50A1" w:rsidP="005144E2">
      <w:pPr>
        <w:widowControl/>
        <w:jc w:val="both"/>
        <w:rPr>
          <w:rFonts w:ascii="Arial" w:hAnsi="Arial" w:cs="Arial"/>
          <w:sz w:val="22"/>
          <w:szCs w:val="22"/>
        </w:rPr>
      </w:pPr>
    </w:p>
    <w:p w14:paraId="7D771775" w14:textId="2F161B82" w:rsidR="00E2433A" w:rsidRPr="00D33399" w:rsidRDefault="00CB50A1" w:rsidP="005144E2">
      <w:pPr>
        <w:widowControl/>
        <w:jc w:val="both"/>
        <w:rPr>
          <w:rFonts w:ascii="Arial" w:hAnsi="Arial" w:cs="Arial"/>
          <w:sz w:val="16"/>
          <w:szCs w:val="16"/>
        </w:rPr>
      </w:pPr>
      <w:r w:rsidRPr="00D33399">
        <w:rPr>
          <w:noProof/>
        </w:rPr>
        <w:lastRenderedPageBreak/>
        <w:drawing>
          <wp:inline distT="0" distB="0" distL="0" distR="0" wp14:anchorId="72A7256B" wp14:editId="0B398522">
            <wp:extent cx="6073140" cy="2183706"/>
            <wp:effectExtent l="0" t="0" r="3810" b="7620"/>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3140" cy="2183706"/>
                    </a:xfrm>
                    <a:prstGeom prst="rect">
                      <a:avLst/>
                    </a:prstGeom>
                    <a:noFill/>
                    <a:ln>
                      <a:noFill/>
                    </a:ln>
                  </pic:spPr>
                </pic:pic>
              </a:graphicData>
            </a:graphic>
          </wp:inline>
        </w:drawing>
      </w:r>
    </w:p>
    <w:p w14:paraId="7681F569" w14:textId="22EA0BD8" w:rsidR="0060716B" w:rsidRPr="00D33399" w:rsidRDefault="0060716B" w:rsidP="005144E2">
      <w:pPr>
        <w:widowControl/>
        <w:jc w:val="both"/>
        <w:rPr>
          <w:noProof/>
        </w:rPr>
      </w:pPr>
    </w:p>
    <w:p w14:paraId="07D5209C" w14:textId="457676EB" w:rsidR="00D71AF3" w:rsidRPr="00D33399" w:rsidRDefault="00C532D2" w:rsidP="005144E2">
      <w:pPr>
        <w:widowControl/>
        <w:jc w:val="both"/>
        <w:rPr>
          <w:rFonts w:ascii="Arial" w:hAnsi="Arial" w:cs="Arial"/>
          <w:sz w:val="16"/>
          <w:szCs w:val="16"/>
        </w:rPr>
      </w:pPr>
      <w:r w:rsidRPr="00D33399">
        <w:rPr>
          <w:noProof/>
        </w:rPr>
        <w:drawing>
          <wp:inline distT="0" distB="0" distL="0" distR="0" wp14:anchorId="6A34D470" wp14:editId="595FA62A">
            <wp:extent cx="3954780" cy="1104900"/>
            <wp:effectExtent l="0" t="0" r="762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4780" cy="1104900"/>
                    </a:xfrm>
                    <a:prstGeom prst="rect">
                      <a:avLst/>
                    </a:prstGeom>
                    <a:noFill/>
                    <a:ln>
                      <a:noFill/>
                    </a:ln>
                  </pic:spPr>
                </pic:pic>
              </a:graphicData>
            </a:graphic>
          </wp:inline>
        </w:drawing>
      </w:r>
    </w:p>
    <w:p w14:paraId="7FECE1D2" w14:textId="77777777" w:rsidR="00004EAA" w:rsidRPr="00D33399" w:rsidRDefault="00004EAA" w:rsidP="005144E2">
      <w:pPr>
        <w:widowControl/>
        <w:jc w:val="both"/>
        <w:rPr>
          <w:rFonts w:ascii="Arial" w:hAnsi="Arial" w:cs="Arial"/>
          <w:b/>
        </w:rPr>
      </w:pPr>
    </w:p>
    <w:p w14:paraId="3DA02289" w14:textId="77777777" w:rsidR="001061A3" w:rsidRPr="00D33399" w:rsidRDefault="001061A3" w:rsidP="005144E2">
      <w:pPr>
        <w:widowControl/>
        <w:jc w:val="both"/>
        <w:rPr>
          <w:rFonts w:ascii="Arial" w:hAnsi="Arial" w:cs="Arial"/>
          <w:b/>
          <w:sz w:val="16"/>
          <w:szCs w:val="16"/>
        </w:rPr>
      </w:pPr>
    </w:p>
    <w:p w14:paraId="4359B551" w14:textId="77777777" w:rsidR="003F4719" w:rsidRPr="00D33399" w:rsidRDefault="003F4719" w:rsidP="005144E2">
      <w:pPr>
        <w:widowControl/>
        <w:jc w:val="both"/>
        <w:rPr>
          <w:rFonts w:ascii="Arial" w:hAnsi="Arial" w:cs="Arial"/>
          <w:b/>
        </w:rPr>
      </w:pPr>
      <w:r w:rsidRPr="00D33399">
        <w:rPr>
          <w:rFonts w:ascii="Arial" w:hAnsi="Arial" w:cs="Arial"/>
          <w:b/>
        </w:rPr>
        <w:t>a.2) Risco de juros</w:t>
      </w:r>
    </w:p>
    <w:p w14:paraId="638DAC35" w14:textId="77777777" w:rsidR="003F4719" w:rsidRPr="001C1654" w:rsidRDefault="003F4719" w:rsidP="005144E2">
      <w:pPr>
        <w:widowControl/>
        <w:jc w:val="both"/>
        <w:rPr>
          <w:rFonts w:ascii="Arial" w:hAnsi="Arial" w:cs="Arial"/>
          <w:b/>
        </w:rPr>
      </w:pPr>
    </w:p>
    <w:p w14:paraId="4D14478B" w14:textId="77777777" w:rsidR="005D014B" w:rsidRPr="00D33399" w:rsidRDefault="005D014B" w:rsidP="005144E2">
      <w:pPr>
        <w:jc w:val="both"/>
        <w:rPr>
          <w:rFonts w:ascii="Arial" w:hAnsi="Arial" w:cs="Arial"/>
        </w:rPr>
      </w:pPr>
      <w:r w:rsidRPr="00D33399">
        <w:rPr>
          <w:rFonts w:ascii="Arial" w:hAnsi="Arial" w:cs="Arial"/>
        </w:rPr>
        <w:t>A Administração da ELETRONUCLEAR entende que a exposição a risco de juros não é significativa, visto que o maior montante dos empréstimos e financiamentos contratados est</w:t>
      </w:r>
      <w:r w:rsidR="001061A3" w:rsidRPr="00D33399">
        <w:rPr>
          <w:rFonts w:ascii="Arial" w:hAnsi="Arial" w:cs="Arial"/>
        </w:rPr>
        <w:t>ão</w:t>
      </w:r>
      <w:r w:rsidR="0065794F" w:rsidRPr="00D33399">
        <w:rPr>
          <w:rFonts w:ascii="Arial" w:hAnsi="Arial" w:cs="Arial"/>
        </w:rPr>
        <w:t xml:space="preserve"> indexado</w:t>
      </w:r>
      <w:r w:rsidRPr="00D33399">
        <w:rPr>
          <w:rFonts w:ascii="Arial" w:hAnsi="Arial" w:cs="Arial"/>
        </w:rPr>
        <w:t>s à Unidade de Referência Fiscal - UFIR e Taxa de Juros de Longo</w:t>
      </w:r>
      <w:r w:rsidR="00D90D34" w:rsidRPr="00D33399">
        <w:rPr>
          <w:rFonts w:ascii="Arial" w:hAnsi="Arial" w:cs="Arial"/>
        </w:rPr>
        <w:t xml:space="preserve"> Prazo</w:t>
      </w:r>
      <w:r w:rsidRPr="00D33399">
        <w:rPr>
          <w:rFonts w:ascii="Arial" w:hAnsi="Arial" w:cs="Arial"/>
        </w:rPr>
        <w:t xml:space="preserve"> - TJLP ou não possuem qualquer indexador, como é o caso do contrato de financiamento com a C</w:t>
      </w:r>
      <w:r w:rsidR="001061A3" w:rsidRPr="00D33399">
        <w:rPr>
          <w:rFonts w:ascii="Arial" w:hAnsi="Arial" w:cs="Arial"/>
        </w:rPr>
        <w:t>aixa Econômica Federal</w:t>
      </w:r>
      <w:r w:rsidRPr="00D33399">
        <w:rPr>
          <w:rFonts w:ascii="Arial" w:hAnsi="Arial" w:cs="Arial"/>
        </w:rPr>
        <w:t xml:space="preserve"> - CEF, que possui taxa de juros fixa ao longo do contrato; enquanto os demais contratos, firmados com a Eletrobras, estão indexados à taxa </w:t>
      </w:r>
      <w:r w:rsidRPr="00D33399">
        <w:rPr>
          <w:rFonts w:ascii="Arial" w:hAnsi="Arial" w:cs="Arial"/>
          <w:i/>
        </w:rPr>
        <w:t>DI-Over</w:t>
      </w:r>
      <w:r w:rsidRPr="00D33399">
        <w:rPr>
          <w:rFonts w:ascii="Arial" w:hAnsi="Arial" w:cs="Arial"/>
        </w:rPr>
        <w:t xml:space="preserve">. Além disso, todos os recursos são captados em moeda nacional, o que reduz a exposição cambial. </w:t>
      </w:r>
    </w:p>
    <w:p w14:paraId="0FAF514B" w14:textId="77777777" w:rsidR="00A05B23" w:rsidRPr="00D33399" w:rsidRDefault="00A05B23" w:rsidP="00A05B23">
      <w:pPr>
        <w:rPr>
          <w:rFonts w:ascii="Arial" w:hAnsi="Arial" w:cs="Arial"/>
        </w:rPr>
      </w:pPr>
    </w:p>
    <w:p w14:paraId="54DD2A4B" w14:textId="0DFE0D4B" w:rsidR="00F64F39" w:rsidRPr="00D33399" w:rsidRDefault="00F64F39" w:rsidP="00F64F39">
      <w:pPr>
        <w:jc w:val="both"/>
        <w:rPr>
          <w:rFonts w:ascii="Arial" w:hAnsi="Arial" w:cs="Arial"/>
        </w:rPr>
      </w:pPr>
      <w:r w:rsidRPr="00D33399">
        <w:rPr>
          <w:rFonts w:ascii="Arial" w:hAnsi="Arial" w:cs="Arial"/>
        </w:rPr>
        <w:t>A UFIR não sofreu qualquer variação no período, visto que foi extinta em 2000 e está congelada desde então. A TJLP, que é calculada e divulgada, trimestralmente, pelo Conselho Monetário Nacional - CMN,</w:t>
      </w:r>
      <w:r w:rsidRPr="00D33399">
        <w:t xml:space="preserve"> </w:t>
      </w:r>
      <w:r w:rsidRPr="00D33399">
        <w:rPr>
          <w:rFonts w:ascii="Arial" w:hAnsi="Arial" w:cs="Arial"/>
        </w:rPr>
        <w:t>foi reduzida para 4,91% para o terceiro trimestre de 2020. O impacto para a ELETRONUCLEAR proveniente de mudanças da TJLP é suavizado pelo fato do contrato de financiamento com o Banco Nacional do Desenvolvimento Econômico e Social - BNDES prever que qualquer valor da TJLP que exceda o patamar de 6,00% a.a. é capitalizado ao saldo devedor. Além da taxa referente à TJLP, o contrato com o BNDES prevê o pagamento de um spread fixo de 1,72% a.a.</w:t>
      </w:r>
    </w:p>
    <w:p w14:paraId="12189A1E" w14:textId="77777777" w:rsidR="00F64F39" w:rsidRPr="00D33399" w:rsidRDefault="00F64F39" w:rsidP="00A05B23">
      <w:pPr>
        <w:jc w:val="both"/>
        <w:rPr>
          <w:rFonts w:ascii="Arial" w:hAnsi="Arial" w:cs="Arial"/>
        </w:rPr>
      </w:pPr>
    </w:p>
    <w:p w14:paraId="40BF820B" w14:textId="41DA09D2" w:rsidR="00F64F39" w:rsidRPr="00D33399" w:rsidRDefault="00F64F39" w:rsidP="00F64F39">
      <w:pPr>
        <w:jc w:val="both"/>
        <w:rPr>
          <w:rFonts w:ascii="Arial" w:hAnsi="Arial" w:cs="Arial"/>
        </w:rPr>
      </w:pPr>
      <w:r w:rsidRPr="00D33399">
        <w:rPr>
          <w:rFonts w:ascii="Arial" w:hAnsi="Arial" w:cs="Arial"/>
        </w:rPr>
        <w:t xml:space="preserve">Aproximadamente 11,6% do montante dos empréstimos e financiamentos contratados pela ELETRONUCLEAR estão indexados à taxa </w:t>
      </w:r>
      <w:r w:rsidRPr="00D33399">
        <w:rPr>
          <w:rFonts w:ascii="Arial" w:hAnsi="Arial" w:cs="Arial"/>
          <w:i/>
        </w:rPr>
        <w:t xml:space="preserve">DI-Over </w:t>
      </w:r>
      <w:r w:rsidRPr="00D33399">
        <w:rPr>
          <w:rFonts w:ascii="Arial" w:hAnsi="Arial" w:cs="Arial"/>
        </w:rPr>
        <w:t>acumulada dos últimos 12 meses, divulgada pelo site do Brasil Bolsa Balcão – B3, que registrou</w:t>
      </w:r>
      <w:r w:rsidRPr="00D33399">
        <w:t xml:space="preserve"> </w:t>
      </w:r>
      <w:r w:rsidRPr="00D33399">
        <w:rPr>
          <w:rFonts w:ascii="Arial" w:hAnsi="Arial" w:cs="Arial"/>
        </w:rPr>
        <w:t xml:space="preserve">redução durante o terceiro trimestre de 2020 (3,88% a.a.) quando comparado com o segundo trimestre (4,92% a.a.) </w:t>
      </w:r>
      <w:r w:rsidRPr="00D33399">
        <w:rPr>
          <w:rFonts w:ascii="Arial" w:hAnsi="Arial" w:cs="Arial"/>
        </w:rPr>
        <w:lastRenderedPageBreak/>
        <w:t>refletindo a redução dos juros básicos da economia brasileira (Taxa Selic), que saiu de 2,15% a.a. para 1,90% a.a., conforme as decisões do Comitê de Política Monetária - Copom, do Banco Central, que reduziu a meta da Taxa Selic (2,25% para 2,00%) nas reuniões realizadas em agosto e setembro de 2020.</w:t>
      </w:r>
      <w:r w:rsidR="005A189C">
        <w:rPr>
          <w:rFonts w:ascii="Arial" w:hAnsi="Arial" w:cs="Arial"/>
        </w:rPr>
        <w:t xml:space="preserve"> </w:t>
      </w:r>
      <w:r w:rsidRPr="00D33399">
        <w:rPr>
          <w:rFonts w:ascii="Arial" w:hAnsi="Arial" w:cs="Arial"/>
        </w:rPr>
        <w:t xml:space="preserve">As taxas utilizadas nos contratos de financiamento junto à Eletrobras compreendem a taxa acumulada dos últimos 12 meses e não a taxa </w:t>
      </w:r>
      <w:r w:rsidRPr="00D33399">
        <w:rPr>
          <w:rFonts w:ascii="Arial" w:hAnsi="Arial" w:cs="Arial"/>
          <w:i/>
        </w:rPr>
        <w:t>Di-Over</w:t>
      </w:r>
      <w:r w:rsidRPr="00D33399">
        <w:rPr>
          <w:rFonts w:ascii="Arial" w:hAnsi="Arial" w:cs="Arial"/>
        </w:rPr>
        <w:t xml:space="preserve"> pura do mês. Dessa forma, mesmo tendo ocorrido redução na taxa </w:t>
      </w:r>
      <w:r w:rsidRPr="00D33399">
        <w:rPr>
          <w:rFonts w:ascii="Arial" w:hAnsi="Arial" w:cs="Arial"/>
          <w:i/>
        </w:rPr>
        <w:t>DI-Over</w:t>
      </w:r>
      <w:r w:rsidRPr="00D33399">
        <w:rPr>
          <w:rFonts w:ascii="Arial" w:hAnsi="Arial" w:cs="Arial"/>
        </w:rPr>
        <w:t xml:space="preserve"> no terceiro trimestre 2020, a taxa utilizada pela Eletrobras não reflete esta alteração imediatamente, sendo esta queda suavizada ao longo do tempo. Além disso, a taxa utilizada no cálculo dos juros do mês é defasada em 1 mês. Os prazos de vencimento dos contratos indexados à esta taxa são mais curtos que os demais contratos de financiamento da Companhia. Além disso, apenas 0,2% da dívida total contratada está indexada à SELIC. Outra fração de aproximadamente 3,5% do total da dívida da ELETRONUCLEAR está indexada ao Índice de Preços ao Consumidor Amplo - IPCA.</w:t>
      </w:r>
    </w:p>
    <w:p w14:paraId="7B308872" w14:textId="77777777" w:rsidR="008E0652" w:rsidRDefault="008E0652" w:rsidP="005144E2">
      <w:pPr>
        <w:widowControl/>
        <w:jc w:val="both"/>
        <w:rPr>
          <w:rFonts w:ascii="Arial" w:hAnsi="Arial" w:cs="Arial"/>
        </w:rPr>
      </w:pPr>
    </w:p>
    <w:p w14:paraId="7B15AE2A" w14:textId="2CCE2364" w:rsidR="006B4A8C" w:rsidRPr="00D33399" w:rsidRDefault="003F4719" w:rsidP="005144E2">
      <w:pPr>
        <w:widowControl/>
        <w:jc w:val="both"/>
        <w:rPr>
          <w:rFonts w:ascii="Arial" w:hAnsi="Arial" w:cs="Arial"/>
        </w:rPr>
      </w:pPr>
      <w:r w:rsidRPr="00D33399">
        <w:rPr>
          <w:rFonts w:ascii="Arial" w:hAnsi="Arial" w:cs="Arial"/>
        </w:rPr>
        <w:t>Segue abaixo a exposição total do risco de juros:</w:t>
      </w:r>
    </w:p>
    <w:p w14:paraId="09C78237" w14:textId="77777777" w:rsidR="00C353EF" w:rsidRPr="00D33399" w:rsidRDefault="00C353EF" w:rsidP="005144E2">
      <w:pPr>
        <w:widowControl/>
        <w:jc w:val="both"/>
        <w:rPr>
          <w:rFonts w:ascii="Arial" w:hAnsi="Arial" w:cs="Arial"/>
          <w:sz w:val="16"/>
          <w:szCs w:val="16"/>
        </w:rPr>
      </w:pPr>
    </w:p>
    <w:p w14:paraId="45DB1C52" w14:textId="1DEE4FDC" w:rsidR="005D014B" w:rsidRPr="00D33399" w:rsidRDefault="00116884" w:rsidP="005144E2">
      <w:pPr>
        <w:widowControl/>
        <w:jc w:val="both"/>
        <w:rPr>
          <w:rFonts w:ascii="Arial" w:hAnsi="Arial" w:cs="Arial"/>
        </w:rPr>
      </w:pPr>
      <w:r w:rsidRPr="00D33399">
        <w:rPr>
          <w:noProof/>
        </w:rPr>
        <w:drawing>
          <wp:inline distT="0" distB="0" distL="0" distR="0" wp14:anchorId="38B3E6B4" wp14:editId="40529A52">
            <wp:extent cx="6073140" cy="3126153"/>
            <wp:effectExtent l="0" t="0" r="3810" b="0"/>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3140" cy="3126153"/>
                    </a:xfrm>
                    <a:prstGeom prst="rect">
                      <a:avLst/>
                    </a:prstGeom>
                    <a:noFill/>
                    <a:ln>
                      <a:noFill/>
                    </a:ln>
                  </pic:spPr>
                </pic:pic>
              </a:graphicData>
            </a:graphic>
          </wp:inline>
        </w:drawing>
      </w:r>
    </w:p>
    <w:p w14:paraId="01DA534E" w14:textId="77777777" w:rsidR="005D014B" w:rsidRPr="00D33399" w:rsidRDefault="005D014B" w:rsidP="005144E2">
      <w:pPr>
        <w:widowControl/>
        <w:jc w:val="both"/>
        <w:rPr>
          <w:rFonts w:ascii="Arial" w:hAnsi="Arial" w:cs="Arial"/>
        </w:rPr>
      </w:pPr>
    </w:p>
    <w:p w14:paraId="1560A49A" w14:textId="77777777" w:rsidR="00337E35" w:rsidRDefault="00337E35" w:rsidP="005144E2">
      <w:pPr>
        <w:widowControl/>
        <w:jc w:val="both"/>
        <w:rPr>
          <w:rFonts w:ascii="Arial" w:hAnsi="Arial" w:cs="Arial"/>
        </w:rPr>
      </w:pPr>
    </w:p>
    <w:p w14:paraId="0FEF6472" w14:textId="77777777" w:rsidR="008E0652" w:rsidRDefault="008E0652" w:rsidP="005144E2">
      <w:pPr>
        <w:widowControl/>
        <w:jc w:val="both"/>
        <w:rPr>
          <w:rFonts w:ascii="Arial" w:hAnsi="Arial" w:cs="Arial"/>
        </w:rPr>
      </w:pPr>
    </w:p>
    <w:p w14:paraId="6DED1399" w14:textId="77777777" w:rsidR="008E0652" w:rsidRDefault="008E0652" w:rsidP="005144E2">
      <w:pPr>
        <w:widowControl/>
        <w:jc w:val="both"/>
        <w:rPr>
          <w:rFonts w:ascii="Arial" w:hAnsi="Arial" w:cs="Arial"/>
        </w:rPr>
      </w:pPr>
    </w:p>
    <w:p w14:paraId="3B15B889" w14:textId="77777777" w:rsidR="008E0652" w:rsidRPr="00D33399" w:rsidRDefault="008E0652" w:rsidP="005144E2">
      <w:pPr>
        <w:widowControl/>
        <w:jc w:val="both"/>
        <w:rPr>
          <w:rFonts w:ascii="Arial" w:hAnsi="Arial" w:cs="Arial"/>
        </w:rPr>
      </w:pPr>
    </w:p>
    <w:p w14:paraId="20A033EE" w14:textId="77777777" w:rsidR="003F4719" w:rsidRPr="00D33399" w:rsidRDefault="003F4719" w:rsidP="005144E2">
      <w:pPr>
        <w:widowControl/>
        <w:tabs>
          <w:tab w:val="left" w:pos="180"/>
        </w:tabs>
        <w:jc w:val="both"/>
        <w:rPr>
          <w:rFonts w:ascii="Arial" w:hAnsi="Arial" w:cs="Arial"/>
          <w:b/>
        </w:rPr>
      </w:pPr>
      <w:r w:rsidRPr="00D33399">
        <w:rPr>
          <w:rFonts w:ascii="Arial" w:hAnsi="Arial" w:cs="Arial"/>
          <w:b/>
        </w:rPr>
        <w:t>b) Risco de crédito</w:t>
      </w:r>
    </w:p>
    <w:p w14:paraId="3CF502AF" w14:textId="77777777" w:rsidR="003F4719" w:rsidRPr="00D33399" w:rsidRDefault="003F4719" w:rsidP="005144E2">
      <w:pPr>
        <w:widowControl/>
        <w:tabs>
          <w:tab w:val="left" w:pos="180"/>
        </w:tabs>
        <w:jc w:val="both"/>
        <w:rPr>
          <w:rFonts w:ascii="Arial" w:hAnsi="Arial" w:cs="Arial"/>
        </w:rPr>
      </w:pPr>
    </w:p>
    <w:p w14:paraId="1E74C985" w14:textId="77777777" w:rsidR="003F4719" w:rsidRPr="00D33399" w:rsidRDefault="003F4719" w:rsidP="005144E2">
      <w:pPr>
        <w:widowControl/>
        <w:jc w:val="both"/>
        <w:rPr>
          <w:rFonts w:ascii="Arial" w:hAnsi="Arial" w:cs="Arial"/>
        </w:rPr>
      </w:pPr>
      <w:r w:rsidRPr="00D33399">
        <w:rPr>
          <w:rFonts w:ascii="Arial" w:hAnsi="Arial" w:cs="Arial"/>
        </w:rPr>
        <w:t>Risco de crédito é o risco d</w:t>
      </w:r>
      <w:r w:rsidR="00CB3A54" w:rsidRPr="00D33399">
        <w:rPr>
          <w:rFonts w:ascii="Arial" w:hAnsi="Arial" w:cs="Arial"/>
        </w:rPr>
        <w:t xml:space="preserve">e </w:t>
      </w:r>
      <w:r w:rsidR="00BE3E39" w:rsidRPr="00D33399">
        <w:rPr>
          <w:rFonts w:ascii="Arial" w:hAnsi="Arial" w:cs="Arial"/>
        </w:rPr>
        <w:t>a</w:t>
      </w:r>
      <w:r w:rsidRPr="00D33399">
        <w:rPr>
          <w:rFonts w:ascii="Arial" w:hAnsi="Arial" w:cs="Arial"/>
        </w:rPr>
        <w:t xml:space="preserve"> Companhia incorrer em perdas financeiras decorrentes de um cliente ou de uma contraparte em um instrumento financeiro que falhe ao cumprir com suas obrigações contratuais. Esse risco é principalmente proveniente das contas a receber de clientes e instrumentos financeiros da Companhia. O valor contábil dos ativos financeiros representa a exposição máxima do crédito.</w:t>
      </w:r>
    </w:p>
    <w:p w14:paraId="0163B3E9" w14:textId="77777777" w:rsidR="001061A3" w:rsidRPr="00D33399" w:rsidRDefault="001061A3" w:rsidP="005144E2">
      <w:pPr>
        <w:widowControl/>
        <w:jc w:val="both"/>
        <w:rPr>
          <w:rFonts w:ascii="Arial" w:hAnsi="Arial" w:cs="Arial"/>
        </w:rPr>
      </w:pPr>
    </w:p>
    <w:p w14:paraId="68F994C9" w14:textId="77777777" w:rsidR="003F4719" w:rsidRPr="00D33399" w:rsidRDefault="003F4719" w:rsidP="005144E2">
      <w:pPr>
        <w:widowControl/>
        <w:jc w:val="both"/>
        <w:rPr>
          <w:rFonts w:ascii="Arial" w:hAnsi="Arial" w:cs="Arial"/>
        </w:rPr>
      </w:pPr>
      <w:r w:rsidRPr="00D33399">
        <w:rPr>
          <w:rFonts w:ascii="Arial" w:hAnsi="Arial" w:cs="Arial"/>
        </w:rPr>
        <w:t xml:space="preserve"> A ELETRONUCLEAR, conforme descrito na </w:t>
      </w:r>
      <w:r w:rsidR="008E6B5F" w:rsidRPr="00D33399">
        <w:rPr>
          <w:rFonts w:ascii="Arial" w:hAnsi="Arial" w:cs="Arial"/>
        </w:rPr>
        <w:t>n</w:t>
      </w:r>
      <w:r w:rsidRPr="00D33399">
        <w:rPr>
          <w:rFonts w:ascii="Arial" w:hAnsi="Arial" w:cs="Arial"/>
        </w:rPr>
        <w:t>ota 1, tem a totalidade da sua geração de energia elétrica, a partir de janeiro de 2013, comercializada através da Câmara de Comercialização de Energia Elétrica - CCEE, com todas as distribuidoras do Sistema Interligado Nacional - SIN.</w:t>
      </w:r>
    </w:p>
    <w:p w14:paraId="49CDC421" w14:textId="77777777" w:rsidR="001061A3" w:rsidRPr="00D33399" w:rsidRDefault="001061A3" w:rsidP="005144E2">
      <w:pPr>
        <w:widowControl/>
        <w:jc w:val="both"/>
        <w:rPr>
          <w:rFonts w:ascii="Arial" w:hAnsi="Arial" w:cs="Arial"/>
        </w:rPr>
      </w:pPr>
    </w:p>
    <w:p w14:paraId="75E9F483" w14:textId="77777777" w:rsidR="0046096D" w:rsidRPr="00D33399" w:rsidRDefault="003F4719" w:rsidP="005144E2">
      <w:pPr>
        <w:widowControl/>
        <w:jc w:val="both"/>
        <w:rPr>
          <w:rFonts w:ascii="Arial" w:hAnsi="Arial" w:cs="Arial"/>
        </w:rPr>
      </w:pPr>
      <w:r w:rsidRPr="00D33399">
        <w:rPr>
          <w:rFonts w:ascii="Arial" w:hAnsi="Arial" w:cs="Arial"/>
        </w:rPr>
        <w:t>A Resolução Normativa nº 530, de 21 de dezembro de 2012, evidencia que</w:t>
      </w:r>
      <w:r w:rsidR="00FC2DBC" w:rsidRPr="00D33399">
        <w:rPr>
          <w:rFonts w:ascii="Arial" w:hAnsi="Arial" w:cs="Arial"/>
        </w:rPr>
        <w:t>,</w:t>
      </w:r>
      <w:r w:rsidRPr="00D33399">
        <w:rPr>
          <w:rFonts w:ascii="Arial" w:hAnsi="Arial" w:cs="Arial"/>
        </w:rPr>
        <w:t xml:space="preserve"> apesar de o faturamento ser repassado pela CCEE, o risco de crédito final é da ELETRONUCLEAR. </w:t>
      </w:r>
    </w:p>
    <w:p w14:paraId="2B562D38" w14:textId="77777777" w:rsidR="006115A5" w:rsidRPr="00D33399" w:rsidRDefault="006115A5" w:rsidP="005144E2">
      <w:pPr>
        <w:widowControl/>
        <w:jc w:val="both"/>
        <w:rPr>
          <w:rFonts w:ascii="Arial" w:hAnsi="Arial" w:cs="Arial"/>
        </w:rPr>
      </w:pPr>
    </w:p>
    <w:p w14:paraId="241178EA" w14:textId="77777777" w:rsidR="00C826AA" w:rsidRPr="00D33399" w:rsidRDefault="003F4719" w:rsidP="005144E2">
      <w:pPr>
        <w:widowControl/>
        <w:jc w:val="both"/>
        <w:rPr>
          <w:rFonts w:ascii="Arial" w:hAnsi="Arial" w:cs="Arial"/>
        </w:rPr>
      </w:pPr>
      <w:r w:rsidRPr="00D33399">
        <w:rPr>
          <w:rFonts w:ascii="Arial" w:hAnsi="Arial" w:cs="Arial"/>
        </w:rPr>
        <w:t xml:space="preserve">Dessa forma, a ELETRONUCLEAR monitora constantemente os possíveis efeitos e a eventual necessidade de contratação de instrumentos de proteção. </w:t>
      </w:r>
    </w:p>
    <w:p w14:paraId="21BC602D" w14:textId="77777777" w:rsidR="00851FD0" w:rsidRPr="00D33399" w:rsidRDefault="00851FD0" w:rsidP="005144E2">
      <w:pPr>
        <w:widowControl/>
        <w:jc w:val="both"/>
        <w:rPr>
          <w:rFonts w:ascii="Arial" w:hAnsi="Arial" w:cs="Arial"/>
        </w:rPr>
      </w:pPr>
    </w:p>
    <w:p w14:paraId="5433D7F3" w14:textId="2E4B0534" w:rsidR="00CB3A54" w:rsidRPr="00D33399" w:rsidRDefault="004A2926" w:rsidP="005144E2">
      <w:pPr>
        <w:widowControl/>
        <w:jc w:val="both"/>
        <w:rPr>
          <w:rFonts w:ascii="Arial" w:hAnsi="Arial" w:cs="Arial"/>
          <w:color w:val="FF0000"/>
        </w:rPr>
      </w:pPr>
      <w:r>
        <w:rPr>
          <w:rFonts w:ascii="Arial" w:hAnsi="Arial" w:cs="Arial"/>
        </w:rPr>
        <w:t xml:space="preserve">Não há </w:t>
      </w:r>
      <w:r w:rsidR="00CB3A54" w:rsidRPr="00D33399">
        <w:rPr>
          <w:rFonts w:ascii="Arial" w:hAnsi="Arial" w:cs="Arial"/>
        </w:rPr>
        <w:t>registro de inadimplência por parte d</w:t>
      </w:r>
      <w:r w:rsidR="00851FD0" w:rsidRPr="00D33399">
        <w:rPr>
          <w:rFonts w:ascii="Arial" w:hAnsi="Arial" w:cs="Arial"/>
        </w:rPr>
        <w:t>e distribuidora</w:t>
      </w:r>
      <w:r w:rsidR="00241BB4" w:rsidRPr="00D33399">
        <w:rPr>
          <w:rFonts w:ascii="Arial" w:hAnsi="Arial" w:cs="Arial"/>
        </w:rPr>
        <w:t xml:space="preserve"> em </w:t>
      </w:r>
      <w:r w:rsidR="00C45CFE" w:rsidRPr="00D33399">
        <w:rPr>
          <w:rFonts w:ascii="Arial" w:hAnsi="Arial" w:cs="Arial"/>
        </w:rPr>
        <w:t>3</w:t>
      </w:r>
      <w:r w:rsidR="00F12D3B" w:rsidRPr="00D33399">
        <w:rPr>
          <w:rFonts w:ascii="Arial" w:hAnsi="Arial" w:cs="Arial"/>
        </w:rPr>
        <w:t>0</w:t>
      </w:r>
      <w:r w:rsidR="00C45CFE" w:rsidRPr="00D33399">
        <w:rPr>
          <w:rFonts w:ascii="Arial" w:hAnsi="Arial" w:cs="Arial"/>
        </w:rPr>
        <w:t xml:space="preserve"> de </w:t>
      </w:r>
      <w:r w:rsidR="009C48D9" w:rsidRPr="00D33399">
        <w:rPr>
          <w:rFonts w:ascii="Arial" w:hAnsi="Arial" w:cs="Arial"/>
        </w:rPr>
        <w:t xml:space="preserve">setembro </w:t>
      </w:r>
      <w:r w:rsidR="00C45CFE" w:rsidRPr="00D33399">
        <w:rPr>
          <w:rFonts w:ascii="Arial" w:hAnsi="Arial" w:cs="Arial"/>
        </w:rPr>
        <w:t xml:space="preserve">de </w:t>
      </w:r>
      <w:r w:rsidR="00241BB4" w:rsidRPr="00D33399">
        <w:rPr>
          <w:rFonts w:ascii="Arial" w:hAnsi="Arial" w:cs="Arial"/>
        </w:rPr>
        <w:t>20</w:t>
      </w:r>
      <w:r w:rsidR="00ED7006" w:rsidRPr="00D33399">
        <w:rPr>
          <w:rFonts w:ascii="Arial" w:hAnsi="Arial" w:cs="Arial"/>
        </w:rPr>
        <w:t>20</w:t>
      </w:r>
      <w:r w:rsidR="00CB73D8" w:rsidRPr="00D33399">
        <w:rPr>
          <w:rFonts w:ascii="Arial" w:hAnsi="Arial" w:cs="Arial"/>
        </w:rPr>
        <w:t>.</w:t>
      </w:r>
    </w:p>
    <w:p w14:paraId="63F05599" w14:textId="77777777" w:rsidR="00F22E59" w:rsidRPr="00D33399" w:rsidRDefault="00F22E59" w:rsidP="005144E2">
      <w:pPr>
        <w:widowControl/>
        <w:jc w:val="both"/>
        <w:rPr>
          <w:rFonts w:ascii="Arial" w:hAnsi="Arial" w:cs="Arial"/>
        </w:rPr>
      </w:pPr>
    </w:p>
    <w:p w14:paraId="1610C3FF" w14:textId="77777777" w:rsidR="003F4719" w:rsidRPr="00D33399" w:rsidRDefault="003F4719" w:rsidP="005144E2">
      <w:pPr>
        <w:widowControl/>
        <w:jc w:val="both"/>
        <w:rPr>
          <w:rFonts w:ascii="Arial" w:hAnsi="Arial" w:cs="Arial"/>
        </w:rPr>
      </w:pPr>
      <w:r w:rsidRPr="00D33399">
        <w:rPr>
          <w:rFonts w:ascii="Arial" w:hAnsi="Arial" w:cs="Arial"/>
        </w:rPr>
        <w:t>Abaixo, apresentamos as principais contas sujeitas a risco de crédito:</w:t>
      </w:r>
    </w:p>
    <w:p w14:paraId="1C3BD951" w14:textId="77777777" w:rsidR="001061A3" w:rsidRPr="00D33399" w:rsidRDefault="001061A3" w:rsidP="005144E2">
      <w:pPr>
        <w:widowControl/>
        <w:jc w:val="both"/>
        <w:rPr>
          <w:rFonts w:ascii="Arial" w:hAnsi="Arial" w:cs="Arial"/>
          <w:sz w:val="16"/>
          <w:szCs w:val="16"/>
        </w:rPr>
      </w:pPr>
    </w:p>
    <w:p w14:paraId="4266DAA9" w14:textId="0209FFDA" w:rsidR="00FB0124" w:rsidRPr="00D33399" w:rsidRDefault="009150D8" w:rsidP="005144E2">
      <w:pPr>
        <w:pStyle w:val="Corpodetexto"/>
        <w:ind w:right="121"/>
        <w:jc w:val="both"/>
        <w:rPr>
          <w:rFonts w:ascii="Arial" w:hAnsi="Arial" w:cs="Arial"/>
          <w:noProof/>
        </w:rPr>
      </w:pPr>
      <w:r w:rsidRPr="009150D8">
        <w:rPr>
          <w:noProof/>
        </w:rPr>
        <w:drawing>
          <wp:inline distT="0" distB="0" distL="0" distR="0" wp14:anchorId="273ABB16" wp14:editId="4ABAF9B2">
            <wp:extent cx="4946650" cy="1492250"/>
            <wp:effectExtent l="0" t="0" r="635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46650" cy="1492250"/>
                    </a:xfrm>
                    <a:prstGeom prst="rect">
                      <a:avLst/>
                    </a:prstGeom>
                    <a:noFill/>
                    <a:ln>
                      <a:noFill/>
                    </a:ln>
                  </pic:spPr>
                </pic:pic>
              </a:graphicData>
            </a:graphic>
          </wp:inline>
        </w:drawing>
      </w:r>
    </w:p>
    <w:p w14:paraId="710598B7" w14:textId="77777777" w:rsidR="000238E9" w:rsidRPr="00D33399" w:rsidRDefault="000238E9" w:rsidP="005144E2">
      <w:pPr>
        <w:pStyle w:val="Corpodetexto"/>
        <w:ind w:right="121"/>
        <w:jc w:val="both"/>
        <w:rPr>
          <w:rFonts w:ascii="Arial" w:hAnsi="Arial" w:cs="Arial"/>
          <w:noProof/>
        </w:rPr>
      </w:pPr>
    </w:p>
    <w:p w14:paraId="7EDF5E8E" w14:textId="5065A82C" w:rsidR="00FB0124" w:rsidRPr="00D33399" w:rsidRDefault="00190787" w:rsidP="005144E2">
      <w:pPr>
        <w:pStyle w:val="Corpodetexto"/>
        <w:ind w:right="121"/>
        <w:jc w:val="both"/>
        <w:rPr>
          <w:rFonts w:ascii="Arial" w:hAnsi="Arial" w:cs="Arial"/>
          <w:noProof/>
        </w:rPr>
      </w:pPr>
      <w:r w:rsidRPr="00D33399">
        <w:rPr>
          <w:noProof/>
        </w:rPr>
        <w:drawing>
          <wp:inline distT="0" distB="0" distL="0" distR="0" wp14:anchorId="0BB831FC" wp14:editId="074CD335">
            <wp:extent cx="4946650" cy="1181100"/>
            <wp:effectExtent l="0" t="0" r="635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46650" cy="1181100"/>
                    </a:xfrm>
                    <a:prstGeom prst="rect">
                      <a:avLst/>
                    </a:prstGeom>
                    <a:noFill/>
                    <a:ln>
                      <a:noFill/>
                    </a:ln>
                  </pic:spPr>
                </pic:pic>
              </a:graphicData>
            </a:graphic>
          </wp:inline>
        </w:drawing>
      </w:r>
    </w:p>
    <w:p w14:paraId="5A3B73A2" w14:textId="51031CB5" w:rsidR="00437003" w:rsidRPr="00D33399" w:rsidRDefault="00437003" w:rsidP="005144E2">
      <w:pPr>
        <w:pStyle w:val="Corpodetexto"/>
        <w:ind w:right="121"/>
        <w:jc w:val="both"/>
        <w:rPr>
          <w:noProof/>
        </w:rPr>
      </w:pPr>
    </w:p>
    <w:p w14:paraId="7F712284" w14:textId="5AF995D5" w:rsidR="009052A8" w:rsidRPr="00D33399" w:rsidRDefault="00631EAF" w:rsidP="005144E2">
      <w:pPr>
        <w:pStyle w:val="Corpodetexto"/>
        <w:ind w:right="121"/>
        <w:jc w:val="both"/>
        <w:rPr>
          <w:rFonts w:ascii="Arial" w:hAnsi="Arial" w:cs="Arial"/>
          <w:noProof/>
        </w:rPr>
      </w:pPr>
      <w:r w:rsidRPr="00631EAF">
        <w:rPr>
          <w:noProof/>
        </w:rPr>
        <w:lastRenderedPageBreak/>
        <w:drawing>
          <wp:inline distT="0" distB="0" distL="0" distR="0" wp14:anchorId="4A2EAEA0" wp14:editId="21833E09">
            <wp:extent cx="6073140" cy="8061429"/>
            <wp:effectExtent l="0" t="0" r="381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3140" cy="8061429"/>
                    </a:xfrm>
                    <a:prstGeom prst="rect">
                      <a:avLst/>
                    </a:prstGeom>
                    <a:noFill/>
                    <a:ln>
                      <a:noFill/>
                    </a:ln>
                  </pic:spPr>
                </pic:pic>
              </a:graphicData>
            </a:graphic>
          </wp:inline>
        </w:drawing>
      </w:r>
    </w:p>
    <w:p w14:paraId="35CFE60B" w14:textId="77777777" w:rsidR="00674B04" w:rsidRPr="00D33399" w:rsidRDefault="00674B04" w:rsidP="005144E2">
      <w:pPr>
        <w:pStyle w:val="Corpodetexto"/>
        <w:ind w:right="121"/>
        <w:jc w:val="both"/>
        <w:rPr>
          <w:rFonts w:ascii="Arial" w:hAnsi="Arial" w:cs="Arial"/>
          <w:noProof/>
        </w:rPr>
      </w:pPr>
    </w:p>
    <w:p w14:paraId="03B905D2" w14:textId="77777777" w:rsidR="001061A3" w:rsidRPr="00D33399" w:rsidRDefault="001061A3" w:rsidP="005144E2">
      <w:pPr>
        <w:pStyle w:val="Corpodetexto"/>
        <w:ind w:right="121"/>
        <w:jc w:val="both"/>
        <w:rPr>
          <w:rFonts w:ascii="Arial" w:hAnsi="Arial" w:cs="Arial"/>
          <w:noProof/>
          <w:sz w:val="16"/>
          <w:szCs w:val="16"/>
        </w:rPr>
      </w:pPr>
    </w:p>
    <w:p w14:paraId="6C210A40" w14:textId="77777777" w:rsidR="004C2674" w:rsidRPr="00D33399" w:rsidRDefault="004C2674" w:rsidP="005144E2">
      <w:pPr>
        <w:widowControl/>
        <w:tabs>
          <w:tab w:val="left" w:pos="180"/>
        </w:tabs>
        <w:jc w:val="both"/>
        <w:rPr>
          <w:rFonts w:ascii="Arial" w:hAnsi="Arial" w:cs="Arial"/>
          <w:b/>
        </w:rPr>
      </w:pPr>
      <w:r w:rsidRPr="00D33399">
        <w:rPr>
          <w:rFonts w:ascii="Arial" w:hAnsi="Arial" w:cs="Arial"/>
          <w:b/>
        </w:rPr>
        <w:lastRenderedPageBreak/>
        <w:t>c) Risco de liquidez</w:t>
      </w:r>
    </w:p>
    <w:p w14:paraId="4A932599" w14:textId="77777777" w:rsidR="004C2674" w:rsidRPr="00D33399" w:rsidRDefault="004C2674" w:rsidP="005144E2">
      <w:pPr>
        <w:widowControl/>
        <w:tabs>
          <w:tab w:val="left" w:pos="180"/>
        </w:tabs>
        <w:jc w:val="both"/>
        <w:rPr>
          <w:rFonts w:ascii="Arial" w:hAnsi="Arial" w:cs="Arial"/>
          <w:b/>
        </w:rPr>
      </w:pPr>
    </w:p>
    <w:p w14:paraId="0A162B3D" w14:textId="77777777" w:rsidR="00AC22E7" w:rsidRPr="00D33399" w:rsidRDefault="004C2674" w:rsidP="005144E2">
      <w:pPr>
        <w:widowControl/>
        <w:tabs>
          <w:tab w:val="left" w:pos="180"/>
        </w:tabs>
        <w:jc w:val="both"/>
        <w:rPr>
          <w:rFonts w:ascii="Arial" w:hAnsi="Arial" w:cs="Arial"/>
        </w:rPr>
      </w:pPr>
      <w:r w:rsidRPr="00D33399">
        <w:rPr>
          <w:rFonts w:ascii="Arial" w:hAnsi="Arial" w:cs="Arial"/>
        </w:rPr>
        <w:t>Risco de liquidez é o risco d</w:t>
      </w:r>
      <w:r w:rsidR="004E7279" w:rsidRPr="00D33399">
        <w:rPr>
          <w:rFonts w:ascii="Arial" w:hAnsi="Arial" w:cs="Arial"/>
        </w:rPr>
        <w:t xml:space="preserve">e </w:t>
      </w:r>
      <w:r w:rsidRPr="00D33399">
        <w:rPr>
          <w:rFonts w:ascii="Arial" w:hAnsi="Arial" w:cs="Arial"/>
        </w:rPr>
        <w:t xml:space="preserve">a Companhia encontrar dificuldades em cumprir com as obrigações associadas a seus passivos financeiros que são liquidados com pagamentos à vista ou com outro ativo financeiro. A abordagem da Companhia na administração de liquidez é de garantir, o máximo possível, que sempre tenha liquidez suficiente para cumprir com suas obrigações ao vencerem, sob condições normais e de estresse, sem causar perdas inaceitáveis ou com risco de prejudicar a reputação da Entidade. </w:t>
      </w:r>
    </w:p>
    <w:p w14:paraId="0D19C8EB" w14:textId="77777777" w:rsidR="004C2674" w:rsidRPr="00D33399" w:rsidRDefault="004C2674" w:rsidP="005144E2">
      <w:pPr>
        <w:widowControl/>
        <w:tabs>
          <w:tab w:val="left" w:pos="180"/>
        </w:tabs>
        <w:jc w:val="both"/>
        <w:rPr>
          <w:rFonts w:ascii="Arial" w:hAnsi="Arial" w:cs="Arial"/>
        </w:rPr>
      </w:pPr>
      <w:r w:rsidRPr="00D33399">
        <w:rPr>
          <w:rFonts w:ascii="Arial" w:hAnsi="Arial" w:cs="Arial"/>
        </w:rPr>
        <w:t xml:space="preserve">Os planos da administração da Companhia estão descritos na nota </w:t>
      </w:r>
      <w:r w:rsidR="003C4F3B" w:rsidRPr="00D33399">
        <w:rPr>
          <w:rFonts w:ascii="Arial" w:hAnsi="Arial" w:cs="Arial"/>
        </w:rPr>
        <w:t>4.1 d</w:t>
      </w:r>
      <w:r w:rsidR="00092F5C" w:rsidRPr="00D33399">
        <w:rPr>
          <w:rFonts w:ascii="Arial" w:hAnsi="Arial" w:cs="Arial"/>
        </w:rPr>
        <w:t>, que inclui</w:t>
      </w:r>
      <w:r w:rsidRPr="00D33399">
        <w:rPr>
          <w:rFonts w:ascii="Arial" w:hAnsi="Arial" w:cs="Arial"/>
        </w:rPr>
        <w:t xml:space="preserve"> dentre outras, a necessidade de suporte financeiro de terceiros.</w:t>
      </w:r>
    </w:p>
    <w:p w14:paraId="313D9206" w14:textId="77777777" w:rsidR="000772FB" w:rsidRPr="00D33399" w:rsidRDefault="000772FB" w:rsidP="005144E2">
      <w:pPr>
        <w:widowControl/>
        <w:tabs>
          <w:tab w:val="left" w:pos="180"/>
        </w:tabs>
        <w:jc w:val="both"/>
        <w:rPr>
          <w:rFonts w:ascii="Arial" w:hAnsi="Arial" w:cs="Arial"/>
        </w:rPr>
      </w:pPr>
    </w:p>
    <w:p w14:paraId="2217C1EE" w14:textId="77777777" w:rsidR="003A26BC" w:rsidRPr="00D33399" w:rsidRDefault="003A26BC" w:rsidP="005144E2">
      <w:pPr>
        <w:widowControl/>
        <w:tabs>
          <w:tab w:val="left" w:pos="180"/>
        </w:tabs>
        <w:jc w:val="both"/>
        <w:rPr>
          <w:rFonts w:ascii="Arial" w:hAnsi="Arial" w:cs="Arial"/>
          <w:sz w:val="16"/>
          <w:szCs w:val="16"/>
        </w:rPr>
      </w:pPr>
    </w:p>
    <w:p w14:paraId="04778176" w14:textId="77777777" w:rsidR="004C2674" w:rsidRPr="00D33399" w:rsidRDefault="004C2674" w:rsidP="005144E2">
      <w:pPr>
        <w:widowControl/>
        <w:tabs>
          <w:tab w:val="left" w:pos="180"/>
        </w:tabs>
        <w:jc w:val="both"/>
        <w:rPr>
          <w:rFonts w:ascii="Arial" w:hAnsi="Arial" w:cs="Arial"/>
          <w:b/>
        </w:rPr>
      </w:pPr>
      <w:r w:rsidRPr="00D33399">
        <w:rPr>
          <w:rFonts w:ascii="Arial" w:hAnsi="Arial" w:cs="Arial"/>
          <w:b/>
        </w:rPr>
        <w:t xml:space="preserve">- Índices de liquidez: </w:t>
      </w:r>
    </w:p>
    <w:p w14:paraId="77AE2F9B" w14:textId="77777777" w:rsidR="004C2674" w:rsidRPr="00D33399" w:rsidRDefault="004C2674" w:rsidP="005144E2">
      <w:pPr>
        <w:widowControl/>
        <w:tabs>
          <w:tab w:val="left" w:pos="180"/>
        </w:tabs>
        <w:jc w:val="both"/>
        <w:rPr>
          <w:rFonts w:ascii="Arial" w:hAnsi="Arial" w:cs="Arial"/>
        </w:rPr>
      </w:pPr>
    </w:p>
    <w:p w14:paraId="70653FCC" w14:textId="77777777" w:rsidR="004C2674" w:rsidRPr="00D33399" w:rsidRDefault="004C2674" w:rsidP="005144E2">
      <w:pPr>
        <w:widowControl/>
        <w:tabs>
          <w:tab w:val="left" w:pos="180"/>
        </w:tabs>
        <w:jc w:val="both"/>
        <w:rPr>
          <w:rFonts w:ascii="Arial" w:hAnsi="Arial" w:cs="Arial"/>
        </w:rPr>
      </w:pPr>
      <w:r w:rsidRPr="00D33399">
        <w:rPr>
          <w:rFonts w:ascii="Arial" w:hAnsi="Arial" w:cs="Arial"/>
        </w:rPr>
        <w:t>A Companhia monitora seu nível de liquidez considerando os fluxos de caixa esperados em contrapartida ao montante disponível em caixa e equivalentes de caixa. A gestão deste risco implica manter caixa e equivalentes, além de aplicações que permitam à Companhia ter capacidade de liquidar suas posições de mercado nos respectivos vencimentos. Abaixo, apresentamos os principais indicadores:</w:t>
      </w:r>
    </w:p>
    <w:p w14:paraId="774D63ED" w14:textId="77777777" w:rsidR="004C2674" w:rsidRPr="00D33399" w:rsidRDefault="004C2674" w:rsidP="005144E2">
      <w:pPr>
        <w:widowControl/>
        <w:tabs>
          <w:tab w:val="left" w:pos="180"/>
        </w:tabs>
        <w:jc w:val="both"/>
        <w:rPr>
          <w:rFonts w:ascii="Arial" w:hAnsi="Arial" w:cs="Arial"/>
        </w:rPr>
      </w:pPr>
    </w:p>
    <w:p w14:paraId="6EFF6DCF" w14:textId="254B83D2" w:rsidR="004C2674" w:rsidRPr="00D33399" w:rsidRDefault="004C2674" w:rsidP="005144E2">
      <w:pPr>
        <w:widowControl/>
        <w:tabs>
          <w:tab w:val="left" w:pos="180"/>
        </w:tabs>
        <w:jc w:val="both"/>
        <w:rPr>
          <w:rFonts w:ascii="Arial" w:hAnsi="Arial" w:cs="Arial"/>
        </w:rPr>
      </w:pPr>
      <w:r w:rsidRPr="00D33399">
        <w:rPr>
          <w:rFonts w:ascii="Arial" w:hAnsi="Arial" w:cs="Arial"/>
        </w:rPr>
        <w:t xml:space="preserve">- a comparação entre os direitos realizáveis e as exigibilidades, de curto prazo, aponta um índice de liquidez corrente de </w:t>
      </w:r>
      <w:r w:rsidR="00F462C6" w:rsidRPr="00D33399">
        <w:rPr>
          <w:rFonts w:ascii="Arial" w:hAnsi="Arial" w:cs="Arial"/>
        </w:rPr>
        <w:t>0,</w:t>
      </w:r>
      <w:r w:rsidR="00D73443">
        <w:rPr>
          <w:rFonts w:ascii="Arial" w:hAnsi="Arial" w:cs="Arial"/>
        </w:rPr>
        <w:t>71</w:t>
      </w:r>
      <w:r w:rsidR="00756D34" w:rsidRPr="00D33399">
        <w:rPr>
          <w:rFonts w:ascii="Arial" w:hAnsi="Arial" w:cs="Arial"/>
        </w:rPr>
        <w:t xml:space="preserve"> </w:t>
      </w:r>
      <w:r w:rsidR="00F42FDB" w:rsidRPr="00D33399">
        <w:rPr>
          <w:rFonts w:ascii="Arial" w:hAnsi="Arial" w:cs="Arial"/>
        </w:rPr>
        <w:t>em 3</w:t>
      </w:r>
      <w:r w:rsidR="00F12D3B" w:rsidRPr="00D33399">
        <w:rPr>
          <w:rFonts w:ascii="Arial" w:hAnsi="Arial" w:cs="Arial"/>
        </w:rPr>
        <w:t>0</w:t>
      </w:r>
      <w:r w:rsidR="00F42FDB" w:rsidRPr="00D33399">
        <w:rPr>
          <w:rFonts w:ascii="Arial" w:hAnsi="Arial" w:cs="Arial"/>
        </w:rPr>
        <w:t xml:space="preserve"> de </w:t>
      </w:r>
      <w:r w:rsidR="009C48D9" w:rsidRPr="00D33399">
        <w:rPr>
          <w:rFonts w:ascii="Arial" w:hAnsi="Arial" w:cs="Arial"/>
        </w:rPr>
        <w:t>setembro</w:t>
      </w:r>
      <w:r w:rsidR="00756D34" w:rsidRPr="00D33399">
        <w:rPr>
          <w:rFonts w:ascii="Arial" w:hAnsi="Arial" w:cs="Arial"/>
        </w:rPr>
        <w:t xml:space="preserve"> </w:t>
      </w:r>
      <w:r w:rsidR="00F42FDB" w:rsidRPr="00D33399">
        <w:rPr>
          <w:rFonts w:ascii="Arial" w:hAnsi="Arial" w:cs="Arial"/>
        </w:rPr>
        <w:t>de 20</w:t>
      </w:r>
      <w:r w:rsidR="00756D34" w:rsidRPr="00D33399">
        <w:rPr>
          <w:rFonts w:ascii="Arial" w:hAnsi="Arial" w:cs="Arial"/>
        </w:rPr>
        <w:t>20</w:t>
      </w:r>
      <w:r w:rsidR="00F42FDB" w:rsidRPr="00D33399">
        <w:rPr>
          <w:rFonts w:ascii="Arial" w:hAnsi="Arial" w:cs="Arial"/>
        </w:rPr>
        <w:t xml:space="preserve"> </w:t>
      </w:r>
      <w:r w:rsidRPr="00D33399">
        <w:rPr>
          <w:rFonts w:ascii="Arial" w:hAnsi="Arial" w:cs="Arial"/>
        </w:rPr>
        <w:t>(</w:t>
      </w:r>
      <w:r w:rsidR="00ED4D77" w:rsidRPr="00D33399">
        <w:rPr>
          <w:rFonts w:ascii="Arial" w:hAnsi="Arial" w:cs="Arial"/>
        </w:rPr>
        <w:t>0</w:t>
      </w:r>
      <w:r w:rsidRPr="00D33399">
        <w:rPr>
          <w:rFonts w:ascii="Arial" w:hAnsi="Arial" w:cs="Arial"/>
        </w:rPr>
        <w:t>,</w:t>
      </w:r>
      <w:r w:rsidR="00ED4D77" w:rsidRPr="00D33399">
        <w:rPr>
          <w:rFonts w:ascii="Arial" w:hAnsi="Arial" w:cs="Arial"/>
        </w:rPr>
        <w:t>6</w:t>
      </w:r>
      <w:r w:rsidR="00756D34" w:rsidRPr="00D33399">
        <w:rPr>
          <w:rFonts w:ascii="Arial" w:hAnsi="Arial" w:cs="Arial"/>
        </w:rPr>
        <w:t>5 e</w:t>
      </w:r>
      <w:r w:rsidRPr="00D33399">
        <w:rPr>
          <w:rFonts w:ascii="Arial" w:hAnsi="Arial" w:cs="Arial"/>
        </w:rPr>
        <w:t xml:space="preserve">m 31 de </w:t>
      </w:r>
      <w:r w:rsidR="001061A3" w:rsidRPr="00D33399">
        <w:rPr>
          <w:rFonts w:ascii="Arial" w:hAnsi="Arial" w:cs="Arial"/>
        </w:rPr>
        <w:t>d</w:t>
      </w:r>
      <w:r w:rsidR="00ED4D77" w:rsidRPr="00D33399">
        <w:rPr>
          <w:rFonts w:ascii="Arial" w:hAnsi="Arial" w:cs="Arial"/>
        </w:rPr>
        <w:t>ezembro</w:t>
      </w:r>
      <w:r w:rsidR="00756D34" w:rsidRPr="00D33399">
        <w:rPr>
          <w:rFonts w:ascii="Arial" w:hAnsi="Arial" w:cs="Arial"/>
        </w:rPr>
        <w:t xml:space="preserve"> </w:t>
      </w:r>
      <w:r w:rsidRPr="00D33399">
        <w:rPr>
          <w:rFonts w:ascii="Arial" w:hAnsi="Arial" w:cs="Arial"/>
        </w:rPr>
        <w:t>de 201</w:t>
      </w:r>
      <w:r w:rsidR="00756D34" w:rsidRPr="00D33399">
        <w:rPr>
          <w:rFonts w:ascii="Arial" w:hAnsi="Arial" w:cs="Arial"/>
        </w:rPr>
        <w:t>9</w:t>
      </w:r>
      <w:r w:rsidRPr="00D33399">
        <w:rPr>
          <w:rFonts w:ascii="Arial" w:hAnsi="Arial" w:cs="Arial"/>
        </w:rPr>
        <w:t>) e</w:t>
      </w:r>
    </w:p>
    <w:p w14:paraId="5824A1FF" w14:textId="77777777" w:rsidR="004C2674" w:rsidRPr="00D33399" w:rsidRDefault="004C2674" w:rsidP="005144E2">
      <w:pPr>
        <w:widowControl/>
        <w:tabs>
          <w:tab w:val="left" w:pos="180"/>
        </w:tabs>
        <w:jc w:val="both"/>
        <w:rPr>
          <w:rFonts w:ascii="Arial" w:hAnsi="Arial" w:cs="Arial"/>
        </w:rPr>
      </w:pPr>
    </w:p>
    <w:p w14:paraId="1067A0F6" w14:textId="40E80C54" w:rsidR="004C2674" w:rsidRPr="00D33399" w:rsidRDefault="004C2674" w:rsidP="005144E2">
      <w:pPr>
        <w:widowControl/>
        <w:tabs>
          <w:tab w:val="left" w:pos="180"/>
        </w:tabs>
        <w:jc w:val="both"/>
        <w:rPr>
          <w:rFonts w:ascii="Arial" w:hAnsi="Arial" w:cs="Arial"/>
        </w:rPr>
      </w:pPr>
      <w:r w:rsidRPr="00D33399">
        <w:rPr>
          <w:rFonts w:ascii="Arial" w:hAnsi="Arial" w:cs="Arial"/>
        </w:rPr>
        <w:t xml:space="preserve">- a comparação entre os direitos realizáveis e as exigibilidades, de curto e de longo prazo, revela um índice de liquidez geral de </w:t>
      </w:r>
      <w:r w:rsidR="005F239D" w:rsidRPr="00D33399">
        <w:rPr>
          <w:rFonts w:ascii="Arial" w:hAnsi="Arial" w:cs="Arial"/>
        </w:rPr>
        <w:t>0,</w:t>
      </w:r>
      <w:r w:rsidR="0017341F">
        <w:rPr>
          <w:rFonts w:ascii="Arial" w:hAnsi="Arial" w:cs="Arial"/>
        </w:rPr>
        <w:t>30</w:t>
      </w:r>
      <w:r w:rsidR="001219AE" w:rsidRPr="00D33399">
        <w:rPr>
          <w:rFonts w:ascii="Arial" w:hAnsi="Arial" w:cs="Arial"/>
        </w:rPr>
        <w:t xml:space="preserve"> </w:t>
      </w:r>
      <w:r w:rsidR="00F42FDB" w:rsidRPr="00D33399">
        <w:rPr>
          <w:rFonts w:ascii="Arial" w:hAnsi="Arial" w:cs="Arial"/>
        </w:rPr>
        <w:t>em 3</w:t>
      </w:r>
      <w:r w:rsidR="00F12D3B" w:rsidRPr="00D33399">
        <w:rPr>
          <w:rFonts w:ascii="Arial" w:hAnsi="Arial" w:cs="Arial"/>
        </w:rPr>
        <w:t>0</w:t>
      </w:r>
      <w:r w:rsidR="00F42FDB" w:rsidRPr="00D33399">
        <w:rPr>
          <w:rFonts w:ascii="Arial" w:hAnsi="Arial" w:cs="Arial"/>
        </w:rPr>
        <w:t xml:space="preserve"> de </w:t>
      </w:r>
      <w:r w:rsidR="009C48D9" w:rsidRPr="00D33399">
        <w:rPr>
          <w:rFonts w:ascii="Arial" w:hAnsi="Arial" w:cs="Arial"/>
        </w:rPr>
        <w:t>setembro</w:t>
      </w:r>
      <w:r w:rsidR="00F42FDB" w:rsidRPr="00D33399">
        <w:rPr>
          <w:rFonts w:ascii="Arial" w:hAnsi="Arial" w:cs="Arial"/>
        </w:rPr>
        <w:t xml:space="preserve"> de 20</w:t>
      </w:r>
      <w:r w:rsidR="00756D34" w:rsidRPr="00D33399">
        <w:rPr>
          <w:rFonts w:ascii="Arial" w:hAnsi="Arial" w:cs="Arial"/>
        </w:rPr>
        <w:t>20</w:t>
      </w:r>
      <w:r w:rsidR="00F42FDB" w:rsidRPr="00D33399">
        <w:rPr>
          <w:rFonts w:ascii="Arial" w:hAnsi="Arial" w:cs="Arial"/>
        </w:rPr>
        <w:t xml:space="preserve"> </w:t>
      </w:r>
      <w:r w:rsidRPr="00D33399">
        <w:rPr>
          <w:rFonts w:ascii="Arial" w:hAnsi="Arial" w:cs="Arial"/>
        </w:rPr>
        <w:t>(</w:t>
      </w:r>
      <w:r w:rsidR="00ED4D77" w:rsidRPr="00D33399">
        <w:rPr>
          <w:rFonts w:ascii="Arial" w:hAnsi="Arial" w:cs="Arial"/>
        </w:rPr>
        <w:t>0</w:t>
      </w:r>
      <w:r w:rsidR="008D695D" w:rsidRPr="00D33399">
        <w:rPr>
          <w:rFonts w:ascii="Arial" w:hAnsi="Arial" w:cs="Arial"/>
        </w:rPr>
        <w:t>,</w:t>
      </w:r>
      <w:r w:rsidR="00ED4D77" w:rsidRPr="00D33399">
        <w:rPr>
          <w:rFonts w:ascii="Arial" w:hAnsi="Arial" w:cs="Arial"/>
        </w:rPr>
        <w:t>2</w:t>
      </w:r>
      <w:r w:rsidR="00756D34" w:rsidRPr="00D33399">
        <w:rPr>
          <w:rFonts w:ascii="Arial" w:hAnsi="Arial" w:cs="Arial"/>
        </w:rPr>
        <w:t>4</w:t>
      </w:r>
      <w:r w:rsidRPr="00D33399">
        <w:rPr>
          <w:rFonts w:ascii="Arial" w:hAnsi="Arial" w:cs="Arial"/>
        </w:rPr>
        <w:t xml:space="preserve"> em 31 de </w:t>
      </w:r>
      <w:r w:rsidR="00F42FDB" w:rsidRPr="00D33399">
        <w:rPr>
          <w:rFonts w:ascii="Arial" w:hAnsi="Arial" w:cs="Arial"/>
        </w:rPr>
        <w:t>d</w:t>
      </w:r>
      <w:r w:rsidR="00ED4D77" w:rsidRPr="00D33399">
        <w:rPr>
          <w:rFonts w:ascii="Arial" w:hAnsi="Arial" w:cs="Arial"/>
        </w:rPr>
        <w:t>ezembro</w:t>
      </w:r>
      <w:r w:rsidRPr="00D33399">
        <w:rPr>
          <w:rFonts w:ascii="Arial" w:hAnsi="Arial" w:cs="Arial"/>
        </w:rPr>
        <w:t xml:space="preserve"> de 201</w:t>
      </w:r>
      <w:r w:rsidR="00756D34" w:rsidRPr="00D33399">
        <w:rPr>
          <w:rFonts w:ascii="Arial" w:hAnsi="Arial" w:cs="Arial"/>
        </w:rPr>
        <w:t>9</w:t>
      </w:r>
      <w:r w:rsidRPr="00D33399">
        <w:rPr>
          <w:rFonts w:ascii="Arial" w:hAnsi="Arial" w:cs="Arial"/>
        </w:rPr>
        <w:t>).</w:t>
      </w:r>
    </w:p>
    <w:p w14:paraId="7296B15D" w14:textId="77777777" w:rsidR="004C2674" w:rsidRPr="00D33399" w:rsidRDefault="004C2674" w:rsidP="005144E2">
      <w:pPr>
        <w:jc w:val="both"/>
        <w:rPr>
          <w:rFonts w:ascii="Arial" w:hAnsi="Arial" w:cs="Arial"/>
        </w:rPr>
      </w:pPr>
    </w:p>
    <w:p w14:paraId="1A1F3F3D" w14:textId="29A740E2" w:rsidR="00927155" w:rsidRPr="00D33399" w:rsidRDefault="00927155" w:rsidP="005144E2">
      <w:pPr>
        <w:jc w:val="both"/>
        <w:rPr>
          <w:rFonts w:ascii="Arial" w:hAnsi="Arial" w:cs="Arial"/>
        </w:rPr>
      </w:pPr>
      <w:r w:rsidRPr="00D33399">
        <w:rPr>
          <w:rFonts w:ascii="Arial" w:hAnsi="Arial" w:cs="Arial"/>
        </w:rPr>
        <w:t xml:space="preserve">A administração da ELETRONUCLEAR entende que os riscos de liquidez corrente </w:t>
      </w:r>
      <w:r w:rsidR="003C4F3B" w:rsidRPr="00D33399">
        <w:rPr>
          <w:rFonts w:ascii="Arial" w:hAnsi="Arial" w:cs="Arial"/>
        </w:rPr>
        <w:t xml:space="preserve">estão administrados. </w:t>
      </w:r>
      <w:r w:rsidRPr="00D33399">
        <w:rPr>
          <w:rFonts w:ascii="Arial" w:hAnsi="Arial" w:cs="Arial"/>
        </w:rPr>
        <w:t>O índice de liquidez geral está afetado pelos financiamentos das obras da Usina Angra 3, cuja entrada em operação, aprovad</w:t>
      </w:r>
      <w:r w:rsidR="00D43522" w:rsidRPr="00D33399">
        <w:rPr>
          <w:rFonts w:ascii="Arial" w:hAnsi="Arial" w:cs="Arial"/>
        </w:rPr>
        <w:t>a</w:t>
      </w:r>
      <w:r w:rsidRPr="00D33399">
        <w:rPr>
          <w:rFonts w:ascii="Arial" w:hAnsi="Arial" w:cs="Arial"/>
        </w:rPr>
        <w:t xml:space="preserve"> internamente até a data base de </w:t>
      </w:r>
      <w:r w:rsidR="00F42FDB" w:rsidRPr="00D33399">
        <w:rPr>
          <w:rFonts w:ascii="Arial" w:hAnsi="Arial" w:cs="Arial"/>
        </w:rPr>
        <w:t>3</w:t>
      </w:r>
      <w:r w:rsidR="00EE4FBF" w:rsidRPr="00D33399">
        <w:rPr>
          <w:rFonts w:ascii="Arial" w:hAnsi="Arial" w:cs="Arial"/>
        </w:rPr>
        <w:t>0</w:t>
      </w:r>
      <w:r w:rsidR="00F42FDB" w:rsidRPr="00D33399">
        <w:rPr>
          <w:rFonts w:ascii="Arial" w:hAnsi="Arial" w:cs="Arial"/>
        </w:rPr>
        <w:t xml:space="preserve"> de </w:t>
      </w:r>
      <w:r w:rsidR="00EE4FBF" w:rsidRPr="00D33399">
        <w:rPr>
          <w:rFonts w:ascii="Arial" w:hAnsi="Arial" w:cs="Arial"/>
        </w:rPr>
        <w:t>junho</w:t>
      </w:r>
      <w:r w:rsidR="00F42FDB" w:rsidRPr="00D33399">
        <w:rPr>
          <w:rFonts w:ascii="Arial" w:hAnsi="Arial" w:cs="Arial"/>
        </w:rPr>
        <w:t xml:space="preserve"> de 20</w:t>
      </w:r>
      <w:r w:rsidR="00EE4FBF" w:rsidRPr="00D33399">
        <w:rPr>
          <w:rFonts w:ascii="Arial" w:hAnsi="Arial" w:cs="Arial"/>
        </w:rPr>
        <w:t>20</w:t>
      </w:r>
      <w:r w:rsidRPr="00D33399">
        <w:rPr>
          <w:rFonts w:ascii="Arial" w:hAnsi="Arial" w:cs="Arial"/>
        </w:rPr>
        <w:t xml:space="preserve">, </w:t>
      </w:r>
      <w:r w:rsidR="00CD510E" w:rsidRPr="00D33399">
        <w:rPr>
          <w:rFonts w:ascii="Arial" w:hAnsi="Arial" w:cs="Arial"/>
        </w:rPr>
        <w:t xml:space="preserve">tem como cronograma o início de geração </w:t>
      </w:r>
      <w:r w:rsidRPr="00D33399">
        <w:rPr>
          <w:rFonts w:ascii="Arial" w:hAnsi="Arial" w:cs="Arial"/>
        </w:rPr>
        <w:t xml:space="preserve">de receita </w:t>
      </w:r>
      <w:r w:rsidR="00CD510E" w:rsidRPr="00D33399">
        <w:rPr>
          <w:rFonts w:ascii="Arial" w:hAnsi="Arial" w:cs="Arial"/>
        </w:rPr>
        <w:t xml:space="preserve">a partir de </w:t>
      </w:r>
      <w:r w:rsidR="00BC1909" w:rsidRPr="00D33399">
        <w:rPr>
          <w:rFonts w:ascii="Arial" w:hAnsi="Arial" w:cs="Arial"/>
        </w:rPr>
        <w:t>30</w:t>
      </w:r>
      <w:r w:rsidRPr="00D33399">
        <w:rPr>
          <w:rFonts w:ascii="Arial" w:hAnsi="Arial" w:cs="Arial"/>
        </w:rPr>
        <w:t xml:space="preserve"> de </w:t>
      </w:r>
      <w:r w:rsidR="00BC1909" w:rsidRPr="00D33399">
        <w:rPr>
          <w:rFonts w:ascii="Arial" w:hAnsi="Arial" w:cs="Arial"/>
        </w:rPr>
        <w:t>novembro</w:t>
      </w:r>
      <w:r w:rsidRPr="00D33399">
        <w:rPr>
          <w:rFonts w:ascii="Arial" w:hAnsi="Arial" w:cs="Arial"/>
        </w:rPr>
        <w:t xml:space="preserve"> de 202</w:t>
      </w:r>
      <w:r w:rsidR="008B6155" w:rsidRPr="00D33399">
        <w:rPr>
          <w:rFonts w:ascii="Arial" w:hAnsi="Arial" w:cs="Arial"/>
        </w:rPr>
        <w:t>6</w:t>
      </w:r>
      <w:r w:rsidR="000B3E1B" w:rsidRPr="00D33399">
        <w:rPr>
          <w:rFonts w:ascii="Arial" w:hAnsi="Arial" w:cs="Arial"/>
        </w:rPr>
        <w:t xml:space="preserve"> (nota </w:t>
      </w:r>
      <w:r w:rsidR="00280195" w:rsidRPr="00D33399">
        <w:rPr>
          <w:rFonts w:ascii="Arial" w:hAnsi="Arial" w:cs="Arial"/>
        </w:rPr>
        <w:t>14 g</w:t>
      </w:r>
      <w:r w:rsidR="000B3E1B" w:rsidRPr="00D33399">
        <w:rPr>
          <w:rFonts w:ascii="Arial" w:hAnsi="Arial" w:cs="Arial"/>
        </w:rPr>
        <w:t>)</w:t>
      </w:r>
      <w:r w:rsidRPr="00D33399">
        <w:rPr>
          <w:rFonts w:ascii="Arial" w:hAnsi="Arial" w:cs="Arial"/>
        </w:rPr>
        <w:t>.</w:t>
      </w:r>
    </w:p>
    <w:p w14:paraId="3BC9C3C7" w14:textId="77777777" w:rsidR="00940F65" w:rsidRPr="00D33399" w:rsidRDefault="00940F65" w:rsidP="005144E2">
      <w:pPr>
        <w:widowControl/>
        <w:jc w:val="both"/>
        <w:outlineLvl w:val="0"/>
        <w:rPr>
          <w:rFonts w:ascii="Arial" w:hAnsi="Arial" w:cs="Arial"/>
        </w:rPr>
      </w:pPr>
    </w:p>
    <w:p w14:paraId="4668811C" w14:textId="77777777" w:rsidR="00423385" w:rsidRPr="00D33399" w:rsidRDefault="003F4719" w:rsidP="005144E2">
      <w:pPr>
        <w:widowControl/>
        <w:tabs>
          <w:tab w:val="left" w:pos="180"/>
        </w:tabs>
        <w:jc w:val="both"/>
        <w:rPr>
          <w:rFonts w:ascii="Arial" w:hAnsi="Arial" w:cs="Arial"/>
        </w:rPr>
      </w:pPr>
      <w:r w:rsidRPr="00D33399">
        <w:rPr>
          <w:rFonts w:ascii="Arial" w:hAnsi="Arial" w:cs="Arial"/>
        </w:rPr>
        <w:t>No quadro abaixo, estão demonstrados os passivos financeiros da Companhia por faixas de vencimento, correspondente ao período remanescente no balanço patrimonial até a data contratual de vencimento. Os valores divulgados no quadro são os fluxos de caixa não descontados contratados:</w:t>
      </w:r>
    </w:p>
    <w:p w14:paraId="322DE484" w14:textId="77777777" w:rsidR="00A86614" w:rsidRPr="00D33399" w:rsidRDefault="00A86614" w:rsidP="005144E2">
      <w:pPr>
        <w:widowControl/>
        <w:tabs>
          <w:tab w:val="left" w:pos="180"/>
        </w:tabs>
        <w:jc w:val="both"/>
        <w:rPr>
          <w:rFonts w:ascii="Arial" w:hAnsi="Arial" w:cs="Arial"/>
          <w:noProof/>
        </w:rPr>
      </w:pPr>
    </w:p>
    <w:p w14:paraId="25A47186" w14:textId="1B5C19C3" w:rsidR="009965D8" w:rsidRPr="00D33399" w:rsidRDefault="00FB76F6" w:rsidP="005144E2">
      <w:pPr>
        <w:widowControl/>
        <w:tabs>
          <w:tab w:val="left" w:pos="180"/>
        </w:tabs>
        <w:jc w:val="both"/>
        <w:rPr>
          <w:rFonts w:ascii="Arial" w:hAnsi="Arial" w:cs="Arial"/>
        </w:rPr>
      </w:pPr>
      <w:r w:rsidRPr="00FB76F6">
        <w:rPr>
          <w:noProof/>
        </w:rPr>
        <w:lastRenderedPageBreak/>
        <w:drawing>
          <wp:inline distT="0" distB="0" distL="0" distR="0" wp14:anchorId="34C414B0" wp14:editId="4DF72B6B">
            <wp:extent cx="6073140" cy="3329185"/>
            <wp:effectExtent l="0" t="0" r="381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3140" cy="3329185"/>
                    </a:xfrm>
                    <a:prstGeom prst="rect">
                      <a:avLst/>
                    </a:prstGeom>
                    <a:noFill/>
                    <a:ln>
                      <a:noFill/>
                    </a:ln>
                  </pic:spPr>
                </pic:pic>
              </a:graphicData>
            </a:graphic>
          </wp:inline>
        </w:drawing>
      </w:r>
    </w:p>
    <w:p w14:paraId="30A3E5CA" w14:textId="77777777" w:rsidR="00F42FDB" w:rsidRPr="00D33399" w:rsidRDefault="00F42FDB" w:rsidP="005144E2">
      <w:pPr>
        <w:widowControl/>
        <w:tabs>
          <w:tab w:val="left" w:pos="180"/>
        </w:tabs>
        <w:jc w:val="both"/>
        <w:rPr>
          <w:rFonts w:ascii="Arial" w:hAnsi="Arial" w:cs="Arial"/>
          <w:sz w:val="16"/>
          <w:szCs w:val="16"/>
        </w:rPr>
      </w:pPr>
    </w:p>
    <w:p w14:paraId="3F56CF5F" w14:textId="77777777" w:rsidR="00F42FDB" w:rsidRPr="00D33399" w:rsidRDefault="00F42FDB" w:rsidP="005144E2">
      <w:pPr>
        <w:jc w:val="both"/>
        <w:rPr>
          <w:rFonts w:ascii="Arial" w:hAnsi="Arial" w:cs="Arial"/>
          <w:b/>
          <w:bCs/>
        </w:rPr>
      </w:pPr>
    </w:p>
    <w:p w14:paraId="005E56C4" w14:textId="77777777" w:rsidR="003F4719" w:rsidRPr="00D33399" w:rsidRDefault="003F4719" w:rsidP="005144E2">
      <w:pPr>
        <w:jc w:val="both"/>
        <w:rPr>
          <w:rFonts w:ascii="Arial" w:hAnsi="Arial" w:cs="Arial"/>
          <w:b/>
          <w:bCs/>
        </w:rPr>
      </w:pPr>
      <w:r w:rsidRPr="00D33399">
        <w:rPr>
          <w:rFonts w:ascii="Arial" w:hAnsi="Arial" w:cs="Arial"/>
          <w:b/>
          <w:bCs/>
        </w:rPr>
        <w:t>d) Risco operacional</w:t>
      </w:r>
    </w:p>
    <w:p w14:paraId="3E335C38" w14:textId="77777777" w:rsidR="003F4719" w:rsidRPr="00D33399" w:rsidRDefault="003F4719" w:rsidP="005144E2">
      <w:pPr>
        <w:jc w:val="both"/>
        <w:rPr>
          <w:rFonts w:ascii="Arial" w:hAnsi="Arial" w:cs="Arial"/>
        </w:rPr>
      </w:pPr>
    </w:p>
    <w:p w14:paraId="5365A0F8" w14:textId="77777777" w:rsidR="003F4719" w:rsidRPr="00D33399" w:rsidRDefault="003F4719" w:rsidP="005144E2">
      <w:pPr>
        <w:jc w:val="both"/>
        <w:rPr>
          <w:rFonts w:ascii="Arial" w:hAnsi="Arial" w:cs="Arial"/>
        </w:rPr>
      </w:pPr>
      <w:r w:rsidRPr="00D33399">
        <w:rPr>
          <w:rFonts w:ascii="Arial" w:hAnsi="Arial" w:cs="Arial"/>
        </w:rPr>
        <w:t xml:space="preserve">A ELETRONUCLEAR tem como atividade principal a operação das </w:t>
      </w:r>
      <w:r w:rsidR="00F42FDB" w:rsidRPr="00D33399">
        <w:rPr>
          <w:rFonts w:ascii="Arial" w:hAnsi="Arial" w:cs="Arial"/>
        </w:rPr>
        <w:t>U</w:t>
      </w:r>
      <w:r w:rsidRPr="00D33399">
        <w:rPr>
          <w:rFonts w:ascii="Arial" w:hAnsi="Arial" w:cs="Arial"/>
        </w:rPr>
        <w:t>sinas Angra 1 e 2, e em razão disso, tem apresentado</w:t>
      </w:r>
      <w:r w:rsidR="00AD1764" w:rsidRPr="00D33399">
        <w:rPr>
          <w:rFonts w:ascii="Arial" w:hAnsi="Arial" w:cs="Arial"/>
        </w:rPr>
        <w:t>,</w:t>
      </w:r>
      <w:r w:rsidRPr="00D33399">
        <w:rPr>
          <w:rFonts w:ascii="Arial" w:hAnsi="Arial" w:cs="Arial"/>
        </w:rPr>
        <w:t xml:space="preserve"> nos últimos anos</w:t>
      </w:r>
      <w:r w:rsidR="00AD1764" w:rsidRPr="00D33399">
        <w:rPr>
          <w:rFonts w:ascii="Arial" w:hAnsi="Arial" w:cs="Arial"/>
        </w:rPr>
        <w:t>,</w:t>
      </w:r>
      <w:r w:rsidRPr="00D33399">
        <w:rPr>
          <w:rFonts w:ascii="Arial" w:hAnsi="Arial" w:cs="Arial"/>
        </w:rPr>
        <w:t xml:space="preserve"> um excelente nível de eficiência, com destaque até no cenário internacional.</w:t>
      </w:r>
    </w:p>
    <w:p w14:paraId="7CDD1D09" w14:textId="77777777" w:rsidR="003F4719" w:rsidRPr="00D33399" w:rsidRDefault="003F4719" w:rsidP="005144E2">
      <w:pPr>
        <w:jc w:val="both"/>
        <w:rPr>
          <w:rFonts w:ascii="Arial" w:hAnsi="Arial" w:cs="Arial"/>
        </w:rPr>
      </w:pPr>
    </w:p>
    <w:p w14:paraId="49AFE565" w14:textId="77777777" w:rsidR="003F4719" w:rsidRPr="00D33399" w:rsidRDefault="003F4719" w:rsidP="005144E2">
      <w:pPr>
        <w:jc w:val="both"/>
        <w:rPr>
          <w:rFonts w:ascii="Arial" w:hAnsi="Arial" w:cs="Arial"/>
        </w:rPr>
      </w:pPr>
      <w:r w:rsidRPr="00D33399">
        <w:rPr>
          <w:rFonts w:ascii="Arial" w:hAnsi="Arial" w:cs="Arial"/>
        </w:rPr>
        <w:t>Toda a energia produzida por essas usinas tem fornecimento contratual de longo prazo firmado com as distribuidoras de energia elétrica</w:t>
      </w:r>
      <w:r w:rsidR="003E1FE9" w:rsidRPr="00D33399">
        <w:rPr>
          <w:rFonts w:ascii="Arial" w:hAnsi="Arial" w:cs="Arial"/>
        </w:rPr>
        <w:t>;</w:t>
      </w:r>
      <w:r w:rsidRPr="00D33399">
        <w:rPr>
          <w:rFonts w:ascii="Arial" w:hAnsi="Arial" w:cs="Arial"/>
        </w:rPr>
        <w:t xml:space="preserve"> contratos esses regidos pela Câmara de Comercialização de Energia Elétrica - CCEE. A </w:t>
      </w:r>
      <w:r w:rsidR="002406E9" w:rsidRPr="00D33399">
        <w:rPr>
          <w:rFonts w:ascii="Arial" w:hAnsi="Arial" w:cs="Arial"/>
        </w:rPr>
        <w:t>ELETRONUCLEAR</w:t>
      </w:r>
      <w:r w:rsidRPr="00D33399">
        <w:rPr>
          <w:rFonts w:ascii="Arial" w:hAnsi="Arial" w:cs="Arial"/>
        </w:rPr>
        <w:t xml:space="preserve"> entende que o risco de inadimplência fica mitigado na quitação desse faturamento, face à atividade de administração financeira estar sob o controle da CCEE, que possui autonomia sobre os recursos reservados pelas distribuidoras para esse fim.</w:t>
      </w:r>
    </w:p>
    <w:p w14:paraId="7C0028BB" w14:textId="77777777" w:rsidR="009965D8" w:rsidRPr="00D33399" w:rsidRDefault="009965D8" w:rsidP="005144E2">
      <w:pPr>
        <w:jc w:val="both"/>
        <w:rPr>
          <w:rFonts w:ascii="Arial" w:hAnsi="Arial" w:cs="Arial"/>
        </w:rPr>
      </w:pPr>
    </w:p>
    <w:p w14:paraId="2D27945B" w14:textId="6C46CBBB" w:rsidR="0097222F" w:rsidRPr="00D33399" w:rsidRDefault="0097222F" w:rsidP="005144E2">
      <w:pPr>
        <w:pStyle w:val="Corpodetexto"/>
        <w:jc w:val="both"/>
        <w:rPr>
          <w:rFonts w:ascii="Arial" w:hAnsi="Arial" w:cs="Arial"/>
        </w:rPr>
      </w:pPr>
      <w:r w:rsidRPr="00D33399">
        <w:rPr>
          <w:rFonts w:ascii="Arial" w:hAnsi="Arial" w:cs="Arial"/>
        </w:rPr>
        <w:t>A receita fixa das Usinas Angra 1 e 2 é regulada pela Agência Nacional de Energia Elétrica - A</w:t>
      </w:r>
      <w:r w:rsidR="0085155A" w:rsidRPr="00D33399">
        <w:rPr>
          <w:rFonts w:ascii="Arial" w:hAnsi="Arial" w:cs="Arial"/>
        </w:rPr>
        <w:t>neel</w:t>
      </w:r>
      <w:r w:rsidRPr="00D33399">
        <w:rPr>
          <w:rFonts w:ascii="Arial" w:hAnsi="Arial" w:cs="Arial"/>
        </w:rPr>
        <w:t xml:space="preserve">, através do modelo </w:t>
      </w:r>
      <w:r w:rsidR="000F358B" w:rsidRPr="00D33399">
        <w:rPr>
          <w:rFonts w:ascii="Arial" w:hAnsi="Arial" w:cs="Arial"/>
        </w:rPr>
        <w:t>do Procedimento de Regulação Tarifária -</w:t>
      </w:r>
      <w:r w:rsidR="00F462C6" w:rsidRPr="00D33399">
        <w:rPr>
          <w:rFonts w:ascii="Arial" w:hAnsi="Arial" w:cs="Arial"/>
        </w:rPr>
        <w:t xml:space="preserve"> </w:t>
      </w:r>
      <w:r w:rsidRPr="00D33399">
        <w:rPr>
          <w:rFonts w:ascii="Arial" w:hAnsi="Arial" w:cs="Arial"/>
        </w:rPr>
        <w:t>PRORET</w:t>
      </w:r>
      <w:r w:rsidR="000F358B" w:rsidRPr="00D33399">
        <w:rPr>
          <w:rFonts w:ascii="Arial" w:hAnsi="Arial" w:cs="Arial"/>
        </w:rPr>
        <w:t>:</w:t>
      </w:r>
      <w:r w:rsidRPr="00D33399">
        <w:rPr>
          <w:rFonts w:ascii="Arial" w:hAnsi="Arial" w:cs="Arial"/>
        </w:rPr>
        <w:t xml:space="preserve"> Módulo 6</w:t>
      </w:r>
      <w:r w:rsidR="000F358B" w:rsidRPr="00D33399">
        <w:rPr>
          <w:rFonts w:ascii="Arial" w:hAnsi="Arial" w:cs="Arial"/>
        </w:rPr>
        <w:t>,</w:t>
      </w:r>
      <w:r w:rsidRPr="00D33399">
        <w:rPr>
          <w:rFonts w:ascii="Arial" w:hAnsi="Arial" w:cs="Arial"/>
        </w:rPr>
        <w:t xml:space="preserve"> Submódulo 6.7, com reajustes anuais e revisões quinquenais. A receita fixa de 20</w:t>
      </w:r>
      <w:r w:rsidR="007E0C65" w:rsidRPr="00D33399">
        <w:rPr>
          <w:rFonts w:ascii="Arial" w:hAnsi="Arial" w:cs="Arial"/>
        </w:rPr>
        <w:t>20</w:t>
      </w:r>
      <w:r w:rsidRPr="00D33399">
        <w:rPr>
          <w:rFonts w:ascii="Arial" w:hAnsi="Arial" w:cs="Arial"/>
        </w:rPr>
        <w:t xml:space="preserve"> foi definida pela Resolução Homologatória nº 2.</w:t>
      </w:r>
      <w:r w:rsidR="007E0C65" w:rsidRPr="00D33399">
        <w:rPr>
          <w:rFonts w:ascii="Arial" w:hAnsi="Arial" w:cs="Arial"/>
        </w:rPr>
        <w:t>661</w:t>
      </w:r>
      <w:r w:rsidRPr="00D33399">
        <w:rPr>
          <w:rFonts w:ascii="Arial" w:hAnsi="Arial" w:cs="Arial"/>
        </w:rPr>
        <w:t xml:space="preserve"> de 1</w:t>
      </w:r>
      <w:r w:rsidR="001F1A89" w:rsidRPr="00D33399">
        <w:rPr>
          <w:rFonts w:ascii="Arial" w:hAnsi="Arial" w:cs="Arial"/>
        </w:rPr>
        <w:t>7</w:t>
      </w:r>
      <w:r w:rsidR="00123551" w:rsidRPr="00D33399">
        <w:rPr>
          <w:rFonts w:ascii="Arial" w:hAnsi="Arial" w:cs="Arial"/>
        </w:rPr>
        <w:t xml:space="preserve"> de dezembro de </w:t>
      </w:r>
      <w:r w:rsidRPr="00D33399">
        <w:rPr>
          <w:rFonts w:ascii="Arial" w:hAnsi="Arial" w:cs="Arial"/>
        </w:rPr>
        <w:t>201</w:t>
      </w:r>
      <w:r w:rsidR="001F1A89" w:rsidRPr="00D33399">
        <w:rPr>
          <w:rFonts w:ascii="Arial" w:hAnsi="Arial" w:cs="Arial"/>
        </w:rPr>
        <w:t>9</w:t>
      </w:r>
      <w:r w:rsidRPr="00D33399">
        <w:rPr>
          <w:rFonts w:ascii="Arial" w:hAnsi="Arial" w:cs="Arial"/>
        </w:rPr>
        <w:t xml:space="preserve"> </w:t>
      </w:r>
      <w:r w:rsidR="00F42FDB" w:rsidRPr="00D33399">
        <w:rPr>
          <w:rFonts w:ascii="Arial" w:hAnsi="Arial" w:cs="Arial"/>
        </w:rPr>
        <w:t xml:space="preserve">- </w:t>
      </w:r>
      <w:r w:rsidRPr="00D33399">
        <w:rPr>
          <w:rFonts w:ascii="Arial" w:hAnsi="Arial" w:cs="Arial"/>
        </w:rPr>
        <w:t>DOU 2</w:t>
      </w:r>
      <w:r w:rsidR="008007F9" w:rsidRPr="00D33399">
        <w:rPr>
          <w:rFonts w:ascii="Arial" w:hAnsi="Arial" w:cs="Arial"/>
        </w:rPr>
        <w:t>3</w:t>
      </w:r>
      <w:r w:rsidR="00123551" w:rsidRPr="00D33399">
        <w:rPr>
          <w:rFonts w:ascii="Arial" w:hAnsi="Arial" w:cs="Arial"/>
        </w:rPr>
        <w:t xml:space="preserve"> de dezembro de </w:t>
      </w:r>
      <w:r w:rsidR="001F1A89" w:rsidRPr="00D33399">
        <w:rPr>
          <w:rFonts w:ascii="Arial" w:hAnsi="Arial" w:cs="Arial"/>
        </w:rPr>
        <w:t>2019</w:t>
      </w:r>
      <w:r w:rsidRPr="00D33399">
        <w:rPr>
          <w:rFonts w:ascii="Arial" w:hAnsi="Arial" w:cs="Arial"/>
        </w:rPr>
        <w:t xml:space="preserve">, no montante de R$ </w:t>
      </w:r>
      <w:r w:rsidR="001F1A89" w:rsidRPr="00D33399">
        <w:rPr>
          <w:rFonts w:ascii="Arial" w:hAnsi="Arial" w:cs="Arial"/>
        </w:rPr>
        <w:t>3.726.446.</w:t>
      </w:r>
    </w:p>
    <w:p w14:paraId="62733BCD" w14:textId="77777777" w:rsidR="00BD200E" w:rsidRPr="00D33399" w:rsidRDefault="00BD200E" w:rsidP="005144E2">
      <w:pPr>
        <w:pStyle w:val="Corpodetexto"/>
        <w:jc w:val="both"/>
        <w:rPr>
          <w:rFonts w:ascii="Arial" w:hAnsi="Arial" w:cs="Arial"/>
        </w:rPr>
      </w:pPr>
    </w:p>
    <w:p w14:paraId="79CA1204" w14:textId="77777777" w:rsidR="003F4719" w:rsidRPr="00D33399" w:rsidRDefault="003F4719" w:rsidP="005144E2">
      <w:pPr>
        <w:pStyle w:val="Corpodetexto"/>
        <w:jc w:val="both"/>
        <w:rPr>
          <w:rFonts w:ascii="Arial" w:hAnsi="Arial" w:cs="Arial"/>
        </w:rPr>
      </w:pPr>
      <w:r w:rsidRPr="00D33399">
        <w:rPr>
          <w:rFonts w:ascii="Arial" w:hAnsi="Arial" w:cs="Arial"/>
        </w:rPr>
        <w:t>Salienta-se que, conforme regras de comercialização das energias d</w:t>
      </w:r>
      <w:r w:rsidR="00F42FDB" w:rsidRPr="00D33399">
        <w:rPr>
          <w:rFonts w:ascii="Arial" w:hAnsi="Arial" w:cs="Arial"/>
        </w:rPr>
        <w:t>as Usinas</w:t>
      </w:r>
      <w:r w:rsidRPr="00D33399">
        <w:rPr>
          <w:rFonts w:ascii="Arial" w:hAnsi="Arial" w:cs="Arial"/>
        </w:rPr>
        <w:t xml:space="preserve"> Angra 1 e 2, os desvios eventuais (sobras ou faltas) são apurados em cada exercício e são faturados ou devolvidos em duodécimos no exercício seguinte.</w:t>
      </w:r>
    </w:p>
    <w:p w14:paraId="58222EE5" w14:textId="77777777" w:rsidR="003F5AEE" w:rsidRPr="00D33399" w:rsidRDefault="003F5AEE" w:rsidP="005144E2">
      <w:pPr>
        <w:pStyle w:val="Corpodetexto"/>
        <w:jc w:val="both"/>
        <w:rPr>
          <w:rFonts w:ascii="Arial" w:hAnsi="Arial" w:cs="Arial"/>
        </w:rPr>
      </w:pPr>
    </w:p>
    <w:p w14:paraId="326DE261" w14:textId="08BA10DE" w:rsidR="003F5AEE" w:rsidRPr="00D33399" w:rsidRDefault="003F5AEE" w:rsidP="005144E2">
      <w:pPr>
        <w:pStyle w:val="Corpodetexto"/>
        <w:jc w:val="both"/>
        <w:rPr>
          <w:rFonts w:ascii="Arial" w:hAnsi="Arial" w:cs="Arial"/>
        </w:rPr>
      </w:pPr>
      <w:r w:rsidRPr="00D33399">
        <w:rPr>
          <w:rFonts w:ascii="Arial" w:hAnsi="Arial" w:cs="Arial"/>
        </w:rPr>
        <w:t xml:space="preserve">O principal insumo na geração de energia elétrica de fonte termonuclear é o combustível nuclear, insumo este fornecido no Brasil única e exclusivamente pelas Indústrias Nucleares </w:t>
      </w:r>
      <w:r w:rsidRPr="00D33399">
        <w:rPr>
          <w:rFonts w:ascii="Arial" w:hAnsi="Arial" w:cs="Arial"/>
        </w:rPr>
        <w:lastRenderedPageBreak/>
        <w:t>do Brasil S.A. – INB, empresa estatal de economia mista vinculada ao Ministério de Minas e Energia, que, em nome da União, exerce no Brasil o monopólio da produção e comercialização de materiais nucleares, dentre eles, os elementos combustíve</w:t>
      </w:r>
      <w:r w:rsidR="00782DCE" w:rsidRPr="00D33399">
        <w:rPr>
          <w:rFonts w:ascii="Arial" w:hAnsi="Arial" w:cs="Arial"/>
        </w:rPr>
        <w:t>is utilizados nos reatores das U</w:t>
      </w:r>
      <w:r w:rsidR="00D46EC7" w:rsidRPr="00D33399">
        <w:rPr>
          <w:rFonts w:ascii="Arial" w:hAnsi="Arial" w:cs="Arial"/>
        </w:rPr>
        <w:t xml:space="preserve">sinas </w:t>
      </w:r>
      <w:r w:rsidRPr="00D33399">
        <w:rPr>
          <w:rFonts w:ascii="Arial" w:hAnsi="Arial" w:cs="Arial"/>
        </w:rPr>
        <w:t>Angra 1 e 2.</w:t>
      </w:r>
    </w:p>
    <w:p w14:paraId="3C927F40" w14:textId="77777777" w:rsidR="003F5AEE" w:rsidRPr="00D33399" w:rsidRDefault="003F5AEE" w:rsidP="005144E2">
      <w:pPr>
        <w:pStyle w:val="Corpodetexto"/>
        <w:jc w:val="both"/>
        <w:rPr>
          <w:rFonts w:ascii="Arial" w:hAnsi="Arial" w:cs="Arial"/>
        </w:rPr>
      </w:pPr>
    </w:p>
    <w:p w14:paraId="5B289630" w14:textId="77777777" w:rsidR="003F5AEE" w:rsidRPr="00D33399" w:rsidRDefault="003F5AEE" w:rsidP="005144E2">
      <w:pPr>
        <w:pStyle w:val="Corpodetexto"/>
        <w:jc w:val="both"/>
        <w:rPr>
          <w:rFonts w:ascii="Arial" w:hAnsi="Arial" w:cs="Arial"/>
        </w:rPr>
      </w:pPr>
      <w:r w:rsidRPr="00D33399">
        <w:rPr>
          <w:rFonts w:ascii="Arial" w:hAnsi="Arial" w:cs="Arial"/>
        </w:rPr>
        <w:t xml:space="preserve">Em </w:t>
      </w:r>
      <w:r w:rsidR="0085155A" w:rsidRPr="00D33399">
        <w:rPr>
          <w:rFonts w:ascii="Arial" w:hAnsi="Arial" w:cs="Arial"/>
        </w:rPr>
        <w:t xml:space="preserve">17 de fevereiro de </w:t>
      </w:r>
      <w:r w:rsidRPr="00D33399">
        <w:rPr>
          <w:rFonts w:ascii="Arial" w:hAnsi="Arial" w:cs="Arial"/>
        </w:rPr>
        <w:t>20</w:t>
      </w:r>
      <w:r w:rsidR="009C344A" w:rsidRPr="00D33399">
        <w:rPr>
          <w:rFonts w:ascii="Arial" w:hAnsi="Arial" w:cs="Arial"/>
        </w:rPr>
        <w:t>20</w:t>
      </w:r>
      <w:r w:rsidRPr="00D33399">
        <w:rPr>
          <w:rFonts w:ascii="Arial" w:hAnsi="Arial" w:cs="Arial"/>
        </w:rPr>
        <w:t xml:space="preserve">, </w:t>
      </w:r>
      <w:r w:rsidR="00D710FF" w:rsidRPr="00D33399">
        <w:rPr>
          <w:rFonts w:ascii="Arial" w:hAnsi="Arial" w:cs="Arial"/>
        </w:rPr>
        <w:t xml:space="preserve">a </w:t>
      </w:r>
      <w:r w:rsidR="00F10D31" w:rsidRPr="00D33399">
        <w:rPr>
          <w:rFonts w:ascii="Arial" w:hAnsi="Arial" w:cs="Arial"/>
        </w:rPr>
        <w:t>C</w:t>
      </w:r>
      <w:r w:rsidR="00D710FF" w:rsidRPr="00D33399">
        <w:rPr>
          <w:rFonts w:ascii="Arial" w:hAnsi="Arial" w:cs="Arial"/>
        </w:rPr>
        <w:t xml:space="preserve">ompanhia foi </w:t>
      </w:r>
      <w:r w:rsidRPr="00D33399">
        <w:rPr>
          <w:rFonts w:ascii="Arial" w:hAnsi="Arial" w:cs="Arial"/>
        </w:rPr>
        <w:t>notifica</w:t>
      </w:r>
      <w:r w:rsidR="00D710FF" w:rsidRPr="00D33399">
        <w:rPr>
          <w:rFonts w:ascii="Arial" w:hAnsi="Arial" w:cs="Arial"/>
        </w:rPr>
        <w:t>da</w:t>
      </w:r>
      <w:r w:rsidRPr="00D33399">
        <w:rPr>
          <w:rFonts w:ascii="Arial" w:hAnsi="Arial" w:cs="Arial"/>
        </w:rPr>
        <w:t xml:space="preserve"> pela INB, por meio da correspondência CE PR-</w:t>
      </w:r>
      <w:r w:rsidR="009C344A" w:rsidRPr="00D33399">
        <w:rPr>
          <w:rFonts w:ascii="Arial" w:hAnsi="Arial" w:cs="Arial"/>
        </w:rPr>
        <w:t>021</w:t>
      </w:r>
      <w:r w:rsidRPr="00D33399">
        <w:rPr>
          <w:rFonts w:ascii="Arial" w:hAnsi="Arial" w:cs="Arial"/>
        </w:rPr>
        <w:t>/</w:t>
      </w:r>
      <w:r w:rsidR="009C344A" w:rsidRPr="00D33399">
        <w:rPr>
          <w:rFonts w:ascii="Arial" w:hAnsi="Arial" w:cs="Arial"/>
        </w:rPr>
        <w:t>20</w:t>
      </w:r>
      <w:r w:rsidRPr="00D33399">
        <w:rPr>
          <w:rFonts w:ascii="Arial" w:hAnsi="Arial" w:cs="Arial"/>
        </w:rPr>
        <w:t>, sobre o risco de interrupção do fornecimento de elementos combustíveis, em face das suas graves dificuldades orçamentárias, e que</w:t>
      </w:r>
      <w:r w:rsidR="0087663F" w:rsidRPr="00D33399">
        <w:rPr>
          <w:rFonts w:ascii="Arial" w:hAnsi="Arial" w:cs="Arial"/>
        </w:rPr>
        <w:t>,</w:t>
      </w:r>
      <w:r w:rsidRPr="00D33399">
        <w:rPr>
          <w:rFonts w:ascii="Arial" w:hAnsi="Arial" w:cs="Arial"/>
        </w:rPr>
        <w:t xml:space="preserve"> em última análise, poderia vir a comprometer a entrega contratada pela ELETRONUCLEAR para a próxima recarga programada para </w:t>
      </w:r>
      <w:r w:rsidR="00EA3459" w:rsidRPr="00D33399">
        <w:rPr>
          <w:rFonts w:ascii="Arial" w:hAnsi="Arial" w:cs="Arial"/>
        </w:rPr>
        <w:t>2021</w:t>
      </w:r>
      <w:r w:rsidRPr="00D33399">
        <w:rPr>
          <w:rFonts w:ascii="Arial" w:hAnsi="Arial" w:cs="Arial"/>
        </w:rPr>
        <w:t xml:space="preserve"> (1</w:t>
      </w:r>
      <w:r w:rsidR="00EA3459" w:rsidRPr="00D33399">
        <w:rPr>
          <w:rFonts w:ascii="Arial" w:hAnsi="Arial" w:cs="Arial"/>
        </w:rPr>
        <w:t>7ª recarga de Angra 2).</w:t>
      </w:r>
    </w:p>
    <w:p w14:paraId="3F168468" w14:textId="77777777" w:rsidR="003F5AEE" w:rsidRPr="00D33399" w:rsidRDefault="003F5AEE" w:rsidP="005144E2">
      <w:pPr>
        <w:pStyle w:val="Corpodetexto"/>
        <w:jc w:val="both"/>
        <w:rPr>
          <w:rFonts w:ascii="Arial" w:hAnsi="Arial" w:cs="Arial"/>
        </w:rPr>
      </w:pPr>
    </w:p>
    <w:p w14:paraId="5DE262DF" w14:textId="77777777" w:rsidR="003F5AEE" w:rsidRPr="00D33399" w:rsidRDefault="003F5AEE" w:rsidP="005144E2">
      <w:pPr>
        <w:pStyle w:val="Corpodetexto"/>
        <w:jc w:val="both"/>
        <w:rPr>
          <w:rFonts w:ascii="Arial" w:hAnsi="Arial" w:cs="Arial"/>
        </w:rPr>
      </w:pPr>
      <w:r w:rsidRPr="00D33399">
        <w:rPr>
          <w:rFonts w:ascii="Arial" w:hAnsi="Arial" w:cs="Arial"/>
        </w:rPr>
        <w:t>Considerando os riscos de d</w:t>
      </w:r>
      <w:r w:rsidR="00782DCE" w:rsidRPr="00D33399">
        <w:rPr>
          <w:rFonts w:ascii="Arial" w:hAnsi="Arial" w:cs="Arial"/>
        </w:rPr>
        <w:t>escontinuidade de operação das U</w:t>
      </w:r>
      <w:r w:rsidRPr="00D33399">
        <w:rPr>
          <w:rFonts w:ascii="Arial" w:hAnsi="Arial" w:cs="Arial"/>
        </w:rPr>
        <w:t>sinas Angra 1 e 2, e também do compromisso e da importância que o suprimento de energia elétrica da Central Nuclear Almirante Álvaro Alberto – CNAAA t</w:t>
      </w:r>
      <w:r w:rsidR="00130F3F" w:rsidRPr="00D33399">
        <w:rPr>
          <w:rFonts w:ascii="Arial" w:hAnsi="Arial" w:cs="Arial"/>
        </w:rPr>
        <w:t>e</w:t>
      </w:r>
      <w:r w:rsidRPr="00D33399">
        <w:rPr>
          <w:rFonts w:ascii="Arial" w:hAnsi="Arial" w:cs="Arial"/>
        </w:rPr>
        <w:t>m no âmbito do Sistema Interligado Nacional – SIN, a administração da ELETRONUCLEAR tem submetido esses riscos aos diversos órgãos a quem está subordinada, no intuito de serem superadas estas ameaças de desabastecimento.</w:t>
      </w:r>
    </w:p>
    <w:p w14:paraId="50F7DDBA" w14:textId="77777777" w:rsidR="009C344A" w:rsidRPr="00D33399" w:rsidRDefault="009C344A" w:rsidP="005144E2">
      <w:pPr>
        <w:pStyle w:val="Corpodetexto"/>
        <w:jc w:val="both"/>
        <w:rPr>
          <w:rFonts w:ascii="Arial" w:hAnsi="Arial" w:cs="Arial"/>
        </w:rPr>
      </w:pPr>
    </w:p>
    <w:p w14:paraId="500204CE" w14:textId="77777777" w:rsidR="00577F21" w:rsidRPr="00D33399" w:rsidRDefault="00577F21" w:rsidP="005144E2">
      <w:pPr>
        <w:pStyle w:val="Corpodetexto"/>
        <w:jc w:val="both"/>
        <w:rPr>
          <w:rFonts w:ascii="Arial" w:hAnsi="Arial" w:cs="Arial"/>
        </w:rPr>
      </w:pPr>
      <w:r w:rsidRPr="005C3C66">
        <w:rPr>
          <w:rFonts w:ascii="Arial" w:hAnsi="Arial" w:cs="Arial"/>
        </w:rPr>
        <w:t>Atualmente</w:t>
      </w:r>
      <w:r w:rsidR="00CD6DDA" w:rsidRPr="005C3C66">
        <w:rPr>
          <w:rFonts w:ascii="Arial" w:hAnsi="Arial" w:cs="Arial"/>
        </w:rPr>
        <w:t>,</w:t>
      </w:r>
      <w:r w:rsidRPr="005C3C66">
        <w:rPr>
          <w:rFonts w:ascii="Arial" w:hAnsi="Arial" w:cs="Arial"/>
        </w:rPr>
        <w:t xml:space="preserve"> as Indústrias Nucleares do Brasil – INB, por questões legais, é considerada uma estatal dependente para fins de elaboração do orçamento da União. Nesse sentido, a INB tem apontado que os valores aprovados em seu orçamento fiscal, ao qual t</w:t>
      </w:r>
      <w:r w:rsidR="00BE7966" w:rsidRPr="005C3C66">
        <w:rPr>
          <w:rFonts w:ascii="Arial" w:hAnsi="Arial" w:cs="Arial"/>
        </w:rPr>
        <w:t>e</w:t>
      </w:r>
      <w:r w:rsidRPr="005C3C66">
        <w:rPr>
          <w:rFonts w:ascii="Arial" w:hAnsi="Arial" w:cs="Arial"/>
        </w:rPr>
        <w:t>m sido submetida, têm implicado a mesma em riscos a manutenção de sua adimplência contratual para com a ELETRONUCLEAR, o que implica em dizer, em última análise, e embora de probabilidade reduzida, numa eventual possibilidade de não fornecimento de nossos insumos ao processo de geração de energia elétrica, que seriam os elementos combustíveis por ela fabricados.</w:t>
      </w:r>
    </w:p>
    <w:p w14:paraId="787F43AD" w14:textId="77777777" w:rsidR="00577F21" w:rsidRPr="00D33399" w:rsidRDefault="00577F21" w:rsidP="005144E2">
      <w:pPr>
        <w:pStyle w:val="Corpodetexto"/>
        <w:jc w:val="both"/>
        <w:rPr>
          <w:rFonts w:ascii="Arial" w:hAnsi="Arial" w:cs="Arial"/>
        </w:rPr>
      </w:pPr>
    </w:p>
    <w:p w14:paraId="455432D1" w14:textId="77777777" w:rsidR="009C344A" w:rsidRPr="00D33399" w:rsidRDefault="00577F21" w:rsidP="005144E2">
      <w:pPr>
        <w:pStyle w:val="Corpodetexto"/>
        <w:jc w:val="both"/>
        <w:rPr>
          <w:rFonts w:ascii="Arial" w:hAnsi="Arial" w:cs="Arial"/>
        </w:rPr>
      </w:pPr>
      <w:r w:rsidRPr="00E00673">
        <w:rPr>
          <w:rFonts w:ascii="Arial" w:hAnsi="Arial" w:cs="Arial"/>
        </w:rPr>
        <w:t xml:space="preserve">Como forma de superar estes entraves, a </w:t>
      </w:r>
      <w:r w:rsidR="00CD6DDA" w:rsidRPr="00E00673">
        <w:rPr>
          <w:rFonts w:ascii="Arial" w:hAnsi="Arial" w:cs="Arial"/>
        </w:rPr>
        <w:t>ELETRONUCLEAR</w:t>
      </w:r>
      <w:r w:rsidRPr="00E00673">
        <w:rPr>
          <w:rFonts w:ascii="Arial" w:hAnsi="Arial" w:cs="Arial"/>
        </w:rPr>
        <w:t xml:space="preserve"> e INB estão em fase de negociação de um novo contrato de fornecimento de elementos combustíveis, o qual abrangeria 5 (cinco) recargas para cada uma das Usinas atualmente em operação (Angra 1 e Angra 2) a partir de 2021, onde as dificuldades orçamentarias estão sendo discutidas conjuntamente as respectivas alçadas de governança competentes, estando nelas incluídas o Ministério de Minas e Energia – MME e o Ministério da Economia – ME, com o intuito de viabilizar a promoção de um significativo reajuste de preço de fornecimento dos elementos combustíveis, a fim de que a INB passe a reunir condições fiscais sustentáveis para a sua eliminação da condição orçamentária de uma “estatal dependente”, o que garantiria a segurança de suas operações e por consequência no cumprimento de seu contrato para com a ELETRONUCLEAR, eliminando</w:t>
      </w:r>
      <w:r w:rsidR="001F0DAF" w:rsidRPr="00E00673">
        <w:rPr>
          <w:rFonts w:ascii="Arial" w:hAnsi="Arial" w:cs="Arial"/>
        </w:rPr>
        <w:t>,</w:t>
      </w:r>
      <w:r w:rsidRPr="00E00673">
        <w:rPr>
          <w:rFonts w:ascii="Arial" w:hAnsi="Arial" w:cs="Arial"/>
        </w:rPr>
        <w:t xml:space="preserve"> assim</w:t>
      </w:r>
      <w:r w:rsidR="001F0DAF" w:rsidRPr="00E00673">
        <w:rPr>
          <w:rFonts w:ascii="Arial" w:hAnsi="Arial" w:cs="Arial"/>
        </w:rPr>
        <w:t>,</w:t>
      </w:r>
      <w:r w:rsidRPr="00E00673">
        <w:rPr>
          <w:rFonts w:ascii="Arial" w:hAnsi="Arial" w:cs="Arial"/>
        </w:rPr>
        <w:t xml:space="preserve"> o risco d</w:t>
      </w:r>
      <w:r w:rsidR="001F0DAF" w:rsidRPr="00E00673">
        <w:rPr>
          <w:rFonts w:ascii="Arial" w:hAnsi="Arial" w:cs="Arial"/>
        </w:rPr>
        <w:t xml:space="preserve">e </w:t>
      </w:r>
      <w:r w:rsidRPr="00E00673">
        <w:rPr>
          <w:rFonts w:ascii="Arial" w:hAnsi="Arial" w:cs="Arial"/>
        </w:rPr>
        <w:t>a INB não produzir as recargas contratadas pela ELETRONUCLEAR por restrições orçamentárias.</w:t>
      </w:r>
    </w:p>
    <w:p w14:paraId="4A2E5637" w14:textId="77777777" w:rsidR="00DD114F" w:rsidRPr="00D33399" w:rsidRDefault="00DD114F" w:rsidP="005144E2">
      <w:pPr>
        <w:pStyle w:val="Corpodetexto"/>
        <w:jc w:val="both"/>
        <w:rPr>
          <w:rFonts w:ascii="Arial" w:hAnsi="Arial" w:cs="Arial"/>
        </w:rPr>
      </w:pPr>
    </w:p>
    <w:p w14:paraId="6EAE5119" w14:textId="3A29C003" w:rsidR="00DD114F" w:rsidRPr="00D33399" w:rsidRDefault="00DD114F" w:rsidP="005144E2">
      <w:pPr>
        <w:pStyle w:val="Corpodetexto"/>
        <w:jc w:val="both"/>
        <w:rPr>
          <w:rFonts w:ascii="Arial" w:hAnsi="Arial" w:cs="Arial"/>
        </w:rPr>
      </w:pPr>
      <w:r w:rsidRPr="00D33399">
        <w:rPr>
          <w:rFonts w:ascii="Arial" w:hAnsi="Arial" w:cs="Arial"/>
        </w:rPr>
        <w:t>A E</w:t>
      </w:r>
      <w:r w:rsidR="00C67C86" w:rsidRPr="00D33399">
        <w:rPr>
          <w:rFonts w:ascii="Arial" w:hAnsi="Arial" w:cs="Arial"/>
        </w:rPr>
        <w:t>letrobras</w:t>
      </w:r>
      <w:r w:rsidRPr="00D33399">
        <w:rPr>
          <w:rFonts w:ascii="Arial" w:hAnsi="Arial" w:cs="Arial"/>
        </w:rPr>
        <w:t>, controladora da ELETRONUCLEAR, conjuntamente ao Minist</w:t>
      </w:r>
      <w:r w:rsidR="00427079" w:rsidRPr="00D33399">
        <w:rPr>
          <w:rFonts w:ascii="Arial" w:hAnsi="Arial" w:cs="Arial"/>
        </w:rPr>
        <w:t>ério de Minas e Energia – MME t</w:t>
      </w:r>
      <w:r w:rsidR="00C534E8" w:rsidRPr="00D33399">
        <w:rPr>
          <w:rFonts w:ascii="Arial" w:hAnsi="Arial" w:cs="Arial"/>
        </w:rPr>
        <w:t>e</w:t>
      </w:r>
      <w:r w:rsidRPr="00D33399">
        <w:rPr>
          <w:rFonts w:ascii="Arial" w:hAnsi="Arial" w:cs="Arial"/>
        </w:rPr>
        <w:t>m realizado gestões junto ao Ministério da Economia no intuito de superar as dificuldades orçamentárias ora vivenciadas pela INB</w:t>
      </w:r>
      <w:r w:rsidR="004A131A" w:rsidRPr="00D33399">
        <w:rPr>
          <w:rFonts w:ascii="Arial" w:hAnsi="Arial" w:cs="Arial"/>
        </w:rPr>
        <w:t>.</w:t>
      </w:r>
    </w:p>
    <w:p w14:paraId="306A131C" w14:textId="77777777" w:rsidR="00DD114F" w:rsidRPr="00D33399" w:rsidRDefault="00DD114F" w:rsidP="005144E2">
      <w:pPr>
        <w:pStyle w:val="Corpodetexto"/>
        <w:jc w:val="both"/>
        <w:rPr>
          <w:rFonts w:ascii="Arial" w:hAnsi="Arial" w:cs="Arial"/>
        </w:rPr>
      </w:pPr>
    </w:p>
    <w:p w14:paraId="10BD7EB9" w14:textId="77777777" w:rsidR="00804EE3" w:rsidRDefault="00804EE3" w:rsidP="005144E2">
      <w:pPr>
        <w:pStyle w:val="Corpodetexto"/>
        <w:jc w:val="both"/>
        <w:rPr>
          <w:rFonts w:ascii="Arial" w:hAnsi="Arial" w:cs="Arial"/>
        </w:rPr>
      </w:pPr>
    </w:p>
    <w:p w14:paraId="3A603A31" w14:textId="22217EC0" w:rsidR="00D54720" w:rsidRPr="00CC46ED" w:rsidRDefault="00804EE3" w:rsidP="00D54720">
      <w:pPr>
        <w:pStyle w:val="Corpodetexto"/>
        <w:jc w:val="both"/>
        <w:rPr>
          <w:rFonts w:ascii="Arial" w:hAnsi="Arial" w:cs="Arial"/>
        </w:rPr>
      </w:pPr>
      <w:r w:rsidRPr="00CC46ED">
        <w:rPr>
          <w:rFonts w:ascii="Arial" w:hAnsi="Arial" w:cs="Arial"/>
          <w:color w:val="000000" w:themeColor="text1"/>
        </w:rPr>
        <w:t>No terceiro trimestre de 2020, durante a parada para manutenção e reabastecimento de combustível nuclear na Usina Angra 2, foi detectada, nos elementos combustíveis carregados no último ciclo de operação, uma oxidação superficial inesperada no revestimento dos tubos que contém as pastilhas de urânio enriquecido</w:t>
      </w:r>
      <w:r w:rsidR="00D54720" w:rsidRPr="00CC46ED">
        <w:rPr>
          <w:rFonts w:ascii="Arial" w:hAnsi="Arial" w:cs="Arial"/>
          <w:color w:val="000000" w:themeColor="text1"/>
        </w:rPr>
        <w:t>. Para viabilizar o retorno da operação da Usina Angra 2 no menor tempo possível e seguindo todos os protocolos de segurança, a Eletronuclear substituiu os 52 (cinquenta e dois) elementos combustíveis, que ainda serão inspecionados, para o próximo ciclo de operação.</w:t>
      </w:r>
    </w:p>
    <w:p w14:paraId="332F3E71" w14:textId="77777777" w:rsidR="00804EE3" w:rsidRPr="00CC46ED" w:rsidRDefault="00804EE3" w:rsidP="00804EE3">
      <w:pPr>
        <w:jc w:val="both"/>
        <w:rPr>
          <w:rFonts w:ascii="Arial" w:hAnsi="Arial" w:cs="Arial"/>
          <w:color w:val="000000" w:themeColor="text1"/>
        </w:rPr>
      </w:pPr>
    </w:p>
    <w:p w14:paraId="367B55C9" w14:textId="77777777" w:rsidR="00804EE3" w:rsidRDefault="00804EE3" w:rsidP="00804EE3">
      <w:pPr>
        <w:jc w:val="both"/>
        <w:rPr>
          <w:rFonts w:ascii="Arial" w:hAnsi="Arial" w:cs="Arial"/>
          <w:color w:val="000000" w:themeColor="text1"/>
        </w:rPr>
      </w:pPr>
      <w:r w:rsidRPr="00CC46ED">
        <w:rPr>
          <w:rFonts w:ascii="Arial" w:hAnsi="Arial" w:cs="Arial"/>
          <w:color w:val="000000" w:themeColor="text1"/>
        </w:rPr>
        <w:t>Vale destacar que esse incidente, em nenhum momento, comprometeu a segurança e o desempenho da Usina Angra 2, que operou continuamente por 13 meses, tendo inclusive batido seu próprio recorde de produção no último dia 19 de junho de 2020, com a marca de 200 milhões de MWh* gerados desde 2001.</w:t>
      </w:r>
      <w:r w:rsidRPr="00003FA3">
        <w:rPr>
          <w:rFonts w:ascii="Arial" w:hAnsi="Arial" w:cs="Arial"/>
          <w:color w:val="000000" w:themeColor="text1"/>
        </w:rPr>
        <w:t xml:space="preserve"> </w:t>
      </w:r>
    </w:p>
    <w:p w14:paraId="064652B2" w14:textId="77777777" w:rsidR="00D54720" w:rsidRDefault="00D54720" w:rsidP="005144E2">
      <w:pPr>
        <w:pStyle w:val="Corpodetexto"/>
        <w:jc w:val="both"/>
        <w:rPr>
          <w:rFonts w:ascii="Arial" w:hAnsi="Arial" w:cs="Arial"/>
        </w:rPr>
      </w:pPr>
    </w:p>
    <w:p w14:paraId="706BE9B8" w14:textId="2012B9EE" w:rsidR="003F5AEE" w:rsidRPr="00D33399" w:rsidRDefault="003F5AEE" w:rsidP="005144E2">
      <w:pPr>
        <w:pStyle w:val="Corpodetexto"/>
        <w:jc w:val="both"/>
        <w:rPr>
          <w:rFonts w:ascii="Arial" w:hAnsi="Arial" w:cs="Arial"/>
        </w:rPr>
      </w:pPr>
      <w:r w:rsidRPr="00D33399">
        <w:rPr>
          <w:rFonts w:ascii="Arial" w:hAnsi="Arial" w:cs="Arial"/>
        </w:rPr>
        <w:t>Assim considerando, exceto pelos fatos acima narrados, entende a administração da ELETRONUCLEAR, não haver nenhuma outra expectativa econômica e financeira que possa indicar um risco de d</w:t>
      </w:r>
      <w:r w:rsidR="00782DCE" w:rsidRPr="00D33399">
        <w:rPr>
          <w:rFonts w:ascii="Arial" w:hAnsi="Arial" w:cs="Arial"/>
        </w:rPr>
        <w:t>escontinuidade operacional das U</w:t>
      </w:r>
      <w:r w:rsidRPr="00D33399">
        <w:rPr>
          <w:rFonts w:ascii="Arial" w:hAnsi="Arial" w:cs="Arial"/>
        </w:rPr>
        <w:t>sinas Angra 1 e 2</w:t>
      </w:r>
      <w:r w:rsidR="007916E3" w:rsidRPr="00D33399">
        <w:rPr>
          <w:rFonts w:ascii="Arial" w:hAnsi="Arial" w:cs="Arial"/>
        </w:rPr>
        <w:t>.</w:t>
      </w:r>
    </w:p>
    <w:p w14:paraId="76F21BCC" w14:textId="77777777" w:rsidR="003F4719" w:rsidRPr="00D33399" w:rsidRDefault="003F4719" w:rsidP="005144E2">
      <w:pPr>
        <w:pStyle w:val="Corpodetexto"/>
        <w:jc w:val="both"/>
        <w:rPr>
          <w:rFonts w:ascii="Arial" w:hAnsi="Arial" w:cs="Arial"/>
        </w:rPr>
      </w:pPr>
    </w:p>
    <w:p w14:paraId="0A22C4AF" w14:textId="58C2B875" w:rsidR="00062A22" w:rsidRPr="00D33399" w:rsidRDefault="003F4719" w:rsidP="00B16842">
      <w:pPr>
        <w:jc w:val="both"/>
        <w:rPr>
          <w:rFonts w:ascii="Arial" w:hAnsi="Arial" w:cs="Arial"/>
        </w:rPr>
      </w:pPr>
      <w:r w:rsidRPr="0001444D">
        <w:rPr>
          <w:rFonts w:ascii="Arial" w:hAnsi="Arial" w:cs="Arial"/>
        </w:rPr>
        <w:t xml:space="preserve">Quanto à Usina Angra 3, em fase de construção, terá a totalidade de sua produção de energia elétrica comercializada sob </w:t>
      </w:r>
      <w:r w:rsidR="004F4FEF" w:rsidRPr="0001444D">
        <w:rPr>
          <w:rFonts w:ascii="Arial" w:hAnsi="Arial" w:cs="Arial"/>
        </w:rPr>
        <w:t>a</w:t>
      </w:r>
      <w:r w:rsidRPr="0001444D">
        <w:rPr>
          <w:rFonts w:ascii="Arial" w:hAnsi="Arial" w:cs="Arial"/>
        </w:rPr>
        <w:t xml:space="preserve"> égide da Portaria MME Nº 980</w:t>
      </w:r>
      <w:r w:rsidR="00230078" w:rsidRPr="0001444D">
        <w:rPr>
          <w:rFonts w:ascii="Arial" w:hAnsi="Arial" w:cs="Arial"/>
        </w:rPr>
        <w:t>,</w:t>
      </w:r>
      <w:r w:rsidRPr="0001444D">
        <w:rPr>
          <w:rFonts w:ascii="Arial" w:hAnsi="Arial" w:cs="Arial"/>
        </w:rPr>
        <w:t xml:space="preserve"> de 23</w:t>
      </w:r>
      <w:r w:rsidR="000F358B" w:rsidRPr="0001444D">
        <w:rPr>
          <w:rFonts w:ascii="Arial" w:hAnsi="Arial" w:cs="Arial"/>
        </w:rPr>
        <w:t xml:space="preserve"> de dezembro de </w:t>
      </w:r>
      <w:r w:rsidRPr="0001444D">
        <w:rPr>
          <w:rFonts w:ascii="Arial" w:hAnsi="Arial" w:cs="Arial"/>
        </w:rPr>
        <w:t>2010, que culminou com a celebração do Contrato de Energia de Reserva – CER com a Câmara de Comercialização de Energia Elétrica – CCEE.</w:t>
      </w:r>
      <w:r w:rsidR="00B16842" w:rsidRPr="0001444D">
        <w:rPr>
          <w:rFonts w:ascii="Arial" w:hAnsi="Arial" w:cs="Arial"/>
        </w:rPr>
        <w:t xml:space="preserve"> </w:t>
      </w:r>
      <w:r w:rsidR="00B74905" w:rsidRPr="0001444D">
        <w:rPr>
          <w:rFonts w:ascii="Arial" w:hAnsi="Arial" w:cs="Arial"/>
        </w:rPr>
        <w:t>Esse regime de comercialização determina o fornecimento de uma quantidade de energia firme a uma tarifa contratual regulada</w:t>
      </w:r>
      <w:r w:rsidR="00B16842" w:rsidRPr="0001444D">
        <w:rPr>
          <w:rFonts w:ascii="Arial" w:hAnsi="Arial" w:cs="Arial"/>
        </w:rPr>
        <w:t>.</w:t>
      </w:r>
    </w:p>
    <w:p w14:paraId="1B1EA45F" w14:textId="0A213800" w:rsidR="00B74905" w:rsidRPr="00D33399" w:rsidRDefault="00B74905" w:rsidP="005144E2">
      <w:pPr>
        <w:pStyle w:val="Corpodetexto"/>
        <w:jc w:val="both"/>
        <w:rPr>
          <w:rFonts w:ascii="Arial" w:hAnsi="Arial" w:cs="Arial"/>
        </w:rPr>
      </w:pPr>
    </w:p>
    <w:p w14:paraId="019495AD" w14:textId="77777777" w:rsidR="00B74905" w:rsidRPr="00D33399" w:rsidRDefault="00B74905" w:rsidP="005144E2">
      <w:pPr>
        <w:pStyle w:val="Corpodetexto"/>
        <w:jc w:val="both"/>
        <w:rPr>
          <w:rFonts w:ascii="Arial" w:hAnsi="Arial" w:cs="Arial"/>
        </w:rPr>
      </w:pPr>
      <w:r w:rsidRPr="00D33399">
        <w:rPr>
          <w:rFonts w:ascii="Arial" w:hAnsi="Arial" w:cs="Arial"/>
        </w:rPr>
        <w:t>Portanto, a modalidade de comercialização de Energia de Reserva da Usina Angra 3 assegura a esse projeto todas as garantias e compromissos de um modelo não exposto ao mercado de energia elétrica de curto prazo.</w:t>
      </w:r>
    </w:p>
    <w:p w14:paraId="3C3EB410" w14:textId="77777777" w:rsidR="003F4719" w:rsidRPr="00D33399" w:rsidRDefault="003F4719" w:rsidP="005144E2">
      <w:pPr>
        <w:jc w:val="both"/>
        <w:rPr>
          <w:rFonts w:ascii="Arial" w:hAnsi="Arial" w:cs="Arial"/>
        </w:rPr>
      </w:pPr>
    </w:p>
    <w:p w14:paraId="4C8E95B7" w14:textId="77777777" w:rsidR="00B74905" w:rsidRPr="00D33399" w:rsidRDefault="00BA0E5C" w:rsidP="005144E2">
      <w:pPr>
        <w:jc w:val="both"/>
        <w:rPr>
          <w:rFonts w:ascii="Arial" w:hAnsi="Arial" w:cs="Arial"/>
        </w:rPr>
      </w:pPr>
      <w:r w:rsidRPr="00D33399">
        <w:rPr>
          <w:rFonts w:ascii="Arial" w:hAnsi="Arial" w:cs="Arial"/>
        </w:rPr>
        <w:t>A ad</w:t>
      </w:r>
      <w:r w:rsidR="006115A5" w:rsidRPr="00D33399">
        <w:rPr>
          <w:rFonts w:ascii="Arial" w:hAnsi="Arial" w:cs="Arial"/>
        </w:rPr>
        <w:t xml:space="preserve">ministração da </w:t>
      </w:r>
      <w:r w:rsidR="00202F2A" w:rsidRPr="00D33399">
        <w:rPr>
          <w:rFonts w:ascii="Arial" w:hAnsi="Arial" w:cs="Arial"/>
        </w:rPr>
        <w:t>Companhia</w:t>
      </w:r>
      <w:r w:rsidR="006115A5" w:rsidRPr="00D33399">
        <w:rPr>
          <w:rFonts w:ascii="Arial" w:hAnsi="Arial" w:cs="Arial"/>
        </w:rPr>
        <w:t xml:space="preserve"> ressalva</w:t>
      </w:r>
      <w:r w:rsidRPr="00D33399">
        <w:rPr>
          <w:rFonts w:ascii="Arial" w:hAnsi="Arial" w:cs="Arial"/>
        </w:rPr>
        <w:t xml:space="preserve"> que diante da dificuldade da ELETRONUCLEAR em alocar recursos próprios em montantes suficientes para suportar as atividades de Angra 3, agravadas pela elevação da exigência de contrapartidas pelo BNDES, uma das instituições financeiras financiadora do empreendimento, que alterou de 20% para 40% o percentual de participação financeira com recursos próprios, aplicáveis aos itens considerados financiáveis, levaram a </w:t>
      </w:r>
      <w:r w:rsidR="00EE5EF9" w:rsidRPr="00D33399">
        <w:rPr>
          <w:rFonts w:ascii="Arial" w:hAnsi="Arial" w:cs="Arial"/>
        </w:rPr>
        <w:t>C</w:t>
      </w:r>
      <w:r w:rsidR="00922A1B" w:rsidRPr="00D33399">
        <w:rPr>
          <w:rFonts w:ascii="Arial" w:hAnsi="Arial" w:cs="Arial"/>
        </w:rPr>
        <w:t>ompanhia</w:t>
      </w:r>
      <w:r w:rsidRPr="00D33399">
        <w:rPr>
          <w:rFonts w:ascii="Arial" w:hAnsi="Arial" w:cs="Arial"/>
        </w:rPr>
        <w:t xml:space="preserve"> a decidir, no terceiro trimestre de 2015, pela suspensão da maior parte de seus contratos com fabricantes nacionais e a reduzir sensivelmente os dispêndios associados aos contratos de serviços, de maneira a melhor compatibilizar a relação dos desembolsos ao fluxo de caixa existente e a conter a escalada de pagamentos em aberto. As suspensões foram efetuadas em duas etapas, sendo a primeira amparada pelo inciso XIV, do artigo 78</w:t>
      </w:r>
      <w:r w:rsidR="00230078" w:rsidRPr="00D33399">
        <w:rPr>
          <w:rFonts w:ascii="Arial" w:hAnsi="Arial" w:cs="Arial"/>
        </w:rPr>
        <w:t>,</w:t>
      </w:r>
      <w:r w:rsidRPr="00D33399">
        <w:rPr>
          <w:rFonts w:ascii="Arial" w:hAnsi="Arial" w:cs="Arial"/>
        </w:rPr>
        <w:t xml:space="preserve"> da Lei 8.666/93 que, resumidamente, prevê a suspensão contratual, de forma unilateral, sem ônus para a Administração e a segunda</w:t>
      </w:r>
      <w:r w:rsidR="00C4071F" w:rsidRPr="00D33399">
        <w:rPr>
          <w:rFonts w:ascii="Arial" w:hAnsi="Arial" w:cs="Arial"/>
        </w:rPr>
        <w:t>,</w:t>
      </w:r>
      <w:r w:rsidR="009965D8" w:rsidRPr="00D33399">
        <w:rPr>
          <w:rFonts w:ascii="Arial" w:hAnsi="Arial" w:cs="Arial"/>
        </w:rPr>
        <w:t xml:space="preserve"> </w:t>
      </w:r>
      <w:r w:rsidR="00596561" w:rsidRPr="00D33399">
        <w:rPr>
          <w:rFonts w:ascii="Arial" w:hAnsi="Arial" w:cs="Arial"/>
        </w:rPr>
        <w:t>finalizada em junho de 2016</w:t>
      </w:r>
      <w:r w:rsidR="00741816" w:rsidRPr="00D33399">
        <w:rPr>
          <w:rFonts w:ascii="Arial" w:hAnsi="Arial" w:cs="Arial"/>
        </w:rPr>
        <w:t>,</w:t>
      </w:r>
      <w:r w:rsidR="009965D8" w:rsidRPr="00D33399">
        <w:rPr>
          <w:rFonts w:ascii="Arial" w:hAnsi="Arial" w:cs="Arial"/>
        </w:rPr>
        <w:t xml:space="preserve"> </w:t>
      </w:r>
      <w:r w:rsidRPr="00D33399">
        <w:rPr>
          <w:rFonts w:ascii="Arial" w:hAnsi="Arial" w:cs="Arial"/>
        </w:rPr>
        <w:t>em termos consensuais, sendo assegurado o ressarcimento dos custos incorridos, pela suspensão, às empresas contratadas.</w:t>
      </w:r>
    </w:p>
    <w:p w14:paraId="151272DD" w14:textId="77777777" w:rsidR="00B74905" w:rsidRPr="00D33399" w:rsidRDefault="00B74905" w:rsidP="005144E2">
      <w:pPr>
        <w:jc w:val="both"/>
        <w:rPr>
          <w:rFonts w:ascii="Arial" w:hAnsi="Arial" w:cs="Arial"/>
        </w:rPr>
      </w:pPr>
    </w:p>
    <w:p w14:paraId="7FCD328B" w14:textId="12282A56" w:rsidR="00B74905" w:rsidRPr="00D33399" w:rsidRDefault="009061DD" w:rsidP="005144E2">
      <w:pPr>
        <w:jc w:val="both"/>
        <w:rPr>
          <w:rFonts w:ascii="Arial" w:hAnsi="Arial" w:cs="Arial"/>
        </w:rPr>
      </w:pPr>
      <w:r w:rsidRPr="00D33399">
        <w:rPr>
          <w:rFonts w:ascii="Arial" w:hAnsi="Arial" w:cs="Arial"/>
        </w:rPr>
        <w:lastRenderedPageBreak/>
        <w:t>A</w:t>
      </w:r>
      <w:r w:rsidR="00EE5EF9" w:rsidRPr="00D33399">
        <w:rPr>
          <w:rFonts w:ascii="Arial" w:hAnsi="Arial" w:cs="Arial"/>
        </w:rPr>
        <w:t xml:space="preserve"> administração da C</w:t>
      </w:r>
      <w:r w:rsidR="00B74905" w:rsidRPr="00D33399">
        <w:rPr>
          <w:rFonts w:ascii="Arial" w:hAnsi="Arial" w:cs="Arial"/>
        </w:rPr>
        <w:t>ompanhia vem avançando em gestões para que novas extensões de suspensões consensuais sejam viabilizadas, de forma a ser garantida a continuidade dos contratos então vigentes.</w:t>
      </w:r>
    </w:p>
    <w:p w14:paraId="7E18E96A" w14:textId="77777777" w:rsidR="00B74905" w:rsidRPr="00D33399" w:rsidRDefault="00B74905" w:rsidP="005144E2">
      <w:pPr>
        <w:jc w:val="both"/>
        <w:rPr>
          <w:rFonts w:ascii="Arial" w:hAnsi="Arial" w:cs="Arial"/>
        </w:rPr>
      </w:pPr>
      <w:r w:rsidRPr="00D33399">
        <w:rPr>
          <w:rFonts w:ascii="Arial" w:hAnsi="Arial" w:cs="Arial"/>
        </w:rPr>
        <w:t> </w:t>
      </w:r>
    </w:p>
    <w:p w14:paraId="1CBF8F81" w14:textId="77777777" w:rsidR="00B74905" w:rsidRPr="00D33399" w:rsidRDefault="00B74905" w:rsidP="005144E2">
      <w:pPr>
        <w:jc w:val="both"/>
        <w:rPr>
          <w:rFonts w:ascii="Arial" w:hAnsi="Arial" w:cs="Arial"/>
        </w:rPr>
      </w:pPr>
      <w:r w:rsidRPr="00D33399">
        <w:rPr>
          <w:rFonts w:ascii="Arial" w:hAnsi="Arial" w:cs="Arial"/>
        </w:rPr>
        <w:t>Com o objetivo de caracterizar a situação atual de Angra 3 e as implicações d</w:t>
      </w:r>
      <w:r w:rsidR="0085155A" w:rsidRPr="00D33399">
        <w:rPr>
          <w:rFonts w:ascii="Arial" w:hAnsi="Arial" w:cs="Arial"/>
        </w:rPr>
        <w:t>a</w:t>
      </w:r>
      <w:r w:rsidRPr="00D33399">
        <w:rPr>
          <w:rFonts w:ascii="Arial" w:hAnsi="Arial" w:cs="Arial"/>
        </w:rPr>
        <w:t xml:space="preserve"> sua paralisação para a ELETRONUCLEAR e para o Sistema Eletrobras, a administração da ELETRONUCLEAR vem conduzindo iniciativas para a implantação de um Plano de Ações </w:t>
      </w:r>
      <w:r w:rsidR="003C4F3B" w:rsidRPr="00D33399">
        <w:rPr>
          <w:rFonts w:ascii="Arial" w:hAnsi="Arial" w:cs="Arial"/>
        </w:rPr>
        <w:t>visando o</w:t>
      </w:r>
      <w:r w:rsidRPr="00D33399">
        <w:rPr>
          <w:rFonts w:ascii="Arial" w:hAnsi="Arial" w:cs="Arial"/>
        </w:rPr>
        <w:t xml:space="preserve"> equacionamento das condições necessárias à plena retomada e conclusão do empreendimento.</w:t>
      </w:r>
    </w:p>
    <w:p w14:paraId="7BF11569" w14:textId="77777777" w:rsidR="000F5A6F" w:rsidRPr="00D33399" w:rsidRDefault="000F5A6F" w:rsidP="005144E2">
      <w:pPr>
        <w:jc w:val="both"/>
        <w:rPr>
          <w:rFonts w:ascii="Arial" w:hAnsi="Arial" w:cs="Arial"/>
        </w:rPr>
      </w:pPr>
    </w:p>
    <w:p w14:paraId="1D40B844" w14:textId="77777777" w:rsidR="00804309" w:rsidRPr="00D33399" w:rsidRDefault="00804309" w:rsidP="00804309">
      <w:pPr>
        <w:spacing w:line="240" w:lineRule="auto"/>
        <w:jc w:val="both"/>
        <w:rPr>
          <w:rFonts w:ascii="Arial" w:hAnsi="Arial" w:cs="Arial"/>
          <w:color w:val="000000"/>
        </w:rPr>
      </w:pPr>
      <w:r w:rsidRPr="00D33399">
        <w:rPr>
          <w:rFonts w:ascii="Arial" w:hAnsi="Arial" w:cs="Arial"/>
          <w:iCs/>
          <w:color w:val="000000"/>
        </w:rPr>
        <w:t>Desde 2016, a ELETRONUCLEAR vem buscando assessoria de consultorias especializadas visando à conclusão de Angra 3. Foram elas:</w:t>
      </w:r>
    </w:p>
    <w:p w14:paraId="56E9CE4F" w14:textId="77777777" w:rsidR="00804309" w:rsidRPr="00D33399" w:rsidRDefault="00804309" w:rsidP="00804309">
      <w:pPr>
        <w:spacing w:line="240" w:lineRule="auto"/>
        <w:ind w:left="360"/>
        <w:jc w:val="both"/>
        <w:rPr>
          <w:rFonts w:ascii="Arial" w:hAnsi="Arial" w:cs="Arial"/>
          <w:color w:val="000000"/>
        </w:rPr>
      </w:pPr>
      <w:r w:rsidRPr="00D33399">
        <w:rPr>
          <w:rFonts w:ascii="Arial" w:hAnsi="Arial" w:cs="Arial"/>
          <w:iCs/>
          <w:color w:val="000000"/>
        </w:rPr>
        <w:t> </w:t>
      </w:r>
    </w:p>
    <w:p w14:paraId="629CA316" w14:textId="77777777" w:rsidR="00804309" w:rsidRPr="00D33399" w:rsidRDefault="00804309" w:rsidP="00804309">
      <w:pPr>
        <w:spacing w:line="264" w:lineRule="atLeast"/>
        <w:ind w:left="1440" w:hanging="720"/>
        <w:jc w:val="both"/>
        <w:rPr>
          <w:rFonts w:ascii="Arial" w:hAnsi="Arial" w:cs="Arial"/>
          <w:color w:val="000000"/>
        </w:rPr>
      </w:pPr>
      <w:r w:rsidRPr="00D33399">
        <w:rPr>
          <w:rFonts w:ascii="Arial" w:hAnsi="Arial" w:cs="Arial"/>
          <w:iCs/>
          <w:color w:val="000000"/>
        </w:rPr>
        <w:t>(i)            Deloitte Consultores - Para auditar o status das obras civis e verificar irregularidades apresentadas pelo Tribunal de Contas da União - TCU por meio de Relatório de Fiscalização (TC n. 002.651/2015-7), bem como efetuar uma análise da estimativa dos custos relacionados ao cancelamento das obras de implantação da usina, bem como da estimativa de custos para sua conclusão (“Cost to Complete”), foi contratada a Deloitte Consultores. Foi analisada a procedência das constatações do TCU, bem como estudos de mecanismos de ajuizamentos de ações em ressarcimentos a eventuais prejuízos identificados. Já a orçamentação de Angra 3 foi estruturada em rubricas de diversas disciplinas e áreas envolvidas na construção da obra. Foi desenvolvido um modelo econômico-financeiro para o cancelamento do projeto, contemplando as projeções financeiras na data base de 30 de junho de 2016. O custo total estimado de cancelamento da Usina Termonuclear -UTN Angra 3 considerou o custo de desmobilização das obras já existentes, a multa rescisória do contrato de comercialização e o custo financeiro de liquidação dos empréstimos vigentes;</w:t>
      </w:r>
    </w:p>
    <w:p w14:paraId="2E295C88" w14:textId="77777777" w:rsidR="00804309" w:rsidRPr="00D33399" w:rsidRDefault="00804309" w:rsidP="00804309">
      <w:pPr>
        <w:spacing w:line="240" w:lineRule="auto"/>
        <w:ind w:left="360"/>
        <w:jc w:val="both"/>
        <w:rPr>
          <w:rFonts w:ascii="Arial" w:hAnsi="Arial" w:cs="Arial"/>
          <w:color w:val="000000"/>
        </w:rPr>
      </w:pPr>
      <w:r w:rsidRPr="00D33399">
        <w:rPr>
          <w:rFonts w:ascii="Arial" w:hAnsi="Arial" w:cs="Arial"/>
          <w:iCs/>
          <w:color w:val="000000"/>
        </w:rPr>
        <w:t> </w:t>
      </w:r>
    </w:p>
    <w:p w14:paraId="03CFA992" w14:textId="77777777" w:rsidR="00804309" w:rsidRPr="00D33399" w:rsidRDefault="00804309" w:rsidP="00804309">
      <w:pPr>
        <w:spacing w:line="264" w:lineRule="atLeast"/>
        <w:ind w:left="1440" w:hanging="720"/>
        <w:jc w:val="both"/>
        <w:rPr>
          <w:rFonts w:ascii="Arial" w:hAnsi="Arial" w:cs="Arial"/>
          <w:color w:val="000000"/>
        </w:rPr>
      </w:pPr>
      <w:r w:rsidRPr="00D33399">
        <w:rPr>
          <w:rFonts w:ascii="Arial" w:hAnsi="Arial" w:cs="Arial"/>
          <w:iCs/>
          <w:color w:val="000000"/>
        </w:rPr>
        <w:t>(ii)          Alvarez &amp; Marsal - Tomando como base os relatórios da Deloitte, foi contratada uma consultoria especializada na estruturação de empresas, com conhecimento na avaliação da construção e operação de usinas nucleares, a Alvarez &amp; Marsal, para realizar os estudos econômico-financeiros necessários para viabilizar uma parceria que atenda questões operacionais e financeiras de acordo com a visão societária definida pela Companhia e assessorá-la no processo de retomada do empreendimento, incluindo assessoria no pleito de revisão tarifária de Angra 3 e a estruturação financeira e operacional com um parceiro, provavelmente internacional. Foram avaliados diversos cenários e modelos de negócio.</w:t>
      </w:r>
    </w:p>
    <w:p w14:paraId="50A9098C" w14:textId="77777777" w:rsidR="00804309" w:rsidRPr="00D33399" w:rsidRDefault="00804309" w:rsidP="00804309">
      <w:pPr>
        <w:spacing w:line="240" w:lineRule="auto"/>
        <w:ind w:left="360"/>
        <w:jc w:val="both"/>
        <w:rPr>
          <w:rFonts w:ascii="Arial" w:hAnsi="Arial" w:cs="Arial"/>
          <w:color w:val="000000"/>
        </w:rPr>
      </w:pPr>
      <w:r w:rsidRPr="00D33399">
        <w:rPr>
          <w:rFonts w:ascii="Arial" w:hAnsi="Arial" w:cs="Arial"/>
          <w:iCs/>
          <w:color w:val="000000"/>
        </w:rPr>
        <w:t> </w:t>
      </w:r>
    </w:p>
    <w:p w14:paraId="7FE032F2" w14:textId="77777777" w:rsidR="00804309" w:rsidRPr="00D33399" w:rsidRDefault="00804309" w:rsidP="00804309">
      <w:pPr>
        <w:spacing w:line="264" w:lineRule="atLeast"/>
        <w:ind w:left="1440" w:hanging="720"/>
        <w:jc w:val="both"/>
        <w:rPr>
          <w:rFonts w:ascii="Arial" w:hAnsi="Arial" w:cs="Arial"/>
          <w:color w:val="000000"/>
        </w:rPr>
      </w:pPr>
      <w:r w:rsidRPr="00D33399">
        <w:rPr>
          <w:rFonts w:ascii="Arial" w:hAnsi="Arial" w:cs="Arial"/>
          <w:iCs/>
          <w:color w:val="000000"/>
        </w:rPr>
        <w:t>(iii)         Veirano Advogados - Para analisar a legalidade da possível estrutura societária do negócio e do ambiente regulatório dos cenários estudados pela Alvarez &amp; Marsal, bem como do modelo de efetivação da parceria em avaliação, foi contratado o Veirano Advogados, uma consultoria jurídica especializada em direito societário, com vasta experiência no setor elétrico.</w:t>
      </w:r>
    </w:p>
    <w:p w14:paraId="570F6E1E" w14:textId="77777777" w:rsidR="00804309" w:rsidRPr="00D33399" w:rsidRDefault="00804309" w:rsidP="00804309">
      <w:pPr>
        <w:spacing w:line="264" w:lineRule="atLeast"/>
        <w:ind w:left="1440"/>
        <w:jc w:val="both"/>
        <w:rPr>
          <w:rFonts w:ascii="Arial" w:hAnsi="Arial" w:cs="Arial"/>
          <w:color w:val="000000"/>
        </w:rPr>
      </w:pPr>
      <w:r w:rsidRPr="00D33399">
        <w:rPr>
          <w:rFonts w:ascii="Arial" w:hAnsi="Arial" w:cs="Arial"/>
          <w:iCs/>
          <w:color w:val="000000"/>
        </w:rPr>
        <w:t> </w:t>
      </w:r>
    </w:p>
    <w:p w14:paraId="060046A6" w14:textId="77777777" w:rsidR="00804309" w:rsidRPr="00D33399" w:rsidRDefault="00804309" w:rsidP="00804309">
      <w:pPr>
        <w:spacing w:line="240" w:lineRule="auto"/>
        <w:jc w:val="both"/>
        <w:rPr>
          <w:rFonts w:ascii="Arial" w:hAnsi="Arial" w:cs="Arial"/>
        </w:rPr>
      </w:pPr>
      <w:r w:rsidRPr="00D33399">
        <w:rPr>
          <w:rFonts w:ascii="Arial" w:hAnsi="Arial" w:cs="Arial"/>
          <w:iCs/>
        </w:rPr>
        <w:lastRenderedPageBreak/>
        <w:t>A conclusão das obras da Usina de Angra 3 em condições sustentáveis depende de uma nova estruturação financeira, dado o montante de investimentos ainda a realizar, da ordem de R$ 15 bilhões (não auditado).</w:t>
      </w:r>
    </w:p>
    <w:p w14:paraId="53A3084C" w14:textId="77777777" w:rsidR="00804309" w:rsidRPr="00D33399" w:rsidRDefault="00804309" w:rsidP="00804309">
      <w:pPr>
        <w:spacing w:line="240" w:lineRule="auto"/>
        <w:jc w:val="both"/>
        <w:rPr>
          <w:rFonts w:ascii="Arial" w:hAnsi="Arial" w:cs="Arial"/>
        </w:rPr>
      </w:pPr>
      <w:r w:rsidRPr="00D33399">
        <w:rPr>
          <w:rFonts w:ascii="Arial" w:hAnsi="Arial" w:cs="Arial"/>
          <w:iCs/>
        </w:rPr>
        <w:t> </w:t>
      </w:r>
    </w:p>
    <w:p w14:paraId="057585E4" w14:textId="17CD3FE7" w:rsidR="00321671" w:rsidRDefault="00804309" w:rsidP="00321671">
      <w:pPr>
        <w:jc w:val="both"/>
        <w:rPr>
          <w:rFonts w:ascii="Arial" w:hAnsi="Arial" w:cs="Arial"/>
          <w:iCs/>
        </w:rPr>
      </w:pPr>
      <w:r w:rsidRPr="00D33399">
        <w:rPr>
          <w:rFonts w:ascii="Arial" w:hAnsi="Arial" w:cs="Arial"/>
          <w:iCs/>
        </w:rPr>
        <w:t xml:space="preserve">Atualmente, a ELETRONUCLEAR não possui garantias disponíveis para conseguir um novo empréstimo, visto que todos os seus ativos já estão comprometidos nos créditos existentes. Além disso, em outubro de 2017 expirou o </w:t>
      </w:r>
      <w:r w:rsidRPr="001C1654">
        <w:rPr>
          <w:rFonts w:ascii="Arial" w:hAnsi="Arial" w:cs="Arial"/>
          <w:i/>
          <w:iCs/>
        </w:rPr>
        <w:t>waiver</w:t>
      </w:r>
      <w:r w:rsidRPr="00D33399">
        <w:rPr>
          <w:rFonts w:ascii="Arial" w:hAnsi="Arial" w:cs="Arial"/>
          <w:iCs/>
        </w:rPr>
        <w:t xml:space="preserve"> contratual do BNDES e em julho de 2018 terminou também o período de carência da CEF, passando a Companhia a ser obrigada a pagar também a parte relativa ao principal da dívida, além dos juros, comprometendo fortemente o caixa da Companhia. </w:t>
      </w:r>
      <w:r w:rsidRPr="00D33399">
        <w:rPr>
          <w:rFonts w:ascii="Arial" w:hAnsi="Arial" w:cs="Arial"/>
        </w:rPr>
        <w:t xml:space="preserve"> </w:t>
      </w:r>
      <w:r w:rsidR="00321671" w:rsidRPr="00321671">
        <w:rPr>
          <w:rFonts w:ascii="Arial" w:hAnsi="Arial" w:cs="Arial"/>
          <w:iCs/>
        </w:rPr>
        <w:t>Os pagamentos do serviço da dívida relativos ao contrato de financiamento com o BNDES foram</w:t>
      </w:r>
      <w:r w:rsidRPr="00321671">
        <w:rPr>
          <w:rFonts w:ascii="Arial" w:hAnsi="Arial" w:cs="Arial"/>
        </w:rPr>
        <w:t xml:space="preserve"> suspensos </w:t>
      </w:r>
      <w:r w:rsidR="00321671" w:rsidRPr="00321671">
        <w:rPr>
          <w:rFonts w:ascii="Arial" w:hAnsi="Arial" w:cs="Arial"/>
          <w:iCs/>
        </w:rPr>
        <w:t>durante o período de Maio</w:t>
      </w:r>
      <w:r w:rsidR="00321671">
        <w:rPr>
          <w:rFonts w:ascii="Arial" w:hAnsi="Arial" w:cs="Arial"/>
          <w:iCs/>
        </w:rPr>
        <w:t xml:space="preserve"> de 2020 </w:t>
      </w:r>
      <w:r w:rsidR="00321671" w:rsidRPr="00321671">
        <w:rPr>
          <w:rFonts w:ascii="Arial" w:hAnsi="Arial" w:cs="Arial"/>
          <w:iCs/>
        </w:rPr>
        <w:t>a Outubro de 2020, em função das medidas para mitigar os efeitos da pandemia do COVID-19, com a previsão de retomada do pagamentos das obrigações para o mês de Novembro</w:t>
      </w:r>
      <w:r w:rsidRPr="00321671">
        <w:rPr>
          <w:rFonts w:ascii="Arial" w:hAnsi="Arial" w:cs="Arial"/>
          <w:iCs/>
        </w:rPr>
        <w:t>.</w:t>
      </w:r>
      <w:r w:rsidR="00321671" w:rsidRPr="00321671">
        <w:rPr>
          <w:rFonts w:ascii="Arial" w:hAnsi="Arial" w:cs="Arial"/>
          <w:iCs/>
        </w:rPr>
        <w:t xml:space="preserve"> </w:t>
      </w:r>
    </w:p>
    <w:p w14:paraId="1DFB25DE" w14:textId="77777777" w:rsidR="00321671" w:rsidRDefault="00321671" w:rsidP="00321671">
      <w:pPr>
        <w:rPr>
          <w:rFonts w:ascii="Arial" w:hAnsi="Arial" w:cs="Arial"/>
          <w:iCs/>
        </w:rPr>
      </w:pPr>
    </w:p>
    <w:p w14:paraId="1BC96C16" w14:textId="097DF0A5" w:rsidR="00804309" w:rsidRPr="00D33399" w:rsidRDefault="00804309" w:rsidP="00C20029">
      <w:pPr>
        <w:spacing w:line="240" w:lineRule="auto"/>
        <w:jc w:val="both"/>
        <w:rPr>
          <w:rFonts w:ascii="Arial" w:hAnsi="Arial" w:cs="Arial"/>
        </w:rPr>
      </w:pPr>
      <w:r w:rsidRPr="00D33399">
        <w:rPr>
          <w:rFonts w:ascii="Arial" w:hAnsi="Arial" w:cs="Arial"/>
          <w:iCs/>
        </w:rPr>
        <w:t>Uma das grandes questões que precisava ser sanada para que fosse possível prosseguir rumo à conclusão do empreendimento de Angra 3 era a revisão do valor, originalmente, definido para a tarifa de Angra 3, de R$ 237/MWh (vigente entre novembro de 2016 e outubro de 2017). Esse valor apresentava grande defasagem em relação ao necessário para tornar a operação da usina sustentável, bem como inviabilizava a renegociação com credores.</w:t>
      </w:r>
    </w:p>
    <w:p w14:paraId="19443806" w14:textId="77777777" w:rsidR="00804309" w:rsidRPr="00D33399" w:rsidRDefault="00804309" w:rsidP="00804309">
      <w:pPr>
        <w:spacing w:line="240" w:lineRule="auto"/>
        <w:jc w:val="both"/>
        <w:rPr>
          <w:rFonts w:ascii="Arial" w:hAnsi="Arial" w:cs="Arial"/>
        </w:rPr>
      </w:pPr>
      <w:r w:rsidRPr="00D33399">
        <w:rPr>
          <w:rFonts w:ascii="Arial" w:hAnsi="Arial" w:cs="Arial"/>
          <w:iCs/>
        </w:rPr>
        <w:t> </w:t>
      </w:r>
    </w:p>
    <w:p w14:paraId="69260236" w14:textId="77777777" w:rsidR="00804309" w:rsidRPr="00D33399" w:rsidRDefault="00804309" w:rsidP="00804309">
      <w:pPr>
        <w:spacing w:line="240" w:lineRule="auto"/>
        <w:jc w:val="both"/>
        <w:rPr>
          <w:rFonts w:ascii="Arial" w:hAnsi="Arial" w:cs="Arial"/>
        </w:rPr>
      </w:pPr>
      <w:r w:rsidRPr="00D33399">
        <w:rPr>
          <w:rFonts w:ascii="Arial" w:hAnsi="Arial" w:cs="Arial"/>
          <w:iCs/>
        </w:rPr>
        <w:t>Para tentar solucionar essa questão, em 05 de junho de 2018, aconteceu a 3ª Reunião Extraordinária do CNPE, na qual foi determinada a formação de um Grupo de Trabalho -GT liderado pelo MME, com a participação dos Ministérios do Planejamento e da Fazenda, da Empresa de Pesquisa Energética - EPE, da Eletrobras, da ELETRONUCLEAR e do Gabinete de Segurança Institucional - GSI, visando elaborar, em 60 dias, um documento propondo e justificando a revisão da tarifa de Angra 3 e as medidas necessárias para conclusão do projeto. A versão final do documento foi concluída em setembro de 2018.</w:t>
      </w:r>
    </w:p>
    <w:p w14:paraId="722FCF1F" w14:textId="77777777" w:rsidR="00804309" w:rsidRPr="00D33399" w:rsidRDefault="00804309" w:rsidP="00804309">
      <w:pPr>
        <w:spacing w:line="240" w:lineRule="auto"/>
        <w:jc w:val="both"/>
        <w:rPr>
          <w:rFonts w:ascii="Arial" w:hAnsi="Arial" w:cs="Arial"/>
        </w:rPr>
      </w:pPr>
      <w:r w:rsidRPr="00D33399">
        <w:rPr>
          <w:rFonts w:ascii="Arial" w:hAnsi="Arial" w:cs="Arial"/>
          <w:iCs/>
        </w:rPr>
        <w:t> </w:t>
      </w:r>
    </w:p>
    <w:p w14:paraId="2F29BB9E" w14:textId="77777777" w:rsidR="00804309" w:rsidRPr="00D33399" w:rsidRDefault="00804309" w:rsidP="00804309">
      <w:pPr>
        <w:spacing w:line="240" w:lineRule="auto"/>
        <w:jc w:val="both"/>
        <w:rPr>
          <w:rFonts w:ascii="Arial" w:hAnsi="Arial" w:cs="Arial"/>
        </w:rPr>
      </w:pPr>
      <w:r w:rsidRPr="00D33399">
        <w:rPr>
          <w:rFonts w:ascii="Arial" w:hAnsi="Arial" w:cs="Arial"/>
          <w:iCs/>
        </w:rPr>
        <w:t>Em 23 de outubro de 2018, foi publicada no DOU a Resolução nº 14 do CNPE, que estabelece condições iniciais para a viabilização de Angra 3, confirmando as decisões da 4ª Reunião Extraordinária do CNPE, ocorrida no dia 09 de outubro de 2018, que apreciou as considerações do referido Grupo de Trabalho. Tal resolução determinou a aprovação do valor de referência para o preço de energia de Angra 3, de R$ 480,00/MWh (base julho/2018), conforme calculado pela Empresa de pesquisa Energética - EPE, bem como remeter ao Conselho do Programa de Parceria de Investimento a avaliação dos três modelos propostos pelo Grupo de Trabalho para a viabilização de Angra 3 por meio de participação de investidor privado (societária, não societária e sociedade de propósito específico - SPE), e definição do modelo de negócio e processo competitivo mais adequados.</w:t>
      </w:r>
    </w:p>
    <w:p w14:paraId="6F0F70B1" w14:textId="77777777" w:rsidR="00804309" w:rsidRPr="00D33399" w:rsidRDefault="00804309" w:rsidP="00804309">
      <w:pPr>
        <w:spacing w:line="240" w:lineRule="auto"/>
        <w:jc w:val="both"/>
        <w:rPr>
          <w:rFonts w:ascii="Arial" w:hAnsi="Arial" w:cs="Arial"/>
        </w:rPr>
      </w:pPr>
      <w:r w:rsidRPr="00D33399">
        <w:rPr>
          <w:rFonts w:ascii="Arial" w:hAnsi="Arial" w:cs="Arial"/>
          <w:iCs/>
        </w:rPr>
        <w:t> </w:t>
      </w:r>
    </w:p>
    <w:p w14:paraId="3E631D67" w14:textId="77777777" w:rsidR="00804309" w:rsidRPr="00D33399" w:rsidRDefault="00804309" w:rsidP="00804309">
      <w:pPr>
        <w:spacing w:line="240" w:lineRule="auto"/>
        <w:jc w:val="both"/>
        <w:rPr>
          <w:rFonts w:ascii="Arial" w:hAnsi="Arial" w:cs="Arial"/>
        </w:rPr>
      </w:pPr>
      <w:r w:rsidRPr="00D33399">
        <w:rPr>
          <w:rFonts w:ascii="Arial" w:hAnsi="Arial" w:cs="Arial"/>
          <w:iCs/>
        </w:rPr>
        <w:t>Essa revisão tarifária foi fundamental, pois, além de dar condições para a renegociação da dívida, restabeleceu a atratividade do projeto, fortalecendo o interesse dos eventuais parceiros.</w:t>
      </w:r>
    </w:p>
    <w:p w14:paraId="721203C9" w14:textId="67379999" w:rsidR="00804309" w:rsidRPr="00D33399" w:rsidRDefault="00804309" w:rsidP="00804309">
      <w:pPr>
        <w:spacing w:line="240" w:lineRule="auto"/>
        <w:jc w:val="both"/>
        <w:rPr>
          <w:rFonts w:ascii="Arial" w:hAnsi="Arial" w:cs="Arial"/>
        </w:rPr>
      </w:pPr>
      <w:r w:rsidRPr="00D33399">
        <w:rPr>
          <w:rFonts w:ascii="Arial" w:hAnsi="Arial" w:cs="Arial"/>
          <w:iCs/>
        </w:rPr>
        <w:t>  </w:t>
      </w:r>
    </w:p>
    <w:p w14:paraId="38282032" w14:textId="77777777" w:rsidR="00804309" w:rsidRPr="00D33399" w:rsidRDefault="00804309" w:rsidP="00804309">
      <w:pPr>
        <w:spacing w:line="240" w:lineRule="auto"/>
        <w:jc w:val="both"/>
        <w:rPr>
          <w:rFonts w:ascii="Arial" w:hAnsi="Arial" w:cs="Arial"/>
        </w:rPr>
      </w:pPr>
      <w:r w:rsidRPr="00D33399">
        <w:rPr>
          <w:rFonts w:ascii="Arial" w:hAnsi="Arial" w:cs="Arial"/>
          <w:iCs/>
        </w:rPr>
        <w:t xml:space="preserve">Conforme orientação do Conselho de Programa de Parcerias de Investimentos - CPPI, a </w:t>
      </w:r>
      <w:r w:rsidRPr="00D33399">
        <w:rPr>
          <w:rFonts w:ascii="Arial" w:hAnsi="Arial" w:cs="Arial"/>
          <w:iCs/>
        </w:rPr>
        <w:lastRenderedPageBreak/>
        <w:t xml:space="preserve">ELETRONUCLEAR realizou, em maio e junho de 2019, o processo de </w:t>
      </w:r>
      <w:r w:rsidRPr="001C1654">
        <w:rPr>
          <w:rFonts w:ascii="Arial" w:hAnsi="Arial" w:cs="Arial"/>
          <w:i/>
          <w:iCs/>
        </w:rPr>
        <w:t>Market Sounding</w:t>
      </w:r>
      <w:r w:rsidRPr="00D33399">
        <w:rPr>
          <w:rFonts w:ascii="Arial" w:hAnsi="Arial" w:cs="Arial"/>
          <w:iCs/>
        </w:rPr>
        <w:t xml:space="preserve"> junto aos potenciais parceiros, detentores e proprietários de tecnologia de usinas nucleares à água pressurizada (PWR), com experiência em construção e comissionamento de usinas nucleares e atuação internacional no setor nuclear. Após convites e confirmações de interesse em participar desta etapa, as empresas que participaram deste processo foram: </w:t>
      </w:r>
      <w:r w:rsidRPr="001C1654">
        <w:rPr>
          <w:rFonts w:ascii="Arial" w:hAnsi="Arial" w:cs="Arial"/>
          <w:i/>
          <w:iCs/>
        </w:rPr>
        <w:t>Électricité de France</w:t>
      </w:r>
      <w:r w:rsidRPr="00D33399">
        <w:rPr>
          <w:rFonts w:ascii="Arial" w:hAnsi="Arial" w:cs="Arial"/>
          <w:iCs/>
        </w:rPr>
        <w:t xml:space="preserve">  - EDF e Framatome (ambas da França), </w:t>
      </w:r>
      <w:r w:rsidRPr="001C1654">
        <w:rPr>
          <w:rFonts w:ascii="Arial" w:hAnsi="Arial" w:cs="Arial"/>
          <w:i/>
          <w:iCs/>
        </w:rPr>
        <w:t xml:space="preserve">RosatomStateAtomic Energy Corporation </w:t>
      </w:r>
      <w:r w:rsidRPr="00D33399">
        <w:rPr>
          <w:rFonts w:ascii="Arial" w:hAnsi="Arial" w:cs="Arial"/>
          <w:iCs/>
        </w:rPr>
        <w:t xml:space="preserve">(Rússia), </w:t>
      </w:r>
      <w:r w:rsidRPr="001C1654">
        <w:rPr>
          <w:rFonts w:ascii="Arial" w:hAnsi="Arial" w:cs="Arial"/>
          <w:i/>
          <w:iCs/>
        </w:rPr>
        <w:t>China Nacional Nuclear Corporation</w:t>
      </w:r>
      <w:r w:rsidRPr="00D33399">
        <w:rPr>
          <w:rFonts w:ascii="Arial" w:hAnsi="Arial" w:cs="Arial"/>
          <w:iCs/>
        </w:rPr>
        <w:t xml:space="preserve"> - CNNC e </w:t>
      </w:r>
      <w:r w:rsidRPr="001C1654">
        <w:rPr>
          <w:rFonts w:ascii="Arial" w:hAnsi="Arial" w:cs="Arial"/>
          <w:i/>
          <w:iCs/>
        </w:rPr>
        <w:t>State Nuclear Power Technology SNPTC</w:t>
      </w:r>
      <w:r w:rsidRPr="00D33399">
        <w:rPr>
          <w:rFonts w:ascii="Arial" w:hAnsi="Arial" w:cs="Arial"/>
          <w:iCs/>
        </w:rPr>
        <w:t xml:space="preserve"> (ambas chinesas), </w:t>
      </w:r>
      <w:r w:rsidRPr="001C1654">
        <w:rPr>
          <w:rFonts w:ascii="Arial" w:hAnsi="Arial" w:cs="Arial"/>
          <w:i/>
          <w:iCs/>
        </w:rPr>
        <w:t>Korea Electric Power Corporation</w:t>
      </w:r>
      <w:r w:rsidRPr="00D33399">
        <w:rPr>
          <w:rFonts w:ascii="Arial" w:hAnsi="Arial" w:cs="Arial"/>
          <w:iCs/>
        </w:rPr>
        <w:t xml:space="preserve"> - KEPCO (Coréia) e </w:t>
      </w:r>
      <w:r w:rsidRPr="001C1654">
        <w:rPr>
          <w:rFonts w:ascii="Arial" w:hAnsi="Arial" w:cs="Arial"/>
          <w:i/>
          <w:iCs/>
        </w:rPr>
        <w:t>Westinghouse</w:t>
      </w:r>
      <w:r w:rsidRPr="00D33399">
        <w:rPr>
          <w:rFonts w:ascii="Arial" w:hAnsi="Arial" w:cs="Arial"/>
          <w:iCs/>
        </w:rPr>
        <w:t xml:space="preserve"> (EUA). Os potenciais parceiros enviaram seus questionamentos sobre o documento recebido e suas considerações sobre os modelos propostos, que foram apresentadas durante reuniões individuais com cada potencial parceiro interessado na viabilização de Angra 3. O relatório com os resultados do processo foi encaminhado à Eletrobras, MME e CPPI em julho de 2019. É importante ressaltar que grande parte dessas empresas já visitaram o sítio e estabeleceram Memorandos de Entendimento com a ELETRONUCLEAR para troca de informações sobre o Projeto.</w:t>
      </w:r>
    </w:p>
    <w:p w14:paraId="7667E079" w14:textId="77777777" w:rsidR="00804309" w:rsidRPr="00D33399" w:rsidRDefault="00804309" w:rsidP="00804309">
      <w:pPr>
        <w:spacing w:line="240" w:lineRule="auto"/>
        <w:jc w:val="both"/>
        <w:rPr>
          <w:rFonts w:ascii="Arial" w:hAnsi="Arial" w:cs="Arial"/>
        </w:rPr>
      </w:pPr>
      <w:r w:rsidRPr="00D33399">
        <w:rPr>
          <w:rFonts w:ascii="Arial" w:hAnsi="Arial" w:cs="Arial"/>
          <w:iCs/>
        </w:rPr>
        <w:t> </w:t>
      </w:r>
    </w:p>
    <w:p w14:paraId="0A1B78A6" w14:textId="77777777" w:rsidR="00804309" w:rsidRPr="00D33399" w:rsidRDefault="00804309" w:rsidP="00804309">
      <w:pPr>
        <w:spacing w:line="240" w:lineRule="auto"/>
        <w:jc w:val="both"/>
        <w:rPr>
          <w:rFonts w:ascii="Arial" w:hAnsi="Arial" w:cs="Arial"/>
        </w:rPr>
      </w:pPr>
      <w:r w:rsidRPr="00D33399">
        <w:rPr>
          <w:rFonts w:ascii="Arial" w:hAnsi="Arial" w:cs="Arial"/>
          <w:iCs/>
        </w:rPr>
        <w:t>Em 16 de julho de 2019, foi publicado o Decreto Presidencial nº 9915/2019 que qualificou Angra 3 no Programa de Parceria de Investimentos (PPI). O mesmo decreto criou um Comitê Interministerial para conduzir o processo de definição do modelo de negócio a ser efetivamente adotado. O Comitê é formado por representantes do Ministério de Minas e Energia, Ministério da Economia, do PPI e do Gabinete de Segurança Institucional da Presidência da República. O parágrafo único do Artigo 2º do aludido decreto presidencial, prevê que a ELETRONUCLEAR contrate estudos independentes, para suportar a decisão final do CPPI, na seleção do modelo.</w:t>
      </w:r>
    </w:p>
    <w:p w14:paraId="5AF020FD" w14:textId="77777777" w:rsidR="00804309" w:rsidRPr="00D33399" w:rsidRDefault="00804309" w:rsidP="00804309">
      <w:pPr>
        <w:spacing w:line="240" w:lineRule="auto"/>
        <w:jc w:val="both"/>
        <w:rPr>
          <w:rFonts w:ascii="Arial" w:hAnsi="Arial" w:cs="Arial"/>
        </w:rPr>
      </w:pPr>
      <w:r w:rsidRPr="00D33399">
        <w:rPr>
          <w:rFonts w:ascii="Arial" w:hAnsi="Arial" w:cs="Arial"/>
          <w:iCs/>
        </w:rPr>
        <w:t> </w:t>
      </w:r>
    </w:p>
    <w:p w14:paraId="492E7BF3" w14:textId="77777777" w:rsidR="00804309" w:rsidRPr="00D33399" w:rsidRDefault="00804309" w:rsidP="00804309">
      <w:pPr>
        <w:spacing w:line="240" w:lineRule="auto"/>
        <w:jc w:val="both"/>
        <w:rPr>
          <w:rFonts w:ascii="Arial" w:hAnsi="Arial" w:cs="Arial"/>
        </w:rPr>
      </w:pPr>
      <w:r w:rsidRPr="00D33399">
        <w:rPr>
          <w:rFonts w:ascii="Arial" w:hAnsi="Arial" w:cs="Arial"/>
          <w:iCs/>
        </w:rPr>
        <w:t>Em 25 de outubro de 2019, foi assinado o contrato com o BNDES para a estruturação do modelo jurídico, econômico e operacional junto à iniciativa privada para a construção, manutenção e exploração de Angra 3. O escopo do trabalho inclui a avaliação independente do trabalho de modelagem realizado pela ELETRONUCLEAR anteriormente, conjuntamente com a Alvarez &amp; Marsal, e recomendação sobre modelo de negócios mais adequado a ser adotado para a conclusão de Angra 3, bem como estruturação, condução e conclusão do processo de seleção de um parceiro e dos atos contratuais decorrentes.</w:t>
      </w:r>
    </w:p>
    <w:p w14:paraId="175604A7" w14:textId="77777777" w:rsidR="00804309" w:rsidRPr="00D33399" w:rsidRDefault="00804309" w:rsidP="00804309">
      <w:pPr>
        <w:spacing w:line="240" w:lineRule="auto"/>
        <w:jc w:val="both"/>
        <w:rPr>
          <w:rFonts w:ascii="Arial" w:hAnsi="Arial" w:cs="Arial"/>
        </w:rPr>
      </w:pPr>
      <w:r w:rsidRPr="00D33399">
        <w:rPr>
          <w:rFonts w:ascii="Arial" w:hAnsi="Arial" w:cs="Arial"/>
          <w:iCs/>
        </w:rPr>
        <w:t> </w:t>
      </w:r>
    </w:p>
    <w:p w14:paraId="59FD394F" w14:textId="57B57432" w:rsidR="00804309" w:rsidRPr="00D33399" w:rsidRDefault="00804309" w:rsidP="00804309">
      <w:pPr>
        <w:jc w:val="both"/>
        <w:rPr>
          <w:rFonts w:ascii="Arial" w:hAnsi="Arial" w:cs="Arial"/>
        </w:rPr>
      </w:pPr>
      <w:r w:rsidRPr="00D33399">
        <w:rPr>
          <w:rFonts w:ascii="Arial" w:hAnsi="Arial" w:cs="Arial"/>
          <w:iCs/>
        </w:rPr>
        <w:t>A minuta do relatório com os resultados da fase 1, com a indicação do modelo, foi entregue em janeiro de 2020</w:t>
      </w:r>
      <w:r w:rsidR="00C20029" w:rsidRPr="00D33399">
        <w:rPr>
          <w:rFonts w:ascii="Arial" w:hAnsi="Arial" w:cs="Arial"/>
          <w:iCs/>
        </w:rPr>
        <w:t xml:space="preserve">. </w:t>
      </w:r>
      <w:r w:rsidRPr="00D33399">
        <w:rPr>
          <w:rFonts w:ascii="Arial" w:hAnsi="Arial" w:cs="Arial"/>
        </w:rPr>
        <w:t>Em 10 de junho de 2020 teve lugar a reunião do CPPI que aprovou o modelo para conclusão das obras de Angra 3 recomendado pelo BNDES, antes validado pelo Comitê Interministerial. Assim, foi dado início à Fase 2 do contrato do BNDES, que abrange a estruturação do modelo, respaldado pelas diligências cabíveis, e implementação do processo competitivo para seleção dos agentes que atuarão na conclusão das obras civis e financiamento de Angra 3.</w:t>
      </w:r>
    </w:p>
    <w:p w14:paraId="628C5FD8" w14:textId="77777777" w:rsidR="00804309" w:rsidRPr="00D33399" w:rsidRDefault="00804309" w:rsidP="00804309">
      <w:pPr>
        <w:jc w:val="both"/>
        <w:rPr>
          <w:rFonts w:ascii="Arial" w:hAnsi="Arial" w:cs="Arial"/>
        </w:rPr>
      </w:pPr>
    </w:p>
    <w:p w14:paraId="3E45BAA2" w14:textId="615F2C1F" w:rsidR="00804309" w:rsidRPr="0032571F" w:rsidRDefault="00804309" w:rsidP="00804309">
      <w:pPr>
        <w:jc w:val="both"/>
        <w:rPr>
          <w:rFonts w:ascii="Arial" w:hAnsi="Arial" w:cs="Arial"/>
        </w:rPr>
      </w:pPr>
      <w:r w:rsidRPr="0032571F">
        <w:rPr>
          <w:rFonts w:ascii="Arial" w:hAnsi="Arial" w:cs="Arial"/>
        </w:rPr>
        <w:t>Nessa reunião o CPPI também decidiu que, uma vez que a equalização do empreendimento não carece necessariamente de uma parceria nos moldes do programa do PPI, o projeto seja encaminhado ao CNPE.</w:t>
      </w:r>
    </w:p>
    <w:p w14:paraId="1B2C8FB5" w14:textId="77777777" w:rsidR="009815FD" w:rsidRPr="0032571F" w:rsidRDefault="009815FD" w:rsidP="00804309">
      <w:pPr>
        <w:jc w:val="both"/>
        <w:rPr>
          <w:rFonts w:ascii="Arial" w:hAnsi="Arial" w:cs="Arial"/>
        </w:rPr>
      </w:pPr>
    </w:p>
    <w:p w14:paraId="205537E3" w14:textId="77777777" w:rsidR="00804309" w:rsidRPr="00366D4C" w:rsidRDefault="00804309" w:rsidP="00804309">
      <w:pPr>
        <w:jc w:val="both"/>
        <w:rPr>
          <w:rFonts w:ascii="Arial" w:hAnsi="Arial" w:cs="Arial"/>
        </w:rPr>
      </w:pPr>
      <w:r w:rsidRPr="00366D4C">
        <w:rPr>
          <w:rFonts w:ascii="Arial" w:hAnsi="Arial" w:cs="Arial"/>
        </w:rPr>
        <w:t xml:space="preserve">O quadro abaixo apresenta o fluxo de ações para a viabilização da retomada e conclusão </w:t>
      </w:r>
      <w:r w:rsidRPr="00366D4C">
        <w:rPr>
          <w:rFonts w:ascii="Arial" w:hAnsi="Arial" w:cs="Arial"/>
        </w:rPr>
        <w:lastRenderedPageBreak/>
        <w:t>do empreendimento.</w:t>
      </w:r>
    </w:p>
    <w:p w14:paraId="004DCA53" w14:textId="77777777" w:rsidR="00804309" w:rsidRPr="00366D4C" w:rsidRDefault="00804309" w:rsidP="00804309">
      <w:pPr>
        <w:jc w:val="both"/>
        <w:rPr>
          <w:rFonts w:ascii="Arial" w:hAnsi="Arial" w:cs="Arial"/>
        </w:rPr>
      </w:pPr>
    </w:p>
    <w:p w14:paraId="435770E0" w14:textId="77777777" w:rsidR="00804309" w:rsidRPr="00366D4C" w:rsidRDefault="00804309" w:rsidP="00804309">
      <w:pPr>
        <w:spacing w:line="240" w:lineRule="auto"/>
        <w:jc w:val="both"/>
        <w:rPr>
          <w:rFonts w:ascii="Arial" w:hAnsi="Arial" w:cs="Arial"/>
        </w:rPr>
      </w:pPr>
      <w:r w:rsidRPr="00366D4C">
        <w:rPr>
          <w:rFonts w:ascii="Arial" w:hAnsi="Arial" w:cs="Arial"/>
          <w:noProof/>
        </w:rPr>
        <w:drawing>
          <wp:inline distT="0" distB="0" distL="0" distR="0" wp14:anchorId="32BE15F4" wp14:editId="415CF65A">
            <wp:extent cx="5400040" cy="277174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040" cy="2771745"/>
                    </a:xfrm>
                    <a:prstGeom prst="rect">
                      <a:avLst/>
                    </a:prstGeom>
                    <a:noFill/>
                  </pic:spPr>
                </pic:pic>
              </a:graphicData>
            </a:graphic>
          </wp:inline>
        </w:drawing>
      </w:r>
    </w:p>
    <w:p w14:paraId="0C9206FD" w14:textId="77777777" w:rsidR="00804309" w:rsidRPr="00366D4C" w:rsidRDefault="00804309" w:rsidP="00804309">
      <w:pPr>
        <w:spacing w:line="240" w:lineRule="auto"/>
        <w:jc w:val="both"/>
        <w:rPr>
          <w:rFonts w:ascii="Arial" w:hAnsi="Arial" w:cs="Arial"/>
        </w:rPr>
      </w:pPr>
      <w:r w:rsidRPr="00366D4C">
        <w:rPr>
          <w:rFonts w:ascii="Arial" w:hAnsi="Arial" w:cs="Arial"/>
          <w:i/>
          <w:iCs/>
        </w:rPr>
        <w:t> </w:t>
      </w:r>
    </w:p>
    <w:p w14:paraId="5922CFF5" w14:textId="131E472F" w:rsidR="00804309" w:rsidRPr="00366D4C" w:rsidRDefault="00366D4C" w:rsidP="00804309">
      <w:pPr>
        <w:spacing w:line="240" w:lineRule="auto"/>
        <w:jc w:val="both"/>
        <w:rPr>
          <w:rFonts w:ascii="Arial" w:hAnsi="Arial" w:cs="Arial"/>
        </w:rPr>
      </w:pPr>
      <w:r w:rsidRPr="00366D4C">
        <w:rPr>
          <w:rFonts w:ascii="Arial" w:hAnsi="Arial" w:cs="Arial"/>
        </w:rPr>
        <w:t xml:space="preserve">A retomada de alguns contratos de fornecimento de Angra 3 é outro ponto crucial para o cumprimento do cronograma de conclusão da usina, por isso, em outubro de 2018, foi assinado um novo contrato com o escritório Veirano Advogados, de prestação de serviços de assistência jurídica no processo de retomada dos contratos de fornecimento de Angra 3, dentre outras análises que suportarão a seleção do parceiro. Como resultado desse trabalho a Eletronuclear já </w:t>
      </w:r>
      <w:r w:rsidR="00804309" w:rsidRPr="00366D4C">
        <w:rPr>
          <w:rFonts w:ascii="Arial" w:hAnsi="Arial" w:cs="Arial"/>
          <w:iCs/>
        </w:rPr>
        <w:t>inici</w:t>
      </w:r>
      <w:r w:rsidRPr="00366D4C">
        <w:rPr>
          <w:rFonts w:ascii="Arial" w:hAnsi="Arial" w:cs="Arial"/>
          <w:iCs/>
        </w:rPr>
        <w:t>ou</w:t>
      </w:r>
      <w:r w:rsidR="00804309" w:rsidRPr="00366D4C">
        <w:rPr>
          <w:rFonts w:ascii="Arial" w:hAnsi="Arial" w:cs="Arial"/>
          <w:iCs/>
        </w:rPr>
        <w:t xml:space="preserve"> </w:t>
      </w:r>
      <w:r w:rsidRPr="00366D4C">
        <w:rPr>
          <w:rFonts w:ascii="Arial" w:hAnsi="Arial" w:cs="Arial"/>
        </w:rPr>
        <w:t>renegociação de diversos contratos de suprimentos de fornecimento nacional que estavam suspensos</w:t>
      </w:r>
      <w:r w:rsidR="00804309" w:rsidRPr="00366D4C">
        <w:rPr>
          <w:rFonts w:ascii="Arial" w:hAnsi="Arial" w:cs="Arial"/>
          <w:iCs/>
        </w:rPr>
        <w:t>.</w:t>
      </w:r>
    </w:p>
    <w:p w14:paraId="2790BEC0" w14:textId="77777777" w:rsidR="00804309" w:rsidRPr="00366D4C" w:rsidRDefault="00804309" w:rsidP="00804309">
      <w:pPr>
        <w:spacing w:line="240" w:lineRule="auto"/>
        <w:jc w:val="both"/>
        <w:rPr>
          <w:rFonts w:ascii="Arial" w:hAnsi="Arial" w:cs="Arial"/>
        </w:rPr>
      </w:pPr>
      <w:r w:rsidRPr="00366D4C">
        <w:rPr>
          <w:rFonts w:ascii="Arial" w:hAnsi="Arial" w:cs="Arial"/>
          <w:i/>
          <w:iCs/>
        </w:rPr>
        <w:t> </w:t>
      </w:r>
    </w:p>
    <w:p w14:paraId="13AC5683" w14:textId="77777777" w:rsidR="00366D4C" w:rsidRPr="00366D4C" w:rsidRDefault="00366D4C" w:rsidP="00366D4C">
      <w:pPr>
        <w:pStyle w:val="TextosemFormatao"/>
        <w:jc w:val="both"/>
        <w:rPr>
          <w:rFonts w:ascii="Arial" w:hAnsi="Arial" w:cs="Arial"/>
          <w:sz w:val="24"/>
          <w:szCs w:val="24"/>
        </w:rPr>
      </w:pPr>
      <w:r w:rsidRPr="00366D4C">
        <w:rPr>
          <w:rFonts w:ascii="Arial" w:hAnsi="Arial" w:cs="Arial"/>
          <w:sz w:val="24"/>
          <w:szCs w:val="24"/>
        </w:rPr>
        <w:t>Em paralelo ao trabalho desenvolvido pelo BNDES, após as respectivas apresentações do relatório para o Conselho da Eletrobras e da Eletronuclear, foi solicitado um estudo adicional sobre riscos e alternativas caso a implementação do modelo proposto sofra atrasos em função de fatos não gerenciáveis pela empresa.</w:t>
      </w:r>
    </w:p>
    <w:p w14:paraId="5288A8E7" w14:textId="77777777" w:rsidR="00804309" w:rsidRPr="00082F6F" w:rsidRDefault="00804309" w:rsidP="00804309">
      <w:pPr>
        <w:jc w:val="both"/>
        <w:rPr>
          <w:rFonts w:ascii="Arial" w:hAnsi="Arial" w:cs="Arial"/>
          <w:highlight w:val="yellow"/>
        </w:rPr>
      </w:pPr>
    </w:p>
    <w:p w14:paraId="5FC4811B" w14:textId="45EC1D97" w:rsidR="00804309" w:rsidRPr="00082F6F" w:rsidRDefault="00366D4C" w:rsidP="00804309">
      <w:pPr>
        <w:jc w:val="both"/>
        <w:rPr>
          <w:rFonts w:ascii="Arial" w:hAnsi="Arial" w:cs="Arial"/>
          <w:highlight w:val="yellow"/>
        </w:rPr>
      </w:pPr>
      <w:r w:rsidRPr="00366D4C">
        <w:rPr>
          <w:rFonts w:ascii="Arial" w:hAnsi="Arial" w:cs="Arial"/>
        </w:rPr>
        <w:t>Essa alternativa toma forma no Programa de Aceleração da Linha Crítica, um plano de investimentos ao longo do período 2020-2023. Essencialmente são investimentos suportados pela Eletrobras destinados a preservar o cronograma de obras. A ELETRONUCLEAR tem realizado ações para que as atividades do programa de aceleração sejam realizadas conforme o planejado. Já foram iniciados: os processos de renegociações com empresas cujos contratos de fornecimento estavam suspensos, os processos licitatórios para contratação de prestação de serviços, os aditamentos de contratos e a elaboração do escopo da contratação do construtor/montador</w:t>
      </w:r>
      <w:r>
        <w:rPr>
          <w:rFonts w:ascii="Arial" w:hAnsi="Arial" w:cs="Arial"/>
        </w:rPr>
        <w:t>.</w:t>
      </w:r>
    </w:p>
    <w:p w14:paraId="1099C4D3" w14:textId="77777777" w:rsidR="00804309" w:rsidRPr="00082F6F" w:rsidRDefault="00804309" w:rsidP="00804309">
      <w:pPr>
        <w:jc w:val="both"/>
        <w:rPr>
          <w:rFonts w:ascii="Arial" w:hAnsi="Arial" w:cs="Arial"/>
          <w:highlight w:val="yellow"/>
        </w:rPr>
      </w:pPr>
    </w:p>
    <w:p w14:paraId="76208839" w14:textId="1ED559BB" w:rsidR="00804309" w:rsidRPr="0032571F" w:rsidRDefault="00366D4C" w:rsidP="00804309">
      <w:pPr>
        <w:pStyle w:val="Default0"/>
        <w:jc w:val="both"/>
        <w:rPr>
          <w:rFonts w:ascii="Arial" w:hAnsi="Arial" w:cs="Arial"/>
          <w:color w:val="auto"/>
        </w:rPr>
      </w:pPr>
      <w:r w:rsidRPr="00366D4C">
        <w:rPr>
          <w:rFonts w:ascii="Arial" w:hAnsi="Arial" w:cs="Arial"/>
        </w:rPr>
        <w:t xml:space="preserve">Esses investimentos estão previstos no Plano Diretor de Negócios e Gestão 2020-2024, e os aportes iniciais nos valores de aproximadamente </w:t>
      </w:r>
      <w:r w:rsidR="00804309" w:rsidRPr="00366D4C">
        <w:rPr>
          <w:rFonts w:ascii="Arial" w:hAnsi="Arial" w:cs="Arial"/>
          <w:color w:val="auto"/>
        </w:rPr>
        <w:t xml:space="preserve">R$ 1.052 milhões </w:t>
      </w:r>
      <w:r w:rsidRPr="00366D4C">
        <w:rPr>
          <w:rFonts w:ascii="Arial" w:hAnsi="Arial" w:cs="Arial"/>
        </w:rPr>
        <w:t xml:space="preserve">e R$ 2.447 milhões, correspondentes aos anos de 2020 e 2021 foram aprovados pelo Conselho de Administração da Eletrobrás em 17 de julho de 2020. Os aportes iniciais aprovados no âmbito do Programa de Aceleração da Linha Crítica serão realizados pela Eletrobras na ELETRONUCLEAR por meio de Adiantamento para Futuro Aumento de Capital conforme </w:t>
      </w:r>
      <w:r w:rsidRPr="00366D4C">
        <w:rPr>
          <w:rFonts w:ascii="Arial" w:hAnsi="Arial" w:cs="Arial"/>
        </w:rPr>
        <w:lastRenderedPageBreak/>
        <w:t>o contrato ECF-3387, formalizado entre as partes em 05 de agosto de 2020. A liberação da primeira tranche deste contrato, no montante de R$ 371 milhões, ocorreu em 26 de agosto de 2020</w:t>
      </w:r>
      <w:r w:rsidR="00804309" w:rsidRPr="00366D4C">
        <w:rPr>
          <w:rFonts w:ascii="Arial" w:hAnsi="Arial" w:cs="Arial"/>
          <w:color w:val="auto"/>
        </w:rPr>
        <w:t>.</w:t>
      </w:r>
    </w:p>
    <w:p w14:paraId="5916EE0A" w14:textId="77777777" w:rsidR="00804309" w:rsidRPr="0032571F" w:rsidRDefault="00804309" w:rsidP="00804309">
      <w:pPr>
        <w:jc w:val="both"/>
        <w:rPr>
          <w:rFonts w:ascii="Arial" w:hAnsi="Arial" w:cs="Arial"/>
        </w:rPr>
      </w:pPr>
    </w:p>
    <w:p w14:paraId="5FB6CEB9" w14:textId="1EC3E036" w:rsidR="00804309" w:rsidRPr="0032571F" w:rsidRDefault="00804309" w:rsidP="00804309">
      <w:pPr>
        <w:jc w:val="both"/>
        <w:rPr>
          <w:rFonts w:ascii="Arial" w:hAnsi="Arial" w:cs="Arial"/>
        </w:rPr>
      </w:pPr>
      <w:r w:rsidRPr="0032571F">
        <w:rPr>
          <w:rFonts w:ascii="Arial" w:hAnsi="Arial" w:cs="Arial"/>
        </w:rPr>
        <w:t>Essa decisão foi suportada por diversos estudos, dentre os quais destacamos uma análise que demonstrou que esses investimentos não trazem quaisquer empecilhos ao eventual processo de capitalização da Eletrobrás.</w:t>
      </w:r>
    </w:p>
    <w:p w14:paraId="032567ED" w14:textId="77777777" w:rsidR="00804309" w:rsidRPr="0032571F" w:rsidRDefault="00804309" w:rsidP="00804309">
      <w:pPr>
        <w:jc w:val="both"/>
        <w:rPr>
          <w:rFonts w:ascii="Arial" w:hAnsi="Arial" w:cs="Arial"/>
        </w:rPr>
      </w:pPr>
    </w:p>
    <w:p w14:paraId="4D10A4F8" w14:textId="77777777" w:rsidR="00804309" w:rsidRPr="0032571F" w:rsidRDefault="00804309" w:rsidP="00804309">
      <w:pPr>
        <w:jc w:val="both"/>
        <w:rPr>
          <w:rFonts w:ascii="Arial" w:hAnsi="Arial" w:cs="Arial"/>
        </w:rPr>
      </w:pPr>
      <w:r w:rsidRPr="0032571F">
        <w:rPr>
          <w:rFonts w:ascii="Arial" w:hAnsi="Arial" w:cs="Arial"/>
        </w:rPr>
        <w:t>Ressalte-se que o Plano de Aceleração da Linha crítica não concorre com a solução para o projeto completo que vem sendo trabalhada pelo BNDES. Trata-se uma ação corporativa com vistas a preservar o valor do empreendimento, sendo portanto complementar àquela.</w:t>
      </w:r>
    </w:p>
    <w:p w14:paraId="13650CCD" w14:textId="77777777" w:rsidR="00804309" w:rsidRPr="0032571F" w:rsidRDefault="00804309" w:rsidP="00804309">
      <w:pPr>
        <w:spacing w:line="240" w:lineRule="auto"/>
        <w:jc w:val="both"/>
        <w:rPr>
          <w:rFonts w:ascii="Arial" w:hAnsi="Arial" w:cs="Arial"/>
        </w:rPr>
      </w:pPr>
      <w:r w:rsidRPr="0032571F">
        <w:rPr>
          <w:rFonts w:ascii="Arial" w:hAnsi="Arial" w:cs="Arial"/>
          <w:iCs/>
        </w:rPr>
        <w:t> </w:t>
      </w:r>
    </w:p>
    <w:p w14:paraId="26A8BF42" w14:textId="4ED5DF78" w:rsidR="00804309" w:rsidRPr="0032571F" w:rsidRDefault="00804309" w:rsidP="00804309">
      <w:pPr>
        <w:spacing w:line="240" w:lineRule="auto"/>
        <w:jc w:val="both"/>
        <w:rPr>
          <w:rFonts w:ascii="Arial" w:hAnsi="Arial" w:cs="Arial"/>
          <w:iCs/>
        </w:rPr>
      </w:pPr>
      <w:r w:rsidRPr="0032571F">
        <w:rPr>
          <w:rFonts w:ascii="Arial" w:hAnsi="Arial" w:cs="Arial"/>
          <w:iCs/>
        </w:rPr>
        <w:t>Em que pesem as necessidades para a viabilidade de conclusão do empreendimento “Angra 3” estejam endereçadas no mais alto nível da administração governamental, por meio de esforços conjuntos do poder executivo e coordenados pelo Ministério de Minas e Energia - MME, a Companhia tem, juntamente a sua holding (Eletrobras), buscado alternativas para mitigar os riscos de liquidez de curto prazo, sendo estas alternativas alcançadas por meio de alívios no seu fluxo de caixa, sob a forma de manutenção de suspenções de pagamentos de amortizações em contratos de financiamentos junto à própria Eletrobras, bem como na obtenção de novos aportes de sua holding, conforme observado nas notas 25 e 38.</w:t>
      </w:r>
    </w:p>
    <w:p w14:paraId="7DEADD26" w14:textId="1B063CF2" w:rsidR="0032571F" w:rsidRPr="0032571F" w:rsidRDefault="0032571F" w:rsidP="00804309">
      <w:pPr>
        <w:spacing w:line="240" w:lineRule="auto"/>
        <w:jc w:val="both"/>
        <w:rPr>
          <w:rFonts w:ascii="Arial" w:hAnsi="Arial" w:cs="Arial"/>
          <w:iCs/>
        </w:rPr>
      </w:pPr>
    </w:p>
    <w:p w14:paraId="54FA5866" w14:textId="77777777" w:rsidR="0032571F" w:rsidRPr="0032571F" w:rsidRDefault="0032571F" w:rsidP="0032571F">
      <w:pPr>
        <w:jc w:val="both"/>
        <w:rPr>
          <w:rFonts w:ascii="Arial" w:hAnsi="Arial" w:cs="Arial"/>
          <w:iCs/>
        </w:rPr>
      </w:pPr>
      <w:r w:rsidRPr="0032571F">
        <w:rPr>
          <w:rFonts w:ascii="Arial" w:hAnsi="Arial" w:cs="Arial"/>
          <w:iCs/>
        </w:rPr>
        <w:t>Em 01.09.2020, foi editada a Medida Provisória nº 998 (DOU de 02.09.2020), que versa, entre outros, a atribuição de competência ao Conselho Nacional de Política Energética – CNPE, sobre a previsão de concessão de outorga de autorização para a Usina Nuclear de Angra 3 e a celebração de novo contrato de comercialização com prazo de suprimento de 40 anos, contados do início da operação comercial, com previsão de reajuste e revisão extraordinária do preço da energia elétrica que deverão ser homologados pela Aneel. A Medida Provisória traz também o processo de definição do preço de energia do novo contrato. Neste sentido, salienta-se que a Resolução 14, de 9 de outubro de 2018, que define o preço de referência para Angra 3, continua vigente e que os novos estudos do Banco Nacional de Desenvolvimento Econômico e Social – BNDES conterão informações mais atualizadas com a realidade da Usina, como por exemplo, a realização de avaliação das condições da obra civil e equipamentos e a atualização do orçamento da obra. A MP 998/2020 determina ainda, que o valor do preço da energia elétrica deverá obedecer cumulativamente aos critérios de viabilidade econômico-financeira do empreendimento, e de sua financiabilidade em condições de mercado, observados os princípios da razoabilidade e da modicidade tarifária. Haverá ainda, conforme previsto na Medida Provisória, a apropriação para o preço de energia dos possíveis ganhos que venham a ocorrer durante o processo competitivo de contratações de fornecedores para a conclusão do empreendimento.</w:t>
      </w:r>
    </w:p>
    <w:p w14:paraId="595CD213" w14:textId="77777777" w:rsidR="0032571F" w:rsidRPr="00D33399" w:rsidRDefault="0032571F" w:rsidP="00804309">
      <w:pPr>
        <w:spacing w:line="240" w:lineRule="auto"/>
        <w:jc w:val="both"/>
        <w:rPr>
          <w:rFonts w:ascii="Arial" w:hAnsi="Arial" w:cs="Arial"/>
        </w:rPr>
      </w:pPr>
    </w:p>
    <w:p w14:paraId="31E4A68F" w14:textId="76EA8016" w:rsidR="0032123A" w:rsidRPr="00D33399" w:rsidRDefault="0032123A" w:rsidP="005144E2">
      <w:pPr>
        <w:widowControl/>
        <w:jc w:val="both"/>
        <w:rPr>
          <w:rFonts w:ascii="Arial" w:hAnsi="Arial" w:cs="Arial"/>
        </w:rPr>
      </w:pPr>
    </w:p>
    <w:p w14:paraId="5FFB720C" w14:textId="77777777" w:rsidR="00DC3E2F" w:rsidRDefault="00DC3E2F" w:rsidP="005144E2">
      <w:pPr>
        <w:widowControl/>
        <w:jc w:val="both"/>
        <w:rPr>
          <w:rFonts w:ascii="Arial" w:hAnsi="Arial" w:cs="Arial"/>
          <w:sz w:val="16"/>
          <w:szCs w:val="16"/>
        </w:rPr>
      </w:pPr>
    </w:p>
    <w:p w14:paraId="14466D95" w14:textId="77777777" w:rsidR="00A46283" w:rsidRDefault="00A46283" w:rsidP="005144E2">
      <w:pPr>
        <w:widowControl/>
        <w:jc w:val="both"/>
        <w:rPr>
          <w:rFonts w:ascii="Arial" w:hAnsi="Arial" w:cs="Arial"/>
          <w:sz w:val="16"/>
          <w:szCs w:val="16"/>
        </w:rPr>
      </w:pPr>
    </w:p>
    <w:p w14:paraId="6CE69EBB" w14:textId="77777777" w:rsidR="00A46283" w:rsidRPr="00D33399" w:rsidRDefault="00A46283" w:rsidP="005144E2">
      <w:pPr>
        <w:widowControl/>
        <w:jc w:val="both"/>
        <w:rPr>
          <w:rFonts w:ascii="Arial" w:hAnsi="Arial" w:cs="Arial"/>
          <w:sz w:val="16"/>
          <w:szCs w:val="16"/>
        </w:rPr>
      </w:pPr>
    </w:p>
    <w:p w14:paraId="4C532674" w14:textId="77777777" w:rsidR="003F4719" w:rsidRPr="00D33399" w:rsidRDefault="003F4719" w:rsidP="005144E2">
      <w:pPr>
        <w:widowControl/>
        <w:jc w:val="both"/>
        <w:rPr>
          <w:rFonts w:ascii="Arial" w:hAnsi="Arial" w:cs="Arial"/>
          <w:b/>
        </w:rPr>
      </w:pPr>
      <w:r w:rsidRPr="00D33399">
        <w:rPr>
          <w:rFonts w:ascii="Arial" w:hAnsi="Arial" w:cs="Arial"/>
          <w:b/>
        </w:rPr>
        <w:lastRenderedPageBreak/>
        <w:t>4.2 -</w:t>
      </w:r>
      <w:r w:rsidRPr="00D33399">
        <w:rPr>
          <w:rFonts w:ascii="Arial" w:hAnsi="Arial" w:cs="Arial"/>
          <w:b/>
        </w:rPr>
        <w:tab/>
        <w:t>Gestão de capital</w:t>
      </w:r>
    </w:p>
    <w:p w14:paraId="2CF6FFCA" w14:textId="77777777" w:rsidR="003F4719" w:rsidRPr="00D33399" w:rsidRDefault="003F4719" w:rsidP="005144E2">
      <w:pPr>
        <w:widowControl/>
        <w:jc w:val="both"/>
        <w:rPr>
          <w:rFonts w:ascii="Arial" w:hAnsi="Arial" w:cs="Arial"/>
        </w:rPr>
      </w:pPr>
    </w:p>
    <w:p w14:paraId="1ABFC572" w14:textId="77777777" w:rsidR="003F4719" w:rsidRPr="00D33399" w:rsidRDefault="003F4719" w:rsidP="005144E2">
      <w:pPr>
        <w:widowControl/>
        <w:jc w:val="both"/>
        <w:rPr>
          <w:rFonts w:ascii="Arial" w:hAnsi="Arial" w:cs="Arial"/>
        </w:rPr>
      </w:pPr>
      <w:r w:rsidRPr="00D33399">
        <w:rPr>
          <w:rFonts w:ascii="Arial" w:hAnsi="Arial" w:cs="Arial"/>
        </w:rPr>
        <w:t>Os objetivos da Companhia ao administrar seu capital são os de salvaguardar a capacidade de continuidade, para oferecer retorno aos acionistas e benefícios às outras partes interessadas, além de manter uma estrutura de capital ideal para reduzir esse custo.</w:t>
      </w:r>
    </w:p>
    <w:p w14:paraId="4A0670D1" w14:textId="77777777" w:rsidR="003F4719" w:rsidRPr="00D33399" w:rsidRDefault="003F4719" w:rsidP="005144E2">
      <w:pPr>
        <w:widowControl/>
        <w:jc w:val="both"/>
        <w:rPr>
          <w:rFonts w:ascii="Arial" w:hAnsi="Arial" w:cs="Arial"/>
        </w:rPr>
      </w:pPr>
    </w:p>
    <w:p w14:paraId="7422E9EC" w14:textId="77777777" w:rsidR="003F4719" w:rsidRPr="00D33399" w:rsidRDefault="00C10686" w:rsidP="005144E2">
      <w:pPr>
        <w:widowControl/>
        <w:jc w:val="both"/>
        <w:rPr>
          <w:rFonts w:ascii="Arial" w:hAnsi="Arial" w:cs="Arial"/>
        </w:rPr>
      </w:pPr>
      <w:r w:rsidRPr="00D33399">
        <w:rPr>
          <w:rFonts w:ascii="Arial" w:hAnsi="Arial" w:cs="Arial"/>
        </w:rPr>
        <w:t>A</w:t>
      </w:r>
      <w:r w:rsidR="003F4719" w:rsidRPr="00D33399">
        <w:rPr>
          <w:rFonts w:ascii="Arial" w:hAnsi="Arial" w:cs="Arial"/>
        </w:rPr>
        <w:t xml:space="preserve"> ELETRONUCLEAR monitora o capital com base no índice de alavancagem financeira. Esse índice corresponde à dívida líquida dividida pelo capital total. </w:t>
      </w:r>
    </w:p>
    <w:p w14:paraId="7A75076E" w14:textId="77777777" w:rsidR="004A28B1" w:rsidRPr="00D33399" w:rsidRDefault="004A28B1" w:rsidP="005144E2">
      <w:pPr>
        <w:widowControl/>
        <w:jc w:val="both"/>
        <w:rPr>
          <w:rFonts w:ascii="Arial" w:hAnsi="Arial" w:cs="Arial"/>
        </w:rPr>
      </w:pPr>
    </w:p>
    <w:p w14:paraId="76AAFB2C" w14:textId="77777777" w:rsidR="003F4719" w:rsidRPr="00D33399" w:rsidRDefault="003F4719" w:rsidP="005144E2">
      <w:pPr>
        <w:widowControl/>
        <w:jc w:val="both"/>
        <w:rPr>
          <w:rFonts w:ascii="Arial" w:hAnsi="Arial" w:cs="Arial"/>
        </w:rPr>
      </w:pPr>
      <w:r w:rsidRPr="00D33399">
        <w:rPr>
          <w:rFonts w:ascii="Arial" w:hAnsi="Arial" w:cs="Arial"/>
        </w:rPr>
        <w:t>A dívida líquida, por sua vez, corresponde ao total de empréstimos (incluindo empréstimos de curto e longo prazo, conforme demonstrado no balanço patrimonial), subtraído do montante de caixa e equivalentes de caixa e títulos e valores mobiliários de curto prazo.</w:t>
      </w:r>
    </w:p>
    <w:p w14:paraId="1872BCB3" w14:textId="77777777" w:rsidR="003C4F3B" w:rsidRPr="00D33399" w:rsidRDefault="003C4F3B" w:rsidP="005144E2">
      <w:pPr>
        <w:widowControl/>
        <w:jc w:val="both"/>
        <w:rPr>
          <w:rFonts w:ascii="Arial" w:hAnsi="Arial" w:cs="Arial"/>
        </w:rPr>
      </w:pPr>
    </w:p>
    <w:p w14:paraId="04BDE04B" w14:textId="77777777" w:rsidR="003F4719" w:rsidRPr="00D33399" w:rsidRDefault="003F4719" w:rsidP="005144E2">
      <w:pPr>
        <w:widowControl/>
        <w:jc w:val="both"/>
        <w:rPr>
          <w:rFonts w:ascii="Arial" w:hAnsi="Arial" w:cs="Arial"/>
        </w:rPr>
      </w:pPr>
      <w:r w:rsidRPr="00D33399">
        <w:rPr>
          <w:rFonts w:ascii="Arial" w:hAnsi="Arial" w:cs="Arial"/>
        </w:rPr>
        <w:t>O capital total é apurado através da soma do patrimônio líquido, conforme demonstrado no balanço patrimonial, com a dívida líquida.</w:t>
      </w:r>
    </w:p>
    <w:p w14:paraId="035258BE" w14:textId="77777777" w:rsidR="00CC41D3" w:rsidRPr="00D33399" w:rsidRDefault="00CC41D3" w:rsidP="005144E2">
      <w:pPr>
        <w:widowControl/>
        <w:jc w:val="both"/>
        <w:rPr>
          <w:rFonts w:ascii="Arial" w:hAnsi="Arial" w:cs="Arial"/>
        </w:rPr>
      </w:pPr>
    </w:p>
    <w:p w14:paraId="09232D0B" w14:textId="77777777" w:rsidR="003F4719" w:rsidRPr="00D33399" w:rsidRDefault="003F4719" w:rsidP="005144E2">
      <w:pPr>
        <w:widowControl/>
        <w:jc w:val="both"/>
        <w:rPr>
          <w:rFonts w:ascii="Arial" w:hAnsi="Arial" w:cs="Arial"/>
        </w:rPr>
      </w:pPr>
      <w:r w:rsidRPr="00D33399">
        <w:rPr>
          <w:rFonts w:ascii="Arial" w:hAnsi="Arial" w:cs="Arial"/>
        </w:rPr>
        <w:t>Os índices de alavancagem financeira podem ser assim sumari</w:t>
      </w:r>
      <w:r w:rsidR="00826D41" w:rsidRPr="00D33399">
        <w:rPr>
          <w:rFonts w:ascii="Arial" w:hAnsi="Arial" w:cs="Arial"/>
        </w:rPr>
        <w:t>z</w:t>
      </w:r>
      <w:r w:rsidRPr="00D33399">
        <w:rPr>
          <w:rFonts w:ascii="Arial" w:hAnsi="Arial" w:cs="Arial"/>
        </w:rPr>
        <w:t>ados:</w:t>
      </w:r>
    </w:p>
    <w:p w14:paraId="2583C56F" w14:textId="77777777" w:rsidR="00AE1186" w:rsidRPr="00D33399" w:rsidRDefault="00AE1186" w:rsidP="005144E2">
      <w:pPr>
        <w:widowControl/>
        <w:jc w:val="both"/>
        <w:rPr>
          <w:rFonts w:ascii="Arial" w:hAnsi="Arial" w:cs="Arial"/>
          <w:b/>
          <w:sz w:val="16"/>
          <w:szCs w:val="16"/>
        </w:rPr>
      </w:pPr>
    </w:p>
    <w:p w14:paraId="6B5A87DF" w14:textId="477DBCC2" w:rsidR="00F2650C" w:rsidRPr="00D33399" w:rsidRDefault="00DE098E" w:rsidP="005144E2">
      <w:pPr>
        <w:widowControl/>
        <w:jc w:val="both"/>
        <w:rPr>
          <w:rFonts w:ascii="Arial" w:hAnsi="Arial" w:cs="Arial"/>
          <w:b/>
        </w:rPr>
      </w:pPr>
      <w:r w:rsidRPr="00DE098E">
        <w:rPr>
          <w:noProof/>
        </w:rPr>
        <w:drawing>
          <wp:inline distT="0" distB="0" distL="0" distR="0" wp14:anchorId="771725C0" wp14:editId="5411BC9D">
            <wp:extent cx="5657850" cy="2032000"/>
            <wp:effectExtent l="0" t="0" r="0" b="635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57850" cy="2032000"/>
                    </a:xfrm>
                    <a:prstGeom prst="rect">
                      <a:avLst/>
                    </a:prstGeom>
                    <a:noFill/>
                    <a:ln>
                      <a:noFill/>
                    </a:ln>
                  </pic:spPr>
                </pic:pic>
              </a:graphicData>
            </a:graphic>
          </wp:inline>
        </w:drawing>
      </w:r>
    </w:p>
    <w:p w14:paraId="0B1B6F19" w14:textId="77777777" w:rsidR="00F2650C" w:rsidRPr="00D33399" w:rsidRDefault="00F2650C" w:rsidP="005144E2">
      <w:pPr>
        <w:widowControl/>
        <w:jc w:val="both"/>
        <w:rPr>
          <w:rFonts w:ascii="Arial" w:hAnsi="Arial" w:cs="Arial"/>
          <w:b/>
        </w:rPr>
      </w:pPr>
    </w:p>
    <w:p w14:paraId="3681D9F0" w14:textId="77777777" w:rsidR="00F2650C" w:rsidRPr="007604AD" w:rsidRDefault="00F2650C" w:rsidP="005144E2">
      <w:pPr>
        <w:widowControl/>
        <w:jc w:val="both"/>
        <w:rPr>
          <w:rFonts w:ascii="Arial" w:hAnsi="Arial" w:cs="Arial"/>
          <w:b/>
          <w:sz w:val="16"/>
          <w:szCs w:val="16"/>
        </w:rPr>
      </w:pPr>
    </w:p>
    <w:p w14:paraId="67D413DF" w14:textId="77777777" w:rsidR="003F4719" w:rsidRPr="00D33399" w:rsidRDefault="003F4719" w:rsidP="005144E2">
      <w:pPr>
        <w:widowControl/>
        <w:jc w:val="both"/>
        <w:rPr>
          <w:rFonts w:ascii="Arial" w:hAnsi="Arial" w:cs="Arial"/>
          <w:b/>
        </w:rPr>
      </w:pPr>
      <w:r w:rsidRPr="00D33399">
        <w:rPr>
          <w:rFonts w:ascii="Arial" w:hAnsi="Arial" w:cs="Arial"/>
          <w:b/>
        </w:rPr>
        <w:t>4.</w:t>
      </w:r>
      <w:r w:rsidR="001838D2" w:rsidRPr="00D33399">
        <w:rPr>
          <w:rFonts w:ascii="Arial" w:hAnsi="Arial" w:cs="Arial"/>
          <w:b/>
        </w:rPr>
        <w:t>3</w:t>
      </w:r>
      <w:r w:rsidRPr="00D33399">
        <w:rPr>
          <w:rFonts w:ascii="Arial" w:hAnsi="Arial" w:cs="Arial"/>
          <w:b/>
        </w:rPr>
        <w:t xml:space="preserve"> -</w:t>
      </w:r>
      <w:r w:rsidRPr="00D33399">
        <w:rPr>
          <w:rFonts w:ascii="Arial" w:hAnsi="Arial" w:cs="Arial"/>
          <w:b/>
        </w:rPr>
        <w:tab/>
        <w:t>Estimativa do valor justo</w:t>
      </w:r>
    </w:p>
    <w:p w14:paraId="4E0B41F4" w14:textId="77777777" w:rsidR="003F4719" w:rsidRPr="00D33399" w:rsidRDefault="003F4719" w:rsidP="005144E2">
      <w:pPr>
        <w:widowControl/>
        <w:jc w:val="both"/>
        <w:rPr>
          <w:rFonts w:ascii="Arial" w:hAnsi="Arial" w:cs="Arial"/>
          <w:b/>
        </w:rPr>
      </w:pPr>
    </w:p>
    <w:p w14:paraId="20EE15B8" w14:textId="77777777" w:rsidR="003F4719" w:rsidRPr="00D33399" w:rsidRDefault="003F4719" w:rsidP="005144E2">
      <w:pPr>
        <w:widowControl/>
        <w:jc w:val="both"/>
        <w:rPr>
          <w:rFonts w:ascii="Arial" w:hAnsi="Arial" w:cs="Arial"/>
        </w:rPr>
      </w:pPr>
      <w:r w:rsidRPr="00D33399">
        <w:rPr>
          <w:rFonts w:ascii="Arial" w:hAnsi="Arial" w:cs="Arial"/>
        </w:rPr>
        <w:t>Pressupõe-se que os saldos das contas a receber de clientes e contas a pagar aos fornecedores pelo valor contábil, menos a perda (</w:t>
      </w:r>
      <w:r w:rsidRPr="00D33399">
        <w:rPr>
          <w:rFonts w:ascii="Arial" w:hAnsi="Arial" w:cs="Arial"/>
          <w:i/>
        </w:rPr>
        <w:t>impairment</w:t>
      </w:r>
      <w:r w:rsidRPr="00D33399">
        <w:rPr>
          <w:rFonts w:ascii="Arial" w:hAnsi="Arial" w:cs="Arial"/>
        </w:rPr>
        <w:t xml:space="preserve">), estejam próximos de seus valores justos. </w:t>
      </w:r>
    </w:p>
    <w:p w14:paraId="4F0F5407" w14:textId="77777777" w:rsidR="00004091" w:rsidRPr="00D33399" w:rsidRDefault="00004091" w:rsidP="005144E2">
      <w:pPr>
        <w:widowControl/>
        <w:jc w:val="both"/>
        <w:rPr>
          <w:rFonts w:ascii="Arial" w:hAnsi="Arial" w:cs="Arial"/>
        </w:rPr>
      </w:pPr>
    </w:p>
    <w:p w14:paraId="4045D2AD" w14:textId="77777777" w:rsidR="003F4719" w:rsidRPr="00D33399" w:rsidRDefault="003F4719" w:rsidP="005144E2">
      <w:pPr>
        <w:widowControl/>
        <w:autoSpaceDE w:val="0"/>
        <w:autoSpaceDN w:val="0"/>
        <w:adjustRightInd w:val="0"/>
        <w:jc w:val="both"/>
        <w:rPr>
          <w:rFonts w:ascii="Arial" w:hAnsi="Arial" w:cs="Arial"/>
          <w:b/>
        </w:rPr>
      </w:pPr>
      <w:r w:rsidRPr="00D33399">
        <w:rPr>
          <w:rFonts w:ascii="Arial" w:hAnsi="Arial" w:cs="Arial"/>
          <w:b/>
        </w:rPr>
        <w:t>Valor justo hierárquico</w:t>
      </w:r>
    </w:p>
    <w:p w14:paraId="51AFFF87" w14:textId="77777777" w:rsidR="00960E5A" w:rsidRPr="00D33399" w:rsidRDefault="00960E5A" w:rsidP="005144E2">
      <w:pPr>
        <w:widowControl/>
        <w:autoSpaceDE w:val="0"/>
        <w:autoSpaceDN w:val="0"/>
        <w:adjustRightInd w:val="0"/>
        <w:jc w:val="both"/>
        <w:rPr>
          <w:rFonts w:ascii="Arial" w:hAnsi="Arial" w:cs="Arial"/>
          <w:b/>
        </w:rPr>
      </w:pPr>
    </w:p>
    <w:p w14:paraId="67EABF39" w14:textId="77777777" w:rsidR="003F4719" w:rsidRPr="00D33399" w:rsidRDefault="003F4719" w:rsidP="005144E2">
      <w:pPr>
        <w:widowControl/>
        <w:autoSpaceDE w:val="0"/>
        <w:autoSpaceDN w:val="0"/>
        <w:adjustRightInd w:val="0"/>
        <w:jc w:val="both"/>
        <w:rPr>
          <w:rFonts w:ascii="Arial" w:hAnsi="Arial" w:cs="Arial"/>
        </w:rPr>
      </w:pPr>
      <w:r w:rsidRPr="00D33399">
        <w:rPr>
          <w:rFonts w:ascii="Arial" w:hAnsi="Arial" w:cs="Arial"/>
        </w:rPr>
        <w:t>Existem três níveis para classificação do Valor Justo referente a instrumentos financeiros, sendo que a hierarquia fornece prioridade para preços cotados não ajustados em mercado ativo referente a ativos ou passivos financeiros. A classificação dos Níveis Hierárquicos pode ser apresentada conforme exposto a seguir:</w:t>
      </w:r>
    </w:p>
    <w:p w14:paraId="33B6DE1A" w14:textId="77777777" w:rsidR="003F4719" w:rsidRPr="00D33399" w:rsidRDefault="003F4719" w:rsidP="005144E2">
      <w:pPr>
        <w:widowControl/>
        <w:autoSpaceDE w:val="0"/>
        <w:autoSpaceDN w:val="0"/>
        <w:adjustRightInd w:val="0"/>
        <w:jc w:val="both"/>
        <w:rPr>
          <w:rFonts w:ascii="Arial" w:hAnsi="Arial" w:cs="Arial"/>
        </w:rPr>
      </w:pPr>
    </w:p>
    <w:p w14:paraId="0973509C" w14:textId="77777777" w:rsidR="003F4719" w:rsidRPr="00D33399" w:rsidRDefault="003F4719" w:rsidP="005144E2">
      <w:pPr>
        <w:pStyle w:val="PargrafodaLista"/>
        <w:widowControl/>
        <w:numPr>
          <w:ilvl w:val="0"/>
          <w:numId w:val="11"/>
        </w:numPr>
        <w:autoSpaceDE w:val="0"/>
        <w:autoSpaceDN w:val="0"/>
        <w:adjustRightInd w:val="0"/>
        <w:jc w:val="both"/>
        <w:rPr>
          <w:rFonts w:ascii="Arial" w:hAnsi="Arial" w:cs="Arial"/>
        </w:rPr>
      </w:pPr>
      <w:r w:rsidRPr="00D33399">
        <w:rPr>
          <w:rFonts w:ascii="Arial" w:hAnsi="Arial" w:cs="Arial"/>
        </w:rPr>
        <w:lastRenderedPageBreak/>
        <w:t>Nível 1: Dados provenientes de mercado ativo (preço cotado não ajustado) de forma que seja possível acessar diariamente, inclusive na data da mensuração do valor justo.</w:t>
      </w:r>
    </w:p>
    <w:p w14:paraId="27E816E3" w14:textId="77777777" w:rsidR="003F4719" w:rsidRPr="00D33399" w:rsidRDefault="003F4719" w:rsidP="005144E2">
      <w:pPr>
        <w:pStyle w:val="PargrafodaLista"/>
        <w:widowControl/>
        <w:numPr>
          <w:ilvl w:val="0"/>
          <w:numId w:val="11"/>
        </w:numPr>
        <w:autoSpaceDE w:val="0"/>
        <w:autoSpaceDN w:val="0"/>
        <w:adjustRightInd w:val="0"/>
        <w:jc w:val="both"/>
        <w:rPr>
          <w:rFonts w:ascii="Arial" w:hAnsi="Arial" w:cs="Arial"/>
        </w:rPr>
      </w:pPr>
      <w:r w:rsidRPr="00D33399">
        <w:rPr>
          <w:rFonts w:ascii="Arial" w:hAnsi="Arial" w:cs="Arial"/>
        </w:rPr>
        <w:t>Nível 2: Dados diferentes dos provenientes de mercado ativo (preço cotado não ajustado) incluídos no Nível 1, extraídos de modelo de precificação, baseado em dados observáveis de mercado.</w:t>
      </w:r>
    </w:p>
    <w:p w14:paraId="0DC2CE5F" w14:textId="77777777" w:rsidR="003F4719" w:rsidRPr="00D33399" w:rsidRDefault="003F4719" w:rsidP="005144E2">
      <w:pPr>
        <w:pStyle w:val="PargrafodaLista"/>
        <w:widowControl/>
        <w:numPr>
          <w:ilvl w:val="0"/>
          <w:numId w:val="11"/>
        </w:numPr>
        <w:autoSpaceDE w:val="0"/>
        <w:autoSpaceDN w:val="0"/>
        <w:adjustRightInd w:val="0"/>
        <w:jc w:val="both"/>
        <w:rPr>
          <w:rFonts w:ascii="Arial" w:hAnsi="Arial" w:cs="Arial"/>
        </w:rPr>
      </w:pPr>
      <w:r w:rsidRPr="00D33399">
        <w:rPr>
          <w:rFonts w:ascii="Arial" w:hAnsi="Arial" w:cs="Arial"/>
        </w:rPr>
        <w:t>Nível 3: Dados extraídos de modelo de precificação, baseado em dados não observáveis de mercado.</w:t>
      </w:r>
    </w:p>
    <w:p w14:paraId="0573C611" w14:textId="77777777" w:rsidR="00CC41D3" w:rsidRPr="00D33399" w:rsidRDefault="00CC41D3" w:rsidP="005144E2">
      <w:pPr>
        <w:pStyle w:val="PargrafodaLista"/>
        <w:widowControl/>
        <w:autoSpaceDE w:val="0"/>
        <w:autoSpaceDN w:val="0"/>
        <w:adjustRightInd w:val="0"/>
        <w:ind w:left="340"/>
        <w:jc w:val="both"/>
        <w:rPr>
          <w:rFonts w:ascii="Arial" w:hAnsi="Arial" w:cs="Arial"/>
        </w:rPr>
      </w:pPr>
    </w:p>
    <w:p w14:paraId="45822C74" w14:textId="57772040" w:rsidR="003F4719" w:rsidRPr="00D33399" w:rsidRDefault="003F4719" w:rsidP="005144E2">
      <w:pPr>
        <w:widowControl/>
        <w:jc w:val="both"/>
        <w:rPr>
          <w:rFonts w:ascii="Arial" w:hAnsi="Arial" w:cs="Arial"/>
        </w:rPr>
      </w:pPr>
      <w:r w:rsidRPr="00D33399">
        <w:rPr>
          <w:rFonts w:ascii="Arial" w:hAnsi="Arial" w:cs="Arial"/>
        </w:rPr>
        <w:t xml:space="preserve">Em </w:t>
      </w:r>
      <w:r w:rsidR="005D6BDC" w:rsidRPr="00D33399">
        <w:rPr>
          <w:rFonts w:ascii="Arial" w:hAnsi="Arial" w:cs="Arial"/>
        </w:rPr>
        <w:t>3</w:t>
      </w:r>
      <w:r w:rsidR="000254D2" w:rsidRPr="00D33399">
        <w:rPr>
          <w:rFonts w:ascii="Arial" w:hAnsi="Arial" w:cs="Arial"/>
        </w:rPr>
        <w:t>0</w:t>
      </w:r>
      <w:r w:rsidR="005D6BDC" w:rsidRPr="00D33399">
        <w:rPr>
          <w:rFonts w:ascii="Arial" w:hAnsi="Arial" w:cs="Arial"/>
        </w:rPr>
        <w:t xml:space="preserve"> de </w:t>
      </w:r>
      <w:r w:rsidR="007F0536" w:rsidRPr="00D33399">
        <w:rPr>
          <w:rFonts w:ascii="Arial" w:hAnsi="Arial" w:cs="Arial"/>
        </w:rPr>
        <w:t>setembro</w:t>
      </w:r>
      <w:r w:rsidR="007A0D7B" w:rsidRPr="00D33399">
        <w:rPr>
          <w:rFonts w:ascii="Arial" w:hAnsi="Arial" w:cs="Arial"/>
        </w:rPr>
        <w:t xml:space="preserve"> </w:t>
      </w:r>
      <w:r w:rsidR="007C0483" w:rsidRPr="00D33399">
        <w:rPr>
          <w:rFonts w:ascii="Arial" w:hAnsi="Arial" w:cs="Arial"/>
        </w:rPr>
        <w:t>de 20</w:t>
      </w:r>
      <w:r w:rsidR="007A0D7B" w:rsidRPr="00D33399">
        <w:rPr>
          <w:rFonts w:ascii="Arial" w:hAnsi="Arial" w:cs="Arial"/>
        </w:rPr>
        <w:t>20</w:t>
      </w:r>
      <w:r w:rsidR="00B24F1B" w:rsidRPr="00D33399">
        <w:rPr>
          <w:rFonts w:ascii="Arial" w:hAnsi="Arial" w:cs="Arial"/>
        </w:rPr>
        <w:t>,</w:t>
      </w:r>
      <w:r w:rsidRPr="00D33399">
        <w:rPr>
          <w:rFonts w:ascii="Arial" w:hAnsi="Arial" w:cs="Arial"/>
        </w:rPr>
        <w:t xml:space="preserve"> a classificação por Nível Hierárquico apresenta-se da seguinte forma para os instrumentos financeiros valorizados a valor justo:</w:t>
      </w:r>
    </w:p>
    <w:p w14:paraId="2DF03369" w14:textId="77777777" w:rsidR="008640BF" w:rsidRPr="00D33399" w:rsidRDefault="008640BF" w:rsidP="005144E2">
      <w:pPr>
        <w:widowControl/>
        <w:jc w:val="both"/>
        <w:rPr>
          <w:rFonts w:ascii="Arial" w:hAnsi="Arial" w:cs="Arial"/>
          <w:sz w:val="16"/>
          <w:szCs w:val="16"/>
        </w:rPr>
      </w:pPr>
    </w:p>
    <w:p w14:paraId="72F111BE" w14:textId="49CE69D9" w:rsidR="00D65E64" w:rsidRPr="00D33399" w:rsidRDefault="00660B14" w:rsidP="005144E2">
      <w:pPr>
        <w:widowControl/>
        <w:jc w:val="both"/>
        <w:rPr>
          <w:rFonts w:ascii="Arial" w:hAnsi="Arial" w:cs="Arial"/>
        </w:rPr>
      </w:pPr>
      <w:r w:rsidRPr="00D33399">
        <w:rPr>
          <w:noProof/>
        </w:rPr>
        <w:drawing>
          <wp:inline distT="0" distB="0" distL="0" distR="0" wp14:anchorId="1C25BC2D" wp14:editId="7CF5B7BA">
            <wp:extent cx="6073140" cy="1653167"/>
            <wp:effectExtent l="0" t="0" r="3810" b="444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73140" cy="1653167"/>
                    </a:xfrm>
                    <a:prstGeom prst="rect">
                      <a:avLst/>
                    </a:prstGeom>
                    <a:noFill/>
                    <a:ln>
                      <a:noFill/>
                    </a:ln>
                  </pic:spPr>
                </pic:pic>
              </a:graphicData>
            </a:graphic>
          </wp:inline>
        </w:drawing>
      </w:r>
    </w:p>
    <w:p w14:paraId="2542949F" w14:textId="77777777" w:rsidR="00D812D9" w:rsidRPr="00D33399" w:rsidRDefault="00D812D9" w:rsidP="005144E2">
      <w:pPr>
        <w:widowControl/>
        <w:autoSpaceDE w:val="0"/>
        <w:autoSpaceDN w:val="0"/>
        <w:adjustRightInd w:val="0"/>
        <w:jc w:val="both"/>
        <w:rPr>
          <w:rFonts w:ascii="Arial" w:hAnsi="Arial" w:cs="Arial"/>
        </w:rPr>
      </w:pPr>
    </w:p>
    <w:p w14:paraId="064C4F23" w14:textId="77777777" w:rsidR="00CC41D3" w:rsidRPr="00D33399" w:rsidRDefault="00CC41D3" w:rsidP="005144E2">
      <w:pPr>
        <w:widowControl/>
        <w:autoSpaceDE w:val="0"/>
        <w:autoSpaceDN w:val="0"/>
        <w:adjustRightInd w:val="0"/>
        <w:jc w:val="both"/>
        <w:rPr>
          <w:rFonts w:ascii="Arial" w:hAnsi="Arial" w:cs="Arial"/>
        </w:rPr>
      </w:pPr>
    </w:p>
    <w:p w14:paraId="3884AE1C" w14:textId="77777777" w:rsidR="003F4719" w:rsidRPr="00D33399" w:rsidRDefault="003F4719" w:rsidP="005144E2">
      <w:pPr>
        <w:widowControl/>
        <w:autoSpaceDE w:val="0"/>
        <w:autoSpaceDN w:val="0"/>
        <w:adjustRightInd w:val="0"/>
        <w:jc w:val="both"/>
        <w:rPr>
          <w:rFonts w:ascii="Arial" w:hAnsi="Arial" w:cs="Arial"/>
          <w:b/>
        </w:rPr>
      </w:pPr>
      <w:r w:rsidRPr="00D33399">
        <w:rPr>
          <w:rFonts w:ascii="Arial" w:hAnsi="Arial" w:cs="Arial"/>
          <w:b/>
        </w:rPr>
        <w:t>Gerenciamento do capital</w:t>
      </w:r>
    </w:p>
    <w:p w14:paraId="55182B15" w14:textId="77777777" w:rsidR="00F47B74" w:rsidRPr="00D33399" w:rsidRDefault="00F47B74" w:rsidP="005144E2">
      <w:pPr>
        <w:widowControl/>
        <w:autoSpaceDE w:val="0"/>
        <w:autoSpaceDN w:val="0"/>
        <w:adjustRightInd w:val="0"/>
        <w:jc w:val="both"/>
        <w:rPr>
          <w:rFonts w:ascii="Arial" w:hAnsi="Arial" w:cs="Arial"/>
          <w:b/>
        </w:rPr>
      </w:pPr>
    </w:p>
    <w:p w14:paraId="1B39A657" w14:textId="1A175CF9" w:rsidR="003F4719" w:rsidRPr="00D33399" w:rsidRDefault="003F4719" w:rsidP="005144E2">
      <w:pPr>
        <w:widowControl/>
        <w:autoSpaceDE w:val="0"/>
        <w:autoSpaceDN w:val="0"/>
        <w:adjustRightInd w:val="0"/>
        <w:jc w:val="both"/>
        <w:rPr>
          <w:rFonts w:ascii="Arial" w:hAnsi="Arial" w:cs="Arial"/>
        </w:rPr>
      </w:pPr>
      <w:r w:rsidRPr="00D33399">
        <w:rPr>
          <w:rFonts w:ascii="Arial" w:hAnsi="Arial" w:cs="Arial"/>
        </w:rPr>
        <w:t>A política da Administração procura um equilíbrio entre a rentabilidade vis-à-vis o risco incorrido, de modo a não expor seu patrimônio, ou de sofrer aumento súbito ou flutuações do mercado. Visando a gestão do capital saudável, a Companhia adota a política de preservar a liquidez, com o acompanhamento de perto do fluxo de caixa de curto e longo prazo.</w:t>
      </w:r>
    </w:p>
    <w:p w14:paraId="0DAF05B1" w14:textId="77777777" w:rsidR="00CC41D3" w:rsidRDefault="00CC41D3" w:rsidP="005144E2">
      <w:pPr>
        <w:widowControl/>
        <w:autoSpaceDE w:val="0"/>
        <w:autoSpaceDN w:val="0"/>
        <w:adjustRightInd w:val="0"/>
        <w:jc w:val="both"/>
        <w:rPr>
          <w:rFonts w:ascii="Arial" w:hAnsi="Arial" w:cs="Arial"/>
        </w:rPr>
      </w:pPr>
    </w:p>
    <w:p w14:paraId="770FF8D7" w14:textId="77777777" w:rsidR="007604AD" w:rsidRDefault="007604AD" w:rsidP="005144E2">
      <w:pPr>
        <w:widowControl/>
        <w:autoSpaceDE w:val="0"/>
        <w:autoSpaceDN w:val="0"/>
        <w:adjustRightInd w:val="0"/>
        <w:jc w:val="both"/>
        <w:rPr>
          <w:rFonts w:ascii="Arial" w:hAnsi="Arial" w:cs="Arial"/>
        </w:rPr>
      </w:pPr>
    </w:p>
    <w:p w14:paraId="3ACA4452" w14:textId="77777777" w:rsidR="007604AD" w:rsidRPr="00D33399" w:rsidRDefault="007604AD" w:rsidP="005144E2">
      <w:pPr>
        <w:widowControl/>
        <w:autoSpaceDE w:val="0"/>
        <w:autoSpaceDN w:val="0"/>
        <w:adjustRightInd w:val="0"/>
        <w:jc w:val="both"/>
        <w:rPr>
          <w:rFonts w:ascii="Arial" w:hAnsi="Arial" w:cs="Arial"/>
        </w:rPr>
      </w:pPr>
    </w:p>
    <w:p w14:paraId="794FF93B" w14:textId="77777777" w:rsidR="003F4719" w:rsidRPr="00D33399" w:rsidRDefault="003F4719" w:rsidP="005144E2">
      <w:pPr>
        <w:keepNext/>
        <w:widowControl/>
        <w:jc w:val="both"/>
        <w:rPr>
          <w:rFonts w:ascii="Arial" w:hAnsi="Arial" w:cs="Arial"/>
          <w:b/>
          <w:sz w:val="26"/>
          <w:szCs w:val="26"/>
        </w:rPr>
      </w:pPr>
      <w:r w:rsidRPr="00D33399">
        <w:rPr>
          <w:rFonts w:ascii="Arial" w:hAnsi="Arial" w:cs="Arial"/>
          <w:b/>
          <w:sz w:val="26"/>
          <w:szCs w:val="26"/>
        </w:rPr>
        <w:t>NOTA 5 - CAIXA E EQUIVALENTES DE CAIXA E TÍTULOS E VALORES MOBILIÁRIOS DE CURTO PRAZO</w:t>
      </w:r>
    </w:p>
    <w:p w14:paraId="0C194C6A" w14:textId="77777777" w:rsidR="00DE3B4D" w:rsidRPr="00D33399" w:rsidRDefault="00DE3B4D" w:rsidP="005144E2">
      <w:pPr>
        <w:widowControl/>
        <w:jc w:val="both"/>
        <w:rPr>
          <w:rFonts w:ascii="Arial" w:hAnsi="Arial" w:cs="Arial"/>
        </w:rPr>
      </w:pPr>
    </w:p>
    <w:p w14:paraId="41953B46" w14:textId="77777777" w:rsidR="003C1547" w:rsidRPr="00D33399" w:rsidRDefault="003C1547" w:rsidP="005144E2">
      <w:pPr>
        <w:widowControl/>
        <w:jc w:val="both"/>
        <w:rPr>
          <w:rFonts w:ascii="Arial" w:hAnsi="Arial" w:cs="Arial"/>
        </w:rPr>
      </w:pPr>
    </w:p>
    <w:p w14:paraId="150FD22F" w14:textId="79965021" w:rsidR="003F4719" w:rsidRPr="00D33399" w:rsidRDefault="003F4719" w:rsidP="005144E2">
      <w:pPr>
        <w:widowControl/>
        <w:jc w:val="both"/>
        <w:rPr>
          <w:rFonts w:ascii="Arial" w:hAnsi="Arial" w:cs="Arial"/>
        </w:rPr>
      </w:pPr>
      <w:r w:rsidRPr="00D33399">
        <w:rPr>
          <w:rFonts w:ascii="Arial" w:hAnsi="Arial" w:cs="Arial"/>
        </w:rPr>
        <w:t>Conforme estabelecido pela Resolução n</w:t>
      </w:r>
      <w:r w:rsidRPr="00D33399">
        <w:rPr>
          <w:rFonts w:ascii="Arial" w:hAnsi="Arial" w:cs="Arial"/>
          <w:vertAlign w:val="superscript"/>
        </w:rPr>
        <w:t>o</w:t>
      </w:r>
      <w:r w:rsidRPr="00D33399">
        <w:rPr>
          <w:rFonts w:ascii="Arial" w:hAnsi="Arial" w:cs="Arial"/>
        </w:rPr>
        <w:t xml:space="preserve"> 3.284/05, emitida pelo Banco Central do Brasil</w:t>
      </w:r>
      <w:r w:rsidR="00A854F5" w:rsidRPr="00D33399">
        <w:rPr>
          <w:rFonts w:ascii="Arial" w:hAnsi="Arial" w:cs="Arial"/>
        </w:rPr>
        <w:t xml:space="preserve"> - BACEN</w:t>
      </w:r>
      <w:r w:rsidRPr="00D33399">
        <w:rPr>
          <w:rFonts w:ascii="Arial" w:hAnsi="Arial" w:cs="Arial"/>
        </w:rPr>
        <w:t>, em 25 de maio de 2005, as aplicações financeiras resultantes das receitas próprias das empresas públicas e das sociedades de economia mista, integrantes da Administração Federal Indireta, somente podem ser efetuadas por intermédio da Caixa Econômica Federal</w:t>
      </w:r>
      <w:r w:rsidR="003534B2" w:rsidRPr="00D33399">
        <w:rPr>
          <w:rFonts w:ascii="Arial" w:hAnsi="Arial" w:cs="Arial"/>
        </w:rPr>
        <w:t xml:space="preserve"> - CEF</w:t>
      </w:r>
      <w:r w:rsidRPr="00D33399">
        <w:rPr>
          <w:rFonts w:ascii="Arial" w:hAnsi="Arial" w:cs="Arial"/>
        </w:rPr>
        <w:t>, do Banco do Brasil S.A</w:t>
      </w:r>
      <w:r w:rsidR="003534B2" w:rsidRPr="00D33399">
        <w:rPr>
          <w:rFonts w:ascii="Arial" w:hAnsi="Arial" w:cs="Arial"/>
        </w:rPr>
        <w:t xml:space="preserve"> - BB</w:t>
      </w:r>
      <w:r w:rsidRPr="00D33399">
        <w:rPr>
          <w:rFonts w:ascii="Arial" w:hAnsi="Arial" w:cs="Arial"/>
        </w:rPr>
        <w:t xml:space="preserve"> ou por instituição integrante do conglomerado financeiro por eles liderados.</w:t>
      </w:r>
    </w:p>
    <w:p w14:paraId="1AFF222E" w14:textId="77777777" w:rsidR="003F4719" w:rsidRPr="00D33399" w:rsidRDefault="003F4719" w:rsidP="005144E2">
      <w:pPr>
        <w:widowControl/>
        <w:tabs>
          <w:tab w:val="left" w:pos="7635"/>
        </w:tabs>
        <w:jc w:val="both"/>
        <w:rPr>
          <w:rFonts w:ascii="Arial" w:hAnsi="Arial" w:cs="Arial"/>
        </w:rPr>
      </w:pPr>
    </w:p>
    <w:p w14:paraId="48CEEEAA" w14:textId="77777777" w:rsidR="003F4719" w:rsidRPr="00D33399" w:rsidRDefault="003F4719" w:rsidP="005144E2">
      <w:pPr>
        <w:widowControl/>
        <w:tabs>
          <w:tab w:val="left" w:pos="7635"/>
        </w:tabs>
        <w:jc w:val="both"/>
        <w:rPr>
          <w:rFonts w:ascii="Arial" w:hAnsi="Arial" w:cs="Arial"/>
        </w:rPr>
      </w:pPr>
      <w:r w:rsidRPr="00D33399">
        <w:rPr>
          <w:rFonts w:ascii="Arial" w:hAnsi="Arial" w:cs="Arial"/>
        </w:rPr>
        <w:lastRenderedPageBreak/>
        <w:t xml:space="preserve">As aplicações financeiras da Companhia, apresentadas no quadro abaixo (“b - Títulos e valores mobiliários de curto prazo”), resultam de recursos oriundos de financiamento concedido pelo BNDES e pela CEF, que são mantidos no </w:t>
      </w:r>
      <w:r w:rsidR="003534B2" w:rsidRPr="00D33399">
        <w:rPr>
          <w:rFonts w:ascii="Arial" w:hAnsi="Arial" w:cs="Arial"/>
        </w:rPr>
        <w:t>BB</w:t>
      </w:r>
      <w:r w:rsidRPr="00D33399">
        <w:rPr>
          <w:rFonts w:ascii="Arial" w:hAnsi="Arial" w:cs="Arial"/>
        </w:rPr>
        <w:t xml:space="preserve"> e na CEF por força contratual. Estão aplicados em Extramercado FAE - Fundo de Investimento em Renda Fixa, que oferece liquidez diária e são compostas, principalmente, de títulos do governo brasileiro e certificados de depósitos bancários. O fundo de investimento possui possibilidade de resgate com liquidez imediata e sem carência. </w:t>
      </w:r>
    </w:p>
    <w:p w14:paraId="66F067BF" w14:textId="77777777" w:rsidR="003A256A" w:rsidRPr="00D33399" w:rsidRDefault="003A256A" w:rsidP="005144E2">
      <w:pPr>
        <w:widowControl/>
        <w:tabs>
          <w:tab w:val="left" w:pos="7635"/>
        </w:tabs>
        <w:jc w:val="both"/>
        <w:rPr>
          <w:rFonts w:ascii="Arial" w:hAnsi="Arial" w:cs="Arial"/>
        </w:rPr>
      </w:pPr>
    </w:p>
    <w:p w14:paraId="00F8E177" w14:textId="77777777" w:rsidR="0094487D" w:rsidRPr="00D33399" w:rsidRDefault="0094487D" w:rsidP="005144E2">
      <w:pPr>
        <w:widowControl/>
        <w:tabs>
          <w:tab w:val="left" w:pos="7635"/>
        </w:tabs>
        <w:jc w:val="both"/>
        <w:rPr>
          <w:rFonts w:ascii="Arial" w:hAnsi="Arial" w:cs="Arial"/>
          <w:sz w:val="16"/>
          <w:szCs w:val="16"/>
        </w:rPr>
      </w:pPr>
    </w:p>
    <w:p w14:paraId="2FC8FBD4" w14:textId="77777777" w:rsidR="003F4719" w:rsidRPr="00D33399" w:rsidRDefault="003F4719" w:rsidP="005144E2">
      <w:pPr>
        <w:pStyle w:val="PargrafodaLista"/>
        <w:widowControl/>
        <w:numPr>
          <w:ilvl w:val="0"/>
          <w:numId w:val="8"/>
        </w:numPr>
        <w:tabs>
          <w:tab w:val="left" w:pos="7635"/>
        </w:tabs>
        <w:ind w:left="284" w:hanging="284"/>
        <w:jc w:val="both"/>
        <w:rPr>
          <w:rFonts w:ascii="Arial" w:hAnsi="Arial" w:cs="Arial"/>
          <w:b/>
        </w:rPr>
      </w:pPr>
      <w:r w:rsidRPr="00D33399">
        <w:rPr>
          <w:rFonts w:ascii="Arial" w:hAnsi="Arial" w:cs="Arial"/>
          <w:b/>
        </w:rPr>
        <w:t>Caixa e equivalentes de caixa</w:t>
      </w:r>
    </w:p>
    <w:p w14:paraId="4C71CE01" w14:textId="77777777" w:rsidR="00B64F66" w:rsidRPr="00D33399" w:rsidRDefault="00B64F66" w:rsidP="00B64F66">
      <w:pPr>
        <w:widowControl/>
        <w:tabs>
          <w:tab w:val="left" w:pos="7635"/>
        </w:tabs>
        <w:jc w:val="both"/>
        <w:rPr>
          <w:rFonts w:ascii="Arial" w:hAnsi="Arial" w:cs="Arial"/>
          <w:b/>
          <w:sz w:val="16"/>
          <w:szCs w:val="16"/>
        </w:rPr>
      </w:pPr>
    </w:p>
    <w:p w14:paraId="44F8DBF9" w14:textId="7183CFD4" w:rsidR="001A199C" w:rsidRPr="00D33399" w:rsidRDefault="00D463CF" w:rsidP="005144E2">
      <w:pPr>
        <w:widowControl/>
        <w:tabs>
          <w:tab w:val="left" w:pos="7635"/>
        </w:tabs>
        <w:jc w:val="both"/>
        <w:rPr>
          <w:rFonts w:ascii="Arial" w:hAnsi="Arial" w:cs="Arial"/>
          <w:b/>
        </w:rPr>
      </w:pPr>
      <w:r w:rsidRPr="00D33399">
        <w:rPr>
          <w:noProof/>
        </w:rPr>
        <w:drawing>
          <wp:inline distT="0" distB="0" distL="0" distR="0" wp14:anchorId="64718BC5" wp14:editId="1DD43862">
            <wp:extent cx="4619625" cy="1057275"/>
            <wp:effectExtent l="0" t="0" r="9525" b="9525"/>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19625" cy="1057275"/>
                    </a:xfrm>
                    <a:prstGeom prst="rect">
                      <a:avLst/>
                    </a:prstGeom>
                    <a:noFill/>
                    <a:ln>
                      <a:noFill/>
                    </a:ln>
                  </pic:spPr>
                </pic:pic>
              </a:graphicData>
            </a:graphic>
          </wp:inline>
        </w:drawing>
      </w:r>
    </w:p>
    <w:p w14:paraId="1A1BB09B" w14:textId="77777777" w:rsidR="001A199C" w:rsidRPr="00D33399" w:rsidRDefault="001A199C" w:rsidP="005144E2">
      <w:pPr>
        <w:widowControl/>
        <w:tabs>
          <w:tab w:val="left" w:pos="7635"/>
        </w:tabs>
        <w:jc w:val="both"/>
        <w:rPr>
          <w:rFonts w:ascii="Arial" w:hAnsi="Arial" w:cs="Arial"/>
          <w:b/>
        </w:rPr>
      </w:pPr>
    </w:p>
    <w:p w14:paraId="3352F949" w14:textId="77777777" w:rsidR="00850544" w:rsidRPr="00D33399" w:rsidRDefault="00850544" w:rsidP="005144E2">
      <w:pPr>
        <w:widowControl/>
        <w:tabs>
          <w:tab w:val="left" w:pos="7635"/>
        </w:tabs>
        <w:jc w:val="both"/>
        <w:rPr>
          <w:rFonts w:ascii="Arial" w:hAnsi="Arial" w:cs="Arial"/>
          <w:b/>
          <w:sz w:val="16"/>
          <w:szCs w:val="16"/>
        </w:rPr>
      </w:pPr>
    </w:p>
    <w:p w14:paraId="11322A3B" w14:textId="77777777" w:rsidR="003F4719" w:rsidRPr="00D33399" w:rsidRDefault="003F4719" w:rsidP="005144E2">
      <w:pPr>
        <w:pStyle w:val="PargrafodaLista"/>
        <w:widowControl/>
        <w:numPr>
          <w:ilvl w:val="0"/>
          <w:numId w:val="8"/>
        </w:numPr>
        <w:tabs>
          <w:tab w:val="left" w:pos="7635"/>
        </w:tabs>
        <w:ind w:left="284" w:hanging="284"/>
        <w:jc w:val="both"/>
        <w:rPr>
          <w:rFonts w:ascii="Arial" w:hAnsi="Arial" w:cs="Arial"/>
          <w:b/>
        </w:rPr>
      </w:pPr>
      <w:r w:rsidRPr="00D33399">
        <w:rPr>
          <w:rFonts w:ascii="Arial" w:hAnsi="Arial" w:cs="Arial"/>
          <w:b/>
        </w:rPr>
        <w:t>Títulos e valores mobiliários de curto prazo</w:t>
      </w:r>
    </w:p>
    <w:p w14:paraId="26D43639" w14:textId="77777777" w:rsidR="007A4072" w:rsidRPr="008F7DFA" w:rsidRDefault="007A4072" w:rsidP="007A4072">
      <w:pPr>
        <w:widowControl/>
        <w:tabs>
          <w:tab w:val="left" w:pos="7635"/>
        </w:tabs>
        <w:jc w:val="both"/>
        <w:rPr>
          <w:rFonts w:ascii="Arial" w:hAnsi="Arial" w:cs="Arial"/>
          <w:b/>
          <w:sz w:val="16"/>
          <w:szCs w:val="16"/>
        </w:rPr>
      </w:pPr>
    </w:p>
    <w:p w14:paraId="4C8AE290" w14:textId="1F1E394B" w:rsidR="00AE1186" w:rsidRPr="00D33399" w:rsidRDefault="00D463CF" w:rsidP="005144E2">
      <w:pPr>
        <w:widowControl/>
        <w:tabs>
          <w:tab w:val="left" w:pos="7635"/>
        </w:tabs>
        <w:jc w:val="both"/>
        <w:rPr>
          <w:rFonts w:ascii="Arial" w:hAnsi="Arial" w:cs="Arial"/>
          <w:b/>
          <w:sz w:val="16"/>
          <w:szCs w:val="16"/>
        </w:rPr>
      </w:pPr>
      <w:r w:rsidRPr="00D33399">
        <w:rPr>
          <w:noProof/>
        </w:rPr>
        <w:drawing>
          <wp:inline distT="0" distB="0" distL="0" distR="0" wp14:anchorId="7D249029" wp14:editId="2693BCFD">
            <wp:extent cx="6073140" cy="1422471"/>
            <wp:effectExtent l="0" t="0" r="3810" b="6350"/>
            <wp:docPr id="67"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73140" cy="1422471"/>
                    </a:xfrm>
                    <a:prstGeom prst="rect">
                      <a:avLst/>
                    </a:prstGeom>
                    <a:noFill/>
                    <a:ln>
                      <a:noFill/>
                    </a:ln>
                  </pic:spPr>
                </pic:pic>
              </a:graphicData>
            </a:graphic>
          </wp:inline>
        </w:drawing>
      </w:r>
    </w:p>
    <w:p w14:paraId="1C36E173" w14:textId="77777777" w:rsidR="00425F2E" w:rsidRPr="00D33399" w:rsidRDefault="00425F2E" w:rsidP="00425F2E">
      <w:pPr>
        <w:rPr>
          <w:sz w:val="22"/>
          <w:szCs w:val="22"/>
        </w:rPr>
      </w:pPr>
    </w:p>
    <w:p w14:paraId="6CAFF8D2" w14:textId="57A20F66" w:rsidR="00084FA4" w:rsidRPr="00D33399" w:rsidRDefault="00084FA4" w:rsidP="00084FA4">
      <w:pPr>
        <w:rPr>
          <w:rFonts w:ascii="Arial" w:hAnsi="Arial" w:cs="Arial"/>
          <w:color w:val="000000"/>
        </w:rPr>
      </w:pPr>
      <w:r w:rsidRPr="00D33399">
        <w:rPr>
          <w:rFonts w:ascii="Arial" w:hAnsi="Arial" w:cs="Arial"/>
          <w:color w:val="000000"/>
        </w:rPr>
        <w:t>Em 2020, houve aplicação em títulos e valores mobiliários de curto prazo no valor de R$ 780.000, rendimento bruto de R$ 2.28</w:t>
      </w:r>
      <w:r w:rsidR="00615E69" w:rsidRPr="00D33399">
        <w:rPr>
          <w:rFonts w:ascii="Arial" w:hAnsi="Arial" w:cs="Arial"/>
          <w:color w:val="000000"/>
        </w:rPr>
        <w:t>8</w:t>
      </w:r>
      <w:r w:rsidRPr="00D33399">
        <w:rPr>
          <w:rFonts w:ascii="Arial" w:hAnsi="Arial" w:cs="Arial"/>
          <w:color w:val="000000"/>
        </w:rPr>
        <w:t xml:space="preserve"> e resgate de recursos, incluso IRRF e pagamento de IOF, no montante de R$ 737.555. </w:t>
      </w:r>
    </w:p>
    <w:p w14:paraId="35E98BFF" w14:textId="77777777" w:rsidR="00084FA4" w:rsidRDefault="00084FA4" w:rsidP="00084FA4">
      <w:pPr>
        <w:rPr>
          <w:rFonts w:ascii="Calibri" w:hAnsi="Calibri"/>
          <w:color w:val="000000"/>
        </w:rPr>
      </w:pPr>
    </w:p>
    <w:p w14:paraId="085E5FF5" w14:textId="77777777" w:rsidR="008F7DFA" w:rsidRDefault="008F7DFA" w:rsidP="00084FA4">
      <w:pPr>
        <w:rPr>
          <w:rFonts w:ascii="Calibri" w:hAnsi="Calibri"/>
          <w:color w:val="000000"/>
        </w:rPr>
      </w:pPr>
    </w:p>
    <w:p w14:paraId="2793EB15" w14:textId="77777777" w:rsidR="008F7DFA" w:rsidRDefault="008F7DFA" w:rsidP="00084FA4">
      <w:pPr>
        <w:rPr>
          <w:rFonts w:ascii="Calibri" w:hAnsi="Calibri"/>
          <w:color w:val="000000"/>
        </w:rPr>
      </w:pPr>
    </w:p>
    <w:p w14:paraId="70AE5D7E" w14:textId="77777777" w:rsidR="008F7DFA" w:rsidRDefault="008F7DFA" w:rsidP="00084FA4">
      <w:pPr>
        <w:rPr>
          <w:rFonts w:ascii="Calibri" w:hAnsi="Calibri"/>
          <w:color w:val="000000"/>
        </w:rPr>
      </w:pPr>
    </w:p>
    <w:p w14:paraId="6C4594F2" w14:textId="77777777" w:rsidR="008F7DFA" w:rsidRDefault="008F7DFA" w:rsidP="00084FA4">
      <w:pPr>
        <w:rPr>
          <w:rFonts w:ascii="Calibri" w:hAnsi="Calibri"/>
          <w:color w:val="000000"/>
        </w:rPr>
      </w:pPr>
    </w:p>
    <w:p w14:paraId="446FF097" w14:textId="77777777" w:rsidR="008F7DFA" w:rsidRDefault="008F7DFA" w:rsidP="00084FA4">
      <w:pPr>
        <w:rPr>
          <w:rFonts w:ascii="Calibri" w:hAnsi="Calibri"/>
          <w:color w:val="000000"/>
        </w:rPr>
      </w:pPr>
    </w:p>
    <w:p w14:paraId="156DA142" w14:textId="77777777" w:rsidR="008F7DFA" w:rsidRDefault="008F7DFA" w:rsidP="00084FA4">
      <w:pPr>
        <w:rPr>
          <w:rFonts w:ascii="Calibri" w:hAnsi="Calibri"/>
          <w:color w:val="000000"/>
        </w:rPr>
      </w:pPr>
    </w:p>
    <w:p w14:paraId="29D010A2" w14:textId="77777777" w:rsidR="008F7DFA" w:rsidRDefault="008F7DFA" w:rsidP="00084FA4">
      <w:pPr>
        <w:rPr>
          <w:rFonts w:ascii="Calibri" w:hAnsi="Calibri"/>
          <w:color w:val="000000"/>
        </w:rPr>
      </w:pPr>
    </w:p>
    <w:p w14:paraId="2E1ADE69" w14:textId="77777777" w:rsidR="008F7DFA" w:rsidRDefault="008F7DFA" w:rsidP="00084FA4">
      <w:pPr>
        <w:rPr>
          <w:rFonts w:ascii="Calibri" w:hAnsi="Calibri"/>
          <w:color w:val="000000"/>
        </w:rPr>
      </w:pPr>
    </w:p>
    <w:p w14:paraId="57D32787" w14:textId="77777777" w:rsidR="008F7DFA" w:rsidRDefault="008F7DFA" w:rsidP="00084FA4">
      <w:pPr>
        <w:rPr>
          <w:rFonts w:ascii="Calibri" w:hAnsi="Calibri"/>
          <w:color w:val="000000"/>
        </w:rPr>
      </w:pPr>
    </w:p>
    <w:p w14:paraId="5AA04786" w14:textId="77777777" w:rsidR="008F7DFA" w:rsidRDefault="008F7DFA" w:rsidP="00084FA4">
      <w:pPr>
        <w:rPr>
          <w:rFonts w:ascii="Calibri" w:hAnsi="Calibri"/>
          <w:color w:val="000000"/>
        </w:rPr>
      </w:pPr>
    </w:p>
    <w:p w14:paraId="51E4C595" w14:textId="77777777" w:rsidR="008F7DFA" w:rsidRPr="00D33399" w:rsidRDefault="008F7DFA" w:rsidP="00084FA4">
      <w:pPr>
        <w:rPr>
          <w:rFonts w:ascii="Calibri" w:hAnsi="Calibri"/>
          <w:color w:val="000000"/>
        </w:rPr>
      </w:pPr>
    </w:p>
    <w:p w14:paraId="53264CAC" w14:textId="77777777" w:rsidR="003F4719" w:rsidRPr="00D33399" w:rsidRDefault="003F4719" w:rsidP="005144E2">
      <w:pPr>
        <w:widowControl/>
        <w:tabs>
          <w:tab w:val="left" w:pos="7635"/>
        </w:tabs>
        <w:jc w:val="both"/>
        <w:rPr>
          <w:rFonts w:ascii="Arial" w:hAnsi="Arial" w:cs="Arial"/>
          <w:b/>
          <w:sz w:val="26"/>
          <w:szCs w:val="26"/>
        </w:rPr>
      </w:pPr>
      <w:r w:rsidRPr="00D33399">
        <w:rPr>
          <w:rFonts w:ascii="Arial" w:hAnsi="Arial" w:cs="Arial"/>
          <w:b/>
          <w:sz w:val="26"/>
          <w:szCs w:val="26"/>
        </w:rPr>
        <w:lastRenderedPageBreak/>
        <w:t>NOTA 6 – CLIENTES</w:t>
      </w:r>
    </w:p>
    <w:p w14:paraId="78C11A4B" w14:textId="77777777" w:rsidR="00E6025D" w:rsidRPr="00D33399" w:rsidRDefault="00E6025D" w:rsidP="005144E2">
      <w:pPr>
        <w:widowControl/>
        <w:tabs>
          <w:tab w:val="left" w:pos="7635"/>
        </w:tabs>
        <w:jc w:val="both"/>
        <w:rPr>
          <w:rFonts w:ascii="Arial" w:hAnsi="Arial" w:cs="Arial"/>
          <w:b/>
        </w:rPr>
      </w:pPr>
    </w:p>
    <w:p w14:paraId="3A058295" w14:textId="77777777" w:rsidR="00425F2E" w:rsidRPr="00D33399" w:rsidRDefault="00425F2E" w:rsidP="005144E2">
      <w:pPr>
        <w:widowControl/>
        <w:tabs>
          <w:tab w:val="left" w:pos="7635"/>
        </w:tabs>
        <w:jc w:val="both"/>
        <w:rPr>
          <w:rFonts w:ascii="Arial" w:hAnsi="Arial" w:cs="Arial"/>
          <w:b/>
        </w:rPr>
      </w:pPr>
    </w:p>
    <w:p w14:paraId="231AA69C" w14:textId="66FED95C" w:rsidR="00283239" w:rsidRPr="00D33399" w:rsidRDefault="000F476B" w:rsidP="005144E2">
      <w:pPr>
        <w:widowControl/>
        <w:tabs>
          <w:tab w:val="left" w:pos="7635"/>
        </w:tabs>
        <w:jc w:val="both"/>
        <w:rPr>
          <w:rFonts w:ascii="Arial" w:hAnsi="Arial" w:cs="Arial"/>
          <w:b/>
        </w:rPr>
      </w:pPr>
      <w:r w:rsidRPr="000F476B">
        <w:rPr>
          <w:noProof/>
        </w:rPr>
        <w:drawing>
          <wp:inline distT="0" distB="0" distL="0" distR="0" wp14:anchorId="73A703C8" wp14:editId="03080D9C">
            <wp:extent cx="5708650" cy="1892300"/>
            <wp:effectExtent l="0" t="0" r="635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08650" cy="1892300"/>
                    </a:xfrm>
                    <a:prstGeom prst="rect">
                      <a:avLst/>
                    </a:prstGeom>
                    <a:noFill/>
                    <a:ln>
                      <a:noFill/>
                    </a:ln>
                  </pic:spPr>
                </pic:pic>
              </a:graphicData>
            </a:graphic>
          </wp:inline>
        </w:drawing>
      </w:r>
    </w:p>
    <w:p w14:paraId="50766FC9" w14:textId="77777777" w:rsidR="00283239" w:rsidRPr="00D33399" w:rsidRDefault="00283239" w:rsidP="005144E2">
      <w:pPr>
        <w:widowControl/>
        <w:tabs>
          <w:tab w:val="left" w:pos="7635"/>
        </w:tabs>
        <w:jc w:val="both"/>
        <w:rPr>
          <w:rFonts w:ascii="Arial" w:hAnsi="Arial" w:cs="Arial"/>
          <w:b/>
        </w:rPr>
      </w:pPr>
    </w:p>
    <w:p w14:paraId="0DF91022" w14:textId="30709997" w:rsidR="006F3B03" w:rsidRPr="00D33399" w:rsidRDefault="006F3B03" w:rsidP="006F3B03">
      <w:pPr>
        <w:widowControl/>
        <w:numPr>
          <w:ilvl w:val="0"/>
          <w:numId w:val="9"/>
        </w:numPr>
        <w:ind w:left="426" w:hanging="426"/>
        <w:contextualSpacing/>
        <w:jc w:val="both"/>
        <w:rPr>
          <w:rFonts w:ascii="Arial" w:hAnsi="Arial" w:cs="Arial"/>
          <w:lang w:eastAsia="en-GB"/>
        </w:rPr>
      </w:pPr>
      <w:r w:rsidRPr="00D33399">
        <w:rPr>
          <w:rFonts w:ascii="Arial" w:hAnsi="Arial" w:cs="Arial"/>
        </w:rPr>
        <w:t xml:space="preserve">O faturamento da Companhia é realizado, mensalmente, com base na Resolução Normativa nº 530, editada em 21 de dezembro de 2012, pela Aneel, para todas as concessionárias, permissionárias ou autorizadas de serviço público de distribuição no Sistema Interligado Nacional – SIN. Em 30 de </w:t>
      </w:r>
      <w:r w:rsidR="007F0536" w:rsidRPr="00D33399">
        <w:rPr>
          <w:rFonts w:ascii="Arial" w:hAnsi="Arial" w:cs="Arial"/>
        </w:rPr>
        <w:t>setembro</w:t>
      </w:r>
      <w:r w:rsidRPr="00D33399">
        <w:rPr>
          <w:rFonts w:ascii="Arial" w:hAnsi="Arial" w:cs="Arial"/>
        </w:rPr>
        <w:t xml:space="preserve"> de 2020, não há histórico de inadimplência, </w:t>
      </w:r>
      <w:r w:rsidR="00462DEC" w:rsidRPr="00D33399">
        <w:rPr>
          <w:rFonts w:ascii="Arial" w:hAnsi="Arial" w:cs="Arial"/>
        </w:rPr>
        <w:t>que justifique a constituição de</w:t>
      </w:r>
      <w:r w:rsidRPr="00D33399">
        <w:rPr>
          <w:rFonts w:ascii="Arial" w:hAnsi="Arial" w:cs="Arial"/>
        </w:rPr>
        <w:t xml:space="preserve"> Provisão para Créditos de Liquidação Duvidosa - PCLD.</w:t>
      </w:r>
    </w:p>
    <w:p w14:paraId="26ECB36E" w14:textId="77777777" w:rsidR="006F3B03" w:rsidRPr="00D33399" w:rsidRDefault="006F3B03" w:rsidP="006F3B03">
      <w:pPr>
        <w:jc w:val="both"/>
        <w:rPr>
          <w:rFonts w:ascii="Arial" w:hAnsi="Arial" w:cs="Arial"/>
          <w:lang w:eastAsia="en-GB"/>
        </w:rPr>
      </w:pPr>
    </w:p>
    <w:p w14:paraId="61AC5CF3" w14:textId="6A100707" w:rsidR="006F3B03" w:rsidRPr="00D33399" w:rsidRDefault="00462DEC" w:rsidP="00921D19">
      <w:pPr>
        <w:numPr>
          <w:ilvl w:val="0"/>
          <w:numId w:val="9"/>
        </w:numPr>
        <w:ind w:left="425" w:hanging="425"/>
        <w:contextualSpacing/>
        <w:jc w:val="both"/>
        <w:rPr>
          <w:rFonts w:ascii="Arial" w:hAnsi="Arial" w:cs="Arial"/>
          <w:lang w:eastAsia="en-GB"/>
        </w:rPr>
      </w:pPr>
      <w:r w:rsidRPr="00D33399">
        <w:rPr>
          <w:rFonts w:ascii="Arial" w:hAnsi="Arial" w:cs="Arial"/>
          <w:lang w:eastAsia="en-GB"/>
        </w:rPr>
        <w:t xml:space="preserve">Em 30 de setembro de 2020, </w:t>
      </w:r>
      <w:r w:rsidR="00B44412" w:rsidRPr="00D33399">
        <w:rPr>
          <w:rFonts w:ascii="Arial" w:hAnsi="Arial" w:cs="Arial"/>
          <w:lang w:eastAsia="en-GB"/>
        </w:rPr>
        <w:t>o</w:t>
      </w:r>
      <w:r w:rsidRPr="00D33399">
        <w:rPr>
          <w:rFonts w:ascii="Arial" w:hAnsi="Arial" w:cs="Arial"/>
          <w:lang w:eastAsia="en-GB"/>
        </w:rPr>
        <w:t xml:space="preserve"> saldo </w:t>
      </w:r>
      <w:r w:rsidR="006F3B03" w:rsidRPr="00D33399">
        <w:rPr>
          <w:rFonts w:ascii="Arial" w:hAnsi="Arial" w:cs="Arial"/>
          <w:lang w:eastAsia="en-GB"/>
        </w:rPr>
        <w:t xml:space="preserve">a receber das distribuidoras participantes do Sistema Interligado Nacional </w:t>
      </w:r>
      <w:r w:rsidR="006F3B03" w:rsidRPr="001C19A0">
        <w:rPr>
          <w:rFonts w:ascii="Arial" w:hAnsi="Arial" w:cs="Arial"/>
          <w:lang w:eastAsia="en-GB"/>
        </w:rPr>
        <w:t xml:space="preserve">– SIN, referente ao desvio positivo apurado no exercício de 2019, foi de R$ </w:t>
      </w:r>
      <w:r w:rsidR="00B44412" w:rsidRPr="001C19A0">
        <w:rPr>
          <w:rFonts w:ascii="Arial" w:hAnsi="Arial" w:cs="Arial"/>
          <w:lang w:eastAsia="en-GB"/>
        </w:rPr>
        <w:t>36.748</w:t>
      </w:r>
      <w:r w:rsidR="006F3B03" w:rsidRPr="001C19A0">
        <w:rPr>
          <w:rFonts w:ascii="Arial" w:hAnsi="Arial" w:cs="Arial"/>
          <w:lang w:eastAsia="en-GB"/>
        </w:rPr>
        <w:t>.</w:t>
      </w:r>
      <w:r w:rsidR="00921D19" w:rsidRPr="001C19A0">
        <w:rPr>
          <w:rFonts w:ascii="Arial" w:hAnsi="Arial" w:cs="Arial"/>
          <w:lang w:eastAsia="en-GB"/>
        </w:rPr>
        <w:t xml:space="preserve"> No terceiro trimestre de 2020, foi apurado um desvio negativo no valor de R$ 361.989 a ser ressarcido às distribuidoras em doze parcelas mensais e iguais a partir de fevereiro de 2021 (Vide nota 27).</w:t>
      </w:r>
    </w:p>
    <w:p w14:paraId="07A146BC" w14:textId="77777777" w:rsidR="00224C9D" w:rsidRPr="00D33399" w:rsidRDefault="00224C9D" w:rsidP="00224C9D">
      <w:pPr>
        <w:pStyle w:val="PargrafodaLista"/>
        <w:rPr>
          <w:rFonts w:ascii="Arial" w:hAnsi="Arial" w:cs="Arial"/>
          <w:lang w:eastAsia="en-GB"/>
        </w:rPr>
      </w:pPr>
    </w:p>
    <w:p w14:paraId="10BFC69E" w14:textId="77777777" w:rsidR="006F3B03" w:rsidRPr="00D33399" w:rsidRDefault="006F3B03" w:rsidP="00161C85">
      <w:pPr>
        <w:pStyle w:val="PargrafodaLista"/>
        <w:jc w:val="both"/>
        <w:rPr>
          <w:rFonts w:ascii="Arial" w:hAnsi="Arial" w:cs="Arial"/>
          <w:lang w:eastAsia="en-GB"/>
        </w:rPr>
      </w:pPr>
    </w:p>
    <w:p w14:paraId="28335745" w14:textId="77777777" w:rsidR="006F3B03" w:rsidRPr="00D33399" w:rsidRDefault="006F3B03" w:rsidP="00161C85">
      <w:pPr>
        <w:pStyle w:val="PargrafodaLista"/>
        <w:jc w:val="both"/>
        <w:rPr>
          <w:rFonts w:ascii="Arial" w:hAnsi="Arial" w:cs="Arial"/>
          <w:lang w:eastAsia="en-GB"/>
        </w:rPr>
      </w:pPr>
    </w:p>
    <w:p w14:paraId="54A7AA90" w14:textId="77777777" w:rsidR="006F3B03" w:rsidRDefault="006F3B03" w:rsidP="00161C85">
      <w:pPr>
        <w:pStyle w:val="PargrafodaLista"/>
        <w:jc w:val="both"/>
        <w:rPr>
          <w:rFonts w:ascii="Arial" w:hAnsi="Arial" w:cs="Arial"/>
          <w:lang w:eastAsia="en-GB"/>
        </w:rPr>
      </w:pPr>
    </w:p>
    <w:p w14:paraId="507CC02B" w14:textId="77777777" w:rsidR="008F7DFA" w:rsidRDefault="008F7DFA" w:rsidP="00161C85">
      <w:pPr>
        <w:pStyle w:val="PargrafodaLista"/>
        <w:jc w:val="both"/>
        <w:rPr>
          <w:rFonts w:ascii="Arial" w:hAnsi="Arial" w:cs="Arial"/>
          <w:lang w:eastAsia="en-GB"/>
        </w:rPr>
      </w:pPr>
    </w:p>
    <w:p w14:paraId="5CE4FFB2" w14:textId="77777777" w:rsidR="008F7DFA" w:rsidRDefault="008F7DFA" w:rsidP="00161C85">
      <w:pPr>
        <w:pStyle w:val="PargrafodaLista"/>
        <w:jc w:val="both"/>
        <w:rPr>
          <w:rFonts w:ascii="Arial" w:hAnsi="Arial" w:cs="Arial"/>
          <w:lang w:eastAsia="en-GB"/>
        </w:rPr>
      </w:pPr>
    </w:p>
    <w:p w14:paraId="583233D8" w14:textId="77777777" w:rsidR="008F7DFA" w:rsidRDefault="008F7DFA" w:rsidP="00161C85">
      <w:pPr>
        <w:pStyle w:val="PargrafodaLista"/>
        <w:jc w:val="both"/>
        <w:rPr>
          <w:rFonts w:ascii="Arial" w:hAnsi="Arial" w:cs="Arial"/>
          <w:lang w:eastAsia="en-GB"/>
        </w:rPr>
      </w:pPr>
    </w:p>
    <w:p w14:paraId="18FBB9B1" w14:textId="77777777" w:rsidR="008F7DFA" w:rsidRDefault="008F7DFA" w:rsidP="00161C85">
      <w:pPr>
        <w:pStyle w:val="PargrafodaLista"/>
        <w:jc w:val="both"/>
        <w:rPr>
          <w:rFonts w:ascii="Arial" w:hAnsi="Arial" w:cs="Arial"/>
          <w:lang w:eastAsia="en-GB"/>
        </w:rPr>
      </w:pPr>
    </w:p>
    <w:p w14:paraId="0C0F7513" w14:textId="77777777" w:rsidR="008F7DFA" w:rsidRDefault="008F7DFA" w:rsidP="00161C85">
      <w:pPr>
        <w:pStyle w:val="PargrafodaLista"/>
        <w:jc w:val="both"/>
        <w:rPr>
          <w:rFonts w:ascii="Arial" w:hAnsi="Arial" w:cs="Arial"/>
          <w:lang w:eastAsia="en-GB"/>
        </w:rPr>
      </w:pPr>
    </w:p>
    <w:p w14:paraId="480B0F1A" w14:textId="77777777" w:rsidR="008F7DFA" w:rsidRDefault="008F7DFA" w:rsidP="00161C85">
      <w:pPr>
        <w:pStyle w:val="PargrafodaLista"/>
        <w:jc w:val="both"/>
        <w:rPr>
          <w:rFonts w:ascii="Arial" w:hAnsi="Arial" w:cs="Arial"/>
          <w:lang w:eastAsia="en-GB"/>
        </w:rPr>
      </w:pPr>
    </w:p>
    <w:p w14:paraId="6B4F30EF" w14:textId="77777777" w:rsidR="008F7DFA" w:rsidRDefault="008F7DFA" w:rsidP="00161C85">
      <w:pPr>
        <w:pStyle w:val="PargrafodaLista"/>
        <w:jc w:val="both"/>
        <w:rPr>
          <w:rFonts w:ascii="Arial" w:hAnsi="Arial" w:cs="Arial"/>
          <w:lang w:eastAsia="en-GB"/>
        </w:rPr>
      </w:pPr>
    </w:p>
    <w:p w14:paraId="58152E85" w14:textId="77777777" w:rsidR="008F7DFA" w:rsidRDefault="008F7DFA" w:rsidP="00161C85">
      <w:pPr>
        <w:pStyle w:val="PargrafodaLista"/>
        <w:jc w:val="both"/>
        <w:rPr>
          <w:rFonts w:ascii="Arial" w:hAnsi="Arial" w:cs="Arial"/>
          <w:lang w:eastAsia="en-GB"/>
        </w:rPr>
      </w:pPr>
    </w:p>
    <w:p w14:paraId="3FA67B29" w14:textId="77777777" w:rsidR="008F7DFA" w:rsidRDefault="008F7DFA" w:rsidP="00161C85">
      <w:pPr>
        <w:pStyle w:val="PargrafodaLista"/>
        <w:jc w:val="both"/>
        <w:rPr>
          <w:rFonts w:ascii="Arial" w:hAnsi="Arial" w:cs="Arial"/>
          <w:lang w:eastAsia="en-GB"/>
        </w:rPr>
      </w:pPr>
    </w:p>
    <w:p w14:paraId="70CF9B60" w14:textId="77777777" w:rsidR="008F7DFA" w:rsidRDefault="008F7DFA" w:rsidP="00161C85">
      <w:pPr>
        <w:pStyle w:val="PargrafodaLista"/>
        <w:jc w:val="both"/>
        <w:rPr>
          <w:rFonts w:ascii="Arial" w:hAnsi="Arial" w:cs="Arial"/>
          <w:lang w:eastAsia="en-GB"/>
        </w:rPr>
      </w:pPr>
    </w:p>
    <w:p w14:paraId="678896A7" w14:textId="77777777" w:rsidR="008F7DFA" w:rsidRDefault="008F7DFA" w:rsidP="00161C85">
      <w:pPr>
        <w:pStyle w:val="PargrafodaLista"/>
        <w:jc w:val="both"/>
        <w:rPr>
          <w:rFonts w:ascii="Arial" w:hAnsi="Arial" w:cs="Arial"/>
          <w:lang w:eastAsia="en-GB"/>
        </w:rPr>
      </w:pPr>
    </w:p>
    <w:p w14:paraId="7E086A58" w14:textId="77777777" w:rsidR="008F7DFA" w:rsidRDefault="008F7DFA" w:rsidP="00161C85">
      <w:pPr>
        <w:pStyle w:val="PargrafodaLista"/>
        <w:jc w:val="both"/>
        <w:rPr>
          <w:rFonts w:ascii="Arial" w:hAnsi="Arial" w:cs="Arial"/>
          <w:lang w:eastAsia="en-GB"/>
        </w:rPr>
      </w:pPr>
    </w:p>
    <w:p w14:paraId="23E49E78" w14:textId="77777777" w:rsidR="008F7DFA" w:rsidRDefault="008F7DFA" w:rsidP="00161C85">
      <w:pPr>
        <w:pStyle w:val="PargrafodaLista"/>
        <w:jc w:val="both"/>
        <w:rPr>
          <w:rFonts w:ascii="Arial" w:hAnsi="Arial" w:cs="Arial"/>
          <w:lang w:eastAsia="en-GB"/>
        </w:rPr>
      </w:pPr>
    </w:p>
    <w:p w14:paraId="14A015AC" w14:textId="77777777" w:rsidR="008F7DFA" w:rsidRPr="00D33399" w:rsidRDefault="008F7DFA" w:rsidP="00161C85">
      <w:pPr>
        <w:pStyle w:val="PargrafodaLista"/>
        <w:jc w:val="both"/>
        <w:rPr>
          <w:rFonts w:ascii="Arial" w:hAnsi="Arial" w:cs="Arial"/>
          <w:lang w:eastAsia="en-GB"/>
        </w:rPr>
      </w:pPr>
    </w:p>
    <w:p w14:paraId="0214E488" w14:textId="77777777" w:rsidR="00515D44" w:rsidRPr="00D33399" w:rsidRDefault="003F4719" w:rsidP="005144E2">
      <w:pPr>
        <w:jc w:val="both"/>
        <w:rPr>
          <w:rFonts w:ascii="Arial" w:hAnsi="Arial" w:cs="Arial"/>
          <w:b/>
          <w:sz w:val="26"/>
          <w:szCs w:val="26"/>
        </w:rPr>
      </w:pPr>
      <w:r w:rsidRPr="00D33399">
        <w:rPr>
          <w:rFonts w:ascii="Arial" w:hAnsi="Arial" w:cs="Arial"/>
          <w:b/>
          <w:sz w:val="26"/>
          <w:szCs w:val="26"/>
        </w:rPr>
        <w:lastRenderedPageBreak/>
        <w:t>NOTA 7 – IMPOSTOS E CONTRIBUIÇÕES SOCIAIS – ATIVO</w:t>
      </w:r>
    </w:p>
    <w:p w14:paraId="768FEDAD" w14:textId="77777777" w:rsidR="00515D44" w:rsidRPr="00D33399" w:rsidRDefault="00515D44" w:rsidP="005144E2">
      <w:pPr>
        <w:jc w:val="both"/>
        <w:rPr>
          <w:rFonts w:ascii="Arial" w:hAnsi="Arial" w:cs="Arial"/>
          <w:b/>
          <w:sz w:val="26"/>
          <w:szCs w:val="26"/>
        </w:rPr>
      </w:pPr>
    </w:p>
    <w:p w14:paraId="0A9DEF81" w14:textId="77777777" w:rsidR="00515D44" w:rsidRPr="00D33399" w:rsidRDefault="00515D44" w:rsidP="005144E2">
      <w:pPr>
        <w:jc w:val="both"/>
        <w:rPr>
          <w:rFonts w:ascii="Arial" w:hAnsi="Arial" w:cs="Arial"/>
          <w:b/>
          <w:sz w:val="26"/>
          <w:szCs w:val="26"/>
        </w:rPr>
      </w:pPr>
    </w:p>
    <w:p w14:paraId="67F9D066" w14:textId="55B451F3" w:rsidR="004F5BEE" w:rsidRPr="00D33399" w:rsidRDefault="00C160E1" w:rsidP="005144E2">
      <w:pPr>
        <w:jc w:val="both"/>
        <w:rPr>
          <w:rFonts w:ascii="Arial" w:hAnsi="Arial" w:cs="Arial"/>
          <w:b/>
        </w:rPr>
      </w:pPr>
      <w:r w:rsidRPr="00C160E1">
        <w:rPr>
          <w:noProof/>
        </w:rPr>
        <w:drawing>
          <wp:inline distT="0" distB="0" distL="0" distR="0" wp14:anchorId="356DBFF7" wp14:editId="6E8A9649">
            <wp:extent cx="5518150" cy="2774950"/>
            <wp:effectExtent l="0" t="0" r="6350" b="635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18150" cy="2774950"/>
                    </a:xfrm>
                    <a:prstGeom prst="rect">
                      <a:avLst/>
                    </a:prstGeom>
                    <a:noFill/>
                    <a:ln>
                      <a:noFill/>
                    </a:ln>
                  </pic:spPr>
                </pic:pic>
              </a:graphicData>
            </a:graphic>
          </wp:inline>
        </w:drawing>
      </w:r>
    </w:p>
    <w:p w14:paraId="23981A2C" w14:textId="77777777" w:rsidR="006F3B03" w:rsidRPr="00D33399" w:rsidRDefault="006F3B03" w:rsidP="005144E2">
      <w:pPr>
        <w:keepNext/>
        <w:widowControl/>
        <w:jc w:val="both"/>
        <w:outlineLvl w:val="3"/>
        <w:rPr>
          <w:rFonts w:ascii="Arial" w:hAnsi="Arial" w:cs="Arial"/>
          <w:b/>
          <w:sz w:val="26"/>
          <w:szCs w:val="26"/>
        </w:rPr>
      </w:pPr>
    </w:p>
    <w:p w14:paraId="7C84DCCC" w14:textId="77777777" w:rsidR="009F2AEA" w:rsidRPr="00D33399" w:rsidRDefault="009F2AEA" w:rsidP="005144E2">
      <w:pPr>
        <w:keepNext/>
        <w:widowControl/>
        <w:jc w:val="both"/>
        <w:outlineLvl w:val="3"/>
        <w:rPr>
          <w:rFonts w:ascii="Arial" w:hAnsi="Arial" w:cs="Arial"/>
          <w:b/>
          <w:sz w:val="26"/>
          <w:szCs w:val="26"/>
        </w:rPr>
      </w:pPr>
    </w:p>
    <w:p w14:paraId="7539C2FF" w14:textId="77777777" w:rsidR="006F3B03" w:rsidRPr="00D33399" w:rsidRDefault="006F3B03" w:rsidP="005144E2">
      <w:pPr>
        <w:keepNext/>
        <w:widowControl/>
        <w:jc w:val="both"/>
        <w:outlineLvl w:val="3"/>
        <w:rPr>
          <w:rFonts w:ascii="Arial" w:hAnsi="Arial" w:cs="Arial"/>
          <w:b/>
          <w:sz w:val="26"/>
          <w:szCs w:val="26"/>
        </w:rPr>
      </w:pPr>
    </w:p>
    <w:p w14:paraId="01386DBA" w14:textId="77777777" w:rsidR="003F4719" w:rsidRPr="00D33399" w:rsidRDefault="003F4719" w:rsidP="005144E2">
      <w:pPr>
        <w:keepNext/>
        <w:widowControl/>
        <w:jc w:val="both"/>
        <w:outlineLvl w:val="3"/>
        <w:rPr>
          <w:rFonts w:ascii="Arial" w:hAnsi="Arial" w:cs="Arial"/>
          <w:b/>
          <w:sz w:val="26"/>
          <w:szCs w:val="26"/>
        </w:rPr>
      </w:pPr>
      <w:r w:rsidRPr="00D33399">
        <w:rPr>
          <w:rFonts w:ascii="Arial" w:hAnsi="Arial" w:cs="Arial"/>
          <w:b/>
          <w:sz w:val="26"/>
          <w:szCs w:val="26"/>
        </w:rPr>
        <w:t xml:space="preserve">NOTA 8 - ESTOQUE DE COMBUSTÍVEL NUCLEAR </w:t>
      </w:r>
    </w:p>
    <w:p w14:paraId="6F19DD64" w14:textId="77777777" w:rsidR="000329BB" w:rsidRPr="00D33399" w:rsidRDefault="000329BB" w:rsidP="005144E2">
      <w:pPr>
        <w:jc w:val="both"/>
        <w:rPr>
          <w:rFonts w:ascii="Arial" w:hAnsi="Arial" w:cs="Arial"/>
          <w:b/>
          <w:snapToGrid w:val="0"/>
        </w:rPr>
      </w:pPr>
    </w:p>
    <w:p w14:paraId="425709DE" w14:textId="77777777" w:rsidR="006F3B03" w:rsidRPr="00D33399" w:rsidRDefault="006F3B03" w:rsidP="005144E2">
      <w:pPr>
        <w:jc w:val="both"/>
        <w:rPr>
          <w:rFonts w:ascii="Arial" w:hAnsi="Arial" w:cs="Arial"/>
          <w:b/>
          <w:snapToGrid w:val="0"/>
        </w:rPr>
      </w:pPr>
    </w:p>
    <w:p w14:paraId="4E4F48AD" w14:textId="77777777" w:rsidR="003F4719" w:rsidRPr="00D33399" w:rsidRDefault="003F4719" w:rsidP="005144E2">
      <w:pPr>
        <w:jc w:val="both"/>
        <w:rPr>
          <w:rFonts w:ascii="Arial" w:hAnsi="Arial" w:cs="Arial"/>
          <w:snapToGrid w:val="0"/>
        </w:rPr>
      </w:pPr>
      <w:r w:rsidRPr="00D33399">
        <w:rPr>
          <w:rFonts w:ascii="Arial" w:hAnsi="Arial" w:cs="Arial"/>
          <w:snapToGrid w:val="0"/>
        </w:rPr>
        <w:t>O com</w:t>
      </w:r>
      <w:r w:rsidR="00782DCE" w:rsidRPr="00D33399">
        <w:rPr>
          <w:rFonts w:ascii="Arial" w:hAnsi="Arial" w:cs="Arial"/>
          <w:snapToGrid w:val="0"/>
        </w:rPr>
        <w:t>bustível nuclear utilizado nas U</w:t>
      </w:r>
      <w:r w:rsidRPr="00D33399">
        <w:rPr>
          <w:rFonts w:ascii="Arial" w:hAnsi="Arial" w:cs="Arial"/>
          <w:snapToGrid w:val="0"/>
        </w:rPr>
        <w:t xml:space="preserve">sinas nucleares Angra 1 e Angra 2 é constituído de elementos fabricados com componentes metálicos e pastilhas de urânio em seu interior. </w:t>
      </w:r>
    </w:p>
    <w:p w14:paraId="52A3FEB8" w14:textId="77777777" w:rsidR="003F4719" w:rsidRPr="00D33399" w:rsidRDefault="003F4719" w:rsidP="005144E2">
      <w:pPr>
        <w:widowControl/>
        <w:jc w:val="both"/>
        <w:rPr>
          <w:rFonts w:ascii="Arial" w:hAnsi="Arial" w:cs="Arial"/>
          <w:snapToGrid w:val="0"/>
        </w:rPr>
      </w:pPr>
    </w:p>
    <w:p w14:paraId="786FCBEE" w14:textId="77777777" w:rsidR="003F4719" w:rsidRPr="00D33399" w:rsidRDefault="003F4719" w:rsidP="005144E2">
      <w:pPr>
        <w:widowControl/>
        <w:jc w:val="both"/>
        <w:rPr>
          <w:rFonts w:ascii="Arial" w:hAnsi="Arial" w:cs="Arial"/>
          <w:snapToGrid w:val="0"/>
        </w:rPr>
      </w:pPr>
      <w:r w:rsidRPr="00D33399">
        <w:rPr>
          <w:rFonts w:ascii="Arial" w:hAnsi="Arial" w:cs="Arial"/>
          <w:snapToGrid w:val="0"/>
        </w:rPr>
        <w:t xml:space="preserve">Na sua etapa inicial de formação, são adquiridos o minério de urânio e os serviços necessários </w:t>
      </w:r>
      <w:r w:rsidR="008A6C8C" w:rsidRPr="00D33399">
        <w:rPr>
          <w:rFonts w:ascii="Arial" w:hAnsi="Arial" w:cs="Arial"/>
          <w:snapToGrid w:val="0"/>
        </w:rPr>
        <w:t>à</w:t>
      </w:r>
      <w:r w:rsidRPr="00D33399">
        <w:rPr>
          <w:rFonts w:ascii="Arial" w:hAnsi="Arial" w:cs="Arial"/>
          <w:snapToGrid w:val="0"/>
        </w:rPr>
        <w:t xml:space="preserve"> sua fabricação, e classificados contabilmente no ativo não circulante, nas contas de estoque de concentrado de urânio e serviço em curso - combustível nuclear, respectivamente. Depois de concluído o processo de fabricação, tem-se o elemento de combustível nuclear pronto, cujo valor é classificado em dois grupos contábeis: no ativo circulante, é registrada a parcela relativa à previsão do consumo para os próximos 12 meses e, no não circulante, a parcela restante. </w:t>
      </w:r>
    </w:p>
    <w:p w14:paraId="20224F43" w14:textId="77777777" w:rsidR="006F3B03" w:rsidRPr="00D33399" w:rsidRDefault="006F3B03" w:rsidP="005144E2">
      <w:pPr>
        <w:widowControl/>
        <w:jc w:val="both"/>
        <w:rPr>
          <w:rFonts w:ascii="Arial" w:hAnsi="Arial" w:cs="Arial"/>
          <w:snapToGrid w:val="0"/>
        </w:rPr>
      </w:pPr>
    </w:p>
    <w:p w14:paraId="42B57081" w14:textId="77777777" w:rsidR="003F4719" w:rsidRPr="00D33399" w:rsidRDefault="003F4719" w:rsidP="005144E2">
      <w:pPr>
        <w:jc w:val="both"/>
        <w:rPr>
          <w:rFonts w:ascii="Arial" w:hAnsi="Arial" w:cs="Arial"/>
          <w:snapToGrid w:val="0"/>
        </w:rPr>
      </w:pPr>
      <w:r w:rsidRPr="00D33399">
        <w:rPr>
          <w:rFonts w:ascii="Arial" w:hAnsi="Arial" w:cs="Arial"/>
          <w:snapToGrid w:val="0"/>
        </w:rPr>
        <w:t>A amortização do combustível nuclear ocorre pela perda do potencial de energia térmica dos elementos, que proporciona a geração de energia elétrica. A amortização não é linear, não havendo geração de energia, não há amortização.</w:t>
      </w:r>
    </w:p>
    <w:p w14:paraId="3A29E9B1" w14:textId="77777777" w:rsidR="00FB7D94" w:rsidRPr="00D33399" w:rsidRDefault="00FB7D94" w:rsidP="005144E2">
      <w:pPr>
        <w:jc w:val="both"/>
        <w:rPr>
          <w:rFonts w:ascii="Arial" w:hAnsi="Arial" w:cs="Arial"/>
          <w:snapToGrid w:val="0"/>
        </w:rPr>
      </w:pPr>
    </w:p>
    <w:p w14:paraId="45A9E54C" w14:textId="60DD2762" w:rsidR="00201BD4" w:rsidRPr="00D33399" w:rsidRDefault="00201BD4" w:rsidP="005144E2">
      <w:pPr>
        <w:jc w:val="both"/>
        <w:rPr>
          <w:rFonts w:ascii="Arial" w:hAnsi="Arial" w:cs="Arial"/>
          <w:snapToGrid w:val="0"/>
        </w:rPr>
      </w:pPr>
    </w:p>
    <w:p w14:paraId="10AA516A" w14:textId="0D0FC17E" w:rsidR="00DE6150" w:rsidRPr="00D33399" w:rsidRDefault="00A02031" w:rsidP="005144E2">
      <w:pPr>
        <w:jc w:val="both"/>
        <w:rPr>
          <w:rFonts w:ascii="Arial" w:hAnsi="Arial" w:cs="Arial"/>
          <w:snapToGrid w:val="0"/>
        </w:rPr>
      </w:pPr>
      <w:r w:rsidRPr="00D33399">
        <w:rPr>
          <w:noProof/>
        </w:rPr>
        <w:lastRenderedPageBreak/>
        <w:drawing>
          <wp:inline distT="0" distB="0" distL="0" distR="0" wp14:anchorId="03376F7E" wp14:editId="4A49D225">
            <wp:extent cx="3867150" cy="2305050"/>
            <wp:effectExtent l="0" t="0" r="0" b="0"/>
            <wp:docPr id="73"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67150" cy="2305050"/>
                    </a:xfrm>
                    <a:prstGeom prst="rect">
                      <a:avLst/>
                    </a:prstGeom>
                    <a:noFill/>
                    <a:ln>
                      <a:noFill/>
                    </a:ln>
                  </pic:spPr>
                </pic:pic>
              </a:graphicData>
            </a:graphic>
          </wp:inline>
        </w:drawing>
      </w:r>
    </w:p>
    <w:p w14:paraId="307EAF67" w14:textId="77777777" w:rsidR="00A02031" w:rsidRDefault="00A02031" w:rsidP="005144E2">
      <w:pPr>
        <w:jc w:val="both"/>
        <w:rPr>
          <w:rFonts w:ascii="Arial" w:hAnsi="Arial" w:cs="Arial"/>
          <w:snapToGrid w:val="0"/>
        </w:rPr>
      </w:pPr>
    </w:p>
    <w:p w14:paraId="2C76C5EC" w14:textId="77777777" w:rsidR="00FB6FC5" w:rsidRPr="00D33399" w:rsidRDefault="00FB6FC5" w:rsidP="005144E2">
      <w:pPr>
        <w:jc w:val="both"/>
        <w:rPr>
          <w:rFonts w:ascii="Arial" w:hAnsi="Arial" w:cs="Arial"/>
          <w:snapToGrid w:val="0"/>
        </w:rPr>
      </w:pPr>
    </w:p>
    <w:p w14:paraId="7102156A" w14:textId="77777777" w:rsidR="00DE6150" w:rsidRPr="00D33399" w:rsidRDefault="00DE6150" w:rsidP="005144E2">
      <w:pPr>
        <w:jc w:val="both"/>
        <w:rPr>
          <w:rFonts w:ascii="Arial" w:hAnsi="Arial" w:cs="Arial"/>
          <w:b/>
          <w:snapToGrid w:val="0"/>
          <w:sz w:val="16"/>
          <w:szCs w:val="16"/>
        </w:rPr>
      </w:pPr>
      <w:r w:rsidRPr="00D33399">
        <w:rPr>
          <w:rFonts w:ascii="Arial" w:hAnsi="Arial" w:cs="Arial"/>
          <w:snapToGrid w:val="0"/>
        </w:rPr>
        <w:t>A movimentação do estoque de combustível nuclear está apresentada a seguir:</w:t>
      </w:r>
    </w:p>
    <w:p w14:paraId="77FC6F67" w14:textId="77777777" w:rsidR="00DE6150" w:rsidRPr="00D33399" w:rsidRDefault="00DE6150" w:rsidP="005144E2">
      <w:pPr>
        <w:jc w:val="both"/>
        <w:rPr>
          <w:rFonts w:ascii="Arial" w:hAnsi="Arial" w:cs="Arial"/>
          <w:b/>
          <w:snapToGrid w:val="0"/>
          <w:sz w:val="16"/>
          <w:szCs w:val="16"/>
        </w:rPr>
      </w:pPr>
    </w:p>
    <w:p w14:paraId="2A4AB1D7" w14:textId="7BEB4AE0" w:rsidR="00CA7E43" w:rsidRPr="00D33399" w:rsidRDefault="00657F3C" w:rsidP="005144E2">
      <w:pPr>
        <w:jc w:val="both"/>
        <w:rPr>
          <w:rFonts w:ascii="Arial" w:hAnsi="Arial" w:cs="Arial"/>
          <w:b/>
          <w:snapToGrid w:val="0"/>
        </w:rPr>
      </w:pPr>
      <w:r w:rsidRPr="00657F3C">
        <w:rPr>
          <w:noProof/>
        </w:rPr>
        <w:drawing>
          <wp:inline distT="0" distB="0" distL="0" distR="0" wp14:anchorId="6C08EC31" wp14:editId="5C6D6734">
            <wp:extent cx="6073140" cy="1934729"/>
            <wp:effectExtent l="0" t="0" r="3810" b="889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73140" cy="1934729"/>
                    </a:xfrm>
                    <a:prstGeom prst="rect">
                      <a:avLst/>
                    </a:prstGeom>
                    <a:noFill/>
                    <a:ln>
                      <a:noFill/>
                    </a:ln>
                  </pic:spPr>
                </pic:pic>
              </a:graphicData>
            </a:graphic>
          </wp:inline>
        </w:drawing>
      </w:r>
    </w:p>
    <w:p w14:paraId="28D14550" w14:textId="77777777" w:rsidR="00AB36B1" w:rsidRPr="00D33399" w:rsidRDefault="00AB36B1" w:rsidP="005144E2">
      <w:pPr>
        <w:jc w:val="both"/>
        <w:rPr>
          <w:rFonts w:ascii="Arial" w:hAnsi="Arial" w:cs="Arial"/>
          <w:b/>
          <w:snapToGrid w:val="0"/>
          <w:sz w:val="16"/>
          <w:szCs w:val="16"/>
        </w:rPr>
      </w:pPr>
    </w:p>
    <w:p w14:paraId="0E953C7B" w14:textId="14052807" w:rsidR="00244DB4" w:rsidRPr="00D33399" w:rsidRDefault="004D6B05" w:rsidP="005144E2">
      <w:pPr>
        <w:jc w:val="both"/>
        <w:rPr>
          <w:rFonts w:ascii="Arial" w:hAnsi="Arial" w:cs="Arial"/>
          <w:b/>
          <w:snapToGrid w:val="0"/>
        </w:rPr>
      </w:pPr>
      <w:r w:rsidRPr="004D6B05">
        <w:rPr>
          <w:noProof/>
        </w:rPr>
        <w:drawing>
          <wp:inline distT="0" distB="0" distL="0" distR="0" wp14:anchorId="53FDB7DE" wp14:editId="4E7AC6EC">
            <wp:extent cx="6073140" cy="1690656"/>
            <wp:effectExtent l="0" t="0" r="3810" b="508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73140" cy="1690656"/>
                    </a:xfrm>
                    <a:prstGeom prst="rect">
                      <a:avLst/>
                    </a:prstGeom>
                    <a:noFill/>
                    <a:ln>
                      <a:noFill/>
                    </a:ln>
                  </pic:spPr>
                </pic:pic>
              </a:graphicData>
            </a:graphic>
          </wp:inline>
        </w:drawing>
      </w:r>
    </w:p>
    <w:p w14:paraId="0E3DF714" w14:textId="0B772569" w:rsidR="00EF2941" w:rsidRPr="00D33399" w:rsidRDefault="00EF2941" w:rsidP="005144E2">
      <w:pPr>
        <w:jc w:val="both"/>
        <w:rPr>
          <w:rFonts w:ascii="Arial" w:hAnsi="Arial" w:cs="Arial"/>
          <w:b/>
          <w:snapToGrid w:val="0"/>
        </w:rPr>
      </w:pPr>
    </w:p>
    <w:p w14:paraId="1E16C579" w14:textId="4CCB7E41" w:rsidR="00837D76" w:rsidRDefault="00837D76" w:rsidP="00837D76">
      <w:pPr>
        <w:jc w:val="both"/>
        <w:rPr>
          <w:rFonts w:ascii="Arial" w:hAnsi="Arial" w:cs="Arial"/>
          <w:color w:val="000000"/>
          <w:sz w:val="22"/>
          <w:szCs w:val="22"/>
        </w:rPr>
      </w:pPr>
      <w:r>
        <w:rPr>
          <w:rFonts w:ascii="Arial" w:hAnsi="Arial" w:cs="Arial"/>
          <w:color w:val="000000"/>
        </w:rPr>
        <w:t xml:space="preserve">Em 22 de junho de 2020, conforme programação, foi iniciada a parada para manutenção e reabastecimento de combustível nuclear na Usina Angra 2, com duração inicial prevista de 22 (vinte e dois) dias. A cada reabastecimento, é substituído cerca de um terço dos elementos combustíveis do reator. Durante as inspeções realizadas nesta parada, foi detectada, nos elementos combustíveis carregados no último ciclo de operação, uma oxidação superficial inesperada no revestimento dos tubos que contém as pastilhas de urânio enriquecido, o que requererá rigorosos testes de inspeções para uma avaliação </w:t>
      </w:r>
      <w:r>
        <w:rPr>
          <w:rFonts w:ascii="Arial" w:hAnsi="Arial" w:cs="Arial"/>
          <w:color w:val="000000"/>
        </w:rPr>
        <w:lastRenderedPageBreak/>
        <w:t xml:space="preserve">deste evento. Vale destacar que esse incidente, em nenhum momento, comprometeu a segurança e o desempenho da Usina Angra 2, que operou continuamente por 13 meses, tendo inclusive batido seu próprio recorde de produção no último dia 19 de junho de 2020, com a marca de 200 milhões de MWh* </w:t>
      </w:r>
      <w:r w:rsidR="00076442">
        <w:rPr>
          <w:rFonts w:ascii="Arial" w:hAnsi="Arial" w:cs="Arial"/>
          <w:color w:val="000000"/>
        </w:rPr>
        <w:t xml:space="preserve">(não auditado) </w:t>
      </w:r>
      <w:r>
        <w:rPr>
          <w:rFonts w:ascii="Arial" w:hAnsi="Arial" w:cs="Arial"/>
          <w:color w:val="000000"/>
        </w:rPr>
        <w:t xml:space="preserve">gerados desde 2001. </w:t>
      </w:r>
    </w:p>
    <w:p w14:paraId="6AA26ED3" w14:textId="77777777" w:rsidR="00837D76" w:rsidRDefault="00837D76" w:rsidP="00837D76">
      <w:pPr>
        <w:ind w:left="708"/>
        <w:jc w:val="both"/>
        <w:rPr>
          <w:rFonts w:ascii="Arial" w:hAnsi="Arial" w:cs="Arial"/>
          <w:color w:val="000000"/>
        </w:rPr>
      </w:pPr>
    </w:p>
    <w:p w14:paraId="74827382" w14:textId="639CD9C2" w:rsidR="00837D76" w:rsidRDefault="00837D76" w:rsidP="00837D76">
      <w:pPr>
        <w:jc w:val="both"/>
        <w:rPr>
          <w:rFonts w:ascii="Arial" w:hAnsi="Arial" w:cs="Arial"/>
          <w:color w:val="000000"/>
        </w:rPr>
      </w:pPr>
      <w:r>
        <w:rPr>
          <w:rFonts w:ascii="Arial" w:hAnsi="Arial" w:cs="Arial"/>
          <w:color w:val="000000"/>
        </w:rPr>
        <w:t xml:space="preserve">Para viabilizar o retorno da operação da Usina Angra 2 no menor tempo possível e seguindo todos os protocolos de segurança, a </w:t>
      </w:r>
      <w:r w:rsidR="004817D4">
        <w:rPr>
          <w:rFonts w:ascii="Arial" w:hAnsi="Arial" w:cs="Arial"/>
          <w:color w:val="000000"/>
        </w:rPr>
        <w:t>ELETRONUCLEAR</w:t>
      </w:r>
      <w:r>
        <w:rPr>
          <w:rFonts w:ascii="Arial" w:hAnsi="Arial" w:cs="Arial"/>
          <w:color w:val="000000"/>
        </w:rPr>
        <w:t xml:space="preserve"> substituiu todos os 52 (cinquenta e dois) elementos combustíveis, que ainda serão inspecionados, para o próximo ciclo de operação. A substituição destes elementos combustíveis foi feita em parte por 24 (vinte e quatro) elementos combustíveis novos e que já estavam prontos para uso na Usina Angra 3 e 28 (vinte e oito) elementos combustíveis usados e que estavam armazenados na piscina de combustível usado (PCU) de Angra 2. A Usina Angra 2 (“Angra 2”), com 1.350 MW de capacidade instalada, foi reconectada ao Sistema Interligado Nacional (“SIN”) em 17 de agosto de 2020.</w:t>
      </w:r>
    </w:p>
    <w:p w14:paraId="4B9640C8" w14:textId="77777777" w:rsidR="00837D76" w:rsidRDefault="00837D76" w:rsidP="00837D76">
      <w:pPr>
        <w:ind w:left="708"/>
        <w:jc w:val="both"/>
        <w:rPr>
          <w:rFonts w:ascii="Arial" w:hAnsi="Arial" w:cs="Arial"/>
          <w:color w:val="000000"/>
        </w:rPr>
      </w:pPr>
    </w:p>
    <w:p w14:paraId="2B0CDB7F" w14:textId="53346ACF" w:rsidR="00802CD1" w:rsidRDefault="00837D76" w:rsidP="00837D76">
      <w:pPr>
        <w:jc w:val="both"/>
        <w:rPr>
          <w:rFonts w:ascii="Arial" w:hAnsi="Arial" w:cs="Arial"/>
          <w:snapToGrid w:val="0"/>
        </w:rPr>
      </w:pPr>
      <w:r>
        <w:rPr>
          <w:rFonts w:ascii="Arial" w:hAnsi="Arial" w:cs="Arial"/>
          <w:color w:val="000000"/>
        </w:rPr>
        <w:t xml:space="preserve">Essa nova configuração de reabastecimento do núcleo do reator permitirá o funcionamento da Usina Angra 2 a uma capacidade de 90% para um ciclo aproximado de 9 (nove) meses, até a próxima parada para manutenção e reabastecimento de combustível nuclear, e, implicou no incremento de custo no estoque referente aos 24 (vinte e quatro) </w:t>
      </w:r>
      <w:r w:rsidR="00076442">
        <w:rPr>
          <w:rFonts w:ascii="Arial" w:hAnsi="Arial" w:cs="Arial"/>
          <w:color w:val="000000"/>
        </w:rPr>
        <w:t xml:space="preserve">elementos </w:t>
      </w:r>
      <w:r>
        <w:rPr>
          <w:rFonts w:ascii="Arial" w:hAnsi="Arial" w:cs="Arial"/>
          <w:color w:val="000000"/>
        </w:rPr>
        <w:t xml:space="preserve">no montante de </w:t>
      </w:r>
      <w:r>
        <w:rPr>
          <w:rFonts w:ascii="Arial" w:hAnsi="Arial" w:cs="Arial"/>
          <w:snapToGrid w:val="0"/>
        </w:rPr>
        <w:t xml:space="preserve">R$ 75.448, composto pela transferência de R$ 67.439 de adiantamento de imobilizado, R$ 127 de custo de transporte e provisão de 10% da etapa de fabricação no montante de R$ 7.882 que será desembolsado quando a etapa contratual </w:t>
      </w:r>
      <w:r w:rsidR="00802CD1" w:rsidRPr="00C07C01">
        <w:rPr>
          <w:rFonts w:ascii="Arial" w:hAnsi="Arial" w:cs="Arial"/>
          <w:snapToGrid w:val="0"/>
        </w:rPr>
        <w:t>for cumprida.</w:t>
      </w:r>
    </w:p>
    <w:p w14:paraId="42DD6C7D" w14:textId="3D5AEC41" w:rsidR="00933E17" w:rsidRDefault="00933E17" w:rsidP="00802CD1">
      <w:pPr>
        <w:jc w:val="both"/>
        <w:rPr>
          <w:rFonts w:ascii="Arial" w:hAnsi="Arial" w:cs="Arial"/>
          <w:snapToGrid w:val="0"/>
        </w:rPr>
      </w:pPr>
    </w:p>
    <w:p w14:paraId="11587374" w14:textId="77777777" w:rsidR="00837D76" w:rsidRDefault="00837D76" w:rsidP="00837D76">
      <w:pPr>
        <w:jc w:val="both"/>
        <w:rPr>
          <w:rFonts w:ascii="Arial" w:hAnsi="Arial" w:cs="Arial"/>
          <w:color w:val="000000"/>
          <w:sz w:val="22"/>
          <w:szCs w:val="22"/>
        </w:rPr>
      </w:pPr>
      <w:r>
        <w:rPr>
          <w:rFonts w:ascii="Arial" w:hAnsi="Arial" w:cs="Arial"/>
          <w:color w:val="000000"/>
        </w:rPr>
        <w:t>As avaliações e testes dos 52 elementos combustíveis foram iniciados no final de outubro de 2020 e estão sendo realizados pela empresa responsável pelo projeto da usina. O objetivo é determinar as causas da oxidação e verificar a viabilidade da utilização destes elementos combustíveis por mais ciclos operacionais, conforme planejado. Todos os resultados serão submetidos à análise do órgão licenciador, a Comissão Nacional de Energia Nuclear (CNEN). A previsão de conclusão destas avaliações está prevista para o final de novembro de 2020.</w:t>
      </w:r>
    </w:p>
    <w:p w14:paraId="0951DF05" w14:textId="77777777" w:rsidR="00837D76" w:rsidRDefault="00837D76" w:rsidP="00837D76">
      <w:pPr>
        <w:ind w:left="708"/>
        <w:jc w:val="both"/>
        <w:rPr>
          <w:rFonts w:ascii="Arial" w:hAnsi="Arial" w:cs="Arial"/>
          <w:snapToGrid w:val="0"/>
        </w:rPr>
      </w:pPr>
    </w:p>
    <w:p w14:paraId="3ACF7FDE" w14:textId="6F1DC6AA" w:rsidR="00802CD1" w:rsidRDefault="00837D76" w:rsidP="00837D76">
      <w:pPr>
        <w:jc w:val="both"/>
        <w:rPr>
          <w:rFonts w:ascii="Arial" w:hAnsi="Arial" w:cs="Arial"/>
          <w:color w:val="000000" w:themeColor="text1"/>
        </w:rPr>
      </w:pPr>
      <w:r>
        <w:rPr>
          <w:rFonts w:ascii="Arial" w:hAnsi="Arial" w:cs="Arial"/>
          <w:color w:val="000000"/>
        </w:rPr>
        <w:t>As demonstrações financeiras intermediárias reportadas na data base de 30 de setembro de 2020 não contém os efeitos da avaliação de viabilidade da utilização integral dos 52 (cinquenta e dois) elementos combustíveis a serem ainda inspecionados.</w:t>
      </w:r>
      <w:r w:rsidR="00802CD1" w:rsidRPr="00003FA3">
        <w:rPr>
          <w:rFonts w:ascii="Arial" w:hAnsi="Arial" w:cs="Arial"/>
          <w:color w:val="000000" w:themeColor="text1"/>
        </w:rPr>
        <w:t xml:space="preserve"> </w:t>
      </w:r>
    </w:p>
    <w:p w14:paraId="3414B04F" w14:textId="77777777" w:rsidR="00AB36B1" w:rsidRPr="00D33399" w:rsidRDefault="00AB36B1" w:rsidP="005144E2">
      <w:pPr>
        <w:jc w:val="both"/>
        <w:rPr>
          <w:rFonts w:ascii="Arial" w:hAnsi="Arial" w:cs="Arial"/>
          <w:b/>
          <w:snapToGrid w:val="0"/>
        </w:rPr>
      </w:pPr>
    </w:p>
    <w:p w14:paraId="18BCA7E2" w14:textId="77777777" w:rsidR="00AB36B1" w:rsidRPr="00D33399" w:rsidRDefault="00AB36B1" w:rsidP="005144E2">
      <w:pPr>
        <w:jc w:val="both"/>
        <w:rPr>
          <w:rFonts w:ascii="Arial" w:hAnsi="Arial" w:cs="Arial"/>
          <w:b/>
          <w:snapToGrid w:val="0"/>
        </w:rPr>
      </w:pPr>
    </w:p>
    <w:p w14:paraId="18815322" w14:textId="77777777" w:rsidR="00AB36B1" w:rsidRDefault="00AB36B1" w:rsidP="005144E2">
      <w:pPr>
        <w:jc w:val="both"/>
        <w:rPr>
          <w:rFonts w:ascii="Arial" w:hAnsi="Arial" w:cs="Arial"/>
          <w:b/>
          <w:snapToGrid w:val="0"/>
        </w:rPr>
      </w:pPr>
    </w:p>
    <w:p w14:paraId="45574E90" w14:textId="77777777" w:rsidR="009D4087" w:rsidRDefault="009D4087" w:rsidP="005144E2">
      <w:pPr>
        <w:jc w:val="both"/>
        <w:rPr>
          <w:rFonts w:ascii="Arial" w:hAnsi="Arial" w:cs="Arial"/>
          <w:b/>
          <w:snapToGrid w:val="0"/>
        </w:rPr>
      </w:pPr>
    </w:p>
    <w:p w14:paraId="11E1E3C8" w14:textId="77777777" w:rsidR="009D4087" w:rsidRDefault="009D4087" w:rsidP="005144E2">
      <w:pPr>
        <w:jc w:val="both"/>
        <w:rPr>
          <w:rFonts w:ascii="Arial" w:hAnsi="Arial" w:cs="Arial"/>
          <w:b/>
          <w:snapToGrid w:val="0"/>
        </w:rPr>
      </w:pPr>
    </w:p>
    <w:p w14:paraId="21EC3C3C" w14:textId="77777777" w:rsidR="009D4087" w:rsidRDefault="009D4087" w:rsidP="005144E2">
      <w:pPr>
        <w:jc w:val="both"/>
        <w:rPr>
          <w:rFonts w:ascii="Arial" w:hAnsi="Arial" w:cs="Arial"/>
          <w:b/>
          <w:snapToGrid w:val="0"/>
        </w:rPr>
      </w:pPr>
    </w:p>
    <w:p w14:paraId="7ECF95B2" w14:textId="77777777" w:rsidR="009D4087" w:rsidRDefault="009D4087" w:rsidP="005144E2">
      <w:pPr>
        <w:jc w:val="both"/>
        <w:rPr>
          <w:rFonts w:ascii="Arial" w:hAnsi="Arial" w:cs="Arial"/>
          <w:b/>
          <w:snapToGrid w:val="0"/>
        </w:rPr>
      </w:pPr>
    </w:p>
    <w:p w14:paraId="7CAECDF0" w14:textId="77777777" w:rsidR="009D4087" w:rsidRDefault="009D4087" w:rsidP="005144E2">
      <w:pPr>
        <w:jc w:val="both"/>
        <w:rPr>
          <w:rFonts w:ascii="Arial" w:hAnsi="Arial" w:cs="Arial"/>
          <w:b/>
          <w:snapToGrid w:val="0"/>
        </w:rPr>
      </w:pPr>
    </w:p>
    <w:p w14:paraId="591F6F31" w14:textId="77777777" w:rsidR="009D4087" w:rsidRPr="00D33399" w:rsidRDefault="009D4087" w:rsidP="005144E2">
      <w:pPr>
        <w:jc w:val="both"/>
        <w:rPr>
          <w:rFonts w:ascii="Arial" w:hAnsi="Arial" w:cs="Arial"/>
          <w:b/>
          <w:snapToGrid w:val="0"/>
        </w:rPr>
      </w:pPr>
    </w:p>
    <w:p w14:paraId="3FB73288" w14:textId="77777777" w:rsidR="003F4719" w:rsidRPr="00D33399" w:rsidRDefault="003F4719" w:rsidP="00CE167E">
      <w:pPr>
        <w:keepNext/>
        <w:widowControl/>
        <w:jc w:val="both"/>
        <w:outlineLvl w:val="3"/>
        <w:rPr>
          <w:rFonts w:ascii="Arial" w:hAnsi="Arial" w:cs="Arial"/>
          <w:b/>
          <w:snapToGrid w:val="0"/>
          <w:sz w:val="26"/>
          <w:szCs w:val="26"/>
        </w:rPr>
      </w:pPr>
      <w:r w:rsidRPr="00D33399">
        <w:rPr>
          <w:rFonts w:ascii="Arial" w:hAnsi="Arial" w:cs="Arial"/>
          <w:b/>
          <w:snapToGrid w:val="0"/>
          <w:sz w:val="26"/>
          <w:szCs w:val="26"/>
        </w:rPr>
        <w:lastRenderedPageBreak/>
        <w:t>NOTA 9</w:t>
      </w:r>
      <w:r w:rsidR="00CE167E" w:rsidRPr="00D33399">
        <w:rPr>
          <w:rFonts w:ascii="Arial" w:hAnsi="Arial" w:cs="Arial"/>
          <w:b/>
          <w:snapToGrid w:val="0"/>
          <w:sz w:val="26"/>
          <w:szCs w:val="26"/>
        </w:rPr>
        <w:t xml:space="preserve"> </w:t>
      </w:r>
      <w:r w:rsidRPr="00D33399">
        <w:rPr>
          <w:rFonts w:ascii="Arial" w:hAnsi="Arial" w:cs="Arial"/>
          <w:b/>
          <w:snapToGrid w:val="0"/>
          <w:sz w:val="26"/>
          <w:szCs w:val="26"/>
        </w:rPr>
        <w:t>– ALMOXARIFADO</w:t>
      </w:r>
    </w:p>
    <w:p w14:paraId="721A5A27" w14:textId="77777777" w:rsidR="00D33680" w:rsidRPr="00D33399" w:rsidRDefault="00D33680" w:rsidP="005144E2">
      <w:pPr>
        <w:jc w:val="both"/>
        <w:rPr>
          <w:rFonts w:ascii="Arial" w:hAnsi="Arial" w:cs="Arial"/>
        </w:rPr>
      </w:pPr>
    </w:p>
    <w:p w14:paraId="780186B2" w14:textId="77777777" w:rsidR="00811F73" w:rsidRPr="00D33399" w:rsidRDefault="00811F73" w:rsidP="005144E2">
      <w:pPr>
        <w:jc w:val="both"/>
        <w:rPr>
          <w:rFonts w:ascii="Arial" w:hAnsi="Arial" w:cs="Arial"/>
        </w:rPr>
      </w:pPr>
    </w:p>
    <w:p w14:paraId="3D95E9C0" w14:textId="77777777" w:rsidR="00313476" w:rsidRPr="00D33399" w:rsidRDefault="00313476" w:rsidP="00313476">
      <w:pPr>
        <w:jc w:val="both"/>
        <w:rPr>
          <w:rFonts w:ascii="Arial" w:hAnsi="Arial" w:cs="Arial"/>
        </w:rPr>
      </w:pPr>
      <w:r w:rsidRPr="00D33399">
        <w:rPr>
          <w:rFonts w:ascii="Arial" w:hAnsi="Arial" w:cs="Arial"/>
        </w:rPr>
        <w:t>Em 30 de setembro de 2020, o saldo do almoxarifado é composto por materiais utilizados para consumo das usinas, no montante de R$ 133.448 (R$ 83.985 em 31 de dezembro de 2019) no curto prazo, assim como, os adiantamentos efetuados a fornecedores para a aquisição dos correspondentes materiais, no montante de R$ 18.239 (R$ 18.248 em 31 de dezembro de 2019), totalizando R$151.687 (R$ 102.233 em 31 de dezembro de 2019).</w:t>
      </w:r>
    </w:p>
    <w:p w14:paraId="3B352F63" w14:textId="77777777" w:rsidR="00313476" w:rsidRPr="00D33399" w:rsidRDefault="00313476" w:rsidP="00313476">
      <w:pPr>
        <w:rPr>
          <w:rFonts w:ascii="Calibri" w:hAnsi="Calibri"/>
        </w:rPr>
      </w:pPr>
    </w:p>
    <w:p w14:paraId="2E9ECFA4" w14:textId="77777777" w:rsidR="000329BB" w:rsidRPr="00D33399" w:rsidRDefault="000329BB" w:rsidP="005144E2">
      <w:pPr>
        <w:jc w:val="both"/>
        <w:rPr>
          <w:rFonts w:ascii="Arial" w:hAnsi="Arial" w:cs="Arial"/>
        </w:rPr>
      </w:pPr>
    </w:p>
    <w:p w14:paraId="1D908140" w14:textId="77777777" w:rsidR="000329BB" w:rsidRPr="00D33399" w:rsidRDefault="000329BB" w:rsidP="005144E2">
      <w:pPr>
        <w:jc w:val="both"/>
        <w:rPr>
          <w:rFonts w:ascii="Arial" w:hAnsi="Arial" w:cs="Arial"/>
        </w:rPr>
      </w:pPr>
    </w:p>
    <w:p w14:paraId="673A6D5E" w14:textId="77777777" w:rsidR="003F4719" w:rsidRPr="00D33399" w:rsidRDefault="003F4719" w:rsidP="005144E2">
      <w:pPr>
        <w:widowControl/>
        <w:jc w:val="both"/>
        <w:rPr>
          <w:rFonts w:ascii="Arial" w:hAnsi="Arial" w:cs="Arial"/>
          <w:b/>
          <w:sz w:val="26"/>
          <w:szCs w:val="26"/>
        </w:rPr>
      </w:pPr>
      <w:r w:rsidRPr="007B7BF4">
        <w:rPr>
          <w:rFonts w:ascii="Arial" w:hAnsi="Arial" w:cs="Arial"/>
          <w:b/>
          <w:sz w:val="26"/>
          <w:szCs w:val="26"/>
        </w:rPr>
        <w:t>NOTA 10 – OUTROS ATIVOS</w:t>
      </w:r>
    </w:p>
    <w:p w14:paraId="4782A157" w14:textId="77777777" w:rsidR="006B6D6C" w:rsidRPr="00D33399" w:rsidRDefault="006B6D6C" w:rsidP="005144E2">
      <w:pPr>
        <w:widowControl/>
        <w:jc w:val="both"/>
        <w:rPr>
          <w:rFonts w:ascii="Arial" w:hAnsi="Arial" w:cs="Arial"/>
          <w:b/>
        </w:rPr>
      </w:pPr>
    </w:p>
    <w:p w14:paraId="7974598C" w14:textId="77777777" w:rsidR="009E3291" w:rsidRPr="00D33399" w:rsidRDefault="009E3291" w:rsidP="005144E2">
      <w:pPr>
        <w:widowControl/>
        <w:jc w:val="both"/>
        <w:rPr>
          <w:rFonts w:ascii="Arial" w:hAnsi="Arial" w:cs="Arial"/>
          <w:b/>
        </w:rPr>
      </w:pPr>
    </w:p>
    <w:p w14:paraId="7F9C52FB" w14:textId="3D21CABF" w:rsidR="008C4013" w:rsidRPr="00D33399" w:rsidRDefault="00993B84" w:rsidP="005144E2">
      <w:pPr>
        <w:widowControl/>
        <w:jc w:val="both"/>
        <w:rPr>
          <w:rFonts w:ascii="Arial" w:hAnsi="Arial" w:cs="Arial"/>
          <w:b/>
        </w:rPr>
      </w:pPr>
      <w:r w:rsidRPr="00D33399">
        <w:rPr>
          <w:noProof/>
        </w:rPr>
        <w:drawing>
          <wp:inline distT="0" distB="0" distL="0" distR="0" wp14:anchorId="66332587" wp14:editId="5CABD7BB">
            <wp:extent cx="6073140" cy="2042295"/>
            <wp:effectExtent l="0" t="0" r="381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73140" cy="2042295"/>
                    </a:xfrm>
                    <a:prstGeom prst="rect">
                      <a:avLst/>
                    </a:prstGeom>
                    <a:noFill/>
                    <a:ln>
                      <a:noFill/>
                    </a:ln>
                  </pic:spPr>
                </pic:pic>
              </a:graphicData>
            </a:graphic>
          </wp:inline>
        </w:drawing>
      </w:r>
    </w:p>
    <w:p w14:paraId="29EA453C" w14:textId="730E8C32" w:rsidR="00B70D8D" w:rsidRPr="00D33399" w:rsidRDefault="005B5B25" w:rsidP="00067006">
      <w:pPr>
        <w:pStyle w:val="PargrafodaLista"/>
        <w:widowControl/>
        <w:numPr>
          <w:ilvl w:val="0"/>
          <w:numId w:val="20"/>
        </w:numPr>
        <w:tabs>
          <w:tab w:val="left" w:pos="284"/>
        </w:tabs>
        <w:ind w:left="284" w:hanging="284"/>
        <w:jc w:val="both"/>
        <w:rPr>
          <w:rFonts w:ascii="Arial" w:hAnsi="Arial" w:cs="Arial"/>
        </w:rPr>
      </w:pPr>
      <w:r w:rsidRPr="00D33399">
        <w:rPr>
          <w:rFonts w:ascii="Arial" w:hAnsi="Arial" w:cs="Arial"/>
        </w:rPr>
        <w:t xml:space="preserve">Composto por IPTU antecipado no montante de R$ </w:t>
      </w:r>
      <w:r w:rsidR="00162654" w:rsidRPr="00D33399">
        <w:rPr>
          <w:rFonts w:ascii="Arial" w:hAnsi="Arial" w:cs="Arial"/>
        </w:rPr>
        <w:t>3.353</w:t>
      </w:r>
      <w:r w:rsidRPr="00D33399">
        <w:rPr>
          <w:rFonts w:ascii="Arial" w:hAnsi="Arial" w:cs="Arial"/>
        </w:rPr>
        <w:t xml:space="preserve"> e contribuições patronais </w:t>
      </w:r>
      <w:r w:rsidR="00721D50" w:rsidRPr="00D33399">
        <w:rPr>
          <w:rFonts w:ascii="Arial" w:hAnsi="Arial" w:cs="Arial"/>
        </w:rPr>
        <w:t xml:space="preserve">no montante de R$ </w:t>
      </w:r>
      <w:r w:rsidR="00162654" w:rsidRPr="00D33399">
        <w:rPr>
          <w:rFonts w:ascii="Arial" w:hAnsi="Arial" w:cs="Arial"/>
        </w:rPr>
        <w:t>20.693</w:t>
      </w:r>
      <w:r w:rsidR="00721D50" w:rsidRPr="00D33399">
        <w:rPr>
          <w:rFonts w:ascii="Arial" w:hAnsi="Arial" w:cs="Arial"/>
        </w:rPr>
        <w:t xml:space="preserve">, </w:t>
      </w:r>
      <w:r w:rsidRPr="00D33399">
        <w:rPr>
          <w:rFonts w:ascii="Arial" w:hAnsi="Arial" w:cs="Arial"/>
        </w:rPr>
        <w:t>efetuadas à REAL GRANDEZA – Fundação de Previdência e Assistência Social e ao NUCLEOS – Instituto de Seguridade Social, que são entidades sem fins lucrativos que t</w:t>
      </w:r>
      <w:r w:rsidR="00AB51F9" w:rsidRPr="00D33399">
        <w:rPr>
          <w:rFonts w:ascii="Arial" w:hAnsi="Arial" w:cs="Arial"/>
        </w:rPr>
        <w:t>êm</w:t>
      </w:r>
      <w:r w:rsidRPr="00D33399">
        <w:rPr>
          <w:rFonts w:ascii="Arial" w:hAnsi="Arial" w:cs="Arial"/>
        </w:rPr>
        <w:t xml:space="preserve"> por finalidade complementar benefícios previdenciários de seus participantes</w:t>
      </w:r>
      <w:r w:rsidR="00721D50" w:rsidRPr="00D33399">
        <w:rPr>
          <w:rFonts w:ascii="Arial" w:hAnsi="Arial" w:cs="Arial"/>
        </w:rPr>
        <w:t>.</w:t>
      </w:r>
    </w:p>
    <w:p w14:paraId="2B286298" w14:textId="20313E51" w:rsidR="00B9017C" w:rsidRPr="00D33399" w:rsidRDefault="00B9017C" w:rsidP="00067006">
      <w:pPr>
        <w:pStyle w:val="PargrafodaLista"/>
        <w:widowControl/>
        <w:numPr>
          <w:ilvl w:val="0"/>
          <w:numId w:val="20"/>
        </w:numPr>
        <w:tabs>
          <w:tab w:val="left" w:pos="284"/>
        </w:tabs>
        <w:ind w:left="0" w:firstLine="0"/>
        <w:jc w:val="both"/>
        <w:rPr>
          <w:rFonts w:ascii="Arial" w:hAnsi="Arial" w:cs="Arial"/>
        </w:rPr>
      </w:pPr>
      <w:r w:rsidRPr="00D33399">
        <w:rPr>
          <w:rFonts w:ascii="Arial" w:hAnsi="Arial" w:cs="Arial"/>
        </w:rPr>
        <w:t xml:space="preserve">Veja detalhes sobre as transações com partes relacionadas na </w:t>
      </w:r>
      <w:r w:rsidR="008E6B5F" w:rsidRPr="00D33399">
        <w:rPr>
          <w:rFonts w:ascii="Arial" w:hAnsi="Arial" w:cs="Arial"/>
        </w:rPr>
        <w:t>n</w:t>
      </w:r>
      <w:r w:rsidRPr="00D33399">
        <w:rPr>
          <w:rFonts w:ascii="Arial" w:hAnsi="Arial" w:cs="Arial"/>
        </w:rPr>
        <w:t>ota 3</w:t>
      </w:r>
      <w:r w:rsidR="003D264F" w:rsidRPr="00D33399">
        <w:rPr>
          <w:rFonts w:ascii="Arial" w:hAnsi="Arial" w:cs="Arial"/>
        </w:rPr>
        <w:t>3</w:t>
      </w:r>
      <w:r w:rsidRPr="00D33399">
        <w:rPr>
          <w:rFonts w:ascii="Arial" w:hAnsi="Arial" w:cs="Arial"/>
        </w:rPr>
        <w:t>.</w:t>
      </w:r>
    </w:p>
    <w:p w14:paraId="475B1AFD" w14:textId="77777777" w:rsidR="003A0508" w:rsidRPr="00D33399" w:rsidRDefault="003A0508" w:rsidP="005144E2">
      <w:pPr>
        <w:pStyle w:val="PargrafodaLista"/>
        <w:widowControl/>
        <w:ind w:left="426"/>
        <w:jc w:val="both"/>
        <w:rPr>
          <w:rFonts w:ascii="Arial" w:hAnsi="Arial" w:cs="Arial"/>
        </w:rPr>
      </w:pPr>
    </w:p>
    <w:p w14:paraId="3487F573" w14:textId="77777777" w:rsidR="009E3291" w:rsidRPr="00D33399" w:rsidRDefault="009E3291" w:rsidP="005144E2">
      <w:pPr>
        <w:pStyle w:val="PargrafodaLista"/>
        <w:widowControl/>
        <w:ind w:left="426"/>
        <w:jc w:val="both"/>
        <w:rPr>
          <w:rFonts w:ascii="Arial" w:hAnsi="Arial" w:cs="Arial"/>
        </w:rPr>
      </w:pPr>
    </w:p>
    <w:p w14:paraId="04FC04DE" w14:textId="77777777" w:rsidR="00203557" w:rsidRPr="00D33399" w:rsidRDefault="00203557" w:rsidP="005144E2">
      <w:pPr>
        <w:pStyle w:val="PargrafodaLista"/>
        <w:widowControl/>
        <w:ind w:left="426"/>
        <w:jc w:val="both"/>
        <w:rPr>
          <w:rFonts w:ascii="Arial" w:hAnsi="Arial" w:cs="Arial"/>
        </w:rPr>
      </w:pPr>
    </w:p>
    <w:p w14:paraId="5EE0041C" w14:textId="77777777" w:rsidR="003F4719" w:rsidRPr="00D33399" w:rsidRDefault="003F4719" w:rsidP="005144E2">
      <w:pPr>
        <w:keepNext/>
        <w:widowControl/>
        <w:jc w:val="both"/>
        <w:outlineLvl w:val="3"/>
        <w:rPr>
          <w:rFonts w:ascii="Arial" w:hAnsi="Arial" w:cs="Arial"/>
          <w:b/>
          <w:sz w:val="26"/>
          <w:szCs w:val="26"/>
        </w:rPr>
      </w:pPr>
      <w:r w:rsidRPr="00D33399">
        <w:rPr>
          <w:rFonts w:ascii="Arial" w:hAnsi="Arial" w:cs="Arial"/>
          <w:b/>
          <w:sz w:val="26"/>
          <w:szCs w:val="26"/>
        </w:rPr>
        <w:t>NOTA 11 – TÍTULOS E VALORES MOBILIÁRIOS DE LONGO PRAZO - FUNDO PARA O DESCOMISSIONAMENTO</w:t>
      </w:r>
    </w:p>
    <w:p w14:paraId="530A7D03" w14:textId="77777777" w:rsidR="00FE7624" w:rsidRPr="00D33399" w:rsidRDefault="00FE7624" w:rsidP="005144E2">
      <w:pPr>
        <w:widowControl/>
        <w:jc w:val="both"/>
        <w:rPr>
          <w:rFonts w:ascii="Arial" w:hAnsi="Arial" w:cs="Arial"/>
        </w:rPr>
      </w:pPr>
    </w:p>
    <w:p w14:paraId="546AC9EF" w14:textId="77777777" w:rsidR="009E3291" w:rsidRPr="00D33399" w:rsidRDefault="009E3291" w:rsidP="005144E2">
      <w:pPr>
        <w:widowControl/>
        <w:jc w:val="both"/>
        <w:rPr>
          <w:rFonts w:ascii="Arial" w:hAnsi="Arial" w:cs="Arial"/>
        </w:rPr>
      </w:pPr>
    </w:p>
    <w:p w14:paraId="1FD1BA9B" w14:textId="77777777" w:rsidR="003F4719" w:rsidRPr="00D33399" w:rsidRDefault="003F4719" w:rsidP="005144E2">
      <w:pPr>
        <w:widowControl/>
        <w:tabs>
          <w:tab w:val="center" w:pos="4419"/>
          <w:tab w:val="right" w:pos="8838"/>
        </w:tabs>
        <w:jc w:val="both"/>
        <w:rPr>
          <w:rFonts w:ascii="Arial" w:hAnsi="Arial" w:cs="Arial"/>
        </w:rPr>
      </w:pPr>
      <w:r w:rsidRPr="00D33399">
        <w:rPr>
          <w:rFonts w:ascii="Arial" w:hAnsi="Arial" w:cs="Arial"/>
        </w:rPr>
        <w:t>O descomissionamento de usinas nucleares constitui-se de um conjunto de medidas tomadas para retirar de serviço, com segurança, uma instalação nuclear, reduzindo a radioatividade residual a níveis que permitam liberar o local para uso restrito ou irres</w:t>
      </w:r>
      <w:r w:rsidR="00E15412" w:rsidRPr="00D33399">
        <w:rPr>
          <w:rFonts w:ascii="Arial" w:hAnsi="Arial" w:cs="Arial"/>
        </w:rPr>
        <w:t xml:space="preserve">trito. Para permitir a </w:t>
      </w:r>
      <w:r w:rsidR="002A4D85" w:rsidRPr="00D33399">
        <w:rPr>
          <w:rFonts w:ascii="Arial" w:hAnsi="Arial" w:cs="Arial"/>
        </w:rPr>
        <w:t>inclusão</w:t>
      </w:r>
      <w:r w:rsidR="001835E7" w:rsidRPr="00D33399">
        <w:rPr>
          <w:rFonts w:ascii="Arial" w:hAnsi="Arial" w:cs="Arial"/>
        </w:rPr>
        <w:t xml:space="preserve">, </w:t>
      </w:r>
      <w:r w:rsidRPr="00D33399">
        <w:rPr>
          <w:rFonts w:ascii="Arial" w:hAnsi="Arial" w:cs="Arial"/>
        </w:rPr>
        <w:t>na ELETRONUCLEAR</w:t>
      </w:r>
      <w:r w:rsidR="00E15412" w:rsidRPr="00D33399">
        <w:rPr>
          <w:rFonts w:ascii="Arial" w:hAnsi="Arial" w:cs="Arial"/>
        </w:rPr>
        <w:t xml:space="preserve">, </w:t>
      </w:r>
      <w:r w:rsidRPr="00D33399">
        <w:rPr>
          <w:rFonts w:ascii="Arial" w:hAnsi="Arial" w:cs="Arial"/>
        </w:rPr>
        <w:t>dos custos a serem incorrido</w:t>
      </w:r>
      <w:r w:rsidR="00782DCE" w:rsidRPr="00D33399">
        <w:rPr>
          <w:rFonts w:ascii="Arial" w:hAnsi="Arial" w:cs="Arial"/>
        </w:rPr>
        <w:t>s com o descomissionamento das U</w:t>
      </w:r>
      <w:r w:rsidRPr="00D33399">
        <w:rPr>
          <w:rFonts w:ascii="Arial" w:hAnsi="Arial" w:cs="Arial"/>
        </w:rPr>
        <w:t xml:space="preserve">sinas Angra 1 e 2, foi constituído contabilmente uma obrigação </w:t>
      </w:r>
      <w:r w:rsidRPr="00D33399">
        <w:rPr>
          <w:rFonts w:ascii="Arial" w:hAnsi="Arial" w:cs="Arial"/>
        </w:rPr>
        <w:lastRenderedPageBreak/>
        <w:t xml:space="preserve">para desmobilização de ativos, com base em estudos técnicos elaborados pela Companhia, conforme </w:t>
      </w:r>
      <w:r w:rsidR="008E6B5F" w:rsidRPr="00D33399">
        <w:rPr>
          <w:rFonts w:ascii="Arial" w:hAnsi="Arial" w:cs="Arial"/>
        </w:rPr>
        <w:t>n</w:t>
      </w:r>
      <w:r w:rsidRPr="00D33399">
        <w:rPr>
          <w:rFonts w:ascii="Arial" w:hAnsi="Arial" w:cs="Arial"/>
        </w:rPr>
        <w:t>ota 2</w:t>
      </w:r>
      <w:r w:rsidR="00C06C3C" w:rsidRPr="00D33399">
        <w:rPr>
          <w:rFonts w:ascii="Arial" w:hAnsi="Arial" w:cs="Arial"/>
        </w:rPr>
        <w:t>4</w:t>
      </w:r>
      <w:r w:rsidRPr="00D33399">
        <w:rPr>
          <w:rFonts w:ascii="Arial" w:hAnsi="Arial" w:cs="Arial"/>
        </w:rPr>
        <w:t>.</w:t>
      </w:r>
    </w:p>
    <w:p w14:paraId="4BF08B8C" w14:textId="77777777" w:rsidR="00EE5EF9" w:rsidRPr="00D33399" w:rsidRDefault="00EE5EF9" w:rsidP="005144E2">
      <w:pPr>
        <w:widowControl/>
        <w:tabs>
          <w:tab w:val="center" w:pos="4419"/>
          <w:tab w:val="right" w:pos="8838"/>
        </w:tabs>
        <w:jc w:val="both"/>
        <w:rPr>
          <w:rFonts w:ascii="Arial" w:hAnsi="Arial" w:cs="Arial"/>
        </w:rPr>
      </w:pPr>
    </w:p>
    <w:p w14:paraId="66265F63" w14:textId="77777777" w:rsidR="003F4719" w:rsidRPr="00D33399" w:rsidRDefault="003F4719" w:rsidP="005144E2">
      <w:pPr>
        <w:widowControl/>
        <w:tabs>
          <w:tab w:val="center" w:pos="4419"/>
          <w:tab w:val="right" w:pos="8838"/>
        </w:tabs>
        <w:jc w:val="both"/>
        <w:rPr>
          <w:rFonts w:ascii="Arial" w:hAnsi="Arial" w:cs="Arial"/>
        </w:rPr>
      </w:pPr>
      <w:r w:rsidRPr="00D33399">
        <w:rPr>
          <w:rFonts w:ascii="Arial" w:hAnsi="Arial" w:cs="Arial"/>
        </w:rPr>
        <w:t xml:space="preserve">De acordo com a determinação do Conselho Nacional de Política Energética - CNPE, as atribuições pelas atividades de instituir e viabilizar o fundo, para fazer face ao efetivo descomissionamento das </w:t>
      </w:r>
      <w:r w:rsidR="00782DCE" w:rsidRPr="00D33399">
        <w:rPr>
          <w:rFonts w:ascii="Arial" w:hAnsi="Arial" w:cs="Arial"/>
        </w:rPr>
        <w:t>U</w:t>
      </w:r>
      <w:r w:rsidRPr="00D33399">
        <w:rPr>
          <w:rFonts w:ascii="Arial" w:hAnsi="Arial" w:cs="Arial"/>
        </w:rPr>
        <w:t xml:space="preserve">sinas nucleares Angra 1 e 2, ao final da vida útil econômica das referidas usinas, foram atribuídas à Eletrobras. </w:t>
      </w:r>
    </w:p>
    <w:p w14:paraId="69263786" w14:textId="77777777" w:rsidR="00CC350C" w:rsidRPr="00D33399" w:rsidRDefault="00CC350C" w:rsidP="005144E2">
      <w:pPr>
        <w:widowControl/>
        <w:tabs>
          <w:tab w:val="center" w:pos="4419"/>
          <w:tab w:val="right" w:pos="8838"/>
        </w:tabs>
        <w:jc w:val="both"/>
        <w:rPr>
          <w:rFonts w:ascii="Arial" w:hAnsi="Arial" w:cs="Arial"/>
        </w:rPr>
      </w:pPr>
    </w:p>
    <w:p w14:paraId="7A2CF25B" w14:textId="77777777" w:rsidR="003F4719" w:rsidRPr="00D33399" w:rsidRDefault="003F4719" w:rsidP="005144E2">
      <w:pPr>
        <w:widowControl/>
        <w:tabs>
          <w:tab w:val="center" w:pos="4419"/>
          <w:tab w:val="right" w:pos="8838"/>
        </w:tabs>
        <w:jc w:val="both"/>
        <w:rPr>
          <w:rFonts w:ascii="Arial" w:hAnsi="Arial" w:cs="Arial"/>
        </w:rPr>
      </w:pPr>
      <w:r w:rsidRPr="00D33399">
        <w:rPr>
          <w:rFonts w:ascii="Arial" w:hAnsi="Arial" w:cs="Arial"/>
        </w:rPr>
        <w:t xml:space="preserve">Em 15 de janeiro de 2008, a Eletrobras fixou as diretrizes para implementação do fundo financeiro, informando a conta corrente para os depósitos, as datas de recolhimentos, bem como os valores das quotas mensais a serem recolhidas no exercício de 2008. </w:t>
      </w:r>
    </w:p>
    <w:p w14:paraId="295A95BB" w14:textId="77777777" w:rsidR="003F4719" w:rsidRPr="00D33399" w:rsidRDefault="003F4719" w:rsidP="005144E2">
      <w:pPr>
        <w:widowControl/>
        <w:tabs>
          <w:tab w:val="center" w:pos="4419"/>
          <w:tab w:val="right" w:pos="8838"/>
        </w:tabs>
        <w:jc w:val="both"/>
        <w:rPr>
          <w:rFonts w:ascii="Arial" w:hAnsi="Arial" w:cs="Arial"/>
        </w:rPr>
      </w:pPr>
    </w:p>
    <w:p w14:paraId="132EE667" w14:textId="77777777" w:rsidR="0077459D" w:rsidRPr="00D33399" w:rsidRDefault="003F4719" w:rsidP="005144E2">
      <w:pPr>
        <w:widowControl/>
        <w:tabs>
          <w:tab w:val="center" w:pos="4419"/>
          <w:tab w:val="right" w:pos="8838"/>
        </w:tabs>
        <w:jc w:val="both"/>
        <w:rPr>
          <w:rFonts w:ascii="Arial" w:hAnsi="Arial" w:cs="Arial"/>
        </w:rPr>
      </w:pPr>
      <w:r w:rsidRPr="00D33399">
        <w:rPr>
          <w:rFonts w:ascii="Arial" w:hAnsi="Arial" w:cs="Arial"/>
        </w:rPr>
        <w:t xml:space="preserve">Assim sendo, a ELETRONUCLEAR, em 20 de fevereiro de 2008, iniciou o processo de pagamento à Eletrobras, para o devido recolhimento ao fundo financeiro para o descomissionamento. </w:t>
      </w:r>
    </w:p>
    <w:p w14:paraId="0949AB21" w14:textId="77777777" w:rsidR="00A10BF4" w:rsidRPr="00D33399" w:rsidRDefault="00A10BF4" w:rsidP="005144E2">
      <w:pPr>
        <w:widowControl/>
        <w:tabs>
          <w:tab w:val="center" w:pos="4419"/>
          <w:tab w:val="right" w:pos="8838"/>
        </w:tabs>
        <w:jc w:val="both"/>
        <w:rPr>
          <w:rFonts w:ascii="Arial" w:hAnsi="Arial" w:cs="Arial"/>
        </w:rPr>
      </w:pPr>
    </w:p>
    <w:p w14:paraId="6A36BCD2" w14:textId="09C9382C" w:rsidR="003F4719" w:rsidRPr="00D33399" w:rsidRDefault="003F4719" w:rsidP="005144E2">
      <w:pPr>
        <w:jc w:val="both"/>
        <w:rPr>
          <w:rFonts w:ascii="Arial" w:hAnsi="Arial" w:cs="Arial"/>
          <w:color w:val="FF0000"/>
        </w:rPr>
      </w:pPr>
      <w:r w:rsidRPr="00D33399">
        <w:rPr>
          <w:rFonts w:ascii="Arial" w:hAnsi="Arial" w:cs="Arial"/>
        </w:rPr>
        <w:t>Anualmente, a Eletrobras estabelece o montante a ser recolhido ao fundo financeiro do Banco do Brasil para o descomissionamento das Usinas Angra 1 e Angra 2, considerando como base de cálculo, a parcela considerada pela A</w:t>
      </w:r>
      <w:r w:rsidR="009E3291" w:rsidRPr="00D33399">
        <w:rPr>
          <w:rFonts w:ascii="Arial" w:hAnsi="Arial" w:cs="Arial"/>
        </w:rPr>
        <w:t>neel</w:t>
      </w:r>
      <w:r w:rsidRPr="00D33399">
        <w:rPr>
          <w:rFonts w:ascii="Arial" w:hAnsi="Arial" w:cs="Arial"/>
        </w:rPr>
        <w:t xml:space="preserve">, na receita fixa das </w:t>
      </w:r>
      <w:r w:rsidRPr="00D33399">
        <w:rPr>
          <w:rFonts w:ascii="Arial" w:hAnsi="Arial" w:cs="Arial"/>
          <w:color w:val="000000" w:themeColor="text1"/>
        </w:rPr>
        <w:t xml:space="preserve">mencionadas usinas. </w:t>
      </w:r>
      <w:r w:rsidR="00723A4C" w:rsidRPr="00D33399">
        <w:rPr>
          <w:rFonts w:ascii="Arial" w:hAnsi="Arial" w:cs="Arial"/>
          <w:color w:val="000000" w:themeColor="text1"/>
        </w:rPr>
        <w:t xml:space="preserve">O montante anual de depósito fixado para </w:t>
      </w:r>
      <w:r w:rsidRPr="00D33399">
        <w:rPr>
          <w:rFonts w:ascii="Arial" w:hAnsi="Arial" w:cs="Arial"/>
          <w:color w:val="000000" w:themeColor="text1"/>
        </w:rPr>
        <w:t>o exercício de 20</w:t>
      </w:r>
      <w:r w:rsidR="00733334" w:rsidRPr="00D33399">
        <w:rPr>
          <w:rFonts w:ascii="Arial" w:hAnsi="Arial" w:cs="Arial"/>
          <w:color w:val="000000" w:themeColor="text1"/>
        </w:rPr>
        <w:t>20</w:t>
      </w:r>
      <w:r w:rsidRPr="00D33399">
        <w:rPr>
          <w:rFonts w:ascii="Arial" w:hAnsi="Arial" w:cs="Arial"/>
          <w:color w:val="000000" w:themeColor="text1"/>
        </w:rPr>
        <w:t xml:space="preserve"> foi R$ </w:t>
      </w:r>
      <w:r w:rsidR="00B04D4E" w:rsidRPr="00D33399">
        <w:rPr>
          <w:rFonts w:ascii="Arial" w:hAnsi="Arial" w:cs="Arial"/>
          <w:color w:val="000000" w:themeColor="text1"/>
        </w:rPr>
        <w:t>17</w:t>
      </w:r>
      <w:r w:rsidR="00AE2C89" w:rsidRPr="00D33399">
        <w:rPr>
          <w:rFonts w:ascii="Arial" w:hAnsi="Arial" w:cs="Arial"/>
          <w:color w:val="000000" w:themeColor="text1"/>
        </w:rPr>
        <w:t>3.109</w:t>
      </w:r>
      <w:r w:rsidR="001F1A89" w:rsidRPr="00D33399">
        <w:rPr>
          <w:rFonts w:ascii="Arial" w:hAnsi="Arial" w:cs="Arial"/>
          <w:color w:val="000000" w:themeColor="text1"/>
        </w:rPr>
        <w:t>.</w:t>
      </w:r>
    </w:p>
    <w:p w14:paraId="50F6A818" w14:textId="77777777" w:rsidR="003F4719" w:rsidRPr="00D33399" w:rsidRDefault="003F4719" w:rsidP="005144E2">
      <w:pPr>
        <w:jc w:val="both"/>
        <w:rPr>
          <w:rFonts w:ascii="Arial" w:hAnsi="Arial" w:cs="Arial"/>
        </w:rPr>
      </w:pPr>
    </w:p>
    <w:p w14:paraId="219B7876" w14:textId="77777777" w:rsidR="003F4719" w:rsidRPr="00D33399" w:rsidRDefault="003F4719" w:rsidP="005144E2">
      <w:pPr>
        <w:jc w:val="both"/>
        <w:rPr>
          <w:rFonts w:ascii="Arial" w:hAnsi="Arial" w:cs="Arial"/>
        </w:rPr>
      </w:pPr>
      <w:r w:rsidRPr="00D33399">
        <w:rPr>
          <w:rFonts w:ascii="Arial" w:hAnsi="Arial" w:cs="Arial"/>
        </w:rPr>
        <w:t>O mencionado fundo é mantido com o Banco do Brasil, através de um fundo de investimento extra mercado de longo prazo, exclusivo para acumular os recursos destinados a custear as ativid</w:t>
      </w:r>
      <w:r w:rsidR="00782DCE" w:rsidRPr="00D33399">
        <w:rPr>
          <w:rFonts w:ascii="Arial" w:hAnsi="Arial" w:cs="Arial"/>
        </w:rPr>
        <w:t>ades de descomissionamento das U</w:t>
      </w:r>
      <w:r w:rsidRPr="00D33399">
        <w:rPr>
          <w:rFonts w:ascii="Arial" w:hAnsi="Arial" w:cs="Arial"/>
        </w:rPr>
        <w:t xml:space="preserve">sinas Angra 1 e 2. </w:t>
      </w:r>
      <w:r w:rsidR="00C06C3C" w:rsidRPr="00D33399">
        <w:rPr>
          <w:rFonts w:ascii="Arial" w:hAnsi="Arial" w:cs="Arial"/>
        </w:rPr>
        <w:t>A titularidade deste fundo pertence à Eletrobras</w:t>
      </w:r>
      <w:r w:rsidRPr="00D33399">
        <w:rPr>
          <w:rFonts w:ascii="Arial" w:hAnsi="Arial" w:cs="Arial"/>
        </w:rPr>
        <w:t xml:space="preserve"> conforme determinado pelo CNPE. </w:t>
      </w:r>
    </w:p>
    <w:p w14:paraId="580BDB8A" w14:textId="77777777" w:rsidR="00C110ED" w:rsidRPr="00D33399" w:rsidRDefault="00C110ED" w:rsidP="005144E2">
      <w:pPr>
        <w:jc w:val="both"/>
        <w:rPr>
          <w:rFonts w:ascii="Arial" w:hAnsi="Arial" w:cs="Arial"/>
        </w:rPr>
      </w:pPr>
    </w:p>
    <w:p w14:paraId="2E60C537" w14:textId="77777777" w:rsidR="003F4719" w:rsidRPr="00D33399" w:rsidRDefault="003F4719" w:rsidP="005144E2">
      <w:pPr>
        <w:jc w:val="both"/>
        <w:rPr>
          <w:rFonts w:ascii="Arial" w:hAnsi="Arial" w:cs="Arial"/>
        </w:rPr>
      </w:pPr>
      <w:r w:rsidRPr="00D33399">
        <w:rPr>
          <w:rFonts w:ascii="Arial" w:hAnsi="Arial" w:cs="Arial"/>
        </w:rPr>
        <w:t>A seguir, demonstramos o detalhamento de carteira do mencionado fundo:</w:t>
      </w:r>
    </w:p>
    <w:p w14:paraId="517A92B7" w14:textId="77777777" w:rsidR="00780CBF" w:rsidRPr="00D33399" w:rsidRDefault="00780CBF" w:rsidP="005144E2">
      <w:pPr>
        <w:jc w:val="both"/>
        <w:rPr>
          <w:rFonts w:ascii="Arial" w:hAnsi="Arial" w:cs="Arial"/>
          <w:noProof/>
          <w:sz w:val="16"/>
          <w:szCs w:val="16"/>
        </w:rPr>
      </w:pPr>
    </w:p>
    <w:p w14:paraId="665B581C" w14:textId="4666C751" w:rsidR="00780CBF" w:rsidRPr="00D33399" w:rsidRDefault="0070757B" w:rsidP="005144E2">
      <w:pPr>
        <w:jc w:val="both"/>
        <w:rPr>
          <w:rFonts w:ascii="Arial" w:hAnsi="Arial" w:cs="Arial"/>
          <w:noProof/>
        </w:rPr>
      </w:pPr>
      <w:r w:rsidRPr="00D33399">
        <w:rPr>
          <w:noProof/>
        </w:rPr>
        <w:drawing>
          <wp:inline distT="0" distB="0" distL="0" distR="0" wp14:anchorId="26EE8FF5" wp14:editId="3AE6E187">
            <wp:extent cx="4733925" cy="2219325"/>
            <wp:effectExtent l="0" t="0" r="9525" b="9525"/>
            <wp:docPr id="79" name="Imagem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33925" cy="2219325"/>
                    </a:xfrm>
                    <a:prstGeom prst="rect">
                      <a:avLst/>
                    </a:prstGeom>
                    <a:noFill/>
                    <a:ln>
                      <a:noFill/>
                    </a:ln>
                  </pic:spPr>
                </pic:pic>
              </a:graphicData>
            </a:graphic>
          </wp:inline>
        </w:drawing>
      </w:r>
    </w:p>
    <w:p w14:paraId="59501E03" w14:textId="77777777" w:rsidR="00780CBF" w:rsidRPr="00D33399" w:rsidRDefault="00780CBF" w:rsidP="005144E2">
      <w:pPr>
        <w:jc w:val="both"/>
        <w:rPr>
          <w:rFonts w:ascii="Arial" w:hAnsi="Arial" w:cs="Arial"/>
          <w:noProof/>
        </w:rPr>
      </w:pPr>
    </w:p>
    <w:p w14:paraId="719C2BE2" w14:textId="77777777" w:rsidR="003F4719" w:rsidRPr="00D33399" w:rsidRDefault="003F4719" w:rsidP="005144E2">
      <w:pPr>
        <w:widowControl/>
        <w:tabs>
          <w:tab w:val="center" w:pos="4419"/>
          <w:tab w:val="right" w:pos="8838"/>
        </w:tabs>
        <w:jc w:val="both"/>
        <w:rPr>
          <w:rFonts w:ascii="Arial" w:hAnsi="Arial" w:cs="Arial"/>
        </w:rPr>
      </w:pPr>
      <w:r w:rsidRPr="00D33399">
        <w:rPr>
          <w:rFonts w:ascii="Arial" w:hAnsi="Arial" w:cs="Arial"/>
        </w:rPr>
        <w:t xml:space="preserve">Mensalmente, a Eletrobras informa à ELETRONUCLEAR, os rendimentos financeiros incorridos durante o período sobre as aplicações do fundo, com a devida tributação do imposto de renda na fonte. </w:t>
      </w:r>
    </w:p>
    <w:p w14:paraId="0F4C724B" w14:textId="77777777" w:rsidR="006B0D3E" w:rsidRPr="00D33399" w:rsidRDefault="006B0D3E" w:rsidP="005144E2">
      <w:pPr>
        <w:widowControl/>
        <w:tabs>
          <w:tab w:val="center" w:pos="4419"/>
          <w:tab w:val="right" w:pos="8838"/>
        </w:tabs>
        <w:jc w:val="both"/>
        <w:rPr>
          <w:rFonts w:ascii="Arial" w:hAnsi="Arial" w:cs="Arial"/>
        </w:rPr>
      </w:pPr>
    </w:p>
    <w:p w14:paraId="7F3B6D72" w14:textId="001C84DB" w:rsidR="004A019D" w:rsidRPr="00D33399" w:rsidRDefault="004A019D" w:rsidP="004A019D">
      <w:pPr>
        <w:tabs>
          <w:tab w:val="center" w:pos="4419"/>
          <w:tab w:val="right" w:pos="8838"/>
        </w:tabs>
        <w:jc w:val="both"/>
        <w:rPr>
          <w:rFonts w:ascii="Arial" w:hAnsi="Arial" w:cs="Arial"/>
        </w:rPr>
      </w:pPr>
      <w:r w:rsidRPr="00D33399">
        <w:rPr>
          <w:rFonts w:ascii="Arial" w:hAnsi="Arial" w:cs="Arial"/>
        </w:rPr>
        <w:t xml:space="preserve">Em 30 de </w:t>
      </w:r>
      <w:r w:rsidR="007F0536" w:rsidRPr="00D33399">
        <w:rPr>
          <w:rFonts w:ascii="Arial" w:hAnsi="Arial" w:cs="Arial"/>
        </w:rPr>
        <w:t>setembro de</w:t>
      </w:r>
      <w:r w:rsidRPr="00D33399">
        <w:rPr>
          <w:rFonts w:ascii="Arial" w:hAnsi="Arial" w:cs="Arial"/>
        </w:rPr>
        <w:t xml:space="preserve"> 2020, o fundo para descomissionamento, Títulos de Valores Mobiliários -TVM de longo prazo, apresenta ganho financeiro de R$ </w:t>
      </w:r>
      <w:r w:rsidR="00F61436" w:rsidRPr="00D33399">
        <w:rPr>
          <w:rFonts w:ascii="Arial" w:hAnsi="Arial" w:cs="Arial"/>
        </w:rPr>
        <w:t>515.836</w:t>
      </w:r>
      <w:r w:rsidRPr="00D33399">
        <w:rPr>
          <w:rFonts w:ascii="Arial" w:hAnsi="Arial" w:cs="Arial"/>
        </w:rPr>
        <w:t xml:space="preserve"> (nota 31), (ganho financeiro de R$ </w:t>
      </w:r>
      <w:r w:rsidR="00F61436" w:rsidRPr="00D33399">
        <w:rPr>
          <w:rFonts w:ascii="Arial" w:hAnsi="Arial" w:cs="Arial"/>
        </w:rPr>
        <w:t>137.148</w:t>
      </w:r>
      <w:r w:rsidRPr="00D33399">
        <w:rPr>
          <w:rFonts w:ascii="Arial" w:hAnsi="Arial" w:cs="Arial"/>
        </w:rPr>
        <w:t xml:space="preserve"> em 30 de </w:t>
      </w:r>
      <w:r w:rsidR="007F0536" w:rsidRPr="00D33399">
        <w:rPr>
          <w:rFonts w:ascii="Arial" w:hAnsi="Arial" w:cs="Arial"/>
        </w:rPr>
        <w:t>setembro</w:t>
      </w:r>
      <w:r w:rsidRPr="00D33399">
        <w:rPr>
          <w:rFonts w:ascii="Arial" w:hAnsi="Arial" w:cs="Arial"/>
        </w:rPr>
        <w:t xml:space="preserve"> de 2019), em função da carteira do Fundo Financeiro do Banco do Brasil para descomissionamento conter título público vinculado à variação da moeda dólar norte-americano. Em 2020, foram aplicados R$ </w:t>
      </w:r>
      <w:r w:rsidR="000C4C7F" w:rsidRPr="00D33399">
        <w:rPr>
          <w:rFonts w:ascii="Arial" w:hAnsi="Arial" w:cs="Arial"/>
        </w:rPr>
        <w:t>139.156</w:t>
      </w:r>
      <w:r w:rsidRPr="00D33399">
        <w:rPr>
          <w:rFonts w:ascii="Arial" w:hAnsi="Arial" w:cs="Arial"/>
        </w:rPr>
        <w:t xml:space="preserve"> no fundo para descomissionamento (R$ </w:t>
      </w:r>
      <w:r w:rsidR="000C4C7F" w:rsidRPr="00D33399">
        <w:rPr>
          <w:rFonts w:ascii="Arial" w:hAnsi="Arial" w:cs="Arial"/>
        </w:rPr>
        <w:t>131.618</w:t>
      </w:r>
      <w:r w:rsidRPr="00D33399">
        <w:rPr>
          <w:rFonts w:ascii="Arial" w:hAnsi="Arial" w:cs="Arial"/>
        </w:rPr>
        <w:t xml:space="preserve"> referentes aos recolhimentos mensais, R$ </w:t>
      </w:r>
      <w:r w:rsidR="000C4C7F" w:rsidRPr="00D33399">
        <w:rPr>
          <w:rFonts w:ascii="Arial" w:hAnsi="Arial" w:cs="Arial"/>
        </w:rPr>
        <w:t>7.538</w:t>
      </w:r>
      <w:r w:rsidRPr="00D33399">
        <w:rPr>
          <w:rFonts w:ascii="Arial" w:hAnsi="Arial" w:cs="Arial"/>
        </w:rPr>
        <w:t xml:space="preserve"> referentes aos recolhimentos adicionais</w:t>
      </w:r>
      <w:r w:rsidR="00F74418" w:rsidRPr="00D33399">
        <w:rPr>
          <w:rFonts w:ascii="Arial" w:hAnsi="Arial" w:cs="Arial"/>
        </w:rPr>
        <w:t>)</w:t>
      </w:r>
      <w:r w:rsidRPr="00D33399">
        <w:rPr>
          <w:rFonts w:ascii="Arial" w:hAnsi="Arial" w:cs="Arial"/>
        </w:rPr>
        <w:t xml:space="preserve"> e for</w:t>
      </w:r>
      <w:r w:rsidR="00BF6009" w:rsidRPr="00D33399">
        <w:rPr>
          <w:rFonts w:ascii="Arial" w:hAnsi="Arial" w:cs="Arial"/>
        </w:rPr>
        <w:t>am retidos R$ 58.800</w:t>
      </w:r>
      <w:r w:rsidRPr="00D33399">
        <w:rPr>
          <w:rFonts w:ascii="Arial" w:hAnsi="Arial" w:cs="Arial"/>
        </w:rPr>
        <w:t xml:space="preserve"> a título de IRRF sobre os rendimentos do Exercício de 2020.</w:t>
      </w:r>
    </w:p>
    <w:p w14:paraId="0228B731" w14:textId="77777777" w:rsidR="001D7949" w:rsidRPr="00D33399" w:rsidRDefault="001D7949" w:rsidP="005144E2">
      <w:pPr>
        <w:widowControl/>
        <w:tabs>
          <w:tab w:val="center" w:pos="4419"/>
          <w:tab w:val="right" w:pos="8838"/>
        </w:tabs>
        <w:jc w:val="both"/>
        <w:rPr>
          <w:rFonts w:ascii="Arial" w:hAnsi="Arial" w:cs="Arial"/>
        </w:rPr>
      </w:pPr>
    </w:p>
    <w:p w14:paraId="6F089051" w14:textId="77777777" w:rsidR="00BC46FA" w:rsidRPr="00D33399" w:rsidRDefault="003F4719" w:rsidP="005144E2">
      <w:pPr>
        <w:widowControl/>
        <w:tabs>
          <w:tab w:val="center" w:pos="4419"/>
          <w:tab w:val="right" w:pos="8838"/>
        </w:tabs>
        <w:jc w:val="both"/>
        <w:rPr>
          <w:rFonts w:ascii="Arial" w:hAnsi="Arial" w:cs="Arial"/>
        </w:rPr>
      </w:pPr>
      <w:r w:rsidRPr="00D33399">
        <w:rPr>
          <w:rFonts w:ascii="Arial" w:hAnsi="Arial" w:cs="Arial"/>
        </w:rPr>
        <w:t>Abaixo, apresentamos o quadro da composição do fundo para descomissionamento:</w:t>
      </w:r>
    </w:p>
    <w:p w14:paraId="36956922" w14:textId="77777777" w:rsidR="003F4719" w:rsidRPr="00D33399" w:rsidRDefault="003F4719" w:rsidP="005144E2">
      <w:pPr>
        <w:widowControl/>
        <w:tabs>
          <w:tab w:val="center" w:pos="4419"/>
          <w:tab w:val="right" w:pos="8838"/>
        </w:tabs>
        <w:jc w:val="both"/>
        <w:rPr>
          <w:rFonts w:ascii="Arial" w:hAnsi="Arial" w:cs="Arial"/>
          <w:sz w:val="16"/>
          <w:szCs w:val="16"/>
        </w:rPr>
      </w:pPr>
    </w:p>
    <w:p w14:paraId="1CEF1D56" w14:textId="2E62295E" w:rsidR="008167EF" w:rsidRPr="00D33399" w:rsidRDefault="0070757B" w:rsidP="005144E2">
      <w:pPr>
        <w:widowControl/>
        <w:jc w:val="both"/>
        <w:rPr>
          <w:rFonts w:ascii="Arial" w:hAnsi="Arial" w:cs="Arial"/>
          <w:b/>
        </w:rPr>
      </w:pPr>
      <w:r w:rsidRPr="00D33399">
        <w:rPr>
          <w:noProof/>
        </w:rPr>
        <w:drawing>
          <wp:inline distT="0" distB="0" distL="0" distR="0" wp14:anchorId="59374A8E" wp14:editId="5AB6B59D">
            <wp:extent cx="5724525" cy="2190750"/>
            <wp:effectExtent l="0" t="0" r="9525" b="0"/>
            <wp:docPr id="80" name="Image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4525" cy="2190750"/>
                    </a:xfrm>
                    <a:prstGeom prst="rect">
                      <a:avLst/>
                    </a:prstGeom>
                    <a:noFill/>
                    <a:ln>
                      <a:noFill/>
                    </a:ln>
                  </pic:spPr>
                </pic:pic>
              </a:graphicData>
            </a:graphic>
          </wp:inline>
        </w:drawing>
      </w:r>
    </w:p>
    <w:p w14:paraId="1C4539DF" w14:textId="77777777" w:rsidR="009E3291" w:rsidRDefault="009E3291" w:rsidP="005144E2">
      <w:pPr>
        <w:widowControl/>
        <w:jc w:val="both"/>
        <w:rPr>
          <w:rFonts w:ascii="Arial" w:hAnsi="Arial" w:cs="Arial"/>
          <w:b/>
        </w:rPr>
      </w:pPr>
    </w:p>
    <w:p w14:paraId="25F98025" w14:textId="77777777" w:rsidR="009D4087" w:rsidRDefault="009D4087" w:rsidP="005144E2">
      <w:pPr>
        <w:widowControl/>
        <w:jc w:val="both"/>
        <w:rPr>
          <w:rFonts w:ascii="Arial" w:hAnsi="Arial" w:cs="Arial"/>
          <w:b/>
        </w:rPr>
      </w:pPr>
    </w:p>
    <w:p w14:paraId="2F85F433" w14:textId="77777777" w:rsidR="009D4087" w:rsidRPr="00D33399" w:rsidRDefault="009D4087" w:rsidP="005144E2">
      <w:pPr>
        <w:widowControl/>
        <w:jc w:val="both"/>
        <w:rPr>
          <w:rFonts w:ascii="Arial" w:hAnsi="Arial" w:cs="Arial"/>
          <w:b/>
        </w:rPr>
      </w:pPr>
    </w:p>
    <w:p w14:paraId="27FFF0F6" w14:textId="77777777" w:rsidR="003F4719" w:rsidRPr="00D33399" w:rsidRDefault="003F4719" w:rsidP="005144E2">
      <w:pPr>
        <w:widowControl/>
        <w:jc w:val="both"/>
        <w:rPr>
          <w:rFonts w:ascii="Arial" w:hAnsi="Arial" w:cs="Arial"/>
          <w:b/>
          <w:sz w:val="26"/>
          <w:szCs w:val="26"/>
        </w:rPr>
      </w:pPr>
      <w:r w:rsidRPr="00D33399">
        <w:rPr>
          <w:rFonts w:ascii="Arial" w:hAnsi="Arial" w:cs="Arial"/>
          <w:b/>
          <w:sz w:val="26"/>
          <w:szCs w:val="26"/>
        </w:rPr>
        <w:t xml:space="preserve">NOTA 12 – DEPÓSITOS VINCULADOS </w:t>
      </w:r>
    </w:p>
    <w:p w14:paraId="471EA8B2" w14:textId="77777777" w:rsidR="00A86013" w:rsidRPr="00D33399" w:rsidRDefault="00A86013" w:rsidP="005144E2">
      <w:pPr>
        <w:widowControl/>
        <w:jc w:val="both"/>
        <w:rPr>
          <w:rFonts w:ascii="Arial" w:hAnsi="Arial" w:cs="Arial"/>
          <w:b/>
        </w:rPr>
      </w:pPr>
    </w:p>
    <w:p w14:paraId="35E030DD" w14:textId="77777777" w:rsidR="005678EC" w:rsidRPr="00D33399" w:rsidRDefault="005678EC" w:rsidP="005144E2">
      <w:pPr>
        <w:widowControl/>
        <w:jc w:val="both"/>
        <w:rPr>
          <w:rFonts w:ascii="Arial" w:hAnsi="Arial" w:cs="Arial"/>
          <w:b/>
        </w:rPr>
      </w:pPr>
    </w:p>
    <w:p w14:paraId="7E3A971E" w14:textId="77777777" w:rsidR="00021E38" w:rsidRPr="00D33399" w:rsidRDefault="003F4719" w:rsidP="005144E2">
      <w:pPr>
        <w:widowControl/>
        <w:jc w:val="both"/>
        <w:rPr>
          <w:rFonts w:ascii="Arial" w:hAnsi="Arial" w:cs="Arial"/>
          <w:b/>
        </w:rPr>
      </w:pPr>
      <w:r w:rsidRPr="00D33399">
        <w:rPr>
          <w:rFonts w:ascii="Arial" w:hAnsi="Arial" w:cs="Arial"/>
          <w:b/>
        </w:rPr>
        <w:t xml:space="preserve">a) Composição </w:t>
      </w:r>
    </w:p>
    <w:p w14:paraId="0844B350" w14:textId="77777777" w:rsidR="00CD4296" w:rsidRPr="00D33399" w:rsidRDefault="00CD4296" w:rsidP="005144E2">
      <w:pPr>
        <w:widowControl/>
        <w:jc w:val="both"/>
        <w:rPr>
          <w:rFonts w:ascii="Arial" w:hAnsi="Arial" w:cs="Arial"/>
          <w:b/>
          <w:sz w:val="16"/>
          <w:szCs w:val="16"/>
        </w:rPr>
      </w:pPr>
    </w:p>
    <w:p w14:paraId="4E9FB657" w14:textId="34183D8B" w:rsidR="002E22C8" w:rsidRPr="00D33399" w:rsidRDefault="00B83294" w:rsidP="005144E2">
      <w:pPr>
        <w:widowControl/>
        <w:jc w:val="both"/>
        <w:rPr>
          <w:rFonts w:ascii="Arial" w:hAnsi="Arial" w:cs="Arial"/>
          <w:b/>
        </w:rPr>
      </w:pPr>
      <w:r w:rsidRPr="00D33399">
        <w:rPr>
          <w:noProof/>
        </w:rPr>
        <w:drawing>
          <wp:inline distT="0" distB="0" distL="0" distR="0" wp14:anchorId="2B658A9C" wp14:editId="43086505">
            <wp:extent cx="5800725" cy="2314575"/>
            <wp:effectExtent l="0" t="0" r="9525" b="9525"/>
            <wp:docPr id="81" name="Image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00725" cy="2314575"/>
                    </a:xfrm>
                    <a:prstGeom prst="rect">
                      <a:avLst/>
                    </a:prstGeom>
                    <a:noFill/>
                    <a:ln>
                      <a:noFill/>
                    </a:ln>
                  </pic:spPr>
                </pic:pic>
              </a:graphicData>
            </a:graphic>
          </wp:inline>
        </w:drawing>
      </w:r>
    </w:p>
    <w:p w14:paraId="30A89E0D" w14:textId="77777777" w:rsidR="00515D44" w:rsidRPr="00D33399" w:rsidRDefault="00515D44" w:rsidP="005144E2">
      <w:pPr>
        <w:widowControl/>
        <w:jc w:val="both"/>
        <w:rPr>
          <w:rFonts w:ascii="Arial" w:hAnsi="Arial" w:cs="Arial"/>
          <w:b/>
        </w:rPr>
      </w:pPr>
    </w:p>
    <w:p w14:paraId="1C0F2606" w14:textId="77777777" w:rsidR="005678EC" w:rsidRPr="00D33399" w:rsidRDefault="005678EC" w:rsidP="005144E2">
      <w:pPr>
        <w:widowControl/>
        <w:jc w:val="both"/>
        <w:rPr>
          <w:rFonts w:ascii="Arial" w:hAnsi="Arial" w:cs="Arial"/>
          <w:b/>
          <w:sz w:val="16"/>
          <w:szCs w:val="16"/>
        </w:rPr>
      </w:pPr>
    </w:p>
    <w:p w14:paraId="4FC43675" w14:textId="77777777" w:rsidR="003F4719" w:rsidRPr="00D33399" w:rsidRDefault="003F4719" w:rsidP="005144E2">
      <w:pPr>
        <w:pStyle w:val="PargrafodaLista"/>
        <w:widowControl/>
        <w:numPr>
          <w:ilvl w:val="0"/>
          <w:numId w:val="13"/>
        </w:numPr>
        <w:ind w:left="284" w:hanging="284"/>
        <w:jc w:val="both"/>
        <w:rPr>
          <w:rFonts w:ascii="Arial" w:hAnsi="Arial" w:cs="Arial"/>
          <w:b/>
        </w:rPr>
      </w:pPr>
      <w:r w:rsidRPr="00D33399">
        <w:rPr>
          <w:rFonts w:ascii="Arial" w:hAnsi="Arial" w:cs="Arial"/>
          <w:b/>
        </w:rPr>
        <w:t>Movimentação</w:t>
      </w:r>
      <w:r w:rsidR="00325A12" w:rsidRPr="00D33399">
        <w:rPr>
          <w:rFonts w:ascii="Arial" w:hAnsi="Arial" w:cs="Arial"/>
          <w:b/>
        </w:rPr>
        <w:t xml:space="preserve"> </w:t>
      </w:r>
    </w:p>
    <w:p w14:paraId="139CF0E6" w14:textId="77777777" w:rsidR="00D403E2" w:rsidRPr="00D33399" w:rsidRDefault="00D403E2" w:rsidP="00D403E2">
      <w:pPr>
        <w:widowControl/>
        <w:jc w:val="both"/>
        <w:rPr>
          <w:rFonts w:ascii="Arial" w:hAnsi="Arial" w:cs="Arial"/>
          <w:b/>
          <w:sz w:val="16"/>
          <w:szCs w:val="16"/>
        </w:rPr>
      </w:pPr>
    </w:p>
    <w:p w14:paraId="44B302F5" w14:textId="13059B6F" w:rsidR="00A77C74" w:rsidRPr="00D33399" w:rsidRDefault="00B83294" w:rsidP="005144E2">
      <w:pPr>
        <w:widowControl/>
        <w:jc w:val="both"/>
        <w:rPr>
          <w:rFonts w:ascii="Arial" w:hAnsi="Arial" w:cs="Arial"/>
          <w:b/>
        </w:rPr>
      </w:pPr>
      <w:r w:rsidRPr="00D33399">
        <w:rPr>
          <w:noProof/>
        </w:rPr>
        <w:drawing>
          <wp:inline distT="0" distB="0" distL="0" distR="0" wp14:anchorId="3B7CF4C8" wp14:editId="2D578E94">
            <wp:extent cx="5362575" cy="1952625"/>
            <wp:effectExtent l="0" t="0" r="9525" b="9525"/>
            <wp:docPr id="82" name="Image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62575" cy="1952625"/>
                    </a:xfrm>
                    <a:prstGeom prst="rect">
                      <a:avLst/>
                    </a:prstGeom>
                    <a:noFill/>
                    <a:ln>
                      <a:noFill/>
                    </a:ln>
                  </pic:spPr>
                </pic:pic>
              </a:graphicData>
            </a:graphic>
          </wp:inline>
        </w:drawing>
      </w:r>
    </w:p>
    <w:p w14:paraId="32DE2093" w14:textId="77777777" w:rsidR="000739AB" w:rsidRPr="00D33399" w:rsidRDefault="000739AB" w:rsidP="005144E2">
      <w:pPr>
        <w:widowControl/>
        <w:jc w:val="both"/>
        <w:rPr>
          <w:rFonts w:ascii="Arial" w:hAnsi="Arial" w:cs="Arial"/>
          <w:b/>
        </w:rPr>
      </w:pPr>
    </w:p>
    <w:p w14:paraId="0E946A9E" w14:textId="77777777" w:rsidR="000739AB" w:rsidRDefault="000739AB" w:rsidP="005144E2">
      <w:pPr>
        <w:widowControl/>
        <w:jc w:val="both"/>
        <w:rPr>
          <w:rFonts w:ascii="Arial" w:hAnsi="Arial" w:cs="Arial"/>
          <w:b/>
        </w:rPr>
      </w:pPr>
    </w:p>
    <w:p w14:paraId="40F626B6" w14:textId="77777777" w:rsidR="009D4087" w:rsidRPr="00D33399" w:rsidRDefault="009D4087" w:rsidP="005144E2">
      <w:pPr>
        <w:widowControl/>
        <w:jc w:val="both"/>
        <w:rPr>
          <w:rFonts w:ascii="Arial" w:hAnsi="Arial" w:cs="Arial"/>
          <w:b/>
        </w:rPr>
      </w:pPr>
    </w:p>
    <w:p w14:paraId="64180057" w14:textId="77777777" w:rsidR="003B1C1D" w:rsidRPr="00D33399" w:rsidRDefault="003B1C1D" w:rsidP="005144E2">
      <w:pPr>
        <w:widowControl/>
        <w:jc w:val="both"/>
        <w:rPr>
          <w:rFonts w:ascii="Arial" w:hAnsi="Arial" w:cs="Arial"/>
          <w:b/>
          <w:sz w:val="26"/>
          <w:szCs w:val="26"/>
        </w:rPr>
      </w:pPr>
      <w:r w:rsidRPr="00D33399">
        <w:rPr>
          <w:rFonts w:ascii="Arial" w:hAnsi="Arial" w:cs="Arial"/>
          <w:b/>
          <w:sz w:val="26"/>
          <w:szCs w:val="26"/>
        </w:rPr>
        <w:t>NOTA 13 – ATIVOS FISCAIS DIFERIDOS SOBRE PREJUÍZOS FISCAIS</w:t>
      </w:r>
    </w:p>
    <w:p w14:paraId="1A099E59" w14:textId="77777777" w:rsidR="00D408D3" w:rsidRPr="00D33399" w:rsidRDefault="00D408D3" w:rsidP="005144E2">
      <w:pPr>
        <w:widowControl/>
        <w:jc w:val="both"/>
        <w:rPr>
          <w:rFonts w:ascii="Arial" w:hAnsi="Arial" w:cs="Arial"/>
        </w:rPr>
      </w:pPr>
    </w:p>
    <w:p w14:paraId="598EE734" w14:textId="77777777" w:rsidR="00D403E2" w:rsidRPr="00D33399" w:rsidRDefault="00D403E2" w:rsidP="005144E2">
      <w:pPr>
        <w:widowControl/>
        <w:jc w:val="both"/>
        <w:rPr>
          <w:rFonts w:ascii="Arial" w:hAnsi="Arial" w:cs="Arial"/>
        </w:rPr>
      </w:pPr>
    </w:p>
    <w:p w14:paraId="02F24955" w14:textId="0AEC3800" w:rsidR="00220F9F" w:rsidRPr="00D33399" w:rsidRDefault="00220F9F" w:rsidP="00220F9F">
      <w:pPr>
        <w:jc w:val="both"/>
        <w:rPr>
          <w:rFonts w:ascii="Arial" w:hAnsi="Arial"/>
          <w:szCs w:val="20"/>
        </w:rPr>
      </w:pPr>
      <w:r w:rsidRPr="00D33399">
        <w:rPr>
          <w:rFonts w:ascii="Arial" w:hAnsi="Arial"/>
          <w:szCs w:val="20"/>
        </w:rPr>
        <w:t>A Companhia possui prejuízo fiscal no montante de R$ 1.0</w:t>
      </w:r>
      <w:r w:rsidR="00B4240A">
        <w:rPr>
          <w:rFonts w:ascii="Arial" w:hAnsi="Arial"/>
          <w:szCs w:val="20"/>
        </w:rPr>
        <w:t>7</w:t>
      </w:r>
      <w:r w:rsidR="000739AB" w:rsidRPr="00D33399">
        <w:rPr>
          <w:rFonts w:ascii="Arial" w:hAnsi="Arial"/>
          <w:szCs w:val="20"/>
        </w:rPr>
        <w:t>9.</w:t>
      </w:r>
      <w:r w:rsidR="00B4240A">
        <w:rPr>
          <w:rFonts w:ascii="Arial" w:hAnsi="Arial"/>
          <w:szCs w:val="20"/>
        </w:rPr>
        <w:t>300</w:t>
      </w:r>
      <w:r w:rsidRPr="00D33399">
        <w:rPr>
          <w:rFonts w:ascii="Arial" w:hAnsi="Arial"/>
          <w:szCs w:val="20"/>
        </w:rPr>
        <w:t xml:space="preserve"> (R$ 1.272.791 em 31 de dezembro de 2019) e base negativa de contribuição social no montante de R$ 1.2</w:t>
      </w:r>
      <w:r w:rsidR="00B4240A">
        <w:rPr>
          <w:rFonts w:ascii="Arial" w:hAnsi="Arial"/>
          <w:szCs w:val="20"/>
        </w:rPr>
        <w:t>7</w:t>
      </w:r>
      <w:r w:rsidR="000739AB" w:rsidRPr="00D33399">
        <w:rPr>
          <w:rFonts w:ascii="Arial" w:hAnsi="Arial"/>
          <w:szCs w:val="20"/>
        </w:rPr>
        <w:t>2.</w:t>
      </w:r>
      <w:r w:rsidR="00B4240A">
        <w:rPr>
          <w:rFonts w:ascii="Arial" w:hAnsi="Arial"/>
          <w:szCs w:val="20"/>
        </w:rPr>
        <w:t>791</w:t>
      </w:r>
      <w:r w:rsidRPr="00D33399">
        <w:rPr>
          <w:rFonts w:ascii="Arial" w:hAnsi="Arial"/>
          <w:szCs w:val="20"/>
        </w:rPr>
        <w:t xml:space="preserve"> (R$ 1.455.886 em 31 de dezembro de 2019). </w:t>
      </w:r>
    </w:p>
    <w:p w14:paraId="6ECAE040" w14:textId="77777777" w:rsidR="000739AB" w:rsidRPr="00D33399" w:rsidRDefault="000739AB" w:rsidP="00220F9F">
      <w:pPr>
        <w:jc w:val="both"/>
        <w:rPr>
          <w:rFonts w:ascii="Arial" w:hAnsi="Arial"/>
          <w:szCs w:val="20"/>
        </w:rPr>
      </w:pPr>
    </w:p>
    <w:p w14:paraId="3B701FF7" w14:textId="77777777" w:rsidR="000761E5" w:rsidRPr="00D33399" w:rsidRDefault="000761E5" w:rsidP="000761E5">
      <w:pPr>
        <w:widowControl/>
        <w:spacing w:line="240" w:lineRule="auto"/>
        <w:jc w:val="both"/>
        <w:rPr>
          <w:rFonts w:ascii="Arial" w:hAnsi="Arial"/>
          <w:szCs w:val="20"/>
        </w:rPr>
      </w:pPr>
      <w:r w:rsidRPr="00D33399">
        <w:rPr>
          <w:rFonts w:ascii="Arial" w:hAnsi="Arial"/>
          <w:szCs w:val="20"/>
        </w:rPr>
        <w:t>Pela legislação tributária em vigor, o prejuízo fiscal e a base negativa da CSLL são compensáveis com lucros tributáveis futuros, até o limite de 30% do resultado tributável do exercício, sem prazo de prescrição.</w:t>
      </w:r>
    </w:p>
    <w:p w14:paraId="23F3F236" w14:textId="77777777" w:rsidR="00220F9F" w:rsidRPr="00D33399" w:rsidRDefault="00220F9F" w:rsidP="00220F9F">
      <w:pPr>
        <w:widowControl/>
        <w:spacing w:line="240" w:lineRule="auto"/>
        <w:jc w:val="both"/>
        <w:rPr>
          <w:rFonts w:ascii="Arial" w:hAnsi="Arial"/>
        </w:rPr>
      </w:pPr>
    </w:p>
    <w:p w14:paraId="188E6E29" w14:textId="77777777" w:rsidR="00220F9F" w:rsidRPr="00D33399" w:rsidRDefault="00220F9F" w:rsidP="00220F9F">
      <w:pPr>
        <w:widowControl/>
        <w:spacing w:line="240" w:lineRule="auto"/>
        <w:jc w:val="both"/>
        <w:rPr>
          <w:rFonts w:ascii="Arial" w:hAnsi="Arial"/>
          <w:szCs w:val="20"/>
        </w:rPr>
      </w:pPr>
      <w:r w:rsidRPr="00D33399">
        <w:rPr>
          <w:rFonts w:ascii="Arial" w:hAnsi="Arial"/>
          <w:szCs w:val="20"/>
        </w:rPr>
        <w:t>A Companhia não reconhece impostos diferidos ativos sobre prejuízos fiscais e base negativa, por não apresentar um histórico de resultados positivos nos três últimos anos e não ter expectativa de reverter a situação em curto prazo, conforme prevê a Instrução CVM nº 371/2002.</w:t>
      </w:r>
    </w:p>
    <w:p w14:paraId="2B24E201" w14:textId="77777777" w:rsidR="00220F9F" w:rsidRPr="00D33399" w:rsidRDefault="00220F9F" w:rsidP="00220F9F">
      <w:pPr>
        <w:widowControl/>
        <w:spacing w:line="240" w:lineRule="auto"/>
        <w:jc w:val="both"/>
        <w:rPr>
          <w:rFonts w:ascii="Arial" w:hAnsi="Arial"/>
          <w:szCs w:val="20"/>
        </w:rPr>
      </w:pPr>
    </w:p>
    <w:p w14:paraId="40FF024D" w14:textId="6E11F27B" w:rsidR="00220F9F" w:rsidRPr="00D33399" w:rsidRDefault="00220F9F" w:rsidP="00220F9F">
      <w:pPr>
        <w:widowControl/>
        <w:spacing w:line="240" w:lineRule="auto"/>
        <w:jc w:val="both"/>
        <w:rPr>
          <w:rFonts w:ascii="Arial" w:hAnsi="Arial"/>
        </w:rPr>
      </w:pPr>
      <w:r w:rsidRPr="00D33399">
        <w:rPr>
          <w:rFonts w:ascii="Arial" w:hAnsi="Arial"/>
        </w:rPr>
        <w:t>O cálculo da taxa efetiva de imposto de renda e contribuição social, e a composição dos impostos diferidos passivos, encontram-se detalhados na</w:t>
      </w:r>
      <w:r w:rsidR="000761E5" w:rsidRPr="00D33399">
        <w:rPr>
          <w:rFonts w:ascii="Arial" w:hAnsi="Arial"/>
        </w:rPr>
        <w:t>s</w:t>
      </w:r>
      <w:r w:rsidRPr="00D33399">
        <w:rPr>
          <w:rFonts w:ascii="Arial" w:hAnsi="Arial"/>
        </w:rPr>
        <w:t xml:space="preserve"> </w:t>
      </w:r>
      <w:r w:rsidR="000761E5" w:rsidRPr="00D33399">
        <w:rPr>
          <w:rFonts w:ascii="Arial" w:hAnsi="Arial"/>
        </w:rPr>
        <w:t>notas</w:t>
      </w:r>
      <w:r w:rsidRPr="00D33399">
        <w:rPr>
          <w:rFonts w:ascii="Arial" w:hAnsi="Arial"/>
        </w:rPr>
        <w:t xml:space="preserve"> </w:t>
      </w:r>
      <w:r w:rsidR="000761E5" w:rsidRPr="00D33399">
        <w:rPr>
          <w:rFonts w:ascii="Arial" w:hAnsi="Arial"/>
        </w:rPr>
        <w:t>18 e 3</w:t>
      </w:r>
      <w:r w:rsidR="00E1575D">
        <w:rPr>
          <w:rFonts w:ascii="Arial" w:hAnsi="Arial"/>
        </w:rPr>
        <w:t>3</w:t>
      </w:r>
      <w:r w:rsidRPr="00D33399">
        <w:rPr>
          <w:rFonts w:ascii="Arial" w:hAnsi="Arial"/>
        </w:rPr>
        <w:t>.</w:t>
      </w:r>
    </w:p>
    <w:p w14:paraId="0423400B" w14:textId="77777777" w:rsidR="001A06F6" w:rsidRPr="00D33399" w:rsidRDefault="001A06F6" w:rsidP="005144E2">
      <w:pPr>
        <w:widowControl/>
        <w:rPr>
          <w:rFonts w:ascii="Arial" w:hAnsi="Arial" w:cs="Arial"/>
          <w:b/>
        </w:rPr>
      </w:pPr>
    </w:p>
    <w:p w14:paraId="575C97F9" w14:textId="77777777" w:rsidR="001A06F6" w:rsidRPr="00D33399" w:rsidRDefault="001A06F6" w:rsidP="005144E2">
      <w:pPr>
        <w:widowControl/>
        <w:rPr>
          <w:rFonts w:ascii="Arial" w:hAnsi="Arial" w:cs="Arial"/>
          <w:b/>
        </w:rPr>
      </w:pPr>
    </w:p>
    <w:p w14:paraId="163F0B38" w14:textId="77777777" w:rsidR="001A06F6" w:rsidRPr="00D33399" w:rsidRDefault="001A06F6" w:rsidP="005144E2">
      <w:pPr>
        <w:widowControl/>
        <w:rPr>
          <w:rFonts w:ascii="Arial" w:hAnsi="Arial" w:cs="Arial"/>
          <w:b/>
        </w:rPr>
      </w:pPr>
    </w:p>
    <w:p w14:paraId="0B9E1C11" w14:textId="77777777" w:rsidR="001A06F6" w:rsidRPr="00D33399" w:rsidRDefault="001A06F6" w:rsidP="005144E2">
      <w:pPr>
        <w:widowControl/>
        <w:rPr>
          <w:rFonts w:ascii="Arial" w:hAnsi="Arial" w:cs="Arial"/>
          <w:b/>
        </w:rPr>
      </w:pPr>
    </w:p>
    <w:p w14:paraId="6531FAEB" w14:textId="77777777" w:rsidR="00C110ED" w:rsidRPr="00D33399" w:rsidRDefault="00C110ED" w:rsidP="005144E2">
      <w:pPr>
        <w:widowControl/>
        <w:rPr>
          <w:rFonts w:ascii="Arial" w:hAnsi="Arial" w:cs="Arial"/>
          <w:b/>
        </w:rPr>
      </w:pPr>
    </w:p>
    <w:p w14:paraId="49740933" w14:textId="77777777" w:rsidR="00C110ED" w:rsidRPr="00D33399" w:rsidRDefault="00C110ED" w:rsidP="005144E2">
      <w:pPr>
        <w:widowControl/>
        <w:rPr>
          <w:rFonts w:ascii="Arial" w:hAnsi="Arial" w:cs="Arial"/>
          <w:b/>
        </w:rPr>
      </w:pPr>
    </w:p>
    <w:p w14:paraId="0391BEBA" w14:textId="77777777" w:rsidR="00C110ED" w:rsidRPr="00D33399" w:rsidRDefault="00C110ED" w:rsidP="005144E2">
      <w:pPr>
        <w:widowControl/>
        <w:rPr>
          <w:rFonts w:ascii="Arial" w:hAnsi="Arial" w:cs="Arial"/>
          <w:b/>
        </w:rPr>
      </w:pPr>
    </w:p>
    <w:p w14:paraId="094E86D8" w14:textId="77777777" w:rsidR="00C110ED" w:rsidRPr="00D33399" w:rsidRDefault="00C110ED" w:rsidP="005144E2">
      <w:pPr>
        <w:widowControl/>
        <w:rPr>
          <w:rFonts w:ascii="Arial" w:hAnsi="Arial" w:cs="Arial"/>
          <w:b/>
        </w:rPr>
      </w:pPr>
    </w:p>
    <w:p w14:paraId="2497B276" w14:textId="77777777" w:rsidR="00C110ED" w:rsidRPr="00D33399" w:rsidRDefault="00C110ED" w:rsidP="005144E2">
      <w:pPr>
        <w:widowControl/>
        <w:rPr>
          <w:rFonts w:ascii="Arial" w:hAnsi="Arial" w:cs="Arial"/>
          <w:b/>
        </w:rPr>
      </w:pPr>
    </w:p>
    <w:p w14:paraId="2CB007FE" w14:textId="77777777" w:rsidR="00220F9F" w:rsidRPr="00D33399" w:rsidRDefault="00220F9F" w:rsidP="005144E2">
      <w:pPr>
        <w:widowControl/>
        <w:rPr>
          <w:rFonts w:ascii="Arial" w:hAnsi="Arial" w:cs="Arial"/>
          <w:b/>
        </w:rPr>
      </w:pPr>
    </w:p>
    <w:p w14:paraId="782F660C" w14:textId="77777777" w:rsidR="00220F9F" w:rsidRPr="00D33399" w:rsidRDefault="00220F9F" w:rsidP="005144E2">
      <w:pPr>
        <w:widowControl/>
        <w:rPr>
          <w:rFonts w:ascii="Arial" w:hAnsi="Arial" w:cs="Arial"/>
          <w:b/>
        </w:rPr>
      </w:pPr>
    </w:p>
    <w:p w14:paraId="7821417E" w14:textId="77777777" w:rsidR="003F4719" w:rsidRPr="00D33399" w:rsidRDefault="003F4719" w:rsidP="005144E2">
      <w:pPr>
        <w:widowControl/>
        <w:rPr>
          <w:rFonts w:ascii="Arial" w:hAnsi="Arial" w:cs="Arial"/>
          <w:b/>
          <w:sz w:val="26"/>
          <w:szCs w:val="26"/>
        </w:rPr>
      </w:pPr>
      <w:r w:rsidRPr="00D33399">
        <w:rPr>
          <w:rFonts w:ascii="Arial" w:hAnsi="Arial" w:cs="Arial"/>
          <w:b/>
          <w:sz w:val="26"/>
          <w:szCs w:val="26"/>
        </w:rPr>
        <w:lastRenderedPageBreak/>
        <w:t>NOTA 14 – IMOBILIZADO</w:t>
      </w:r>
    </w:p>
    <w:p w14:paraId="5A48A934" w14:textId="77777777" w:rsidR="00D403E2" w:rsidRDefault="00D403E2" w:rsidP="005144E2">
      <w:pPr>
        <w:jc w:val="both"/>
        <w:rPr>
          <w:rFonts w:ascii="Arial" w:hAnsi="Arial" w:cs="Arial"/>
        </w:rPr>
      </w:pPr>
    </w:p>
    <w:p w14:paraId="3E37FA52" w14:textId="77777777" w:rsidR="009D4087" w:rsidRPr="00D33399" w:rsidRDefault="009D4087" w:rsidP="005144E2">
      <w:pPr>
        <w:jc w:val="both"/>
        <w:rPr>
          <w:rFonts w:ascii="Arial" w:hAnsi="Arial" w:cs="Arial"/>
        </w:rPr>
      </w:pPr>
    </w:p>
    <w:p w14:paraId="77E6F873" w14:textId="77777777" w:rsidR="003F4719" w:rsidRPr="00D33399" w:rsidRDefault="003F4719" w:rsidP="005144E2">
      <w:pPr>
        <w:widowControl/>
        <w:jc w:val="both"/>
        <w:rPr>
          <w:rFonts w:ascii="Arial" w:hAnsi="Arial" w:cs="Arial"/>
        </w:rPr>
      </w:pPr>
      <w:r w:rsidRPr="00D33399">
        <w:rPr>
          <w:rFonts w:ascii="Arial" w:hAnsi="Arial" w:cs="Arial"/>
        </w:rPr>
        <w:t xml:space="preserve">Os bens e instalações utilizados na produção são vinculados ao serviço público de energia elétrica, não podendo ser retirados, alienados, cedidos ou dados em garantia hipotecária, sem a prévia e expressa autorização do Órgão Regulador, segundo a legislação federal vigente. </w:t>
      </w:r>
    </w:p>
    <w:p w14:paraId="217C82C9" w14:textId="77777777" w:rsidR="00A55FE0" w:rsidRPr="00D33399" w:rsidRDefault="00A55FE0" w:rsidP="005144E2">
      <w:pPr>
        <w:widowControl/>
        <w:jc w:val="both"/>
        <w:rPr>
          <w:rFonts w:ascii="Arial" w:hAnsi="Arial" w:cs="Arial"/>
        </w:rPr>
      </w:pPr>
    </w:p>
    <w:p w14:paraId="46879165" w14:textId="77777777" w:rsidR="00A55FE0" w:rsidRPr="00D33399" w:rsidRDefault="00A55FE0" w:rsidP="00A55FE0">
      <w:pPr>
        <w:widowControl/>
        <w:jc w:val="both"/>
        <w:rPr>
          <w:rFonts w:ascii="Arial" w:hAnsi="Arial" w:cs="Arial"/>
        </w:rPr>
      </w:pPr>
      <w:r w:rsidRPr="00D33399">
        <w:rPr>
          <w:rFonts w:ascii="Arial" w:hAnsi="Arial" w:cs="Arial"/>
        </w:rPr>
        <w:t>Os imobilizados em serviço são depreciados a taxa anual de 3,26%.</w:t>
      </w:r>
    </w:p>
    <w:p w14:paraId="40B21C61" w14:textId="77777777" w:rsidR="00A55FE0" w:rsidRPr="00D33399" w:rsidRDefault="00A55FE0" w:rsidP="005144E2">
      <w:pPr>
        <w:widowControl/>
        <w:jc w:val="both"/>
        <w:rPr>
          <w:rFonts w:ascii="Arial" w:hAnsi="Arial" w:cs="Arial"/>
        </w:rPr>
      </w:pPr>
    </w:p>
    <w:p w14:paraId="23B6D20D" w14:textId="77777777" w:rsidR="001A06F6" w:rsidRPr="0068661E" w:rsidRDefault="003F4719" w:rsidP="00067006">
      <w:pPr>
        <w:pStyle w:val="PargrafodaLista"/>
        <w:widowControl/>
        <w:numPr>
          <w:ilvl w:val="0"/>
          <w:numId w:val="19"/>
        </w:numPr>
        <w:ind w:left="284" w:hanging="284"/>
        <w:jc w:val="both"/>
        <w:rPr>
          <w:rFonts w:ascii="Arial" w:hAnsi="Arial" w:cs="Arial"/>
          <w:b/>
        </w:rPr>
      </w:pPr>
      <w:r w:rsidRPr="0068661E">
        <w:rPr>
          <w:rFonts w:ascii="Arial" w:hAnsi="Arial" w:cs="Arial"/>
          <w:b/>
        </w:rPr>
        <w:t>Composição do saldo do imobilizado</w:t>
      </w:r>
    </w:p>
    <w:p w14:paraId="37A5149D" w14:textId="77777777" w:rsidR="001A06F6" w:rsidRPr="00D33399" w:rsidRDefault="001A06F6" w:rsidP="001A06F6">
      <w:pPr>
        <w:widowControl/>
        <w:jc w:val="both"/>
        <w:rPr>
          <w:rFonts w:ascii="Arial" w:hAnsi="Arial" w:cs="Arial"/>
          <w:b/>
          <w:sz w:val="16"/>
          <w:szCs w:val="16"/>
        </w:rPr>
      </w:pPr>
    </w:p>
    <w:p w14:paraId="5314A759" w14:textId="775496E0" w:rsidR="00B90A6E" w:rsidRPr="00D33399" w:rsidRDefault="008532FA" w:rsidP="001A06F6">
      <w:pPr>
        <w:widowControl/>
        <w:jc w:val="both"/>
        <w:rPr>
          <w:rFonts w:ascii="Arial" w:hAnsi="Arial" w:cs="Arial"/>
          <w:b/>
        </w:rPr>
      </w:pPr>
      <w:r w:rsidRPr="00D33399">
        <w:rPr>
          <w:noProof/>
        </w:rPr>
        <w:drawing>
          <wp:inline distT="0" distB="0" distL="0" distR="0" wp14:anchorId="3C6F1DEC" wp14:editId="0B09F17F">
            <wp:extent cx="6073140" cy="6140453"/>
            <wp:effectExtent l="0" t="0" r="3810" b="0"/>
            <wp:docPr id="83" name="Image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73140" cy="6140453"/>
                    </a:xfrm>
                    <a:prstGeom prst="rect">
                      <a:avLst/>
                    </a:prstGeom>
                    <a:noFill/>
                    <a:ln>
                      <a:noFill/>
                    </a:ln>
                  </pic:spPr>
                </pic:pic>
              </a:graphicData>
            </a:graphic>
          </wp:inline>
        </w:drawing>
      </w:r>
    </w:p>
    <w:p w14:paraId="68F70723" w14:textId="77777777" w:rsidR="003F4719" w:rsidRPr="00D33399" w:rsidRDefault="003F4719" w:rsidP="00067006">
      <w:pPr>
        <w:pStyle w:val="PargrafodaLista"/>
        <w:widowControl/>
        <w:numPr>
          <w:ilvl w:val="0"/>
          <w:numId w:val="16"/>
        </w:numPr>
        <w:ind w:left="284" w:hanging="284"/>
        <w:jc w:val="both"/>
        <w:outlineLvl w:val="0"/>
        <w:rPr>
          <w:rFonts w:ascii="Arial" w:hAnsi="Arial" w:cs="Arial"/>
          <w:b/>
        </w:rPr>
      </w:pPr>
      <w:r w:rsidRPr="00D33399">
        <w:rPr>
          <w:rFonts w:ascii="Arial" w:hAnsi="Arial" w:cs="Arial"/>
          <w:b/>
        </w:rPr>
        <w:lastRenderedPageBreak/>
        <w:t>Movimentação do imobilizado</w:t>
      </w:r>
    </w:p>
    <w:p w14:paraId="67D9CAAA" w14:textId="77777777" w:rsidR="00361036" w:rsidRPr="00D33399" w:rsidRDefault="00361036" w:rsidP="00361036">
      <w:pPr>
        <w:widowControl/>
        <w:jc w:val="both"/>
        <w:outlineLvl w:val="0"/>
        <w:rPr>
          <w:rFonts w:ascii="Arial" w:hAnsi="Arial" w:cs="Arial"/>
          <w:b/>
          <w:sz w:val="16"/>
          <w:szCs w:val="16"/>
        </w:rPr>
      </w:pPr>
    </w:p>
    <w:p w14:paraId="2940CCC0" w14:textId="357CC211" w:rsidR="00857FCD" w:rsidRPr="00D33399" w:rsidRDefault="00B15D55" w:rsidP="005144E2">
      <w:pPr>
        <w:widowControl/>
        <w:jc w:val="both"/>
        <w:outlineLvl w:val="0"/>
        <w:rPr>
          <w:rFonts w:ascii="Arial" w:hAnsi="Arial" w:cs="Arial"/>
          <w:b/>
        </w:rPr>
      </w:pPr>
      <w:r w:rsidRPr="00B15D55">
        <w:rPr>
          <w:rFonts w:ascii="Arial" w:hAnsi="Arial" w:cs="Arial"/>
          <w:b/>
        </w:rPr>
        <w:t xml:space="preserve"> </w:t>
      </w:r>
      <w:r w:rsidRPr="00B15D55">
        <w:rPr>
          <w:noProof/>
        </w:rPr>
        <w:drawing>
          <wp:inline distT="0" distB="0" distL="0" distR="0" wp14:anchorId="78B9C47F" wp14:editId="35788230">
            <wp:extent cx="6073140" cy="2716931"/>
            <wp:effectExtent l="0" t="0" r="3810" b="762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73140" cy="2716931"/>
                    </a:xfrm>
                    <a:prstGeom prst="rect">
                      <a:avLst/>
                    </a:prstGeom>
                    <a:noFill/>
                    <a:ln>
                      <a:noFill/>
                    </a:ln>
                  </pic:spPr>
                </pic:pic>
              </a:graphicData>
            </a:graphic>
          </wp:inline>
        </w:drawing>
      </w:r>
    </w:p>
    <w:p w14:paraId="35FBB84B" w14:textId="77777777" w:rsidR="00361036" w:rsidRPr="00D33399" w:rsidRDefault="00361036" w:rsidP="005144E2">
      <w:pPr>
        <w:widowControl/>
        <w:jc w:val="both"/>
        <w:outlineLvl w:val="0"/>
        <w:rPr>
          <w:rFonts w:ascii="Arial" w:hAnsi="Arial" w:cs="Arial"/>
          <w:b/>
        </w:rPr>
      </w:pPr>
    </w:p>
    <w:p w14:paraId="14D9E738" w14:textId="77777777" w:rsidR="00CD67D4" w:rsidRPr="00D33399" w:rsidRDefault="00CD67D4" w:rsidP="005144E2">
      <w:pPr>
        <w:widowControl/>
        <w:jc w:val="both"/>
        <w:outlineLvl w:val="0"/>
        <w:rPr>
          <w:rFonts w:ascii="Arial" w:hAnsi="Arial" w:cs="Arial"/>
          <w:b/>
        </w:rPr>
      </w:pPr>
      <w:r w:rsidRPr="00D33399">
        <w:rPr>
          <w:rFonts w:ascii="Arial" w:hAnsi="Arial" w:cs="Arial"/>
          <w:noProof/>
        </w:rPr>
        <w:drawing>
          <wp:inline distT="0" distB="0" distL="0" distR="0" wp14:anchorId="1FC26071" wp14:editId="7EFA9BD9">
            <wp:extent cx="6073140" cy="2416574"/>
            <wp:effectExtent l="0" t="0" r="3810" b="3175"/>
            <wp:docPr id="70" name="Image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73140" cy="2416574"/>
                    </a:xfrm>
                    <a:prstGeom prst="rect">
                      <a:avLst/>
                    </a:prstGeom>
                    <a:noFill/>
                    <a:ln>
                      <a:noFill/>
                    </a:ln>
                  </pic:spPr>
                </pic:pic>
              </a:graphicData>
            </a:graphic>
          </wp:inline>
        </w:drawing>
      </w:r>
    </w:p>
    <w:p w14:paraId="06881E3F" w14:textId="77777777" w:rsidR="00CA5973" w:rsidRPr="00D33399" w:rsidRDefault="00CA5973" w:rsidP="005144E2">
      <w:pPr>
        <w:widowControl/>
        <w:jc w:val="both"/>
        <w:outlineLvl w:val="0"/>
        <w:rPr>
          <w:rFonts w:ascii="Arial" w:hAnsi="Arial" w:cs="Arial"/>
          <w:b/>
        </w:rPr>
      </w:pPr>
    </w:p>
    <w:p w14:paraId="2EFD14A1" w14:textId="77777777" w:rsidR="0051289C" w:rsidRPr="00D33399" w:rsidRDefault="0051289C" w:rsidP="005144E2">
      <w:pPr>
        <w:widowControl/>
        <w:jc w:val="both"/>
        <w:outlineLvl w:val="0"/>
        <w:rPr>
          <w:rFonts w:ascii="Arial" w:hAnsi="Arial" w:cs="Arial"/>
          <w:b/>
          <w:sz w:val="16"/>
          <w:szCs w:val="16"/>
        </w:rPr>
      </w:pPr>
    </w:p>
    <w:p w14:paraId="3E0D31BD" w14:textId="77777777" w:rsidR="003F4719" w:rsidRPr="00D33399" w:rsidRDefault="003F4719" w:rsidP="005144E2">
      <w:pPr>
        <w:jc w:val="both"/>
        <w:rPr>
          <w:rFonts w:ascii="Arial" w:hAnsi="Arial" w:cs="Arial"/>
          <w:b/>
        </w:rPr>
      </w:pPr>
      <w:r w:rsidRPr="00D33399">
        <w:rPr>
          <w:rFonts w:ascii="Arial" w:hAnsi="Arial" w:cs="Arial"/>
          <w:b/>
        </w:rPr>
        <w:t>c) Valor recuperável dos ativos de longo prazo</w:t>
      </w:r>
    </w:p>
    <w:p w14:paraId="1B3A03EB" w14:textId="77777777" w:rsidR="003F4719" w:rsidRPr="00D33399" w:rsidRDefault="003F4719" w:rsidP="005144E2">
      <w:pPr>
        <w:jc w:val="both"/>
        <w:rPr>
          <w:rFonts w:ascii="Arial" w:hAnsi="Arial" w:cs="Arial"/>
        </w:rPr>
      </w:pPr>
    </w:p>
    <w:p w14:paraId="1BB50333" w14:textId="49FB8E00" w:rsidR="003F4719" w:rsidRPr="00D33399" w:rsidRDefault="003F4719" w:rsidP="005144E2">
      <w:pPr>
        <w:jc w:val="both"/>
        <w:rPr>
          <w:rFonts w:ascii="Arial" w:hAnsi="Arial" w:cs="Arial"/>
        </w:rPr>
      </w:pPr>
      <w:r w:rsidRPr="00D33399">
        <w:rPr>
          <w:rFonts w:ascii="Arial" w:hAnsi="Arial" w:cs="Arial"/>
        </w:rPr>
        <w:t xml:space="preserve">A Companhia estimou o valor recuperável de seus ativos de longo prazo </w:t>
      </w:r>
      <w:r w:rsidR="001A4E76" w:rsidRPr="00D33399">
        <w:rPr>
          <w:rFonts w:ascii="Arial" w:hAnsi="Arial" w:cs="Arial"/>
        </w:rPr>
        <w:t xml:space="preserve">em 31 de dezembro de 2019 </w:t>
      </w:r>
      <w:r w:rsidRPr="00D33399">
        <w:rPr>
          <w:rFonts w:ascii="Arial" w:hAnsi="Arial" w:cs="Arial"/>
        </w:rPr>
        <w:t>com base em valor em uso, tendo em vista não haver mercado ativo para a infraestrutura</w:t>
      </w:r>
      <w:r w:rsidR="003A4EF3" w:rsidRPr="00D33399">
        <w:rPr>
          <w:rFonts w:ascii="Arial" w:hAnsi="Arial" w:cs="Arial"/>
        </w:rPr>
        <w:t>.</w:t>
      </w:r>
      <w:r w:rsidRPr="00D33399">
        <w:rPr>
          <w:rFonts w:ascii="Arial" w:hAnsi="Arial" w:cs="Arial"/>
        </w:rPr>
        <w:t xml:space="preserve"> O valor em uso é avaliado com base no valor presente do fluxo de caixa futuro estimado.</w:t>
      </w:r>
    </w:p>
    <w:p w14:paraId="0A48712E" w14:textId="77777777" w:rsidR="003F4719" w:rsidRPr="00D33399" w:rsidRDefault="003F4719" w:rsidP="005144E2">
      <w:pPr>
        <w:jc w:val="both"/>
        <w:rPr>
          <w:rFonts w:ascii="Arial" w:hAnsi="Arial" w:cs="Arial"/>
        </w:rPr>
      </w:pPr>
    </w:p>
    <w:p w14:paraId="4383A197" w14:textId="77777777" w:rsidR="000E2EC0" w:rsidRDefault="003F4719" w:rsidP="00B30978">
      <w:pPr>
        <w:jc w:val="both"/>
        <w:rPr>
          <w:rFonts w:ascii="Arial" w:hAnsi="Arial" w:cs="Arial"/>
        </w:rPr>
      </w:pPr>
      <w:r w:rsidRPr="00D874EF">
        <w:rPr>
          <w:rFonts w:ascii="Arial" w:hAnsi="Arial" w:cs="Arial"/>
        </w:rPr>
        <w:t>Os valores alocados às premissas representam a avaliação da Administração da Companhia sobre as tendências futuras do setor elétrico e</w:t>
      </w:r>
      <w:r w:rsidR="00122957" w:rsidRPr="00D874EF">
        <w:rPr>
          <w:rFonts w:ascii="Arial" w:hAnsi="Arial" w:cs="Arial"/>
        </w:rPr>
        <w:t>,</w:t>
      </w:r>
      <w:r w:rsidRPr="00D874EF">
        <w:rPr>
          <w:rFonts w:ascii="Arial" w:hAnsi="Arial" w:cs="Arial"/>
        </w:rPr>
        <w:t xml:space="preserve"> são baseadas, tanto em fontes externas de informações como dados históricos. O fluxo de caixa foi projetado com base no resultado operacional e projeções da Companhia até o término da concessão. </w:t>
      </w:r>
    </w:p>
    <w:p w14:paraId="182AA74A" w14:textId="29335CEE" w:rsidR="003F4719" w:rsidRPr="00D33399" w:rsidRDefault="000E2EC0" w:rsidP="00B30978">
      <w:pPr>
        <w:jc w:val="both"/>
        <w:rPr>
          <w:rFonts w:ascii="Arial" w:hAnsi="Arial" w:cs="Arial"/>
        </w:rPr>
      </w:pPr>
      <w:r>
        <w:rPr>
          <w:rFonts w:ascii="Arial" w:hAnsi="Arial" w:cs="Arial"/>
          <w:color w:val="000000" w:themeColor="text1"/>
        </w:rPr>
        <w:lastRenderedPageBreak/>
        <w:t xml:space="preserve">A </w:t>
      </w:r>
      <w:r w:rsidRPr="00D874EF">
        <w:rPr>
          <w:rFonts w:ascii="Arial" w:hAnsi="Arial" w:cs="Arial"/>
          <w:color w:val="000000" w:themeColor="text1"/>
        </w:rPr>
        <w:t>Companhia sensibilizou os testes de seus ativos relevantes, em especial Angra 3, que já possui provisão de recuperabilidade registrada e não foi encontrada necessidade de incremento de provisão em relação às provisões ora registradas</w:t>
      </w:r>
      <w:r>
        <w:rPr>
          <w:rFonts w:ascii="Arial" w:hAnsi="Arial" w:cs="Arial"/>
          <w:color w:val="000000" w:themeColor="text1"/>
        </w:rPr>
        <w:t>.</w:t>
      </w:r>
    </w:p>
    <w:p w14:paraId="3760707D" w14:textId="77777777" w:rsidR="002D5D8F" w:rsidRPr="00D33399" w:rsidRDefault="002D5D8F" w:rsidP="005144E2">
      <w:pPr>
        <w:jc w:val="both"/>
        <w:rPr>
          <w:rFonts w:ascii="Arial" w:hAnsi="Arial" w:cs="Arial"/>
        </w:rPr>
      </w:pPr>
    </w:p>
    <w:p w14:paraId="5B13E3E8" w14:textId="77777777" w:rsidR="003B746A" w:rsidRPr="00D33399" w:rsidRDefault="003B746A" w:rsidP="005144E2">
      <w:pPr>
        <w:jc w:val="both"/>
        <w:rPr>
          <w:rFonts w:ascii="Arial" w:hAnsi="Arial" w:cs="Arial"/>
          <w:sz w:val="16"/>
          <w:szCs w:val="16"/>
        </w:rPr>
      </w:pPr>
    </w:p>
    <w:p w14:paraId="09C84481" w14:textId="77777777" w:rsidR="00B87BB6" w:rsidRPr="00D33399" w:rsidRDefault="003F4719" w:rsidP="005144E2">
      <w:pPr>
        <w:jc w:val="both"/>
        <w:rPr>
          <w:rFonts w:ascii="Arial" w:hAnsi="Arial" w:cs="Arial"/>
        </w:rPr>
      </w:pPr>
      <w:r w:rsidRPr="00D33399">
        <w:rPr>
          <w:rFonts w:ascii="Arial" w:hAnsi="Arial" w:cs="Arial"/>
          <w:b/>
        </w:rPr>
        <w:t>c.1)</w:t>
      </w:r>
      <w:r w:rsidRPr="00D33399">
        <w:rPr>
          <w:rFonts w:ascii="Arial" w:hAnsi="Arial" w:cs="Arial"/>
        </w:rPr>
        <w:t xml:space="preserve"> Crescimento orgânico compatível com os dados históricos</w:t>
      </w:r>
      <w:r w:rsidR="002D4B30" w:rsidRPr="00D33399">
        <w:rPr>
          <w:rFonts w:ascii="Arial" w:hAnsi="Arial" w:cs="Arial"/>
        </w:rPr>
        <w:t xml:space="preserve"> e reajustes tarifários contratuais de inflação</w:t>
      </w:r>
      <w:r w:rsidRPr="00D33399">
        <w:rPr>
          <w:rFonts w:ascii="Arial" w:hAnsi="Arial" w:cs="Arial"/>
        </w:rPr>
        <w:t xml:space="preserve">; </w:t>
      </w:r>
    </w:p>
    <w:p w14:paraId="62F8BB37" w14:textId="77777777" w:rsidR="00817068" w:rsidRDefault="00817068" w:rsidP="005144E2">
      <w:pPr>
        <w:jc w:val="both"/>
        <w:rPr>
          <w:rFonts w:ascii="Arial" w:hAnsi="Arial" w:cs="Arial"/>
        </w:rPr>
      </w:pPr>
    </w:p>
    <w:p w14:paraId="048AEC57" w14:textId="77777777" w:rsidR="009D4087" w:rsidRPr="009D4087" w:rsidRDefault="009D4087" w:rsidP="005144E2">
      <w:pPr>
        <w:jc w:val="both"/>
        <w:rPr>
          <w:rFonts w:ascii="Arial" w:hAnsi="Arial" w:cs="Arial"/>
          <w:sz w:val="16"/>
          <w:szCs w:val="16"/>
        </w:rPr>
      </w:pPr>
    </w:p>
    <w:p w14:paraId="36692E69" w14:textId="77777777" w:rsidR="00B87BB6" w:rsidRPr="00D33399" w:rsidRDefault="00B87BB6" w:rsidP="005144E2">
      <w:pPr>
        <w:jc w:val="both"/>
        <w:rPr>
          <w:rFonts w:ascii="Arial" w:hAnsi="Arial" w:cs="Arial"/>
        </w:rPr>
      </w:pPr>
      <w:r w:rsidRPr="00D33399">
        <w:rPr>
          <w:rFonts w:ascii="Arial" w:hAnsi="Arial" w:cs="Arial"/>
          <w:b/>
        </w:rPr>
        <w:t xml:space="preserve">c.2) </w:t>
      </w:r>
      <w:r w:rsidRPr="00D33399">
        <w:rPr>
          <w:rFonts w:ascii="Arial" w:hAnsi="Arial" w:cs="Arial"/>
        </w:rPr>
        <w:t>Taxa de desconto</w:t>
      </w:r>
    </w:p>
    <w:p w14:paraId="7C263401" w14:textId="77777777" w:rsidR="00B87BB6" w:rsidRPr="00D33399" w:rsidRDefault="00B87BB6" w:rsidP="005144E2">
      <w:pPr>
        <w:jc w:val="both"/>
        <w:rPr>
          <w:rFonts w:ascii="Arial" w:hAnsi="Arial" w:cs="Arial"/>
          <w:sz w:val="16"/>
          <w:szCs w:val="16"/>
        </w:rPr>
      </w:pPr>
    </w:p>
    <w:p w14:paraId="60A5FD9A" w14:textId="2BC1F8E8" w:rsidR="000F16C5" w:rsidRPr="00D33399" w:rsidRDefault="000F16C5" w:rsidP="005144E2">
      <w:pPr>
        <w:jc w:val="both"/>
        <w:rPr>
          <w:rFonts w:ascii="Arial" w:hAnsi="Arial" w:cs="Arial"/>
        </w:rPr>
      </w:pPr>
      <w:r w:rsidRPr="00D33399">
        <w:rPr>
          <w:rFonts w:ascii="Arial" w:hAnsi="Arial" w:cs="Arial"/>
        </w:rPr>
        <w:t xml:space="preserve">A taxa de desconto (após os impostos) para as Usinas Angra 1 e 2 - foi utilizada a taxa específica para o segmento de geração de </w:t>
      </w:r>
      <w:r w:rsidR="003479F4" w:rsidRPr="00D33399">
        <w:rPr>
          <w:rFonts w:ascii="Arial" w:hAnsi="Arial" w:cs="Arial"/>
        </w:rPr>
        <w:t>4</w:t>
      </w:r>
      <w:r w:rsidR="00A0388A" w:rsidRPr="00D33399">
        <w:rPr>
          <w:rFonts w:ascii="Arial" w:hAnsi="Arial" w:cs="Arial"/>
        </w:rPr>
        <w:t>,3</w:t>
      </w:r>
      <w:r w:rsidR="009F4364" w:rsidRPr="00D33399">
        <w:rPr>
          <w:rFonts w:ascii="Arial" w:hAnsi="Arial" w:cs="Arial"/>
        </w:rPr>
        <w:t>6</w:t>
      </w:r>
      <w:r w:rsidRPr="00D33399">
        <w:rPr>
          <w:rFonts w:ascii="Arial" w:hAnsi="Arial" w:cs="Arial"/>
        </w:rPr>
        <w:t>%,</w:t>
      </w:r>
      <w:r w:rsidR="00CF7D63" w:rsidRPr="00D33399">
        <w:rPr>
          <w:rFonts w:ascii="Arial" w:hAnsi="Arial" w:cs="Arial"/>
        </w:rPr>
        <w:t xml:space="preserve"> </w:t>
      </w:r>
      <w:r w:rsidRPr="00D33399">
        <w:rPr>
          <w:rFonts w:ascii="Arial" w:hAnsi="Arial" w:cs="Arial"/>
        </w:rPr>
        <w:t>obtida através de metodologia usualmente aplicada pelo mercado.</w:t>
      </w:r>
    </w:p>
    <w:p w14:paraId="5AFEE4DF" w14:textId="77777777" w:rsidR="00782DCE" w:rsidRPr="00D33399" w:rsidRDefault="00782DCE" w:rsidP="005144E2">
      <w:pPr>
        <w:jc w:val="both"/>
        <w:rPr>
          <w:rFonts w:ascii="Arial" w:hAnsi="Arial" w:cs="Arial"/>
        </w:rPr>
      </w:pPr>
    </w:p>
    <w:p w14:paraId="7F9F1660" w14:textId="77777777" w:rsidR="000F16C5" w:rsidRPr="00D33399" w:rsidRDefault="000F16C5" w:rsidP="005144E2">
      <w:pPr>
        <w:jc w:val="both"/>
        <w:rPr>
          <w:rFonts w:ascii="Arial" w:hAnsi="Arial" w:cs="Arial"/>
        </w:rPr>
      </w:pPr>
      <w:r w:rsidRPr="00D33399">
        <w:rPr>
          <w:rFonts w:ascii="Arial" w:hAnsi="Arial" w:cs="Arial"/>
        </w:rPr>
        <w:t xml:space="preserve">Para a Usina Angra 3, em função das características peculiares de financiamento, a taxa de desconto foi calculada considerando a estrutura de capital específica do projeto, o que resultou na taxa de desconto para a base </w:t>
      </w:r>
      <w:r w:rsidR="00243482" w:rsidRPr="00D33399">
        <w:rPr>
          <w:rFonts w:ascii="Arial" w:hAnsi="Arial" w:cs="Arial"/>
        </w:rPr>
        <w:t>dezembro de 201</w:t>
      </w:r>
      <w:r w:rsidR="00FB1391" w:rsidRPr="00D33399">
        <w:rPr>
          <w:rFonts w:ascii="Arial" w:hAnsi="Arial" w:cs="Arial"/>
        </w:rPr>
        <w:t>9</w:t>
      </w:r>
      <w:r w:rsidRPr="00D33399">
        <w:rPr>
          <w:rFonts w:ascii="Arial" w:hAnsi="Arial" w:cs="Arial"/>
        </w:rPr>
        <w:t xml:space="preserve"> de </w:t>
      </w:r>
      <w:r w:rsidR="009C45BB" w:rsidRPr="00D33399">
        <w:rPr>
          <w:rFonts w:ascii="Arial" w:hAnsi="Arial" w:cs="Arial"/>
        </w:rPr>
        <w:t>6</w:t>
      </w:r>
      <w:r w:rsidR="00FB1391" w:rsidRPr="00D33399">
        <w:rPr>
          <w:rFonts w:ascii="Arial" w:hAnsi="Arial" w:cs="Arial"/>
        </w:rPr>
        <w:t>,</w:t>
      </w:r>
      <w:r w:rsidR="009C45BB" w:rsidRPr="00D33399">
        <w:rPr>
          <w:rFonts w:ascii="Arial" w:hAnsi="Arial" w:cs="Arial"/>
        </w:rPr>
        <w:t>52</w:t>
      </w:r>
      <w:r w:rsidRPr="00D33399">
        <w:rPr>
          <w:rFonts w:ascii="Arial" w:hAnsi="Arial" w:cs="Arial"/>
        </w:rPr>
        <w:t>%</w:t>
      </w:r>
      <w:r w:rsidR="009C45BB" w:rsidRPr="00D33399">
        <w:rPr>
          <w:rFonts w:ascii="Arial" w:hAnsi="Arial" w:cs="Arial"/>
        </w:rPr>
        <w:t xml:space="preserve"> (7,03% em dezembro de 2018)</w:t>
      </w:r>
      <w:r w:rsidRPr="00D33399">
        <w:rPr>
          <w:rFonts w:ascii="Arial" w:hAnsi="Arial" w:cs="Arial"/>
        </w:rPr>
        <w:t>. Nesses cálculos foram utilizados parâmetros conforme Informação Técnica Eletrobras DFPP 001/20</w:t>
      </w:r>
      <w:r w:rsidR="009C45BB" w:rsidRPr="00D33399">
        <w:rPr>
          <w:rFonts w:ascii="Arial" w:hAnsi="Arial" w:cs="Arial"/>
        </w:rPr>
        <w:t>20</w:t>
      </w:r>
      <w:r w:rsidRPr="00D33399">
        <w:rPr>
          <w:rFonts w:ascii="Arial" w:hAnsi="Arial" w:cs="Arial"/>
        </w:rPr>
        <w:t>, de 2</w:t>
      </w:r>
      <w:r w:rsidR="009C45BB" w:rsidRPr="00D33399">
        <w:rPr>
          <w:rFonts w:ascii="Arial" w:hAnsi="Arial" w:cs="Arial"/>
        </w:rPr>
        <w:t>7</w:t>
      </w:r>
      <w:r w:rsidR="008E6B5F" w:rsidRPr="00D33399">
        <w:rPr>
          <w:rFonts w:ascii="Arial" w:hAnsi="Arial" w:cs="Arial"/>
        </w:rPr>
        <w:t xml:space="preserve"> de fevereiro de </w:t>
      </w:r>
      <w:r w:rsidRPr="00D33399">
        <w:rPr>
          <w:rFonts w:ascii="Arial" w:hAnsi="Arial" w:cs="Arial"/>
        </w:rPr>
        <w:t>20</w:t>
      </w:r>
      <w:r w:rsidR="009C45BB" w:rsidRPr="00D33399">
        <w:rPr>
          <w:rFonts w:ascii="Arial" w:hAnsi="Arial" w:cs="Arial"/>
        </w:rPr>
        <w:t>20.</w:t>
      </w:r>
    </w:p>
    <w:p w14:paraId="152A5923" w14:textId="77777777" w:rsidR="001C05A0" w:rsidRDefault="001C05A0" w:rsidP="005144E2">
      <w:pPr>
        <w:jc w:val="both"/>
        <w:rPr>
          <w:rFonts w:ascii="Arial" w:hAnsi="Arial" w:cs="Arial"/>
        </w:rPr>
      </w:pPr>
    </w:p>
    <w:p w14:paraId="61492EA8" w14:textId="77777777" w:rsidR="009D4087" w:rsidRPr="009D4087" w:rsidRDefault="009D4087" w:rsidP="005144E2">
      <w:pPr>
        <w:jc w:val="both"/>
        <w:rPr>
          <w:rFonts w:ascii="Arial" w:hAnsi="Arial" w:cs="Arial"/>
          <w:sz w:val="16"/>
          <w:szCs w:val="16"/>
        </w:rPr>
      </w:pPr>
    </w:p>
    <w:p w14:paraId="14AA5BB9" w14:textId="77777777" w:rsidR="003F4719" w:rsidRPr="00D33399" w:rsidRDefault="003F4719" w:rsidP="005144E2">
      <w:pPr>
        <w:jc w:val="both"/>
        <w:rPr>
          <w:rFonts w:ascii="Arial" w:hAnsi="Arial" w:cs="Arial"/>
        </w:rPr>
      </w:pPr>
      <w:r w:rsidRPr="00D33399">
        <w:rPr>
          <w:rFonts w:ascii="Arial" w:hAnsi="Arial" w:cs="Arial"/>
          <w:b/>
        </w:rPr>
        <w:t>c.3 )</w:t>
      </w:r>
      <w:r w:rsidRPr="00D33399">
        <w:rPr>
          <w:rFonts w:ascii="Arial" w:hAnsi="Arial" w:cs="Arial"/>
          <w:i/>
        </w:rPr>
        <w:t>Impairment</w:t>
      </w:r>
    </w:p>
    <w:p w14:paraId="668D9109" w14:textId="77777777" w:rsidR="002B7A04" w:rsidRPr="00D33399" w:rsidRDefault="002B7A04" w:rsidP="005144E2">
      <w:pPr>
        <w:jc w:val="both"/>
        <w:rPr>
          <w:rFonts w:ascii="Arial" w:hAnsi="Arial" w:cs="Arial"/>
          <w:sz w:val="16"/>
          <w:szCs w:val="16"/>
        </w:rPr>
      </w:pPr>
    </w:p>
    <w:p w14:paraId="6001F563" w14:textId="6889417D" w:rsidR="007E3E75" w:rsidRPr="00D33399" w:rsidRDefault="007E3E75" w:rsidP="005144E2">
      <w:pPr>
        <w:jc w:val="both"/>
        <w:rPr>
          <w:rFonts w:ascii="Arial" w:hAnsi="Arial" w:cs="Arial"/>
        </w:rPr>
      </w:pPr>
      <w:r w:rsidRPr="00D33399">
        <w:rPr>
          <w:rFonts w:ascii="Arial" w:hAnsi="Arial" w:cs="Arial"/>
        </w:rPr>
        <w:t xml:space="preserve">O saldo de </w:t>
      </w:r>
      <w:r w:rsidRPr="00D33399">
        <w:rPr>
          <w:rFonts w:ascii="Arial" w:hAnsi="Arial" w:cs="Arial"/>
          <w:i/>
        </w:rPr>
        <w:t>Impairment</w:t>
      </w:r>
      <w:r w:rsidR="001A06F6" w:rsidRPr="00D33399">
        <w:rPr>
          <w:rFonts w:ascii="Arial" w:hAnsi="Arial" w:cs="Arial"/>
          <w:i/>
        </w:rPr>
        <w:t xml:space="preserve"> </w:t>
      </w:r>
      <w:r w:rsidR="00AB7ADB" w:rsidRPr="00D33399">
        <w:rPr>
          <w:rFonts w:ascii="Arial" w:hAnsi="Arial" w:cs="Arial"/>
        </w:rPr>
        <w:t xml:space="preserve">referente ao empreendimento Angra 3 </w:t>
      </w:r>
      <w:r w:rsidR="00374966" w:rsidRPr="00D33399">
        <w:rPr>
          <w:rFonts w:ascii="Arial" w:hAnsi="Arial" w:cs="Arial"/>
        </w:rPr>
        <w:t xml:space="preserve">registrado na data </w:t>
      </w:r>
      <w:r w:rsidR="00305E91" w:rsidRPr="00D33399">
        <w:rPr>
          <w:rFonts w:ascii="Arial" w:hAnsi="Arial" w:cs="Arial"/>
        </w:rPr>
        <w:t>base de 31 de dezembro de 2019 foi</w:t>
      </w:r>
      <w:r w:rsidR="00374966" w:rsidRPr="00D33399">
        <w:rPr>
          <w:rFonts w:ascii="Arial" w:hAnsi="Arial" w:cs="Arial"/>
        </w:rPr>
        <w:t xml:space="preserve"> </w:t>
      </w:r>
      <w:r w:rsidR="00AB7ADB" w:rsidRPr="00D33399">
        <w:rPr>
          <w:rFonts w:ascii="Arial" w:hAnsi="Arial" w:cs="Arial"/>
        </w:rPr>
        <w:t>d</w:t>
      </w:r>
      <w:r w:rsidRPr="00D33399">
        <w:rPr>
          <w:rFonts w:ascii="Arial" w:hAnsi="Arial" w:cs="Arial"/>
        </w:rPr>
        <w:t>e R$ 4.</w:t>
      </w:r>
      <w:r w:rsidR="00374966" w:rsidRPr="00D33399">
        <w:rPr>
          <w:rFonts w:ascii="Arial" w:hAnsi="Arial" w:cs="Arial"/>
        </w:rPr>
        <w:t>508</w:t>
      </w:r>
      <w:r w:rsidRPr="00D33399">
        <w:rPr>
          <w:rFonts w:ascii="Arial" w:hAnsi="Arial" w:cs="Arial"/>
        </w:rPr>
        <w:t>.</w:t>
      </w:r>
      <w:r w:rsidR="00374966" w:rsidRPr="00D33399">
        <w:rPr>
          <w:rFonts w:ascii="Arial" w:hAnsi="Arial" w:cs="Arial"/>
        </w:rPr>
        <w:t>764</w:t>
      </w:r>
      <w:r w:rsidR="00AB7ADB" w:rsidRPr="00D33399">
        <w:rPr>
          <w:rFonts w:ascii="Arial" w:hAnsi="Arial" w:cs="Arial"/>
        </w:rPr>
        <w:t>.</w:t>
      </w:r>
      <w:r w:rsidR="00E10650" w:rsidRPr="00D33399">
        <w:rPr>
          <w:rFonts w:ascii="Arial" w:hAnsi="Arial" w:cs="Arial"/>
          <w:b/>
          <w:color w:val="FF0000"/>
        </w:rPr>
        <w:t xml:space="preserve"> </w:t>
      </w:r>
      <w:r w:rsidR="00305E91" w:rsidRPr="00D33399">
        <w:rPr>
          <w:rFonts w:ascii="Arial" w:hAnsi="Arial" w:cs="Arial"/>
        </w:rPr>
        <w:t xml:space="preserve"> Esse</w:t>
      </w:r>
      <w:r w:rsidR="00374966" w:rsidRPr="00D33399">
        <w:rPr>
          <w:rFonts w:ascii="Arial" w:hAnsi="Arial" w:cs="Arial"/>
        </w:rPr>
        <w:t xml:space="preserve"> </w:t>
      </w:r>
      <w:r w:rsidR="0059202B" w:rsidRPr="00D33399">
        <w:rPr>
          <w:rFonts w:ascii="Arial" w:hAnsi="Arial" w:cs="Arial"/>
        </w:rPr>
        <w:t xml:space="preserve">novo </w:t>
      </w:r>
      <w:r w:rsidR="00374966" w:rsidRPr="00D33399">
        <w:rPr>
          <w:rFonts w:ascii="Arial" w:hAnsi="Arial" w:cs="Arial"/>
        </w:rPr>
        <w:t>resultado altera o anterior, com base em dezembro de 2018, com seus principais efeitos,</w:t>
      </w:r>
      <w:r w:rsidR="009F311B" w:rsidRPr="00D33399">
        <w:rPr>
          <w:rFonts w:ascii="Arial" w:hAnsi="Arial" w:cs="Arial"/>
        </w:rPr>
        <w:t xml:space="preserve"> a</w:t>
      </w:r>
      <w:r w:rsidR="00E10650" w:rsidRPr="00D33399">
        <w:rPr>
          <w:rFonts w:ascii="Arial" w:hAnsi="Arial" w:cs="Arial"/>
        </w:rPr>
        <w:t xml:space="preserve"> </w:t>
      </w:r>
      <w:r w:rsidR="0059202B" w:rsidRPr="00D33399">
        <w:rPr>
          <w:rFonts w:ascii="Arial" w:hAnsi="Arial" w:cs="Arial"/>
        </w:rPr>
        <w:t>seguir resumidos: (i) a</w:t>
      </w:r>
      <w:r w:rsidR="00374966" w:rsidRPr="00D33399">
        <w:rPr>
          <w:rFonts w:ascii="Arial" w:hAnsi="Arial" w:cs="Arial"/>
        </w:rPr>
        <w:t>diamento de 11</w:t>
      </w:r>
      <w:r w:rsidR="0059202B" w:rsidRPr="00D33399">
        <w:rPr>
          <w:rFonts w:ascii="Arial" w:hAnsi="Arial" w:cs="Arial"/>
        </w:rPr>
        <w:t xml:space="preserve"> (onze) </w:t>
      </w:r>
      <w:r w:rsidR="00374966" w:rsidRPr="00D33399">
        <w:rPr>
          <w:rFonts w:ascii="Arial" w:hAnsi="Arial" w:cs="Arial"/>
        </w:rPr>
        <w:t>meses na entrada em operação</w:t>
      </w:r>
      <w:r w:rsidR="0059202B" w:rsidRPr="00D33399">
        <w:rPr>
          <w:rFonts w:ascii="Arial" w:hAnsi="Arial" w:cs="Arial"/>
        </w:rPr>
        <w:t xml:space="preserve"> (30 de novembro de 2026 – 2019 / ante 01 de janeiro de 2026 – 2018)</w:t>
      </w:r>
      <w:r w:rsidR="00374966" w:rsidRPr="00D33399">
        <w:rPr>
          <w:rFonts w:ascii="Arial" w:hAnsi="Arial" w:cs="Arial"/>
        </w:rPr>
        <w:t>;</w:t>
      </w:r>
      <w:r w:rsidR="0059202B" w:rsidRPr="00D33399">
        <w:rPr>
          <w:rFonts w:ascii="Arial" w:hAnsi="Arial" w:cs="Arial"/>
        </w:rPr>
        <w:t xml:space="preserve"> (ii) a</w:t>
      </w:r>
      <w:r w:rsidR="00374966" w:rsidRPr="00D33399">
        <w:rPr>
          <w:rFonts w:ascii="Arial" w:hAnsi="Arial" w:cs="Arial"/>
        </w:rPr>
        <w:t xml:space="preserve">tualização do orçamento </w:t>
      </w:r>
      <w:r w:rsidR="0059202B" w:rsidRPr="00D33399">
        <w:rPr>
          <w:rFonts w:ascii="Arial" w:hAnsi="Arial" w:cs="Arial"/>
        </w:rPr>
        <w:t xml:space="preserve">de </w:t>
      </w:r>
      <w:r w:rsidR="00960E5A" w:rsidRPr="00D33399">
        <w:rPr>
          <w:rFonts w:ascii="Arial" w:hAnsi="Arial" w:cs="Arial"/>
          <w:i/>
          <w:iCs/>
        </w:rPr>
        <w:t>Capital Expenditure -</w:t>
      </w:r>
      <w:r w:rsidR="00DD2342" w:rsidRPr="00D33399">
        <w:rPr>
          <w:rFonts w:ascii="Arial" w:hAnsi="Arial" w:cs="Arial"/>
          <w:i/>
          <w:iCs/>
        </w:rPr>
        <w:t xml:space="preserve"> </w:t>
      </w:r>
      <w:r w:rsidR="00DB02A3" w:rsidRPr="00D33399">
        <w:rPr>
          <w:rFonts w:ascii="Arial" w:hAnsi="Arial" w:cs="Arial"/>
        </w:rPr>
        <w:t>Capex</w:t>
      </w:r>
      <w:r w:rsidR="0059202B" w:rsidRPr="00D33399">
        <w:rPr>
          <w:rFonts w:ascii="Arial" w:hAnsi="Arial" w:cs="Arial"/>
        </w:rPr>
        <w:t xml:space="preserve"> do projeto</w:t>
      </w:r>
      <w:r w:rsidR="00374966" w:rsidRPr="00D33399">
        <w:rPr>
          <w:rFonts w:ascii="Arial" w:hAnsi="Arial" w:cs="Arial"/>
        </w:rPr>
        <w:t>;</w:t>
      </w:r>
      <w:r w:rsidR="0059202B" w:rsidRPr="00D33399">
        <w:rPr>
          <w:rFonts w:ascii="Arial" w:hAnsi="Arial" w:cs="Arial"/>
        </w:rPr>
        <w:t xml:space="preserve"> (iii) a</w:t>
      </w:r>
      <w:r w:rsidR="00374966" w:rsidRPr="00D33399">
        <w:rPr>
          <w:rFonts w:ascii="Arial" w:hAnsi="Arial" w:cs="Arial"/>
        </w:rPr>
        <w:t xml:space="preserve">lterações na distribuição plurianual do Capex do empreendimento Angra 3, com base no </w:t>
      </w:r>
      <w:r w:rsidR="00CF7D63" w:rsidRPr="00D33399">
        <w:rPr>
          <w:rFonts w:ascii="Arial" w:hAnsi="Arial" w:cs="Arial"/>
        </w:rPr>
        <w:t xml:space="preserve"> </w:t>
      </w:r>
      <w:r w:rsidR="0059202B" w:rsidRPr="00D33399">
        <w:rPr>
          <w:rFonts w:ascii="Arial" w:hAnsi="Arial" w:cs="Arial"/>
        </w:rPr>
        <w:t>“</w:t>
      </w:r>
      <w:r w:rsidR="00374966" w:rsidRPr="00D33399">
        <w:rPr>
          <w:rFonts w:ascii="Arial" w:hAnsi="Arial" w:cs="Arial"/>
        </w:rPr>
        <w:t>Plano de Aceleração da Linha Crítica</w:t>
      </w:r>
      <w:r w:rsidR="0059202B" w:rsidRPr="00D33399">
        <w:rPr>
          <w:rFonts w:ascii="Arial" w:hAnsi="Arial" w:cs="Arial"/>
        </w:rPr>
        <w:t>”</w:t>
      </w:r>
      <w:r w:rsidR="00374966" w:rsidRPr="00D33399">
        <w:rPr>
          <w:rFonts w:ascii="Arial" w:hAnsi="Arial" w:cs="Arial"/>
        </w:rPr>
        <w:t>;</w:t>
      </w:r>
      <w:r w:rsidR="0059202B" w:rsidRPr="00D33399">
        <w:rPr>
          <w:rFonts w:ascii="Arial" w:hAnsi="Arial" w:cs="Arial"/>
        </w:rPr>
        <w:t xml:space="preserve"> (iv) a</w:t>
      </w:r>
      <w:r w:rsidR="00374966" w:rsidRPr="00D33399">
        <w:rPr>
          <w:rFonts w:ascii="Arial" w:hAnsi="Arial" w:cs="Arial"/>
        </w:rPr>
        <w:t>lteração na taxa de desconto</w:t>
      </w:r>
      <w:r w:rsidR="00DD2342" w:rsidRPr="00D33399">
        <w:rPr>
          <w:rFonts w:ascii="Arial" w:hAnsi="Arial" w:cs="Arial"/>
        </w:rPr>
        <w:t xml:space="preserve"> </w:t>
      </w:r>
      <w:r w:rsidR="0059202B" w:rsidRPr="00D33399">
        <w:rPr>
          <w:rFonts w:ascii="Arial" w:hAnsi="Arial" w:cs="Arial"/>
        </w:rPr>
        <w:t>conforme comentário do item anterior</w:t>
      </w:r>
      <w:r w:rsidR="00374966" w:rsidRPr="00D33399">
        <w:rPr>
          <w:rFonts w:ascii="Arial" w:hAnsi="Arial" w:cs="Arial"/>
        </w:rPr>
        <w:t>.</w:t>
      </w:r>
    </w:p>
    <w:p w14:paraId="30C3A7CF" w14:textId="77777777" w:rsidR="00BB74A6" w:rsidRPr="00D33399" w:rsidRDefault="00BB74A6" w:rsidP="005144E2">
      <w:pPr>
        <w:jc w:val="both"/>
        <w:rPr>
          <w:rFonts w:ascii="Arial" w:hAnsi="Arial" w:cs="Arial"/>
        </w:rPr>
      </w:pPr>
    </w:p>
    <w:p w14:paraId="374B93C3" w14:textId="77777777" w:rsidR="003B746A" w:rsidRPr="00D33399" w:rsidRDefault="003B746A" w:rsidP="005144E2">
      <w:pPr>
        <w:jc w:val="both"/>
        <w:rPr>
          <w:rFonts w:ascii="Arial" w:hAnsi="Arial" w:cs="Arial"/>
          <w:sz w:val="16"/>
          <w:szCs w:val="16"/>
        </w:rPr>
      </w:pPr>
    </w:p>
    <w:p w14:paraId="5D0975BB" w14:textId="77777777" w:rsidR="003F4719" w:rsidRPr="00D33399" w:rsidRDefault="003F4719" w:rsidP="005144E2">
      <w:pPr>
        <w:jc w:val="both"/>
        <w:rPr>
          <w:rFonts w:ascii="Arial" w:hAnsi="Arial" w:cs="Arial"/>
        </w:rPr>
      </w:pPr>
      <w:r w:rsidRPr="00D33399">
        <w:rPr>
          <w:rFonts w:ascii="Arial" w:hAnsi="Arial" w:cs="Arial"/>
          <w:b/>
        </w:rPr>
        <w:t>c.4)</w:t>
      </w:r>
      <w:r w:rsidRPr="00D33399">
        <w:rPr>
          <w:rFonts w:ascii="Arial" w:hAnsi="Arial" w:cs="Arial"/>
        </w:rPr>
        <w:t xml:space="preserve"> Tarifa </w:t>
      </w:r>
    </w:p>
    <w:p w14:paraId="4EF6765A" w14:textId="77777777" w:rsidR="003F4719" w:rsidRPr="00D33399" w:rsidRDefault="003F4719" w:rsidP="005144E2">
      <w:pPr>
        <w:jc w:val="both"/>
        <w:rPr>
          <w:rFonts w:ascii="Arial" w:hAnsi="Arial" w:cs="Arial"/>
          <w:sz w:val="16"/>
          <w:szCs w:val="16"/>
        </w:rPr>
      </w:pPr>
    </w:p>
    <w:p w14:paraId="6027385B" w14:textId="77777777" w:rsidR="00562759" w:rsidRPr="00D33399" w:rsidRDefault="00562759" w:rsidP="005144E2">
      <w:pPr>
        <w:widowControl/>
        <w:jc w:val="both"/>
        <w:rPr>
          <w:rStyle w:val="NormalWebChar"/>
          <w:rFonts w:ascii="Arial" w:hAnsi="Arial" w:cs="Arial"/>
        </w:rPr>
      </w:pPr>
      <w:r w:rsidRPr="00D33399">
        <w:rPr>
          <w:rStyle w:val="NormalWebChar"/>
          <w:rFonts w:ascii="Arial" w:hAnsi="Arial" w:cs="Arial"/>
        </w:rPr>
        <w:t>A receita calculada para o teste de </w:t>
      </w:r>
      <w:r w:rsidRPr="00D33399">
        <w:rPr>
          <w:rStyle w:val="NormalWebChar"/>
          <w:rFonts w:ascii="Arial" w:hAnsi="Arial" w:cs="Arial"/>
          <w:i/>
        </w:rPr>
        <w:t>impairment</w:t>
      </w:r>
      <w:r w:rsidRPr="00D33399">
        <w:rPr>
          <w:rStyle w:val="NormalWebChar"/>
          <w:rFonts w:ascii="Arial" w:hAnsi="Arial" w:cs="Arial"/>
        </w:rPr>
        <w:t> </w:t>
      </w:r>
      <w:r w:rsidR="00374966" w:rsidRPr="00D33399">
        <w:rPr>
          <w:rStyle w:val="NormalWebChar"/>
          <w:rFonts w:ascii="Arial" w:hAnsi="Arial" w:cs="Arial"/>
        </w:rPr>
        <w:t xml:space="preserve">na data base </w:t>
      </w:r>
      <w:r w:rsidRPr="00D33399">
        <w:rPr>
          <w:rStyle w:val="NormalWebChar"/>
          <w:rFonts w:ascii="Arial" w:hAnsi="Arial" w:cs="Arial"/>
        </w:rPr>
        <w:t>de dezembro de 201</w:t>
      </w:r>
      <w:r w:rsidR="00F00E5A" w:rsidRPr="00D33399">
        <w:rPr>
          <w:rStyle w:val="NormalWebChar"/>
          <w:rFonts w:ascii="Arial" w:hAnsi="Arial" w:cs="Arial"/>
        </w:rPr>
        <w:t>9</w:t>
      </w:r>
      <w:r w:rsidRPr="00D33399">
        <w:rPr>
          <w:rStyle w:val="NormalWebChar"/>
          <w:rFonts w:ascii="Arial" w:hAnsi="Arial" w:cs="Arial"/>
        </w:rPr>
        <w:t xml:space="preserve">, teve </w:t>
      </w:r>
      <w:r w:rsidR="00374966" w:rsidRPr="00D33399">
        <w:rPr>
          <w:rStyle w:val="NormalWebChar"/>
          <w:rFonts w:ascii="Arial" w:hAnsi="Arial" w:cs="Arial"/>
        </w:rPr>
        <w:t xml:space="preserve">premissa </w:t>
      </w:r>
      <w:r w:rsidRPr="00D33399">
        <w:rPr>
          <w:rStyle w:val="NormalWebChar"/>
          <w:rFonts w:ascii="Arial" w:hAnsi="Arial" w:cs="Arial"/>
        </w:rPr>
        <w:t>a tarifa de referência no valor de R$ 480,00/MWh estabelecida pelo Conselho Nacional de Política Energética – CNPE na Resolução CNPE Nº 14, de 09</w:t>
      </w:r>
      <w:r w:rsidR="00123551" w:rsidRPr="00D33399">
        <w:rPr>
          <w:rStyle w:val="NormalWebChar"/>
          <w:rFonts w:ascii="Arial" w:hAnsi="Arial" w:cs="Arial"/>
        </w:rPr>
        <w:t xml:space="preserve"> de outubro de </w:t>
      </w:r>
      <w:r w:rsidRPr="00D33399">
        <w:rPr>
          <w:rStyle w:val="NormalWebChar"/>
          <w:rFonts w:ascii="Arial" w:hAnsi="Arial" w:cs="Arial"/>
        </w:rPr>
        <w:t xml:space="preserve">2018 – </w:t>
      </w:r>
      <w:r w:rsidR="00EE399A" w:rsidRPr="00D33399">
        <w:rPr>
          <w:rStyle w:val="NormalWebChar"/>
          <w:rFonts w:ascii="Arial" w:hAnsi="Arial" w:cs="Arial"/>
        </w:rPr>
        <w:t>DOU</w:t>
      </w:r>
      <w:r w:rsidRPr="00D33399">
        <w:rPr>
          <w:rStyle w:val="NormalWebChar"/>
          <w:rFonts w:ascii="Arial" w:hAnsi="Arial" w:cs="Arial"/>
        </w:rPr>
        <w:t xml:space="preserve"> de 23</w:t>
      </w:r>
      <w:r w:rsidR="00123551" w:rsidRPr="00D33399">
        <w:rPr>
          <w:rStyle w:val="NormalWebChar"/>
          <w:rFonts w:ascii="Arial" w:hAnsi="Arial" w:cs="Arial"/>
        </w:rPr>
        <w:t xml:space="preserve"> de outubro de </w:t>
      </w:r>
      <w:r w:rsidRPr="00D33399">
        <w:rPr>
          <w:rStyle w:val="NormalWebChar"/>
          <w:rFonts w:ascii="Arial" w:hAnsi="Arial" w:cs="Arial"/>
        </w:rPr>
        <w:t>2018. Essa tarifa substituiu a tarifa original, instituída quando da assinatura do fornecimento da energia da usina em 2009, e regulamentada através da Portaria MME 980/2010, com o valor original de R$ 148,65/MWh</w:t>
      </w:r>
      <w:r w:rsidR="00374966" w:rsidRPr="00D33399">
        <w:rPr>
          <w:rStyle w:val="NormalWebChar"/>
          <w:rFonts w:ascii="Arial" w:hAnsi="Arial" w:cs="Arial"/>
        </w:rPr>
        <w:t xml:space="preserve">. O novo preço da tarifa de referência para </w:t>
      </w:r>
      <w:r w:rsidR="00D7696F" w:rsidRPr="00D33399">
        <w:rPr>
          <w:rStyle w:val="NormalWebChar"/>
          <w:rFonts w:ascii="Arial" w:hAnsi="Arial" w:cs="Arial"/>
        </w:rPr>
        <w:t xml:space="preserve">a energia proveniente da Usina </w:t>
      </w:r>
      <w:r w:rsidR="00374966" w:rsidRPr="00D33399">
        <w:rPr>
          <w:rStyle w:val="NormalWebChar"/>
          <w:rFonts w:ascii="Arial" w:hAnsi="Arial" w:cs="Arial"/>
        </w:rPr>
        <w:t xml:space="preserve">Angra 3, atualizado a preços de dezembro de 2019, e, utilizados para fins de teste de </w:t>
      </w:r>
      <w:r w:rsidR="00374966" w:rsidRPr="00D33399">
        <w:rPr>
          <w:rStyle w:val="NormalWebChar"/>
          <w:rFonts w:ascii="Arial" w:hAnsi="Arial" w:cs="Arial"/>
          <w:i/>
        </w:rPr>
        <w:t>impairment</w:t>
      </w:r>
      <w:r w:rsidR="00374966" w:rsidRPr="00D33399">
        <w:rPr>
          <w:rStyle w:val="NormalWebChar"/>
          <w:rFonts w:ascii="Arial" w:hAnsi="Arial" w:cs="Arial"/>
        </w:rPr>
        <w:t xml:space="preserve"> foi de R$ 504,58/MWh. </w:t>
      </w:r>
    </w:p>
    <w:p w14:paraId="5BA9D6D8" w14:textId="77777777" w:rsidR="006923D8" w:rsidRPr="00D33399" w:rsidRDefault="006923D8" w:rsidP="005144E2">
      <w:pPr>
        <w:jc w:val="both"/>
        <w:rPr>
          <w:rFonts w:ascii="Arial" w:hAnsi="Arial" w:cs="Arial"/>
        </w:rPr>
      </w:pPr>
    </w:p>
    <w:p w14:paraId="42550FC5" w14:textId="77777777" w:rsidR="008532FA" w:rsidRPr="00D33399" w:rsidRDefault="008532FA" w:rsidP="005144E2">
      <w:pPr>
        <w:jc w:val="both"/>
        <w:rPr>
          <w:rFonts w:ascii="Arial" w:hAnsi="Arial" w:cs="Arial"/>
        </w:rPr>
      </w:pPr>
    </w:p>
    <w:p w14:paraId="1DA409DE" w14:textId="77777777" w:rsidR="00BB74A6" w:rsidRPr="00D33399" w:rsidRDefault="00BB74A6" w:rsidP="005144E2">
      <w:pPr>
        <w:jc w:val="both"/>
        <w:rPr>
          <w:rFonts w:ascii="Arial" w:hAnsi="Arial" w:cs="Arial"/>
          <w:sz w:val="16"/>
          <w:szCs w:val="16"/>
        </w:rPr>
      </w:pPr>
    </w:p>
    <w:p w14:paraId="391B449E" w14:textId="77777777" w:rsidR="003F4719" w:rsidRPr="00D33399" w:rsidRDefault="003F4719" w:rsidP="005144E2">
      <w:pPr>
        <w:jc w:val="both"/>
        <w:rPr>
          <w:rFonts w:ascii="Arial" w:hAnsi="Arial" w:cs="Arial"/>
        </w:rPr>
      </w:pPr>
      <w:r w:rsidRPr="00D33399">
        <w:rPr>
          <w:rFonts w:ascii="Arial" w:hAnsi="Arial" w:cs="Arial"/>
          <w:b/>
        </w:rPr>
        <w:t>c.5)</w:t>
      </w:r>
      <w:r w:rsidRPr="00D33399">
        <w:rPr>
          <w:rFonts w:ascii="Arial" w:hAnsi="Arial" w:cs="Arial"/>
        </w:rPr>
        <w:t xml:space="preserve"> Sinergia</w:t>
      </w:r>
    </w:p>
    <w:p w14:paraId="6624395D" w14:textId="77777777" w:rsidR="003F4719" w:rsidRPr="00D33399" w:rsidRDefault="003F4719" w:rsidP="005144E2">
      <w:pPr>
        <w:jc w:val="both"/>
        <w:rPr>
          <w:rFonts w:ascii="Arial" w:hAnsi="Arial" w:cs="Arial"/>
          <w:sz w:val="16"/>
          <w:szCs w:val="16"/>
        </w:rPr>
      </w:pPr>
    </w:p>
    <w:p w14:paraId="16B98811" w14:textId="77777777" w:rsidR="006923D8" w:rsidRPr="00D33399" w:rsidRDefault="006923D8" w:rsidP="005144E2">
      <w:pPr>
        <w:widowControl/>
        <w:jc w:val="both"/>
        <w:rPr>
          <w:rStyle w:val="NormalWebChar"/>
          <w:rFonts w:ascii="Arial" w:hAnsi="Arial" w:cs="Arial"/>
        </w:rPr>
      </w:pPr>
      <w:r w:rsidRPr="00D33399">
        <w:rPr>
          <w:rStyle w:val="NormalWebChar"/>
          <w:rFonts w:ascii="Arial" w:hAnsi="Arial" w:cs="Arial"/>
        </w:rPr>
        <w:t>As Usinas Angra 2 e Angra 3 são oriundas de projetos similares e, por isso, tem sido utilizado o parâmetro de custos de Angra 2 em Angra 3. Ocorre que existirá um ganho de custo/produtividade na entrada de Angra 3 por não haver necessidade de duplicar todas as atividades geradoras de custo, pois áreas comuns estarão atendendo as duas usinas. </w:t>
      </w:r>
    </w:p>
    <w:p w14:paraId="66A5C180" w14:textId="77777777" w:rsidR="006923D8" w:rsidRPr="00D33399" w:rsidRDefault="006923D8" w:rsidP="005144E2">
      <w:pPr>
        <w:widowControl/>
        <w:jc w:val="both"/>
        <w:rPr>
          <w:rStyle w:val="NormalWebChar"/>
          <w:rFonts w:ascii="Arial" w:hAnsi="Arial" w:cs="Arial"/>
        </w:rPr>
      </w:pPr>
    </w:p>
    <w:p w14:paraId="7FFD36B8" w14:textId="77777777" w:rsidR="006923D8" w:rsidRPr="00D33399" w:rsidRDefault="006923D8" w:rsidP="005144E2">
      <w:pPr>
        <w:widowControl/>
        <w:jc w:val="both"/>
        <w:rPr>
          <w:rStyle w:val="NormalWebChar"/>
          <w:rFonts w:ascii="Arial" w:hAnsi="Arial" w:cs="Arial"/>
        </w:rPr>
      </w:pPr>
      <w:r w:rsidRPr="00D33399">
        <w:rPr>
          <w:rStyle w:val="NormalWebChar"/>
          <w:rFonts w:ascii="Arial" w:hAnsi="Arial" w:cs="Arial"/>
        </w:rPr>
        <w:t>A sinergia apurada para o projeto, considerando estudos internos, baseados na utilização da mão de obra da Companhia, apontou para um patamar de cerca de 25,4%</w:t>
      </w:r>
      <w:r w:rsidR="000D7D34" w:rsidRPr="00D33399">
        <w:rPr>
          <w:rFonts w:ascii="Arial" w:hAnsi="Arial" w:cs="Arial"/>
          <w:b/>
          <w:color w:val="FF0000"/>
        </w:rPr>
        <w:t xml:space="preserve"> </w:t>
      </w:r>
      <w:r w:rsidRPr="00D33399">
        <w:rPr>
          <w:rStyle w:val="NormalWebChar"/>
          <w:rFonts w:ascii="Arial" w:hAnsi="Arial" w:cs="Arial"/>
        </w:rPr>
        <w:t>conforme Nota Técnica</w:t>
      </w:r>
      <w:r w:rsidR="00293286" w:rsidRPr="00D33399">
        <w:rPr>
          <w:rStyle w:val="NormalWebChar"/>
          <w:rFonts w:ascii="Arial" w:hAnsi="Arial" w:cs="Arial"/>
        </w:rPr>
        <w:t xml:space="preserve"> da Superintendência Financeira</w:t>
      </w:r>
      <w:r w:rsidR="00785E9A" w:rsidRPr="00D33399">
        <w:rPr>
          <w:rStyle w:val="NormalWebChar"/>
          <w:rFonts w:ascii="Arial" w:hAnsi="Arial" w:cs="Arial"/>
        </w:rPr>
        <w:t xml:space="preserve">– SF.A </w:t>
      </w:r>
      <w:r w:rsidRPr="00D33399">
        <w:rPr>
          <w:rStyle w:val="NormalWebChar"/>
          <w:rFonts w:ascii="Arial" w:hAnsi="Arial" w:cs="Arial"/>
        </w:rPr>
        <w:t>022/2016; sendo esse percentual utilizado para estimativa do custo operacional PMSO, da Usina Angra 3, no teste de </w:t>
      </w:r>
      <w:r w:rsidRPr="00D33399">
        <w:rPr>
          <w:rStyle w:val="NormalWebChar"/>
          <w:rFonts w:ascii="Arial" w:hAnsi="Arial" w:cs="Arial"/>
          <w:i/>
        </w:rPr>
        <w:t>impairment</w:t>
      </w:r>
      <w:r w:rsidRPr="00D33399">
        <w:rPr>
          <w:rStyle w:val="NormalWebChar"/>
          <w:rFonts w:ascii="Arial" w:hAnsi="Arial" w:cs="Arial"/>
        </w:rPr>
        <w:t> de dezembro de 2015 e nos testes posteriores, com ajustes inflacionários e reduções por ganhos no custo de pessoal decorrentes dos planos de desligamentos.</w:t>
      </w:r>
    </w:p>
    <w:p w14:paraId="30292E46" w14:textId="77777777" w:rsidR="00293286" w:rsidRPr="00D33399" w:rsidRDefault="00293286" w:rsidP="005144E2">
      <w:pPr>
        <w:widowControl/>
        <w:jc w:val="both"/>
        <w:rPr>
          <w:rStyle w:val="NormalWebChar"/>
          <w:rFonts w:ascii="Arial" w:hAnsi="Arial" w:cs="Arial"/>
        </w:rPr>
      </w:pPr>
    </w:p>
    <w:p w14:paraId="36E10FF8" w14:textId="77777777" w:rsidR="00BB74A6" w:rsidRPr="00D33399" w:rsidRDefault="00BB74A6" w:rsidP="005144E2">
      <w:pPr>
        <w:widowControl/>
        <w:jc w:val="both"/>
        <w:rPr>
          <w:rStyle w:val="NormalWebChar"/>
          <w:rFonts w:ascii="Arial" w:hAnsi="Arial" w:cs="Arial"/>
          <w:sz w:val="16"/>
          <w:szCs w:val="16"/>
        </w:rPr>
      </w:pPr>
    </w:p>
    <w:p w14:paraId="732E5D14" w14:textId="77777777" w:rsidR="003F4719" w:rsidRPr="00D33399" w:rsidRDefault="00782DCE" w:rsidP="005144E2">
      <w:pPr>
        <w:widowControl/>
        <w:jc w:val="both"/>
        <w:rPr>
          <w:rStyle w:val="NormalWebChar"/>
          <w:rFonts w:ascii="Arial" w:hAnsi="Arial" w:cs="Arial"/>
          <w:b/>
        </w:rPr>
      </w:pPr>
      <w:r w:rsidRPr="00D33399">
        <w:rPr>
          <w:rStyle w:val="NormalWebChar"/>
          <w:rFonts w:ascii="Arial" w:hAnsi="Arial" w:cs="Arial"/>
          <w:b/>
        </w:rPr>
        <w:t>d) Licenciamento das U</w:t>
      </w:r>
      <w:r w:rsidR="003F4719" w:rsidRPr="00D33399">
        <w:rPr>
          <w:rStyle w:val="NormalWebChar"/>
          <w:rFonts w:ascii="Arial" w:hAnsi="Arial" w:cs="Arial"/>
          <w:b/>
        </w:rPr>
        <w:t>sinas Angra 1 e 2</w:t>
      </w:r>
    </w:p>
    <w:p w14:paraId="54B5CD1D" w14:textId="77777777" w:rsidR="003F4719" w:rsidRPr="00D33399" w:rsidRDefault="003F4719" w:rsidP="005144E2">
      <w:pPr>
        <w:widowControl/>
        <w:jc w:val="both"/>
        <w:rPr>
          <w:rFonts w:ascii="Arial" w:hAnsi="Arial" w:cs="Arial"/>
          <w:sz w:val="16"/>
          <w:szCs w:val="16"/>
        </w:rPr>
      </w:pPr>
    </w:p>
    <w:p w14:paraId="5D8AAD52" w14:textId="77777777" w:rsidR="003F4719" w:rsidRPr="00D33399" w:rsidRDefault="003F4719" w:rsidP="005144E2">
      <w:pPr>
        <w:widowControl/>
        <w:jc w:val="both"/>
        <w:outlineLvl w:val="0"/>
        <w:rPr>
          <w:rFonts w:ascii="Arial" w:hAnsi="Arial" w:cs="Arial"/>
        </w:rPr>
      </w:pPr>
      <w:r w:rsidRPr="00D33399">
        <w:rPr>
          <w:rFonts w:ascii="Arial" w:hAnsi="Arial" w:cs="Arial"/>
        </w:rPr>
        <w:t>As usinas nucleares são su</w:t>
      </w:r>
      <w:r w:rsidR="00DB02A3" w:rsidRPr="00D33399">
        <w:rPr>
          <w:rFonts w:ascii="Arial" w:hAnsi="Arial" w:cs="Arial"/>
        </w:rPr>
        <w:t>b</w:t>
      </w:r>
      <w:r w:rsidRPr="00D33399">
        <w:rPr>
          <w:rFonts w:ascii="Arial" w:hAnsi="Arial" w:cs="Arial"/>
        </w:rPr>
        <w:t xml:space="preserve">metidas a dois processos de licenciamento: Licenciamento Ambiental, de competência do </w:t>
      </w:r>
      <w:r w:rsidR="00EE399A" w:rsidRPr="00D33399">
        <w:rPr>
          <w:rFonts w:ascii="Arial" w:hAnsi="Arial" w:cs="Arial"/>
          <w:color w:val="222222"/>
          <w:shd w:val="clear" w:color="auto" w:fill="FFFFFF"/>
        </w:rPr>
        <w:t>Instituto Brasileiro de Meio Ambiente e dos Recursos Naturais Renováveis</w:t>
      </w:r>
      <w:r w:rsidR="00BB74A6" w:rsidRPr="00D33399">
        <w:rPr>
          <w:rFonts w:ascii="Arial" w:hAnsi="Arial" w:cs="Arial"/>
          <w:color w:val="222222"/>
          <w:shd w:val="clear" w:color="auto" w:fill="FFFFFF"/>
        </w:rPr>
        <w:t xml:space="preserve"> - </w:t>
      </w:r>
      <w:r w:rsidRPr="00D33399">
        <w:rPr>
          <w:rFonts w:ascii="Arial" w:hAnsi="Arial" w:cs="Arial"/>
        </w:rPr>
        <w:t>I</w:t>
      </w:r>
      <w:r w:rsidR="00DB02A3" w:rsidRPr="00D33399">
        <w:rPr>
          <w:rFonts w:ascii="Arial" w:hAnsi="Arial" w:cs="Arial"/>
        </w:rPr>
        <w:t>bama</w:t>
      </w:r>
      <w:r w:rsidRPr="00D33399">
        <w:rPr>
          <w:rFonts w:ascii="Arial" w:hAnsi="Arial" w:cs="Arial"/>
        </w:rPr>
        <w:t xml:space="preserve"> e Licenciamento Nuclear, conduzido pela Comissão Nacional de Energia Nuclear </w:t>
      </w:r>
      <w:r w:rsidR="00BB74A6" w:rsidRPr="00D33399">
        <w:rPr>
          <w:rFonts w:ascii="Arial" w:hAnsi="Arial" w:cs="Arial"/>
        </w:rPr>
        <w:t xml:space="preserve">- </w:t>
      </w:r>
      <w:r w:rsidRPr="00D33399">
        <w:rPr>
          <w:rFonts w:ascii="Arial" w:hAnsi="Arial" w:cs="Arial"/>
        </w:rPr>
        <w:t xml:space="preserve">CNEN </w:t>
      </w:r>
    </w:p>
    <w:p w14:paraId="2C281030" w14:textId="77777777" w:rsidR="003F4719" w:rsidRPr="00D33399" w:rsidRDefault="003F4719" w:rsidP="005144E2">
      <w:pPr>
        <w:widowControl/>
        <w:jc w:val="both"/>
        <w:outlineLvl w:val="0"/>
        <w:rPr>
          <w:rFonts w:ascii="Arial" w:hAnsi="Arial" w:cs="Arial"/>
        </w:rPr>
      </w:pPr>
    </w:p>
    <w:p w14:paraId="1801BC69" w14:textId="70CDA1CD" w:rsidR="003F4719" w:rsidRPr="00D33399" w:rsidRDefault="003F4719" w:rsidP="005144E2">
      <w:pPr>
        <w:widowControl/>
        <w:jc w:val="both"/>
        <w:outlineLvl w:val="0"/>
        <w:rPr>
          <w:rFonts w:ascii="Arial" w:hAnsi="Arial" w:cs="Arial"/>
        </w:rPr>
      </w:pPr>
      <w:r w:rsidRPr="00D33399">
        <w:rPr>
          <w:rFonts w:ascii="Arial" w:hAnsi="Arial" w:cs="Arial"/>
        </w:rPr>
        <w:t xml:space="preserve">Atualmente, a Usina Angra 1 possui a Autorização para Operação Permanente </w:t>
      </w:r>
      <w:r w:rsidR="00BB74A6" w:rsidRPr="00D33399">
        <w:rPr>
          <w:rFonts w:ascii="Arial" w:hAnsi="Arial" w:cs="Arial"/>
        </w:rPr>
        <w:t xml:space="preserve">- </w:t>
      </w:r>
      <w:r w:rsidRPr="00D33399">
        <w:rPr>
          <w:rFonts w:ascii="Arial" w:hAnsi="Arial" w:cs="Arial"/>
        </w:rPr>
        <w:t>AOP, emitida pela CNEN, em 1994 e renovada por 14 anos,</w:t>
      </w:r>
      <w:r w:rsidR="00DD2342" w:rsidRPr="00D33399">
        <w:rPr>
          <w:rFonts w:ascii="Arial" w:hAnsi="Arial" w:cs="Arial"/>
        </w:rPr>
        <w:t xml:space="preserve"> </w:t>
      </w:r>
      <w:r w:rsidRPr="00D33399">
        <w:rPr>
          <w:rFonts w:ascii="Arial" w:hAnsi="Arial" w:cs="Arial"/>
        </w:rPr>
        <w:t>pelo Ofício CNEN n° 124/2010 – CGRC/CNEN, de 09</w:t>
      </w:r>
      <w:r w:rsidR="00A5017B" w:rsidRPr="00D33399">
        <w:rPr>
          <w:rFonts w:ascii="Arial" w:hAnsi="Arial" w:cs="Arial"/>
        </w:rPr>
        <w:t xml:space="preserve"> de agosto de </w:t>
      </w:r>
      <w:r w:rsidRPr="00D33399">
        <w:rPr>
          <w:rFonts w:ascii="Arial" w:hAnsi="Arial" w:cs="Arial"/>
        </w:rPr>
        <w:t xml:space="preserve">2010 e a Usina Angra 2 possui a Autorização para Operação Permanente </w:t>
      </w:r>
      <w:r w:rsidR="00C133BB" w:rsidRPr="00D33399">
        <w:rPr>
          <w:rFonts w:ascii="Arial" w:hAnsi="Arial" w:cs="Arial"/>
        </w:rPr>
        <w:t xml:space="preserve">- </w:t>
      </w:r>
      <w:r w:rsidRPr="00D33399">
        <w:rPr>
          <w:rFonts w:ascii="Arial" w:hAnsi="Arial" w:cs="Arial"/>
        </w:rPr>
        <w:t>AOP, concedida pela Resolução CNEN n.º 106/2011, válida por 30 anos a partir de 15</w:t>
      </w:r>
      <w:r w:rsidR="00A5017B" w:rsidRPr="00D33399">
        <w:rPr>
          <w:rFonts w:ascii="Arial" w:hAnsi="Arial" w:cs="Arial"/>
        </w:rPr>
        <w:t xml:space="preserve"> de junho de </w:t>
      </w:r>
      <w:r w:rsidRPr="00D33399">
        <w:rPr>
          <w:rFonts w:ascii="Arial" w:hAnsi="Arial" w:cs="Arial"/>
        </w:rPr>
        <w:t xml:space="preserve">2011. </w:t>
      </w:r>
    </w:p>
    <w:p w14:paraId="15A5B9C0" w14:textId="77777777" w:rsidR="003F4719" w:rsidRPr="00D33399" w:rsidRDefault="003F4719" w:rsidP="005144E2">
      <w:pPr>
        <w:widowControl/>
        <w:jc w:val="both"/>
        <w:outlineLvl w:val="0"/>
        <w:rPr>
          <w:rFonts w:ascii="Arial" w:hAnsi="Arial" w:cs="Arial"/>
        </w:rPr>
      </w:pPr>
    </w:p>
    <w:p w14:paraId="11D3B7AB" w14:textId="77777777" w:rsidR="003F4719" w:rsidRPr="00D33399" w:rsidRDefault="003F4719" w:rsidP="005144E2">
      <w:pPr>
        <w:widowControl/>
        <w:jc w:val="both"/>
        <w:outlineLvl w:val="0"/>
        <w:rPr>
          <w:rFonts w:ascii="Arial" w:hAnsi="Arial" w:cs="Arial"/>
        </w:rPr>
      </w:pPr>
      <w:r w:rsidRPr="00D33399">
        <w:rPr>
          <w:rFonts w:ascii="Arial" w:hAnsi="Arial" w:cs="Arial"/>
        </w:rPr>
        <w:t>Em 12 de março de 2014, o I</w:t>
      </w:r>
      <w:r w:rsidR="00DB02A3" w:rsidRPr="00D33399">
        <w:rPr>
          <w:rFonts w:ascii="Arial" w:hAnsi="Arial" w:cs="Arial"/>
        </w:rPr>
        <w:t>bama</w:t>
      </w:r>
      <w:r w:rsidRPr="00D33399">
        <w:rPr>
          <w:rFonts w:ascii="Arial" w:hAnsi="Arial" w:cs="Arial"/>
        </w:rPr>
        <w:t xml:space="preserve"> emitiu a Licença de Operação nº 1217/2014</w:t>
      </w:r>
      <w:r w:rsidR="0020290F" w:rsidRPr="00D33399">
        <w:rPr>
          <w:rFonts w:ascii="Arial" w:hAnsi="Arial" w:cs="Arial"/>
        </w:rPr>
        <w:t>, que</w:t>
      </w:r>
      <w:r w:rsidRPr="00D33399">
        <w:rPr>
          <w:rFonts w:ascii="Arial" w:hAnsi="Arial" w:cs="Arial"/>
        </w:rPr>
        <w:t xml:space="preserve"> autoriz</w:t>
      </w:r>
      <w:r w:rsidR="0020290F" w:rsidRPr="00D33399">
        <w:rPr>
          <w:rFonts w:ascii="Arial" w:hAnsi="Arial" w:cs="Arial"/>
        </w:rPr>
        <w:t>ou</w:t>
      </w:r>
      <w:r w:rsidRPr="00D33399">
        <w:rPr>
          <w:rFonts w:ascii="Arial" w:hAnsi="Arial" w:cs="Arial"/>
        </w:rPr>
        <w:t xml:space="preserve"> a operação das Usinas Angra 1 e 2, válida por 10 anos.</w:t>
      </w:r>
    </w:p>
    <w:p w14:paraId="0239E874" w14:textId="77777777" w:rsidR="008167EF" w:rsidRPr="00D33399" w:rsidRDefault="008167EF" w:rsidP="005144E2">
      <w:pPr>
        <w:widowControl/>
        <w:jc w:val="both"/>
        <w:outlineLvl w:val="0"/>
        <w:rPr>
          <w:rFonts w:ascii="Arial" w:hAnsi="Arial" w:cs="Arial"/>
        </w:rPr>
      </w:pPr>
    </w:p>
    <w:p w14:paraId="029748A4" w14:textId="77777777" w:rsidR="00BB74A6" w:rsidRPr="00D33399" w:rsidRDefault="00BB74A6" w:rsidP="005144E2">
      <w:pPr>
        <w:widowControl/>
        <w:jc w:val="both"/>
        <w:outlineLvl w:val="0"/>
        <w:rPr>
          <w:rFonts w:ascii="Arial" w:hAnsi="Arial" w:cs="Arial"/>
          <w:sz w:val="16"/>
          <w:szCs w:val="16"/>
        </w:rPr>
      </w:pPr>
    </w:p>
    <w:p w14:paraId="00CA6C4A" w14:textId="77777777" w:rsidR="003F4719" w:rsidRPr="00D33399" w:rsidRDefault="003F4719" w:rsidP="005144E2">
      <w:pPr>
        <w:widowControl/>
        <w:jc w:val="both"/>
        <w:rPr>
          <w:rStyle w:val="NormalWebChar"/>
          <w:rFonts w:ascii="Arial" w:hAnsi="Arial" w:cs="Arial"/>
          <w:b/>
        </w:rPr>
      </w:pPr>
      <w:r w:rsidRPr="00D33399">
        <w:rPr>
          <w:rStyle w:val="NormalWebChar"/>
          <w:rFonts w:ascii="Arial" w:hAnsi="Arial" w:cs="Arial"/>
          <w:b/>
        </w:rPr>
        <w:t>e) Interpretação Técnica ICPC 12 – Mudanças em Passivos</w:t>
      </w:r>
    </w:p>
    <w:p w14:paraId="70A8F98A" w14:textId="77777777" w:rsidR="003F4719" w:rsidRPr="00D33399" w:rsidRDefault="003F4719" w:rsidP="005144E2">
      <w:pPr>
        <w:widowControl/>
        <w:jc w:val="both"/>
        <w:rPr>
          <w:rStyle w:val="NormalWebChar"/>
          <w:rFonts w:ascii="Arial" w:hAnsi="Arial" w:cs="Arial"/>
          <w:b/>
          <w:sz w:val="16"/>
          <w:szCs w:val="16"/>
        </w:rPr>
      </w:pPr>
    </w:p>
    <w:p w14:paraId="1D7A1138" w14:textId="1BC52DCF" w:rsidR="003F4719" w:rsidRPr="00D33399" w:rsidRDefault="003F4719" w:rsidP="005144E2">
      <w:pPr>
        <w:widowControl/>
        <w:jc w:val="both"/>
        <w:rPr>
          <w:rFonts w:ascii="Arial" w:hAnsi="Arial" w:cs="Arial"/>
          <w:bCs/>
        </w:rPr>
      </w:pPr>
      <w:r w:rsidRPr="00D33399">
        <w:rPr>
          <w:rStyle w:val="NormalWebChar"/>
          <w:rFonts w:ascii="Arial" w:hAnsi="Arial" w:cs="Arial"/>
        </w:rPr>
        <w:t xml:space="preserve">A </w:t>
      </w:r>
      <w:r w:rsidRPr="00D33399">
        <w:rPr>
          <w:rFonts w:ascii="Arial" w:hAnsi="Arial" w:cs="Arial"/>
          <w:bCs/>
        </w:rPr>
        <w:t xml:space="preserve">Interpretação Técnica </w:t>
      </w:r>
      <w:r w:rsidRPr="00D33399">
        <w:rPr>
          <w:rStyle w:val="NormalWebChar"/>
          <w:rFonts w:ascii="Arial" w:hAnsi="Arial" w:cs="Arial"/>
        </w:rPr>
        <w:t>ICPC 12 -</w:t>
      </w:r>
      <w:r w:rsidRPr="00D33399">
        <w:rPr>
          <w:rFonts w:ascii="Arial" w:hAnsi="Arial" w:cs="Arial"/>
          <w:bCs/>
        </w:rPr>
        <w:t xml:space="preserve"> Mudanças em </w:t>
      </w:r>
      <w:r w:rsidR="00C320CF" w:rsidRPr="00D33399">
        <w:rPr>
          <w:rFonts w:ascii="Arial" w:hAnsi="Arial" w:cs="Arial"/>
          <w:bCs/>
        </w:rPr>
        <w:t>P</w:t>
      </w:r>
      <w:r w:rsidRPr="00D33399">
        <w:rPr>
          <w:rFonts w:ascii="Arial" w:hAnsi="Arial" w:cs="Arial"/>
          <w:bCs/>
        </w:rPr>
        <w:t>assivos</w:t>
      </w:r>
      <w:r w:rsidR="00C320CF" w:rsidRPr="00D33399">
        <w:rPr>
          <w:rFonts w:ascii="Arial" w:hAnsi="Arial" w:cs="Arial"/>
          <w:bCs/>
        </w:rPr>
        <w:t xml:space="preserve"> por Desativação, Restauração e Outros Passivos Similares</w:t>
      </w:r>
      <w:r w:rsidR="00DD2342" w:rsidRPr="00D33399">
        <w:rPr>
          <w:rFonts w:ascii="Arial" w:hAnsi="Arial" w:cs="Arial"/>
          <w:bCs/>
        </w:rPr>
        <w:t xml:space="preserve"> </w:t>
      </w:r>
      <w:r w:rsidRPr="00D33399">
        <w:rPr>
          <w:rFonts w:ascii="Arial" w:hAnsi="Arial" w:cs="Arial"/>
          <w:bCs/>
        </w:rPr>
        <w:t>determina que a alteração de taxa de desconto aplicada em passivo de desativação deve refletir como atualização do ajuste a valor presente desse passivo, devendo tal alteração ser adicionada ao</w:t>
      </w:r>
      <w:r w:rsidR="00C320CF" w:rsidRPr="00D33399">
        <w:rPr>
          <w:rFonts w:ascii="Arial" w:hAnsi="Arial" w:cs="Arial"/>
          <w:bCs/>
        </w:rPr>
        <w:t xml:space="preserve"> (reduzida do)</w:t>
      </w:r>
      <w:r w:rsidRPr="00D33399">
        <w:rPr>
          <w:rFonts w:ascii="Arial" w:hAnsi="Arial" w:cs="Arial"/>
          <w:bCs/>
        </w:rPr>
        <w:t xml:space="preserve"> ativo correspondente.</w:t>
      </w:r>
    </w:p>
    <w:p w14:paraId="6EF360B1" w14:textId="77777777" w:rsidR="003F4719" w:rsidRPr="00D33399" w:rsidRDefault="003F4719" w:rsidP="005144E2">
      <w:pPr>
        <w:widowControl/>
        <w:jc w:val="both"/>
        <w:rPr>
          <w:rFonts w:ascii="Arial" w:hAnsi="Arial" w:cs="Arial"/>
          <w:bCs/>
        </w:rPr>
      </w:pPr>
    </w:p>
    <w:p w14:paraId="09D14DDB" w14:textId="2649061E" w:rsidR="003F4719" w:rsidRPr="00D33399" w:rsidRDefault="003F4719" w:rsidP="005144E2">
      <w:pPr>
        <w:widowControl/>
        <w:jc w:val="both"/>
        <w:rPr>
          <w:rFonts w:ascii="Arial" w:hAnsi="Arial" w:cs="Arial"/>
          <w:bCs/>
        </w:rPr>
      </w:pPr>
      <w:r w:rsidRPr="00D33399">
        <w:rPr>
          <w:rFonts w:ascii="Arial" w:hAnsi="Arial" w:cs="Arial"/>
          <w:bCs/>
        </w:rPr>
        <w:t xml:space="preserve">A taxa de desconto atual para ajuste a valor presente </w:t>
      </w:r>
      <w:r w:rsidRPr="00D33399">
        <w:rPr>
          <w:rFonts w:ascii="Arial" w:hAnsi="Arial" w:cs="Arial"/>
        </w:rPr>
        <w:t xml:space="preserve">é de </w:t>
      </w:r>
      <w:r w:rsidR="003479F4" w:rsidRPr="00D33399">
        <w:rPr>
          <w:rFonts w:ascii="Arial" w:hAnsi="Arial" w:cs="Arial"/>
        </w:rPr>
        <w:t>4</w:t>
      </w:r>
      <w:r w:rsidR="00A0388A" w:rsidRPr="00D33399">
        <w:rPr>
          <w:rFonts w:ascii="Arial" w:hAnsi="Arial" w:cs="Arial"/>
        </w:rPr>
        <w:t>,3</w:t>
      </w:r>
      <w:r w:rsidR="00C320CF" w:rsidRPr="00D33399">
        <w:rPr>
          <w:rFonts w:ascii="Arial" w:hAnsi="Arial" w:cs="Arial"/>
        </w:rPr>
        <w:t>6</w:t>
      </w:r>
      <w:r w:rsidRPr="00D33399">
        <w:rPr>
          <w:rFonts w:ascii="Arial" w:hAnsi="Arial" w:cs="Arial"/>
        </w:rPr>
        <w:t>% </w:t>
      </w:r>
      <w:r w:rsidRPr="00D33399">
        <w:rPr>
          <w:rFonts w:ascii="Arial" w:hAnsi="Arial" w:cs="Arial"/>
          <w:bCs/>
        </w:rPr>
        <w:t>ao ano</w:t>
      </w:r>
      <w:r w:rsidR="00CD67D4" w:rsidRPr="00D33399">
        <w:rPr>
          <w:rFonts w:ascii="Arial" w:hAnsi="Arial" w:cs="Arial"/>
          <w:bCs/>
        </w:rPr>
        <w:t xml:space="preserve"> (2018 – 5,86%)</w:t>
      </w:r>
      <w:r w:rsidRPr="00D33399">
        <w:rPr>
          <w:rFonts w:ascii="Arial" w:hAnsi="Arial" w:cs="Arial"/>
          <w:bCs/>
        </w:rPr>
        <w:t xml:space="preserve">, </w:t>
      </w:r>
      <w:r w:rsidRPr="00D33399">
        <w:rPr>
          <w:rFonts w:ascii="Arial" w:hAnsi="Arial" w:cs="Arial"/>
        </w:rPr>
        <w:t>estabelecida para aplicação por todas as Empresas do Sistema Eletrobras</w:t>
      </w:r>
      <w:r w:rsidR="00CD67D4" w:rsidRPr="00D33399">
        <w:rPr>
          <w:rFonts w:ascii="Arial" w:hAnsi="Arial" w:cs="Arial"/>
        </w:rPr>
        <w:t xml:space="preserve">. A redução da taxa gerou um aumento da obrigação de desmobilização de ativo com contrapartida no imobilizado no montante de R$ </w:t>
      </w:r>
      <w:r w:rsidR="00D1028D" w:rsidRPr="00D33399">
        <w:rPr>
          <w:rFonts w:ascii="Arial" w:hAnsi="Arial" w:cs="Arial"/>
        </w:rPr>
        <w:t>355.712</w:t>
      </w:r>
      <w:r w:rsidR="00012943" w:rsidRPr="00D33399">
        <w:rPr>
          <w:rFonts w:ascii="Arial" w:hAnsi="Arial" w:cs="Arial"/>
        </w:rPr>
        <w:t xml:space="preserve"> em dezembro 2019</w:t>
      </w:r>
      <w:r w:rsidRPr="00D33399">
        <w:rPr>
          <w:rFonts w:ascii="Arial" w:hAnsi="Arial" w:cs="Arial"/>
          <w:bCs/>
        </w:rPr>
        <w:t>.</w:t>
      </w:r>
      <w:r w:rsidR="000D7D34" w:rsidRPr="00D33399">
        <w:rPr>
          <w:rFonts w:ascii="Arial" w:hAnsi="Arial" w:cs="Arial"/>
          <w:b/>
          <w:color w:val="FF0000"/>
        </w:rPr>
        <w:t xml:space="preserve"> </w:t>
      </w:r>
    </w:p>
    <w:p w14:paraId="3DA47F3C" w14:textId="77777777" w:rsidR="006A0CEA" w:rsidRPr="00D33399" w:rsidRDefault="006A0CEA" w:rsidP="005144E2">
      <w:pPr>
        <w:widowControl/>
        <w:jc w:val="both"/>
        <w:rPr>
          <w:rFonts w:ascii="Arial" w:hAnsi="Arial" w:cs="Arial"/>
          <w:bCs/>
        </w:rPr>
      </w:pPr>
    </w:p>
    <w:p w14:paraId="6AB1EEDF" w14:textId="77777777" w:rsidR="00BB74A6" w:rsidRDefault="00BB74A6" w:rsidP="005144E2">
      <w:pPr>
        <w:widowControl/>
        <w:jc w:val="both"/>
        <w:rPr>
          <w:rFonts w:ascii="Arial" w:hAnsi="Arial" w:cs="Arial"/>
          <w:bCs/>
          <w:sz w:val="16"/>
          <w:szCs w:val="16"/>
        </w:rPr>
      </w:pPr>
    </w:p>
    <w:p w14:paraId="1FA8C7C0" w14:textId="77777777" w:rsidR="009D4087" w:rsidRPr="00D33399" w:rsidRDefault="009D4087" w:rsidP="005144E2">
      <w:pPr>
        <w:widowControl/>
        <w:jc w:val="both"/>
        <w:rPr>
          <w:rFonts w:ascii="Arial" w:hAnsi="Arial" w:cs="Arial"/>
          <w:bCs/>
          <w:sz w:val="16"/>
          <w:szCs w:val="16"/>
        </w:rPr>
      </w:pPr>
    </w:p>
    <w:p w14:paraId="4725C531" w14:textId="77777777" w:rsidR="003F4719" w:rsidRPr="00D33399" w:rsidRDefault="003F4719" w:rsidP="005144E2">
      <w:pPr>
        <w:widowControl/>
        <w:numPr>
          <w:ilvl w:val="0"/>
          <w:numId w:val="7"/>
        </w:numPr>
        <w:tabs>
          <w:tab w:val="clear" w:pos="720"/>
        </w:tabs>
        <w:ind w:left="180" w:hanging="180"/>
        <w:jc w:val="both"/>
        <w:rPr>
          <w:rFonts w:ascii="Arial" w:hAnsi="Arial" w:cs="Arial"/>
          <w:b/>
        </w:rPr>
      </w:pPr>
      <w:r w:rsidRPr="00D33399">
        <w:rPr>
          <w:rFonts w:ascii="Arial" w:hAnsi="Arial" w:cs="Arial"/>
          <w:b/>
          <w:bCs/>
        </w:rPr>
        <w:t>Pronunciamento Técnico CPC 27 – Sobressalentes no Imobilizado</w:t>
      </w:r>
    </w:p>
    <w:p w14:paraId="0F0ABD06" w14:textId="77777777" w:rsidR="003F4719" w:rsidRPr="00D33399" w:rsidRDefault="003F4719" w:rsidP="005144E2">
      <w:pPr>
        <w:widowControl/>
        <w:jc w:val="both"/>
        <w:rPr>
          <w:rFonts w:ascii="Arial" w:hAnsi="Arial" w:cs="Arial"/>
          <w:b/>
          <w:sz w:val="16"/>
          <w:szCs w:val="16"/>
        </w:rPr>
      </w:pPr>
    </w:p>
    <w:p w14:paraId="2A0248F3" w14:textId="77777777" w:rsidR="003F4719" w:rsidRPr="00D33399" w:rsidRDefault="003F4719" w:rsidP="005144E2">
      <w:pPr>
        <w:widowControl/>
        <w:jc w:val="both"/>
        <w:rPr>
          <w:rFonts w:ascii="Arial" w:hAnsi="Arial" w:cs="Arial"/>
        </w:rPr>
      </w:pPr>
      <w:r w:rsidRPr="00D33399">
        <w:rPr>
          <w:rFonts w:ascii="Arial" w:hAnsi="Arial" w:cs="Arial"/>
        </w:rPr>
        <w:t xml:space="preserve">A Companhia mantém em seu </w:t>
      </w:r>
      <w:r w:rsidR="00C320CF" w:rsidRPr="00D33399">
        <w:rPr>
          <w:rFonts w:ascii="Arial" w:hAnsi="Arial" w:cs="Arial"/>
        </w:rPr>
        <w:t>estoque</w:t>
      </w:r>
      <w:r w:rsidRPr="00D33399">
        <w:rPr>
          <w:rFonts w:ascii="Arial" w:hAnsi="Arial" w:cs="Arial"/>
        </w:rPr>
        <w:t xml:space="preserve"> uma gama de material de valor compatível às necessidades específicas de cada uma de suas usinas, devido às características próprias e individuais dos projetos. Trata-se de componentes e respectivos sobressalentes de fabricação restrita, de disponibilidade reduzida e, na sua quase totalidade, adquirida do exterior, necessários de modo a garantir a performance e fluxo contínuo de operação.</w:t>
      </w:r>
    </w:p>
    <w:p w14:paraId="34B56DD7" w14:textId="77777777" w:rsidR="002D5D8F" w:rsidRPr="00D33399" w:rsidRDefault="002D5D8F" w:rsidP="005144E2">
      <w:pPr>
        <w:widowControl/>
        <w:jc w:val="both"/>
        <w:rPr>
          <w:rFonts w:ascii="Arial" w:hAnsi="Arial" w:cs="Arial"/>
        </w:rPr>
      </w:pPr>
    </w:p>
    <w:p w14:paraId="56CE4750" w14:textId="77777777" w:rsidR="003B746A" w:rsidRPr="00D33399" w:rsidRDefault="003B746A" w:rsidP="005144E2">
      <w:pPr>
        <w:widowControl/>
        <w:jc w:val="both"/>
        <w:rPr>
          <w:rFonts w:ascii="Arial" w:hAnsi="Arial" w:cs="Arial"/>
          <w:sz w:val="16"/>
          <w:szCs w:val="16"/>
        </w:rPr>
      </w:pPr>
    </w:p>
    <w:p w14:paraId="2F43A999" w14:textId="77777777" w:rsidR="003F4719" w:rsidRPr="00D33399" w:rsidRDefault="003F4719" w:rsidP="005144E2">
      <w:pPr>
        <w:pStyle w:val="PargrafodaLista"/>
        <w:widowControl/>
        <w:numPr>
          <w:ilvl w:val="0"/>
          <w:numId w:val="7"/>
        </w:numPr>
        <w:tabs>
          <w:tab w:val="clear" w:pos="720"/>
          <w:tab w:val="num" w:pos="284"/>
        </w:tabs>
        <w:ind w:hanging="720"/>
        <w:jc w:val="both"/>
        <w:rPr>
          <w:rFonts w:ascii="Arial" w:hAnsi="Arial" w:cs="Arial"/>
          <w:b/>
          <w:bCs/>
        </w:rPr>
      </w:pPr>
      <w:r w:rsidRPr="00D33399">
        <w:rPr>
          <w:rFonts w:ascii="Arial" w:hAnsi="Arial" w:cs="Arial"/>
          <w:b/>
          <w:bCs/>
        </w:rPr>
        <w:t>Empreendimento Angra 3</w:t>
      </w:r>
    </w:p>
    <w:p w14:paraId="51CE19EA" w14:textId="77777777" w:rsidR="003F4719" w:rsidRPr="00D33399" w:rsidRDefault="003F4719" w:rsidP="005144E2">
      <w:pPr>
        <w:widowControl/>
        <w:tabs>
          <w:tab w:val="num" w:pos="284"/>
        </w:tabs>
        <w:jc w:val="both"/>
        <w:rPr>
          <w:rFonts w:ascii="Arial" w:hAnsi="Arial" w:cs="Arial"/>
          <w:b/>
          <w:bCs/>
          <w:sz w:val="16"/>
          <w:szCs w:val="16"/>
        </w:rPr>
      </w:pPr>
    </w:p>
    <w:p w14:paraId="6AC4FCD9" w14:textId="77777777" w:rsidR="00F1122F" w:rsidRPr="00D33399" w:rsidRDefault="00F1122F" w:rsidP="005144E2">
      <w:pPr>
        <w:jc w:val="both"/>
        <w:rPr>
          <w:rFonts w:ascii="Arial" w:hAnsi="Arial" w:cs="Arial"/>
        </w:rPr>
      </w:pPr>
      <w:r w:rsidRPr="00D33399">
        <w:rPr>
          <w:rFonts w:ascii="Arial" w:hAnsi="Arial" w:cs="Arial"/>
        </w:rPr>
        <w:t>O planejamento original para a construção da Usina Nuclear Angra 3 previa que a planta seria implementada com base em um Cronograma Executivo de 66 meses. Tal premissa fundamental era alicerçada na experiência da ELETRONUCLEAR com a construção de Angra 2, excluídos os períodos nos quais suas atividades estiveram paralisadas, bem como com os programas de implantação das usinas nucleares mais recentemente construídas na Alemanha. O início desse prazo foi caracterizado pelo início da execução dos serviços de concretagem do edifício do reator, ocorrido em 01 de setembro de 2010.</w:t>
      </w:r>
    </w:p>
    <w:p w14:paraId="2224FEAE" w14:textId="77777777" w:rsidR="00F1122F" w:rsidRPr="00D33399" w:rsidRDefault="00F1122F" w:rsidP="005144E2">
      <w:pPr>
        <w:jc w:val="both"/>
        <w:rPr>
          <w:rFonts w:ascii="Arial" w:hAnsi="Arial" w:cs="Arial"/>
        </w:rPr>
      </w:pPr>
    </w:p>
    <w:p w14:paraId="004B17C8" w14:textId="77777777" w:rsidR="00F1122F" w:rsidRPr="00D33399" w:rsidRDefault="00F1122F" w:rsidP="005144E2">
      <w:pPr>
        <w:jc w:val="both"/>
        <w:rPr>
          <w:rFonts w:ascii="Arial" w:hAnsi="Arial" w:cs="Arial"/>
        </w:rPr>
      </w:pPr>
      <w:r w:rsidRPr="00D33399">
        <w:rPr>
          <w:rFonts w:ascii="Arial" w:hAnsi="Arial" w:cs="Arial"/>
        </w:rPr>
        <w:t>A viabilização desse prazo contemplava diversas premissas, algumas das quais ainda não concretizadas e, adicionalmente, não se anteviam grandes dificuldades de natureza externa que impactassem sobremaneira o desenvolvimento das obras.</w:t>
      </w:r>
    </w:p>
    <w:p w14:paraId="5BDBFA78" w14:textId="77777777" w:rsidR="001D2CEC" w:rsidRPr="00D33399" w:rsidRDefault="001D2CEC" w:rsidP="005144E2">
      <w:pPr>
        <w:jc w:val="both"/>
        <w:rPr>
          <w:rFonts w:ascii="Arial" w:hAnsi="Arial" w:cs="Arial"/>
        </w:rPr>
      </w:pPr>
    </w:p>
    <w:p w14:paraId="2124AAE2" w14:textId="77777777" w:rsidR="00F1122F" w:rsidRPr="00D33399" w:rsidRDefault="00F1122F" w:rsidP="005144E2">
      <w:pPr>
        <w:jc w:val="both"/>
        <w:rPr>
          <w:rFonts w:ascii="Arial" w:hAnsi="Arial" w:cs="Arial"/>
        </w:rPr>
      </w:pPr>
      <w:r w:rsidRPr="00D33399">
        <w:rPr>
          <w:rFonts w:ascii="Arial" w:hAnsi="Arial" w:cs="Arial"/>
        </w:rPr>
        <w:t xml:space="preserve">O empreendimento Angra 3 sofreu alteração cronológica por eventos operacionais relacionados aos contratos de montagem eletromecânica e obras civis, sendo a nova previsão de data de entrada em operação para </w:t>
      </w:r>
      <w:r w:rsidR="009F311B" w:rsidRPr="00D33399">
        <w:rPr>
          <w:rFonts w:ascii="Arial" w:hAnsi="Arial" w:cs="Arial"/>
        </w:rPr>
        <w:t>30</w:t>
      </w:r>
      <w:r w:rsidRPr="00D33399">
        <w:rPr>
          <w:rFonts w:ascii="Arial" w:hAnsi="Arial" w:cs="Arial"/>
        </w:rPr>
        <w:t xml:space="preserve"> de </w:t>
      </w:r>
      <w:r w:rsidR="009F311B" w:rsidRPr="00D33399">
        <w:rPr>
          <w:rFonts w:ascii="Arial" w:hAnsi="Arial" w:cs="Arial"/>
        </w:rPr>
        <w:t xml:space="preserve">novembro </w:t>
      </w:r>
      <w:r w:rsidRPr="00D33399">
        <w:rPr>
          <w:rFonts w:ascii="Arial" w:hAnsi="Arial" w:cs="Arial"/>
        </w:rPr>
        <w:t xml:space="preserve">de 2026 conforme aprovado pela Diretoria Executiva, nos termos da </w:t>
      </w:r>
      <w:r w:rsidR="00785E9A" w:rsidRPr="00D33399">
        <w:rPr>
          <w:rFonts w:ascii="Arial" w:hAnsi="Arial" w:cs="Arial"/>
        </w:rPr>
        <w:t xml:space="preserve">Resolução de Diretoria Executiva - </w:t>
      </w:r>
      <w:r w:rsidR="006D23BE" w:rsidRPr="00D33399">
        <w:rPr>
          <w:rFonts w:ascii="Arial" w:hAnsi="Arial" w:cs="Arial"/>
        </w:rPr>
        <w:t>RDE 1501.010/20</w:t>
      </w:r>
      <w:r w:rsidRPr="00D33399">
        <w:rPr>
          <w:rFonts w:ascii="Arial" w:hAnsi="Arial" w:cs="Arial"/>
        </w:rPr>
        <w:t xml:space="preserve"> de </w:t>
      </w:r>
      <w:r w:rsidR="006D23BE" w:rsidRPr="00D33399">
        <w:rPr>
          <w:rFonts w:ascii="Arial" w:hAnsi="Arial" w:cs="Arial"/>
        </w:rPr>
        <w:t>11</w:t>
      </w:r>
      <w:r w:rsidR="00C133BB" w:rsidRPr="00D33399">
        <w:rPr>
          <w:rFonts w:ascii="Arial" w:hAnsi="Arial" w:cs="Arial"/>
        </w:rPr>
        <w:t xml:space="preserve"> de fevereiro de </w:t>
      </w:r>
      <w:r w:rsidRPr="00D33399">
        <w:rPr>
          <w:rFonts w:ascii="Arial" w:hAnsi="Arial" w:cs="Arial"/>
        </w:rPr>
        <w:t>20</w:t>
      </w:r>
      <w:r w:rsidR="006D23BE" w:rsidRPr="00D33399">
        <w:rPr>
          <w:rFonts w:ascii="Arial" w:hAnsi="Arial" w:cs="Arial"/>
        </w:rPr>
        <w:t>20</w:t>
      </w:r>
      <w:r w:rsidR="002F7366" w:rsidRPr="00D33399">
        <w:rPr>
          <w:rFonts w:ascii="Arial" w:hAnsi="Arial" w:cs="Arial"/>
        </w:rPr>
        <w:t>. Essa alteração</w:t>
      </w:r>
      <w:r w:rsidR="007D54A9" w:rsidRPr="00D33399">
        <w:rPr>
          <w:rFonts w:ascii="Arial" w:hAnsi="Arial" w:cs="Arial"/>
        </w:rPr>
        <w:t xml:space="preserve"> cronológica</w:t>
      </w:r>
      <w:r w:rsidR="002F7366" w:rsidRPr="00D33399">
        <w:rPr>
          <w:rFonts w:ascii="Arial" w:hAnsi="Arial" w:cs="Arial"/>
        </w:rPr>
        <w:t xml:space="preserve"> está apresentada no</w:t>
      </w:r>
      <w:r w:rsidRPr="00D33399">
        <w:rPr>
          <w:rFonts w:ascii="Arial" w:hAnsi="Arial" w:cs="Arial"/>
        </w:rPr>
        <w:t xml:space="preserve"> Relatór</w:t>
      </w:r>
      <w:r w:rsidR="00EE399A" w:rsidRPr="00D33399">
        <w:rPr>
          <w:rFonts w:ascii="Arial" w:hAnsi="Arial" w:cs="Arial"/>
        </w:rPr>
        <w:t>io</w:t>
      </w:r>
      <w:r w:rsidR="00785E9A" w:rsidRPr="00D33399">
        <w:rPr>
          <w:rFonts w:ascii="Arial" w:hAnsi="Arial" w:cs="Arial"/>
        </w:rPr>
        <w:t xml:space="preserve"> do Departamento de Planejamento e Controle de Empreendimento - </w:t>
      </w:r>
      <w:r w:rsidR="006D23BE" w:rsidRPr="00D33399">
        <w:rPr>
          <w:rFonts w:ascii="Arial" w:hAnsi="Arial" w:cs="Arial"/>
        </w:rPr>
        <w:t>DPE.T 001/2020 de 11</w:t>
      </w:r>
      <w:r w:rsidR="00C133BB" w:rsidRPr="00D33399">
        <w:rPr>
          <w:rFonts w:ascii="Arial" w:hAnsi="Arial" w:cs="Arial"/>
        </w:rPr>
        <w:t xml:space="preserve"> de fevereiro de </w:t>
      </w:r>
      <w:r w:rsidR="006D23BE" w:rsidRPr="00D33399">
        <w:rPr>
          <w:rFonts w:ascii="Arial" w:hAnsi="Arial" w:cs="Arial"/>
        </w:rPr>
        <w:t>2020</w:t>
      </w:r>
      <w:r w:rsidRPr="00D33399">
        <w:rPr>
          <w:rFonts w:ascii="Arial" w:hAnsi="Arial" w:cs="Arial"/>
        </w:rPr>
        <w:t>.</w:t>
      </w:r>
    </w:p>
    <w:p w14:paraId="16BC6770" w14:textId="77777777" w:rsidR="00F96853" w:rsidRPr="00D33399" w:rsidRDefault="00F96853" w:rsidP="005144E2">
      <w:pPr>
        <w:jc w:val="both"/>
        <w:rPr>
          <w:rFonts w:ascii="Arial" w:hAnsi="Arial" w:cs="Arial"/>
        </w:rPr>
      </w:pPr>
    </w:p>
    <w:p w14:paraId="54D8E42A" w14:textId="330B3F1F" w:rsidR="00F96853" w:rsidRPr="00D33399" w:rsidRDefault="00F43E1C" w:rsidP="005144E2">
      <w:pPr>
        <w:jc w:val="both"/>
        <w:rPr>
          <w:rFonts w:ascii="Arial" w:hAnsi="Arial" w:cs="Arial"/>
        </w:rPr>
      </w:pPr>
      <w:r w:rsidRPr="00D33399">
        <w:rPr>
          <w:rFonts w:ascii="Arial" w:hAnsi="Arial" w:cs="Arial"/>
        </w:rPr>
        <w:t xml:space="preserve">Embora os relatórios técnicos da </w:t>
      </w:r>
      <w:r w:rsidR="00CF719D" w:rsidRPr="00D33399">
        <w:rPr>
          <w:rFonts w:ascii="Arial" w:hAnsi="Arial" w:cs="Arial"/>
        </w:rPr>
        <w:t>Companhia</w:t>
      </w:r>
      <w:r w:rsidRPr="00D33399">
        <w:rPr>
          <w:rFonts w:ascii="Arial" w:hAnsi="Arial" w:cs="Arial"/>
        </w:rPr>
        <w:t xml:space="preserve"> apontem para baixas evoluções físicas no empreendimento, o Projeto Angra 3 em momento algum interrompeu por completo </w:t>
      </w:r>
      <w:r w:rsidR="00ED512D" w:rsidRPr="00D33399">
        <w:rPr>
          <w:rFonts w:ascii="Arial" w:hAnsi="Arial" w:cs="Arial"/>
        </w:rPr>
        <w:t>suas atividades, especialmente a</w:t>
      </w:r>
      <w:r w:rsidRPr="00D33399">
        <w:rPr>
          <w:rFonts w:ascii="Arial" w:hAnsi="Arial" w:cs="Arial"/>
        </w:rPr>
        <w:t xml:space="preserve">quelas desenvolvidas pelo seu principal fornecedor de materiais e serviços no exterior e efetuados pelo fabricante do Projeto (AREVA/FRAMATOME). Todavia, a partir do </w:t>
      </w:r>
      <w:r w:rsidR="003D54EA" w:rsidRPr="00D33399">
        <w:rPr>
          <w:rFonts w:ascii="Arial" w:hAnsi="Arial" w:cs="Arial"/>
        </w:rPr>
        <w:t>segundo</w:t>
      </w:r>
      <w:r w:rsidRPr="00D33399">
        <w:rPr>
          <w:rFonts w:ascii="Arial" w:hAnsi="Arial" w:cs="Arial"/>
        </w:rPr>
        <w:t xml:space="preserve"> trimestre de 2019, e, com efeitos retroativos ao </w:t>
      </w:r>
      <w:r w:rsidR="003D54EA" w:rsidRPr="00D33399">
        <w:rPr>
          <w:rFonts w:ascii="Arial" w:hAnsi="Arial" w:cs="Arial"/>
        </w:rPr>
        <w:t>primeiro</w:t>
      </w:r>
      <w:r w:rsidRPr="00D33399">
        <w:rPr>
          <w:rFonts w:ascii="Arial" w:hAnsi="Arial" w:cs="Arial"/>
        </w:rPr>
        <w:t xml:space="preserve"> trimestre de 2019, </w:t>
      </w:r>
      <w:r w:rsidR="00CF719D" w:rsidRPr="00D33399">
        <w:rPr>
          <w:rFonts w:ascii="Arial" w:hAnsi="Arial" w:cs="Arial"/>
        </w:rPr>
        <w:t xml:space="preserve">a </w:t>
      </w:r>
      <w:r w:rsidR="00F10D31" w:rsidRPr="00D33399">
        <w:rPr>
          <w:rFonts w:ascii="Arial" w:hAnsi="Arial" w:cs="Arial"/>
        </w:rPr>
        <w:t>C</w:t>
      </w:r>
      <w:r w:rsidR="00CF719D" w:rsidRPr="00D33399">
        <w:rPr>
          <w:rFonts w:ascii="Arial" w:hAnsi="Arial" w:cs="Arial"/>
        </w:rPr>
        <w:t xml:space="preserve">ompanhia revisitou seu procedimento </w:t>
      </w:r>
      <w:r w:rsidRPr="00D33399">
        <w:rPr>
          <w:rFonts w:ascii="Arial" w:hAnsi="Arial" w:cs="Arial"/>
        </w:rPr>
        <w:t xml:space="preserve">sobre a manutenção do Projeto Angra 3 como um ativo qualificável para a capitalização dos custos com empréstimos e financiamentos, tendo em vista os reduzidos avanços físicos no empreendimento. </w:t>
      </w:r>
    </w:p>
    <w:p w14:paraId="1FB60D1B" w14:textId="77777777" w:rsidR="00F1122F" w:rsidRPr="00D33399" w:rsidRDefault="00F1122F" w:rsidP="005144E2">
      <w:pPr>
        <w:jc w:val="both"/>
        <w:rPr>
          <w:rFonts w:ascii="Arial" w:hAnsi="Arial" w:cs="Arial"/>
        </w:rPr>
      </w:pPr>
    </w:p>
    <w:p w14:paraId="2621833A" w14:textId="77777777" w:rsidR="00F1122F" w:rsidRPr="00D33399" w:rsidRDefault="00F1122F" w:rsidP="005144E2">
      <w:pPr>
        <w:jc w:val="both"/>
        <w:rPr>
          <w:rFonts w:ascii="Arial" w:hAnsi="Arial" w:cs="Arial"/>
        </w:rPr>
      </w:pPr>
      <w:r w:rsidRPr="00D33399">
        <w:rPr>
          <w:rFonts w:ascii="Arial" w:hAnsi="Arial" w:cs="Arial"/>
        </w:rPr>
        <w:t xml:space="preserve">Como todo empreendimento, em que são necessárias a aplicação intensiva de capital por um longo período, a construção de uma nova unidade de geração de energia de fonte nuclear não é diferente. Um dos grandes desafios a serem ainda superados têm sido a </w:t>
      </w:r>
      <w:r w:rsidRPr="00D33399">
        <w:rPr>
          <w:rFonts w:ascii="Arial" w:hAnsi="Arial" w:cs="Arial"/>
        </w:rPr>
        <w:lastRenderedPageBreak/>
        <w:t>estruturação dos recursos financeiros necessários à sua implementação.</w:t>
      </w:r>
    </w:p>
    <w:p w14:paraId="6EB4074F" w14:textId="77777777" w:rsidR="00F1122F" w:rsidRPr="00D33399" w:rsidRDefault="00F1122F" w:rsidP="005144E2">
      <w:pPr>
        <w:jc w:val="both"/>
        <w:rPr>
          <w:rFonts w:ascii="Arial" w:hAnsi="Arial" w:cs="Arial"/>
        </w:rPr>
      </w:pPr>
    </w:p>
    <w:p w14:paraId="0B89473B" w14:textId="77777777" w:rsidR="00F1122F" w:rsidRPr="00D33399" w:rsidRDefault="00F1122F" w:rsidP="005144E2">
      <w:pPr>
        <w:jc w:val="both"/>
        <w:rPr>
          <w:rFonts w:ascii="Arial" w:hAnsi="Arial" w:cs="Arial"/>
        </w:rPr>
      </w:pPr>
      <w:r w:rsidRPr="00D33399">
        <w:rPr>
          <w:rFonts w:ascii="Arial" w:hAnsi="Arial" w:cs="Arial"/>
        </w:rPr>
        <w:t xml:space="preserve">A situação atual do empreendimento aponta altos valores a serem ainda investidos que não têm origem ou financiamento definido ou assegurado (parcelas não financiadas + capital próprio). Desse total, </w:t>
      </w:r>
      <w:r w:rsidR="006D23BE" w:rsidRPr="00D33399">
        <w:rPr>
          <w:rFonts w:ascii="Arial" w:hAnsi="Arial" w:cs="Arial"/>
        </w:rPr>
        <w:t xml:space="preserve">parcela considerável pode </w:t>
      </w:r>
      <w:r w:rsidRPr="00D33399">
        <w:rPr>
          <w:rFonts w:ascii="Arial" w:hAnsi="Arial" w:cs="Arial"/>
        </w:rPr>
        <w:t>ser alocad</w:t>
      </w:r>
      <w:r w:rsidR="006D23BE" w:rsidRPr="00D33399">
        <w:rPr>
          <w:rFonts w:ascii="Arial" w:hAnsi="Arial" w:cs="Arial"/>
        </w:rPr>
        <w:t>a</w:t>
      </w:r>
      <w:r w:rsidR="00457C7A" w:rsidRPr="00D33399">
        <w:rPr>
          <w:rFonts w:ascii="Arial" w:hAnsi="Arial" w:cs="Arial"/>
        </w:rPr>
        <w:t xml:space="preserve"> </w:t>
      </w:r>
      <w:r w:rsidR="00A32EB3" w:rsidRPr="00D33399">
        <w:rPr>
          <w:rFonts w:ascii="Arial" w:hAnsi="Arial" w:cs="Arial"/>
        </w:rPr>
        <w:t>por</w:t>
      </w:r>
      <w:r w:rsidRPr="00D33399">
        <w:rPr>
          <w:rFonts w:ascii="Arial" w:hAnsi="Arial" w:cs="Arial"/>
        </w:rPr>
        <w:t xml:space="preserve"> um parceiro privado em um modelo ora em estudo, correspondendo esse percentual ao escopo remanescente transferível para o parceiro.</w:t>
      </w:r>
    </w:p>
    <w:p w14:paraId="2C7E5AB5" w14:textId="77777777" w:rsidR="00F1122F" w:rsidRPr="00D33399" w:rsidRDefault="00F1122F" w:rsidP="005144E2">
      <w:pPr>
        <w:jc w:val="both"/>
        <w:rPr>
          <w:rFonts w:ascii="Arial" w:hAnsi="Arial" w:cs="Arial"/>
        </w:rPr>
      </w:pPr>
    </w:p>
    <w:p w14:paraId="066A950B" w14:textId="77777777" w:rsidR="00F1122F" w:rsidRPr="00D33399" w:rsidRDefault="00F1122F" w:rsidP="005144E2">
      <w:pPr>
        <w:jc w:val="both"/>
        <w:rPr>
          <w:rFonts w:ascii="Arial" w:hAnsi="Arial" w:cs="Arial"/>
        </w:rPr>
      </w:pPr>
      <w:r w:rsidRPr="00D33399">
        <w:rPr>
          <w:rFonts w:ascii="Arial" w:hAnsi="Arial" w:cs="Arial"/>
        </w:rPr>
        <w:t xml:space="preserve">Os aportes de capital por parte do parceiro, conforme descrito na </w:t>
      </w:r>
      <w:r w:rsidR="008E6B5F" w:rsidRPr="00D33399">
        <w:rPr>
          <w:rFonts w:ascii="Arial" w:hAnsi="Arial" w:cs="Arial"/>
        </w:rPr>
        <w:t>n</w:t>
      </w:r>
      <w:r w:rsidRPr="00D33399">
        <w:rPr>
          <w:rFonts w:ascii="Arial" w:hAnsi="Arial" w:cs="Arial"/>
        </w:rPr>
        <w:t>ota 4.1d, devem ocorrer na forma de bens e serviços (construção civil, montagem eletromecânica e fornecimentos não contratados), a serem integralizados à medida que seja</w:t>
      </w:r>
      <w:r w:rsidR="00817627" w:rsidRPr="00D33399">
        <w:rPr>
          <w:rFonts w:ascii="Arial" w:hAnsi="Arial" w:cs="Arial"/>
        </w:rPr>
        <w:t>m</w:t>
      </w:r>
      <w:r w:rsidRPr="00D33399">
        <w:rPr>
          <w:rFonts w:ascii="Arial" w:hAnsi="Arial" w:cs="Arial"/>
        </w:rPr>
        <w:t xml:space="preserve"> incorporado</w:t>
      </w:r>
      <w:r w:rsidR="00817627" w:rsidRPr="00D33399">
        <w:rPr>
          <w:rFonts w:ascii="Arial" w:hAnsi="Arial" w:cs="Arial"/>
        </w:rPr>
        <w:t>s</w:t>
      </w:r>
      <w:r w:rsidRPr="00D33399">
        <w:rPr>
          <w:rFonts w:ascii="Arial" w:hAnsi="Arial" w:cs="Arial"/>
        </w:rPr>
        <w:t xml:space="preserve"> à obra.</w:t>
      </w:r>
    </w:p>
    <w:p w14:paraId="79DF0888" w14:textId="77777777" w:rsidR="00BB74A6" w:rsidRPr="00D33399" w:rsidRDefault="00BB74A6" w:rsidP="005144E2">
      <w:pPr>
        <w:widowControl/>
        <w:jc w:val="both"/>
        <w:rPr>
          <w:rFonts w:ascii="Arial" w:hAnsi="Arial" w:cs="Arial"/>
          <w:b/>
        </w:rPr>
      </w:pPr>
    </w:p>
    <w:p w14:paraId="7CFBB412" w14:textId="77777777" w:rsidR="006E03C6" w:rsidRPr="00D33399" w:rsidRDefault="006E03C6" w:rsidP="005144E2">
      <w:pPr>
        <w:widowControl/>
        <w:jc w:val="both"/>
        <w:rPr>
          <w:rFonts w:ascii="Arial" w:hAnsi="Arial" w:cs="Arial"/>
          <w:b/>
        </w:rPr>
      </w:pPr>
    </w:p>
    <w:p w14:paraId="5F381551" w14:textId="77777777" w:rsidR="006E03C6" w:rsidRPr="00D33399" w:rsidRDefault="006E03C6" w:rsidP="005144E2">
      <w:pPr>
        <w:widowControl/>
        <w:jc w:val="both"/>
        <w:rPr>
          <w:rFonts w:ascii="Arial" w:hAnsi="Arial" w:cs="Arial"/>
          <w:b/>
        </w:rPr>
      </w:pPr>
    </w:p>
    <w:p w14:paraId="7C5753CC" w14:textId="77777777" w:rsidR="003F4719" w:rsidRPr="00D33399" w:rsidRDefault="003F4719" w:rsidP="005144E2">
      <w:pPr>
        <w:widowControl/>
        <w:jc w:val="both"/>
        <w:rPr>
          <w:rFonts w:ascii="Arial" w:hAnsi="Arial" w:cs="Arial"/>
          <w:b/>
          <w:sz w:val="26"/>
          <w:szCs w:val="26"/>
        </w:rPr>
      </w:pPr>
      <w:r w:rsidRPr="00D33399">
        <w:rPr>
          <w:rFonts w:ascii="Arial" w:hAnsi="Arial" w:cs="Arial"/>
          <w:b/>
          <w:sz w:val="26"/>
          <w:szCs w:val="26"/>
        </w:rPr>
        <w:t>NOTA 15 – INTANGÍVEL</w:t>
      </w:r>
    </w:p>
    <w:p w14:paraId="3D36A5D5" w14:textId="77777777" w:rsidR="00A86013" w:rsidRPr="00D33399" w:rsidRDefault="00A86013" w:rsidP="005144E2">
      <w:pPr>
        <w:widowControl/>
        <w:jc w:val="both"/>
        <w:rPr>
          <w:rFonts w:ascii="Arial" w:hAnsi="Arial" w:cs="Arial"/>
          <w:b/>
        </w:rPr>
      </w:pPr>
    </w:p>
    <w:p w14:paraId="7484A56E" w14:textId="77777777" w:rsidR="00BB74A6" w:rsidRPr="00D33399" w:rsidRDefault="00BB74A6" w:rsidP="005144E2">
      <w:pPr>
        <w:widowControl/>
        <w:jc w:val="both"/>
        <w:rPr>
          <w:rFonts w:ascii="Arial" w:hAnsi="Arial" w:cs="Arial"/>
          <w:b/>
        </w:rPr>
      </w:pPr>
    </w:p>
    <w:p w14:paraId="1FCB70FD" w14:textId="77777777" w:rsidR="003F4719" w:rsidRPr="00D33399" w:rsidRDefault="003F4719" w:rsidP="005144E2">
      <w:pPr>
        <w:widowControl/>
        <w:jc w:val="both"/>
        <w:rPr>
          <w:rFonts w:ascii="Arial" w:hAnsi="Arial" w:cs="Arial"/>
        </w:rPr>
      </w:pPr>
      <w:r w:rsidRPr="00D33399">
        <w:rPr>
          <w:rFonts w:ascii="Arial" w:hAnsi="Arial" w:cs="Arial"/>
        </w:rPr>
        <w:t>O ativo intangível da Companhia compõe-se, basicamente: da aquisição de</w:t>
      </w:r>
      <w:r w:rsidRPr="00D33399">
        <w:rPr>
          <w:rFonts w:ascii="Arial" w:hAnsi="Arial" w:cs="Arial"/>
          <w:bCs/>
        </w:rPr>
        <w:t xml:space="preserve"> licença de uso do software do seu </w:t>
      </w:r>
      <w:r w:rsidRPr="00D33399">
        <w:rPr>
          <w:rFonts w:ascii="Arial" w:hAnsi="Arial" w:cs="Arial"/>
        </w:rPr>
        <w:t>sistema corporativo central, denominado SAP R/3, e de outros software</w:t>
      </w:r>
      <w:r w:rsidR="007410ED" w:rsidRPr="00D33399">
        <w:rPr>
          <w:rFonts w:ascii="Arial" w:hAnsi="Arial" w:cs="Arial"/>
        </w:rPr>
        <w:t>s</w:t>
      </w:r>
      <w:r w:rsidRPr="00D33399">
        <w:rPr>
          <w:rFonts w:ascii="Arial" w:hAnsi="Arial" w:cs="Arial"/>
        </w:rPr>
        <w:t xml:space="preserve"> aplicativos de uso específico e geral</w:t>
      </w:r>
      <w:r w:rsidR="00E6336A" w:rsidRPr="00D33399">
        <w:rPr>
          <w:rFonts w:ascii="Arial" w:hAnsi="Arial" w:cs="Arial"/>
        </w:rPr>
        <w:t>,</w:t>
      </w:r>
      <w:r w:rsidRPr="00D33399">
        <w:rPr>
          <w:rFonts w:ascii="Arial" w:hAnsi="Arial" w:cs="Arial"/>
        </w:rPr>
        <w:t xml:space="preserve"> de valores substanciais, estando os mesmos registrados pelo custo de aquisição.</w:t>
      </w:r>
    </w:p>
    <w:p w14:paraId="1DD58D1A" w14:textId="77777777" w:rsidR="00AF6540" w:rsidRPr="00D33399" w:rsidRDefault="00AF6540" w:rsidP="005144E2">
      <w:pPr>
        <w:widowControl/>
        <w:jc w:val="both"/>
        <w:rPr>
          <w:rFonts w:ascii="Arial" w:hAnsi="Arial" w:cs="Arial"/>
        </w:rPr>
      </w:pPr>
    </w:p>
    <w:p w14:paraId="45946576" w14:textId="77777777" w:rsidR="00AF6540" w:rsidRPr="00D33399" w:rsidRDefault="00AF6540" w:rsidP="00AF6540">
      <w:pPr>
        <w:widowControl/>
        <w:jc w:val="both"/>
        <w:rPr>
          <w:rFonts w:ascii="Arial" w:hAnsi="Arial" w:cs="Arial"/>
        </w:rPr>
      </w:pPr>
      <w:r w:rsidRPr="00D33399">
        <w:rPr>
          <w:rFonts w:ascii="Arial" w:hAnsi="Arial" w:cs="Arial"/>
        </w:rPr>
        <w:t>Os intangíveis em serviço são amortizados a taxa anual de 20%.</w:t>
      </w:r>
    </w:p>
    <w:p w14:paraId="5ABA4F7C" w14:textId="77777777" w:rsidR="00C1775B" w:rsidRPr="00D33399" w:rsidRDefault="00C1775B" w:rsidP="005144E2">
      <w:pPr>
        <w:widowControl/>
        <w:ind w:right="-28"/>
        <w:jc w:val="both"/>
        <w:rPr>
          <w:rFonts w:ascii="Arial" w:hAnsi="Arial" w:cs="Arial"/>
        </w:rPr>
      </w:pPr>
    </w:p>
    <w:p w14:paraId="38881D04" w14:textId="77777777" w:rsidR="003F4719" w:rsidRPr="00D33399" w:rsidRDefault="003F4719" w:rsidP="005144E2">
      <w:pPr>
        <w:widowControl/>
        <w:ind w:right="-28"/>
        <w:jc w:val="both"/>
        <w:rPr>
          <w:rFonts w:ascii="Arial" w:hAnsi="Arial" w:cs="Arial"/>
        </w:rPr>
      </w:pPr>
      <w:r w:rsidRPr="00D874EF">
        <w:rPr>
          <w:rFonts w:ascii="Arial" w:hAnsi="Arial" w:cs="Arial"/>
        </w:rPr>
        <w:t>A movimentação do ativo intangível está assim constituída:</w:t>
      </w:r>
    </w:p>
    <w:p w14:paraId="58CDFB8B" w14:textId="77777777" w:rsidR="00795977" w:rsidRPr="00D33399" w:rsidRDefault="00795977" w:rsidP="005144E2">
      <w:pPr>
        <w:widowControl/>
        <w:ind w:right="-28"/>
        <w:jc w:val="both"/>
        <w:rPr>
          <w:rFonts w:ascii="Arial" w:hAnsi="Arial" w:cs="Arial"/>
          <w:sz w:val="16"/>
          <w:szCs w:val="16"/>
        </w:rPr>
      </w:pPr>
    </w:p>
    <w:p w14:paraId="7137DC35" w14:textId="76D1632A" w:rsidR="00652727" w:rsidRPr="00D33399" w:rsidRDefault="008532FA" w:rsidP="005144E2">
      <w:pPr>
        <w:widowControl/>
        <w:ind w:right="-28"/>
        <w:jc w:val="both"/>
        <w:rPr>
          <w:rFonts w:ascii="Arial" w:hAnsi="Arial" w:cs="Arial"/>
        </w:rPr>
      </w:pPr>
      <w:r w:rsidRPr="00D33399">
        <w:rPr>
          <w:noProof/>
        </w:rPr>
        <w:drawing>
          <wp:inline distT="0" distB="0" distL="0" distR="0" wp14:anchorId="64BFF9BD" wp14:editId="795752A6">
            <wp:extent cx="6073140" cy="2027452"/>
            <wp:effectExtent l="0" t="0" r="3810" b="0"/>
            <wp:docPr id="85" name="Image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73140" cy="2027452"/>
                    </a:xfrm>
                    <a:prstGeom prst="rect">
                      <a:avLst/>
                    </a:prstGeom>
                    <a:noFill/>
                    <a:ln>
                      <a:noFill/>
                    </a:ln>
                  </pic:spPr>
                </pic:pic>
              </a:graphicData>
            </a:graphic>
          </wp:inline>
        </w:drawing>
      </w:r>
    </w:p>
    <w:p w14:paraId="0707DFDC" w14:textId="77777777" w:rsidR="00795977" w:rsidRPr="00D33399" w:rsidRDefault="00795977" w:rsidP="005144E2">
      <w:pPr>
        <w:widowControl/>
        <w:ind w:right="-28"/>
        <w:jc w:val="both"/>
        <w:rPr>
          <w:rFonts w:ascii="Arial" w:hAnsi="Arial" w:cs="Arial"/>
          <w:sz w:val="16"/>
          <w:szCs w:val="16"/>
        </w:rPr>
      </w:pPr>
    </w:p>
    <w:p w14:paraId="54239F1D" w14:textId="77777777" w:rsidR="00DE2BDE" w:rsidRPr="00D33399" w:rsidRDefault="00DE2BDE" w:rsidP="005144E2">
      <w:pPr>
        <w:widowControl/>
        <w:ind w:right="-28"/>
        <w:jc w:val="both"/>
        <w:rPr>
          <w:rFonts w:ascii="Arial" w:hAnsi="Arial" w:cs="Arial"/>
        </w:rPr>
      </w:pPr>
      <w:r w:rsidRPr="00D33399">
        <w:rPr>
          <w:rFonts w:ascii="Arial" w:hAnsi="Arial" w:cs="Arial"/>
          <w:noProof/>
        </w:rPr>
        <w:lastRenderedPageBreak/>
        <w:drawing>
          <wp:inline distT="0" distB="0" distL="0" distR="0" wp14:anchorId="4B1224D9" wp14:editId="121C6A82">
            <wp:extent cx="6073140" cy="1616425"/>
            <wp:effectExtent l="0" t="0" r="3810" b="317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73140" cy="1616425"/>
                    </a:xfrm>
                    <a:prstGeom prst="rect">
                      <a:avLst/>
                    </a:prstGeom>
                    <a:noFill/>
                    <a:ln>
                      <a:noFill/>
                    </a:ln>
                  </pic:spPr>
                </pic:pic>
              </a:graphicData>
            </a:graphic>
          </wp:inline>
        </w:drawing>
      </w:r>
    </w:p>
    <w:p w14:paraId="759BEB1B" w14:textId="77777777" w:rsidR="00DE2BDE" w:rsidRPr="00D33399" w:rsidRDefault="00DE2BDE" w:rsidP="005144E2">
      <w:pPr>
        <w:widowControl/>
        <w:ind w:right="-28"/>
        <w:jc w:val="both"/>
        <w:rPr>
          <w:rFonts w:ascii="Arial" w:hAnsi="Arial" w:cs="Arial"/>
        </w:rPr>
      </w:pPr>
    </w:p>
    <w:p w14:paraId="79976743" w14:textId="77777777" w:rsidR="00AC287D" w:rsidRPr="00D33399" w:rsidRDefault="00AC287D" w:rsidP="005144E2">
      <w:pPr>
        <w:widowControl/>
        <w:ind w:right="-28"/>
        <w:jc w:val="both"/>
        <w:rPr>
          <w:rFonts w:ascii="Arial" w:hAnsi="Arial" w:cs="Arial"/>
        </w:rPr>
      </w:pPr>
    </w:p>
    <w:p w14:paraId="40616A4E" w14:textId="77777777" w:rsidR="00C1775B" w:rsidRPr="00D33399" w:rsidRDefault="00C1775B" w:rsidP="005144E2">
      <w:pPr>
        <w:widowControl/>
        <w:ind w:right="-28"/>
        <w:jc w:val="both"/>
        <w:rPr>
          <w:rFonts w:ascii="Arial" w:hAnsi="Arial" w:cs="Arial"/>
          <w:b/>
        </w:rPr>
      </w:pPr>
    </w:p>
    <w:p w14:paraId="22974A49" w14:textId="6568A78B" w:rsidR="003F4719" w:rsidRPr="00D33399" w:rsidRDefault="008532FA" w:rsidP="005144E2">
      <w:pPr>
        <w:widowControl/>
        <w:ind w:right="-28"/>
        <w:jc w:val="both"/>
        <w:rPr>
          <w:rFonts w:ascii="Arial" w:hAnsi="Arial" w:cs="Arial"/>
          <w:b/>
          <w:sz w:val="26"/>
          <w:szCs w:val="26"/>
        </w:rPr>
      </w:pPr>
      <w:r w:rsidRPr="00D33399">
        <w:rPr>
          <w:rFonts w:ascii="Arial" w:hAnsi="Arial" w:cs="Arial"/>
          <w:b/>
          <w:sz w:val="26"/>
          <w:szCs w:val="26"/>
        </w:rPr>
        <w:t>16 – FORNECEDORES</w:t>
      </w:r>
    </w:p>
    <w:p w14:paraId="21098ACB" w14:textId="77777777" w:rsidR="00230059" w:rsidRPr="00D33399" w:rsidRDefault="00230059" w:rsidP="005144E2">
      <w:pPr>
        <w:widowControl/>
        <w:ind w:right="-28"/>
        <w:jc w:val="both"/>
        <w:rPr>
          <w:rFonts w:ascii="Arial" w:hAnsi="Arial" w:cs="Arial"/>
          <w:b/>
        </w:rPr>
      </w:pPr>
    </w:p>
    <w:p w14:paraId="061E5109" w14:textId="77777777" w:rsidR="00BB74A6" w:rsidRPr="00D33399" w:rsidRDefault="00BB74A6" w:rsidP="005144E2">
      <w:pPr>
        <w:widowControl/>
        <w:ind w:right="-28"/>
        <w:jc w:val="both"/>
        <w:rPr>
          <w:rFonts w:ascii="Arial" w:hAnsi="Arial" w:cs="Arial"/>
          <w:b/>
        </w:rPr>
      </w:pPr>
    </w:p>
    <w:p w14:paraId="54177E17" w14:textId="77777777" w:rsidR="003F4719" w:rsidRPr="00D33399" w:rsidRDefault="003F4719" w:rsidP="005144E2">
      <w:pPr>
        <w:widowControl/>
        <w:jc w:val="both"/>
        <w:rPr>
          <w:rFonts w:ascii="Arial" w:hAnsi="Arial" w:cs="Arial"/>
        </w:rPr>
      </w:pPr>
      <w:r w:rsidRPr="00D33399">
        <w:rPr>
          <w:rFonts w:ascii="Arial" w:hAnsi="Arial" w:cs="Arial"/>
        </w:rPr>
        <w:t>O saldo de fornecedores está composto de contas a pagar a empresas que fornecem materiais para o estoque do almoxarifado da operação, concentrado de urânio e serviços para o estoque de combustível nuclear e para aplicação direta no investimento e nas atividades estruturais da ELETRONUCLEAR.</w:t>
      </w:r>
    </w:p>
    <w:p w14:paraId="244D1E8F" w14:textId="77777777" w:rsidR="00D55D63" w:rsidRPr="00D33399" w:rsidRDefault="00D55D63" w:rsidP="005144E2">
      <w:pPr>
        <w:widowControl/>
        <w:jc w:val="both"/>
        <w:rPr>
          <w:rFonts w:ascii="Arial" w:hAnsi="Arial" w:cs="Arial"/>
        </w:rPr>
      </w:pPr>
    </w:p>
    <w:p w14:paraId="394B5809" w14:textId="77777777" w:rsidR="003F4719" w:rsidRPr="00D33399" w:rsidRDefault="003F4719" w:rsidP="005144E2">
      <w:pPr>
        <w:widowControl/>
        <w:jc w:val="both"/>
        <w:rPr>
          <w:rFonts w:ascii="Arial" w:hAnsi="Arial" w:cs="Arial"/>
        </w:rPr>
      </w:pPr>
      <w:r w:rsidRPr="00177E22">
        <w:rPr>
          <w:rFonts w:ascii="Arial" w:hAnsi="Arial" w:cs="Arial"/>
        </w:rPr>
        <w:t>Abaixo, quadro com a composição da dívida com fornecedores:</w:t>
      </w:r>
    </w:p>
    <w:p w14:paraId="1A7D1768" w14:textId="77777777" w:rsidR="00E23179" w:rsidRPr="00D33399" w:rsidRDefault="00E23179" w:rsidP="005144E2">
      <w:pPr>
        <w:widowControl/>
        <w:jc w:val="both"/>
        <w:rPr>
          <w:rFonts w:ascii="Arial" w:hAnsi="Arial" w:cs="Arial"/>
          <w:sz w:val="16"/>
          <w:szCs w:val="16"/>
        </w:rPr>
      </w:pPr>
    </w:p>
    <w:p w14:paraId="4BF7A4DB" w14:textId="4123E983" w:rsidR="00E23179" w:rsidRPr="00D33399" w:rsidRDefault="00340303" w:rsidP="005144E2">
      <w:pPr>
        <w:widowControl/>
        <w:jc w:val="both"/>
        <w:rPr>
          <w:rFonts w:ascii="Arial" w:hAnsi="Arial" w:cs="Arial"/>
          <w:sz w:val="16"/>
          <w:szCs w:val="16"/>
        </w:rPr>
      </w:pPr>
      <w:r w:rsidRPr="00D33399">
        <w:rPr>
          <w:noProof/>
        </w:rPr>
        <w:drawing>
          <wp:inline distT="0" distB="0" distL="0" distR="0" wp14:anchorId="13E3614C" wp14:editId="6D8C79A7">
            <wp:extent cx="5953125" cy="1428750"/>
            <wp:effectExtent l="0" t="0" r="9525"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53125" cy="1428750"/>
                    </a:xfrm>
                    <a:prstGeom prst="rect">
                      <a:avLst/>
                    </a:prstGeom>
                    <a:noFill/>
                    <a:ln>
                      <a:noFill/>
                    </a:ln>
                  </pic:spPr>
                </pic:pic>
              </a:graphicData>
            </a:graphic>
          </wp:inline>
        </w:drawing>
      </w:r>
    </w:p>
    <w:p w14:paraId="767C489C" w14:textId="77777777" w:rsidR="00996CFF" w:rsidRPr="00D33399" w:rsidRDefault="00996CFF" w:rsidP="005144E2">
      <w:pPr>
        <w:widowControl/>
        <w:jc w:val="both"/>
        <w:rPr>
          <w:rFonts w:ascii="Arial" w:hAnsi="Arial" w:cs="Arial"/>
          <w:sz w:val="16"/>
          <w:szCs w:val="16"/>
        </w:rPr>
      </w:pPr>
    </w:p>
    <w:p w14:paraId="18FA8DD2" w14:textId="77777777" w:rsidR="000A2073" w:rsidRPr="00D33399" w:rsidRDefault="00E23179" w:rsidP="005144E2">
      <w:pPr>
        <w:widowControl/>
        <w:jc w:val="both"/>
        <w:rPr>
          <w:rFonts w:ascii="Arial" w:hAnsi="Arial" w:cs="Arial"/>
        </w:rPr>
      </w:pPr>
      <w:r w:rsidRPr="00D33399">
        <w:rPr>
          <w:noProof/>
        </w:rPr>
        <w:drawing>
          <wp:inline distT="0" distB="0" distL="0" distR="0" wp14:anchorId="1697B2DC" wp14:editId="54B56DE6">
            <wp:extent cx="5953125" cy="1428750"/>
            <wp:effectExtent l="0" t="0" r="9525" b="0"/>
            <wp:docPr id="101" name="Image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53125" cy="1428750"/>
                    </a:xfrm>
                    <a:prstGeom prst="rect">
                      <a:avLst/>
                    </a:prstGeom>
                    <a:noFill/>
                    <a:ln>
                      <a:noFill/>
                    </a:ln>
                  </pic:spPr>
                </pic:pic>
              </a:graphicData>
            </a:graphic>
          </wp:inline>
        </w:drawing>
      </w:r>
    </w:p>
    <w:p w14:paraId="5F1F8296" w14:textId="77777777" w:rsidR="000A2073" w:rsidRPr="00D33399" w:rsidRDefault="000A2073" w:rsidP="005144E2">
      <w:pPr>
        <w:widowControl/>
        <w:jc w:val="both"/>
        <w:rPr>
          <w:rFonts w:ascii="Arial" w:hAnsi="Arial" w:cs="Arial"/>
        </w:rPr>
      </w:pPr>
    </w:p>
    <w:p w14:paraId="71A3EDCD" w14:textId="2D3EC649" w:rsidR="00CF5751" w:rsidRDefault="00CF5751" w:rsidP="00CF5751">
      <w:pPr>
        <w:jc w:val="both"/>
        <w:rPr>
          <w:rFonts w:ascii="Arial" w:hAnsi="Arial" w:cs="Arial"/>
        </w:rPr>
      </w:pPr>
      <w:r w:rsidRPr="00D51D13">
        <w:rPr>
          <w:rFonts w:ascii="Arial" w:hAnsi="Arial" w:cs="Arial"/>
        </w:rPr>
        <w:t>No terceiro trimestre de 2020,</w:t>
      </w:r>
      <w:r w:rsidR="00177E22" w:rsidRPr="00D51D13">
        <w:rPr>
          <w:rFonts w:ascii="Arial" w:hAnsi="Arial" w:cs="Arial"/>
        </w:rPr>
        <w:t xml:space="preserve"> houve o pagamento de diversas faturas de fornecedores do empreendimento Angra 3 com a utilização de recursos provenientes da primeira parcela do Adiantamento para Futuro Aumento de Capital – AFAC, no âmbito do Contrato nº ECF 3387/20, liberada em 26 de Agosto de 2020 (vide nota 25).</w:t>
      </w:r>
      <w:r>
        <w:rPr>
          <w:rFonts w:ascii="Arial" w:hAnsi="Arial" w:cs="Arial"/>
        </w:rPr>
        <w:t xml:space="preserve"> </w:t>
      </w:r>
    </w:p>
    <w:p w14:paraId="3A296B86" w14:textId="77777777" w:rsidR="00CF5751" w:rsidRDefault="00CF5751" w:rsidP="00CF5751">
      <w:pPr>
        <w:rPr>
          <w:rFonts w:ascii="Arial" w:hAnsi="Arial" w:cs="Arial"/>
        </w:rPr>
      </w:pPr>
    </w:p>
    <w:p w14:paraId="130F4394" w14:textId="77777777" w:rsidR="007E759A" w:rsidRPr="00D33399" w:rsidRDefault="007E759A" w:rsidP="005144E2">
      <w:pPr>
        <w:widowControl/>
        <w:jc w:val="both"/>
        <w:rPr>
          <w:rFonts w:ascii="Arial" w:hAnsi="Arial" w:cs="Arial"/>
        </w:rPr>
      </w:pPr>
    </w:p>
    <w:p w14:paraId="5C804EF6" w14:textId="77777777" w:rsidR="0016041A" w:rsidRPr="00D33399" w:rsidRDefault="0016041A" w:rsidP="005144E2">
      <w:pPr>
        <w:widowControl/>
        <w:ind w:right="-28"/>
        <w:jc w:val="both"/>
        <w:rPr>
          <w:rFonts w:ascii="Arial" w:hAnsi="Arial" w:cs="Arial"/>
          <w:b/>
          <w:sz w:val="26"/>
          <w:szCs w:val="26"/>
        </w:rPr>
      </w:pPr>
      <w:r w:rsidRPr="00D33399">
        <w:rPr>
          <w:rFonts w:ascii="Arial" w:hAnsi="Arial" w:cs="Arial"/>
          <w:b/>
          <w:sz w:val="26"/>
          <w:szCs w:val="26"/>
        </w:rPr>
        <w:lastRenderedPageBreak/>
        <w:t>NOTA 17 – EMPRÉSTIMOS E FINANCIAMENTOS</w:t>
      </w:r>
    </w:p>
    <w:p w14:paraId="41621719" w14:textId="77777777" w:rsidR="00230059" w:rsidRPr="00D33399" w:rsidRDefault="00230059" w:rsidP="005144E2">
      <w:pPr>
        <w:widowControl/>
        <w:jc w:val="both"/>
        <w:rPr>
          <w:rFonts w:ascii="Arial" w:hAnsi="Arial" w:cs="Arial"/>
        </w:rPr>
      </w:pPr>
    </w:p>
    <w:p w14:paraId="6B1CEADA" w14:textId="77777777" w:rsidR="00996CFF" w:rsidRPr="00D33399" w:rsidRDefault="00996CFF" w:rsidP="005144E2">
      <w:pPr>
        <w:widowControl/>
        <w:jc w:val="both"/>
        <w:rPr>
          <w:rFonts w:ascii="Arial" w:hAnsi="Arial" w:cs="Arial"/>
        </w:rPr>
      </w:pPr>
    </w:p>
    <w:p w14:paraId="4F6AA60E" w14:textId="77777777" w:rsidR="0016041A" w:rsidRPr="00D33399" w:rsidRDefault="0016041A" w:rsidP="005144E2">
      <w:pPr>
        <w:widowControl/>
        <w:jc w:val="both"/>
        <w:rPr>
          <w:rFonts w:ascii="Arial" w:hAnsi="Arial" w:cs="Arial"/>
        </w:rPr>
      </w:pPr>
      <w:r w:rsidRPr="00D33399">
        <w:rPr>
          <w:rFonts w:ascii="Arial" w:hAnsi="Arial" w:cs="Arial"/>
        </w:rPr>
        <w:t>As principais informações a respeito dos empréstimos e financiamentos são:</w:t>
      </w:r>
    </w:p>
    <w:p w14:paraId="4971407A" w14:textId="77777777" w:rsidR="00CD2AB9" w:rsidRPr="00D33399" w:rsidRDefault="00CD2AB9" w:rsidP="005144E2">
      <w:pPr>
        <w:widowControl/>
        <w:tabs>
          <w:tab w:val="num" w:pos="360"/>
        </w:tabs>
        <w:jc w:val="both"/>
        <w:rPr>
          <w:rFonts w:ascii="Arial" w:hAnsi="Arial" w:cs="Arial"/>
          <w:b/>
          <w:sz w:val="16"/>
          <w:szCs w:val="16"/>
        </w:rPr>
      </w:pPr>
    </w:p>
    <w:p w14:paraId="18C3568C" w14:textId="77777777" w:rsidR="00996CFF" w:rsidRPr="00D33399" w:rsidRDefault="00996CFF" w:rsidP="005144E2">
      <w:pPr>
        <w:widowControl/>
        <w:tabs>
          <w:tab w:val="num" w:pos="360"/>
        </w:tabs>
        <w:jc w:val="both"/>
        <w:rPr>
          <w:rFonts w:ascii="Arial" w:hAnsi="Arial" w:cs="Arial"/>
          <w:b/>
        </w:rPr>
      </w:pPr>
    </w:p>
    <w:p w14:paraId="18DC049D" w14:textId="77777777" w:rsidR="0016041A" w:rsidRPr="00D33399" w:rsidRDefault="0016041A" w:rsidP="005144E2">
      <w:pPr>
        <w:widowControl/>
        <w:tabs>
          <w:tab w:val="num" w:pos="360"/>
        </w:tabs>
        <w:jc w:val="both"/>
        <w:rPr>
          <w:rFonts w:ascii="Arial" w:hAnsi="Arial" w:cs="Arial"/>
          <w:b/>
        </w:rPr>
      </w:pPr>
      <w:r w:rsidRPr="00D33399">
        <w:rPr>
          <w:rFonts w:ascii="Arial" w:hAnsi="Arial" w:cs="Arial"/>
          <w:b/>
        </w:rPr>
        <w:t>Aplicações nas Usinas Angra 1 e Angra 2</w:t>
      </w:r>
    </w:p>
    <w:p w14:paraId="4BA9C703" w14:textId="77777777" w:rsidR="0016041A" w:rsidRPr="00D33399" w:rsidRDefault="0016041A" w:rsidP="005144E2">
      <w:pPr>
        <w:widowControl/>
        <w:jc w:val="both"/>
        <w:rPr>
          <w:rFonts w:ascii="Arial" w:hAnsi="Arial" w:cs="Arial"/>
        </w:rPr>
      </w:pPr>
    </w:p>
    <w:p w14:paraId="4B449EF9" w14:textId="77777777" w:rsidR="0016041A" w:rsidRPr="00D33399" w:rsidRDefault="0016041A" w:rsidP="005144E2">
      <w:pPr>
        <w:widowControl/>
        <w:jc w:val="both"/>
        <w:rPr>
          <w:rFonts w:ascii="Arial" w:hAnsi="Arial" w:cs="Arial"/>
        </w:rPr>
      </w:pPr>
      <w:r w:rsidRPr="00D33399">
        <w:rPr>
          <w:rFonts w:ascii="Arial" w:hAnsi="Arial" w:cs="Arial"/>
        </w:rPr>
        <w:t xml:space="preserve">Trata-se de financiamentos captados com a Eletrobras para diversas etapas de melhoramentos da Usina Angra 1, para a troca dos geradores de vapor, a troca da tampa do vaso de pressão do reator e para o capital de giro da Companhia. </w:t>
      </w:r>
    </w:p>
    <w:p w14:paraId="22938AFA" w14:textId="77777777" w:rsidR="00CD2AB9" w:rsidRPr="00D33399" w:rsidRDefault="00CD2AB9" w:rsidP="005144E2">
      <w:pPr>
        <w:widowControl/>
        <w:jc w:val="both"/>
        <w:rPr>
          <w:rFonts w:ascii="Arial" w:hAnsi="Arial" w:cs="Arial"/>
        </w:rPr>
      </w:pPr>
    </w:p>
    <w:p w14:paraId="11476E77" w14:textId="77777777" w:rsidR="0016041A" w:rsidRPr="00D33399" w:rsidRDefault="0016041A" w:rsidP="005144E2">
      <w:pPr>
        <w:widowControl/>
        <w:jc w:val="both"/>
        <w:rPr>
          <w:rFonts w:ascii="Arial" w:hAnsi="Arial" w:cs="Arial"/>
        </w:rPr>
      </w:pPr>
      <w:r w:rsidRPr="00D33399">
        <w:rPr>
          <w:rFonts w:ascii="Arial" w:hAnsi="Arial" w:cs="Arial"/>
        </w:rPr>
        <w:t>Em garantia dos compromissos assumidos com a Eletrobras, a ELETRONUCLEAR vinculou su</w:t>
      </w:r>
      <w:r w:rsidR="00D7696F" w:rsidRPr="00D33399">
        <w:rPr>
          <w:rFonts w:ascii="Arial" w:hAnsi="Arial" w:cs="Arial"/>
        </w:rPr>
        <w:t>a receita própria, oriunda das U</w:t>
      </w:r>
      <w:r w:rsidRPr="00D33399">
        <w:rPr>
          <w:rFonts w:ascii="Arial" w:hAnsi="Arial" w:cs="Arial"/>
        </w:rPr>
        <w:t>sinas Angra 1 e Angra 2, aos débitos previstos nos financiamentos. Tal vinculação está suportada por procurações outorgadas por instrumento público para que, em caso de inadimplência, possa receber diretamente os valores em atraso.</w:t>
      </w:r>
    </w:p>
    <w:p w14:paraId="7C65964E" w14:textId="77777777" w:rsidR="0016041A" w:rsidRPr="00D33399" w:rsidRDefault="0016041A" w:rsidP="005144E2">
      <w:pPr>
        <w:widowControl/>
        <w:jc w:val="both"/>
        <w:rPr>
          <w:rFonts w:ascii="Arial" w:hAnsi="Arial" w:cs="Arial"/>
        </w:rPr>
      </w:pPr>
    </w:p>
    <w:p w14:paraId="60442EB0" w14:textId="77777777" w:rsidR="00B2589E" w:rsidRPr="00D33399" w:rsidRDefault="00B2589E" w:rsidP="005144E2">
      <w:pPr>
        <w:widowControl/>
        <w:jc w:val="both"/>
        <w:rPr>
          <w:rFonts w:ascii="Arial" w:hAnsi="Arial" w:cs="Arial"/>
          <w:sz w:val="16"/>
          <w:szCs w:val="16"/>
        </w:rPr>
      </w:pPr>
    </w:p>
    <w:p w14:paraId="32BFF59F" w14:textId="77777777" w:rsidR="0016041A" w:rsidRPr="00D33399" w:rsidRDefault="0016041A" w:rsidP="005144E2">
      <w:pPr>
        <w:widowControl/>
        <w:tabs>
          <w:tab w:val="num" w:pos="360"/>
        </w:tabs>
        <w:jc w:val="both"/>
        <w:rPr>
          <w:rFonts w:ascii="Arial" w:hAnsi="Arial" w:cs="Arial"/>
          <w:b/>
        </w:rPr>
      </w:pPr>
      <w:r w:rsidRPr="00D33399">
        <w:rPr>
          <w:rFonts w:ascii="Arial" w:hAnsi="Arial" w:cs="Arial"/>
          <w:b/>
        </w:rPr>
        <w:t>Aplicações na Usina Angra 3</w:t>
      </w:r>
    </w:p>
    <w:p w14:paraId="093EACE2" w14:textId="77777777" w:rsidR="0016041A" w:rsidRPr="00D33399" w:rsidRDefault="0016041A" w:rsidP="005144E2">
      <w:pPr>
        <w:widowControl/>
        <w:tabs>
          <w:tab w:val="num" w:pos="315"/>
        </w:tabs>
        <w:jc w:val="both"/>
        <w:rPr>
          <w:rFonts w:ascii="Arial" w:hAnsi="Arial" w:cs="Arial"/>
        </w:rPr>
      </w:pPr>
    </w:p>
    <w:p w14:paraId="51E1BFF2" w14:textId="440A5967" w:rsidR="0016041A" w:rsidRPr="00D33399" w:rsidRDefault="00F80223" w:rsidP="00F80223">
      <w:pPr>
        <w:widowControl/>
        <w:jc w:val="both"/>
        <w:rPr>
          <w:rFonts w:ascii="Arial" w:hAnsi="Arial" w:cs="Arial"/>
        </w:rPr>
      </w:pPr>
      <w:r w:rsidRPr="00D33399">
        <w:rPr>
          <w:rFonts w:ascii="Arial" w:hAnsi="Arial" w:cs="Arial"/>
        </w:rPr>
        <w:t xml:space="preserve">Trata-se de financiamentos captados com a Eletrobras </w:t>
      </w:r>
      <w:r w:rsidR="0016041A" w:rsidRPr="00D33399">
        <w:rPr>
          <w:rFonts w:ascii="Arial" w:hAnsi="Arial" w:cs="Arial"/>
        </w:rPr>
        <w:t>com abertura de recursos da R</w:t>
      </w:r>
      <w:r w:rsidRPr="00D33399">
        <w:rPr>
          <w:rFonts w:ascii="Arial" w:hAnsi="Arial" w:cs="Arial"/>
        </w:rPr>
        <w:t xml:space="preserve">eserva Global de Reversão – RGR; com </w:t>
      </w:r>
      <w:r w:rsidR="0016041A" w:rsidRPr="00D33399">
        <w:rPr>
          <w:rFonts w:ascii="Arial" w:hAnsi="Arial" w:cs="Arial"/>
        </w:rPr>
        <w:t>o Banco Nacional de Desenvolvimento Econômico e Social – BNDES</w:t>
      </w:r>
      <w:r w:rsidRPr="00D33399">
        <w:rPr>
          <w:rFonts w:ascii="Arial" w:hAnsi="Arial" w:cs="Arial"/>
        </w:rPr>
        <w:t xml:space="preserve"> e com a Caixa Econômica Federal – CEF</w:t>
      </w:r>
      <w:r w:rsidR="0084417B" w:rsidRPr="00D33399">
        <w:rPr>
          <w:rFonts w:ascii="Arial" w:hAnsi="Arial" w:cs="Arial"/>
        </w:rPr>
        <w:t xml:space="preserve"> destinados à implantação da Usina Angra 3.</w:t>
      </w:r>
    </w:p>
    <w:p w14:paraId="5C8D76F0" w14:textId="77777777" w:rsidR="00EF2834" w:rsidRPr="00D33399" w:rsidRDefault="00EF2834" w:rsidP="005144E2">
      <w:pPr>
        <w:widowControl/>
        <w:jc w:val="both"/>
        <w:rPr>
          <w:rFonts w:ascii="Arial" w:hAnsi="Arial" w:cs="Arial"/>
        </w:rPr>
      </w:pPr>
    </w:p>
    <w:p w14:paraId="3A18AEBA" w14:textId="77777777" w:rsidR="0016041A" w:rsidRPr="00D33399" w:rsidRDefault="0016041A" w:rsidP="005144E2">
      <w:pPr>
        <w:widowControl/>
        <w:jc w:val="both"/>
        <w:rPr>
          <w:rFonts w:ascii="Arial" w:hAnsi="Arial" w:cs="Arial"/>
        </w:rPr>
      </w:pPr>
      <w:r w:rsidRPr="00D33399">
        <w:rPr>
          <w:rFonts w:ascii="Arial" w:hAnsi="Arial" w:cs="Arial"/>
        </w:rPr>
        <w:t xml:space="preserve">Em garantia dos compromissos assumidos com o contrato do BNDES citado, a ELETRONUCLEAR constituiu uma Cessão Fiduciária em favor do BNDES, em caráter irrevogável e irretratável, até o final da liquidação de todas as obrigações deste contrato, decorrentes da venda de energia produzida pela Usina Angra 3.   </w:t>
      </w:r>
    </w:p>
    <w:p w14:paraId="5FF3F1BB" w14:textId="77777777" w:rsidR="0016041A" w:rsidRPr="00D33399" w:rsidRDefault="0016041A" w:rsidP="005144E2">
      <w:pPr>
        <w:widowControl/>
        <w:jc w:val="both"/>
        <w:rPr>
          <w:rFonts w:ascii="Arial" w:hAnsi="Arial" w:cs="Arial"/>
        </w:rPr>
      </w:pPr>
    </w:p>
    <w:p w14:paraId="2C8D7CCF" w14:textId="223A8243" w:rsidR="0069006A" w:rsidRPr="00D33399" w:rsidRDefault="0069006A" w:rsidP="005144E2">
      <w:pPr>
        <w:widowControl/>
        <w:jc w:val="both"/>
        <w:rPr>
          <w:rFonts w:ascii="Arial" w:hAnsi="Arial" w:cs="Arial"/>
        </w:rPr>
      </w:pPr>
      <w:r w:rsidRPr="00D33399">
        <w:rPr>
          <w:rFonts w:ascii="Arial" w:hAnsi="Arial" w:cs="Arial"/>
        </w:rPr>
        <w:t xml:space="preserve">Originalmente, o Contrato nº 10.2.2032.1 previa o início das amortizações do principal da dívida em </w:t>
      </w:r>
      <w:r w:rsidR="00996CFF" w:rsidRPr="00D33399">
        <w:rPr>
          <w:rFonts w:ascii="Arial" w:hAnsi="Arial" w:cs="Arial"/>
        </w:rPr>
        <w:t xml:space="preserve">30 de </w:t>
      </w:r>
      <w:r w:rsidR="00AC7E37" w:rsidRPr="00D33399">
        <w:rPr>
          <w:rFonts w:ascii="Arial" w:hAnsi="Arial" w:cs="Arial"/>
        </w:rPr>
        <w:t>j</w:t>
      </w:r>
      <w:r w:rsidR="00996CFF" w:rsidRPr="00D33399">
        <w:rPr>
          <w:rFonts w:ascii="Arial" w:hAnsi="Arial" w:cs="Arial"/>
        </w:rPr>
        <w:t xml:space="preserve">ulho de </w:t>
      </w:r>
      <w:r w:rsidRPr="00D33399">
        <w:rPr>
          <w:rFonts w:ascii="Arial" w:hAnsi="Arial" w:cs="Arial"/>
        </w:rPr>
        <w:t>2016. Em virtude de renegociações realizadas entre BNDES e ELETRONUCLEAR, foram realizados dois aditamentos contratuais que prorrogaram a data de início de amortização. Por conta destas renegociações, a ELETRONUCLEAR foi obrigada a pagar uma Comissão de Renegociação por cada uma destes aditamentos, no v</w:t>
      </w:r>
      <w:r w:rsidR="00FE79CB" w:rsidRPr="00D33399">
        <w:rPr>
          <w:rFonts w:ascii="Arial" w:hAnsi="Arial" w:cs="Arial"/>
        </w:rPr>
        <w:t xml:space="preserve">alor de 0,5% do saldo devedor. </w:t>
      </w:r>
      <w:r w:rsidRPr="00D33399">
        <w:rPr>
          <w:rFonts w:ascii="Arial" w:hAnsi="Arial" w:cs="Arial"/>
        </w:rPr>
        <w:t xml:space="preserve">O montante em débito, acrescido de IOF </w:t>
      </w:r>
      <w:r w:rsidR="003A5470" w:rsidRPr="00D33399">
        <w:rPr>
          <w:rFonts w:ascii="Arial" w:hAnsi="Arial" w:cs="Arial"/>
        </w:rPr>
        <w:t>f</w:t>
      </w:r>
      <w:r w:rsidRPr="00D33399">
        <w:rPr>
          <w:rFonts w:ascii="Arial" w:hAnsi="Arial" w:cs="Arial"/>
        </w:rPr>
        <w:t>oi incorporado ao saldo devedor do contrato original, na forma dos Subcréditos C e D, com prazo de pagamento de 54 parcelas, após um prazo de carência de 6 meses. O Subcrédito C começou a ser amortizado em 15</w:t>
      </w:r>
      <w:r w:rsidR="003A5470" w:rsidRPr="00D33399">
        <w:rPr>
          <w:rFonts w:ascii="Arial" w:hAnsi="Arial" w:cs="Arial"/>
        </w:rPr>
        <w:t xml:space="preserve"> de fevereiro de 2017</w:t>
      </w:r>
      <w:r w:rsidRPr="00D33399">
        <w:rPr>
          <w:rFonts w:ascii="Arial" w:hAnsi="Arial" w:cs="Arial"/>
        </w:rPr>
        <w:t xml:space="preserve">, enquanto </w:t>
      </w:r>
      <w:r w:rsidR="001D1096" w:rsidRPr="00D33399">
        <w:rPr>
          <w:rFonts w:ascii="Arial" w:hAnsi="Arial" w:cs="Arial"/>
        </w:rPr>
        <w:t>o</w:t>
      </w:r>
      <w:r w:rsidR="00787860" w:rsidRPr="00D33399">
        <w:rPr>
          <w:rFonts w:ascii="Arial" w:hAnsi="Arial" w:cs="Arial"/>
        </w:rPr>
        <w:t xml:space="preserve"> </w:t>
      </w:r>
      <w:r w:rsidRPr="00D33399">
        <w:rPr>
          <w:rFonts w:ascii="Arial" w:hAnsi="Arial" w:cs="Arial"/>
        </w:rPr>
        <w:t>Subcrédito D teve sua amortização iniciada em 16</w:t>
      </w:r>
      <w:r w:rsidR="003A5470" w:rsidRPr="00D33399">
        <w:rPr>
          <w:rFonts w:ascii="Arial" w:hAnsi="Arial" w:cs="Arial"/>
        </w:rPr>
        <w:t xml:space="preserve"> de novembro de </w:t>
      </w:r>
      <w:r w:rsidRPr="00D33399">
        <w:rPr>
          <w:rFonts w:ascii="Arial" w:hAnsi="Arial" w:cs="Arial"/>
        </w:rPr>
        <w:t>2017.</w:t>
      </w:r>
    </w:p>
    <w:p w14:paraId="4AF9DDED" w14:textId="77777777" w:rsidR="00EE1109" w:rsidRPr="00D33399" w:rsidRDefault="00EE1109" w:rsidP="005144E2">
      <w:pPr>
        <w:widowControl/>
        <w:jc w:val="both"/>
        <w:rPr>
          <w:rFonts w:ascii="Arial" w:hAnsi="Arial" w:cs="Arial"/>
        </w:rPr>
      </w:pPr>
    </w:p>
    <w:p w14:paraId="6EC3A6EF" w14:textId="77777777" w:rsidR="0069006A" w:rsidRPr="00D33399" w:rsidRDefault="0069006A" w:rsidP="005144E2">
      <w:pPr>
        <w:jc w:val="both"/>
        <w:rPr>
          <w:rFonts w:ascii="Arial" w:hAnsi="Arial" w:cs="Arial"/>
        </w:rPr>
      </w:pPr>
      <w:r w:rsidRPr="00D33399">
        <w:rPr>
          <w:rFonts w:ascii="Arial" w:hAnsi="Arial" w:cs="Arial"/>
        </w:rPr>
        <w:t>Em 1</w:t>
      </w:r>
      <w:r w:rsidR="003A5470" w:rsidRPr="00D33399">
        <w:rPr>
          <w:rFonts w:ascii="Arial" w:hAnsi="Arial" w:cs="Arial"/>
        </w:rPr>
        <w:t>6 de outubro de 2017</w:t>
      </w:r>
      <w:r w:rsidRPr="00D33399">
        <w:rPr>
          <w:rFonts w:ascii="Arial" w:hAnsi="Arial" w:cs="Arial"/>
        </w:rPr>
        <w:t xml:space="preserve"> a ELETRONUCLEAR iniciou a amortização do principal e passou a realizar o pagamento de 100% dos encargos dos Subcréditos A e B relativos ao </w:t>
      </w:r>
      <w:r w:rsidRPr="00D33399">
        <w:rPr>
          <w:rFonts w:ascii="Arial" w:hAnsi="Arial" w:cs="Arial"/>
        </w:rPr>
        <w:lastRenderedPageBreak/>
        <w:t xml:space="preserve">contrato nº 10.2.2032.1, celebrado com o BNDES para investimentos no empreendimento de Angra 3. </w:t>
      </w:r>
    </w:p>
    <w:p w14:paraId="62E816DC" w14:textId="77777777" w:rsidR="0069006A" w:rsidRPr="00D33399" w:rsidRDefault="0069006A" w:rsidP="005144E2">
      <w:pPr>
        <w:jc w:val="both"/>
        <w:rPr>
          <w:rFonts w:ascii="Arial" w:hAnsi="Arial" w:cs="Arial"/>
        </w:rPr>
      </w:pPr>
    </w:p>
    <w:p w14:paraId="78C6FC90" w14:textId="77777777" w:rsidR="0069006A" w:rsidRPr="00D33399" w:rsidRDefault="0069006A" w:rsidP="005144E2">
      <w:pPr>
        <w:widowControl/>
        <w:jc w:val="both"/>
        <w:rPr>
          <w:rFonts w:ascii="Arial" w:hAnsi="Arial" w:cs="Arial"/>
        </w:rPr>
      </w:pPr>
      <w:r w:rsidRPr="00D33399">
        <w:rPr>
          <w:rFonts w:ascii="Arial" w:hAnsi="Arial" w:cs="Arial"/>
        </w:rPr>
        <w:t>Em 06</w:t>
      </w:r>
      <w:r w:rsidR="003A5470" w:rsidRPr="00D33399">
        <w:rPr>
          <w:rFonts w:ascii="Arial" w:hAnsi="Arial" w:cs="Arial"/>
        </w:rPr>
        <w:t xml:space="preserve"> de julho de </w:t>
      </w:r>
      <w:r w:rsidRPr="00D33399">
        <w:rPr>
          <w:rFonts w:ascii="Arial" w:hAnsi="Arial" w:cs="Arial"/>
        </w:rPr>
        <w:t>2018, a ELETRONUCLEAR iniciou a amortização do Contrato nº 0410.351-27/2013 com o pagamento da primeira prestação, no valor de R$ 24.741.</w:t>
      </w:r>
    </w:p>
    <w:p w14:paraId="04D42158" w14:textId="77777777" w:rsidR="0069006A" w:rsidRPr="00D33399" w:rsidRDefault="0069006A" w:rsidP="005144E2">
      <w:pPr>
        <w:widowControl/>
        <w:jc w:val="both"/>
        <w:rPr>
          <w:rFonts w:ascii="Arial" w:hAnsi="Arial" w:cs="Arial"/>
        </w:rPr>
      </w:pPr>
    </w:p>
    <w:p w14:paraId="64FD8DEA" w14:textId="77777777" w:rsidR="00996CFF" w:rsidRPr="00D33399" w:rsidRDefault="00996CFF" w:rsidP="005144E2">
      <w:pPr>
        <w:widowControl/>
        <w:jc w:val="both"/>
        <w:rPr>
          <w:rFonts w:ascii="Arial" w:hAnsi="Arial" w:cs="Arial"/>
          <w:sz w:val="16"/>
          <w:szCs w:val="16"/>
        </w:rPr>
      </w:pPr>
    </w:p>
    <w:p w14:paraId="6E3A3CB8" w14:textId="77777777" w:rsidR="0016041A" w:rsidRPr="00D33399" w:rsidRDefault="0016041A" w:rsidP="005144E2">
      <w:pPr>
        <w:widowControl/>
        <w:tabs>
          <w:tab w:val="num" w:pos="360"/>
        </w:tabs>
        <w:jc w:val="both"/>
        <w:rPr>
          <w:rFonts w:ascii="Arial" w:hAnsi="Arial" w:cs="Arial"/>
          <w:b/>
        </w:rPr>
      </w:pPr>
      <w:r w:rsidRPr="00D33399">
        <w:rPr>
          <w:rFonts w:ascii="Arial" w:hAnsi="Arial" w:cs="Arial"/>
          <w:b/>
        </w:rPr>
        <w:t xml:space="preserve">Outras Aplicações </w:t>
      </w:r>
    </w:p>
    <w:p w14:paraId="4B386291" w14:textId="77777777" w:rsidR="0016041A" w:rsidRPr="00D33399" w:rsidRDefault="0016041A" w:rsidP="005144E2">
      <w:pPr>
        <w:widowControl/>
        <w:tabs>
          <w:tab w:val="num" w:pos="360"/>
        </w:tabs>
        <w:jc w:val="both"/>
        <w:rPr>
          <w:rFonts w:ascii="Arial" w:hAnsi="Arial" w:cs="Arial"/>
        </w:rPr>
      </w:pPr>
    </w:p>
    <w:p w14:paraId="4D2A3B1A" w14:textId="77777777" w:rsidR="0016041A" w:rsidRPr="00D33399" w:rsidRDefault="0016041A" w:rsidP="005144E2">
      <w:pPr>
        <w:jc w:val="both"/>
        <w:rPr>
          <w:rFonts w:ascii="Arial" w:hAnsi="Arial" w:cs="Arial"/>
        </w:rPr>
      </w:pPr>
      <w:r w:rsidRPr="00D33399">
        <w:rPr>
          <w:rFonts w:ascii="Arial" w:hAnsi="Arial" w:cs="Arial"/>
        </w:rPr>
        <w:t>Em 28</w:t>
      </w:r>
      <w:r w:rsidR="00A05C63" w:rsidRPr="00D33399">
        <w:rPr>
          <w:rFonts w:ascii="Arial" w:hAnsi="Arial" w:cs="Arial"/>
        </w:rPr>
        <w:t xml:space="preserve"> de janeiro de </w:t>
      </w:r>
      <w:r w:rsidRPr="00D33399">
        <w:rPr>
          <w:rFonts w:ascii="Arial" w:hAnsi="Arial" w:cs="Arial"/>
        </w:rPr>
        <w:t>2019, a Eletrobras aprovou, por meio da Resolução nº RES-048/2019 de sua Diretoria Executiva, ratificada pelo seu Conselho de Administração por meio da Deliberação nº DEL-026/2019 em 22</w:t>
      </w:r>
      <w:r w:rsidR="00555CDF" w:rsidRPr="00D33399">
        <w:rPr>
          <w:rFonts w:ascii="Arial" w:hAnsi="Arial" w:cs="Arial"/>
        </w:rPr>
        <w:t xml:space="preserve"> de fevereiro de </w:t>
      </w:r>
      <w:r w:rsidRPr="00D33399">
        <w:rPr>
          <w:rFonts w:ascii="Arial" w:hAnsi="Arial" w:cs="Arial"/>
        </w:rPr>
        <w:t>2019, que delegou poderes à Diretoria Executiva da Eletrobras, condicionada à avaliação do fluxo de caixa da ELETRONUCLEAR, de nova linha de financiamento no valor de R$ 164</w:t>
      </w:r>
      <w:r w:rsidR="002F72D5" w:rsidRPr="00D33399">
        <w:rPr>
          <w:rFonts w:ascii="Arial" w:hAnsi="Arial" w:cs="Arial"/>
        </w:rPr>
        <w:t>.000</w:t>
      </w:r>
      <w:r w:rsidR="00D453D8" w:rsidRPr="00D33399">
        <w:rPr>
          <w:rFonts w:ascii="Arial" w:hAnsi="Arial" w:cs="Arial"/>
        </w:rPr>
        <w:t>,</w:t>
      </w:r>
      <w:r w:rsidRPr="00D33399">
        <w:rPr>
          <w:rFonts w:ascii="Arial" w:hAnsi="Arial" w:cs="Arial"/>
        </w:rPr>
        <w:t xml:space="preserve"> em valores líquidos de IOF, nas mesmas condições do Contrato nº ECF-3370/18. </w:t>
      </w:r>
    </w:p>
    <w:p w14:paraId="682A39E5" w14:textId="77777777" w:rsidR="0016041A" w:rsidRPr="00D33399" w:rsidRDefault="0016041A" w:rsidP="005144E2">
      <w:pPr>
        <w:jc w:val="both"/>
        <w:rPr>
          <w:rFonts w:ascii="Arial" w:hAnsi="Arial" w:cs="Arial"/>
        </w:rPr>
      </w:pPr>
    </w:p>
    <w:p w14:paraId="36FC0426" w14:textId="77777777" w:rsidR="0016041A" w:rsidRPr="00D33399" w:rsidRDefault="0016041A" w:rsidP="005144E2">
      <w:pPr>
        <w:jc w:val="both"/>
        <w:rPr>
          <w:rFonts w:ascii="Arial" w:hAnsi="Arial" w:cs="Arial"/>
        </w:rPr>
      </w:pPr>
      <w:r w:rsidRPr="00D33399">
        <w:rPr>
          <w:rFonts w:ascii="Arial" w:hAnsi="Arial" w:cs="Arial"/>
        </w:rPr>
        <w:t>Em 29</w:t>
      </w:r>
      <w:r w:rsidR="00A05C63" w:rsidRPr="00D33399">
        <w:rPr>
          <w:rFonts w:ascii="Arial" w:hAnsi="Arial" w:cs="Arial"/>
        </w:rPr>
        <w:t xml:space="preserve"> de abril de 20</w:t>
      </w:r>
      <w:r w:rsidRPr="00D33399">
        <w:rPr>
          <w:rFonts w:ascii="Arial" w:hAnsi="Arial" w:cs="Arial"/>
        </w:rPr>
        <w:t>19, a Diretoria Executiva da Eletrobras, por meio da Resolução nº RES-061/2019, aprovou a efetiva assinatura do contrato de financiamento no valor bruto de R$ 164</w:t>
      </w:r>
      <w:r w:rsidR="002F72D5" w:rsidRPr="00D33399">
        <w:rPr>
          <w:rFonts w:ascii="Arial" w:hAnsi="Arial" w:cs="Arial"/>
        </w:rPr>
        <w:t>.000</w:t>
      </w:r>
      <w:r w:rsidRPr="00D33399">
        <w:rPr>
          <w:rFonts w:ascii="Arial" w:hAnsi="Arial" w:cs="Arial"/>
        </w:rPr>
        <w:t xml:space="preserve">, em valores líquidos de IOF, sob o Contrato de Financiamento nº ECF-3374/19. </w:t>
      </w:r>
    </w:p>
    <w:p w14:paraId="7D37E63D" w14:textId="77777777" w:rsidR="0016041A" w:rsidRPr="00D33399" w:rsidRDefault="0016041A" w:rsidP="005144E2">
      <w:pPr>
        <w:jc w:val="both"/>
        <w:rPr>
          <w:rFonts w:ascii="Arial" w:hAnsi="Arial" w:cs="Arial"/>
        </w:rPr>
      </w:pPr>
    </w:p>
    <w:p w14:paraId="6488BA74" w14:textId="77777777" w:rsidR="0016041A" w:rsidRPr="00D33399" w:rsidRDefault="0016041A" w:rsidP="005144E2">
      <w:pPr>
        <w:widowControl/>
        <w:tabs>
          <w:tab w:val="num" w:pos="360"/>
        </w:tabs>
        <w:jc w:val="both"/>
        <w:rPr>
          <w:rFonts w:ascii="Arial" w:hAnsi="Arial" w:cs="Arial"/>
        </w:rPr>
      </w:pPr>
      <w:r w:rsidRPr="00D33399">
        <w:rPr>
          <w:rFonts w:ascii="Arial" w:hAnsi="Arial" w:cs="Arial"/>
        </w:rPr>
        <w:t>Em 08</w:t>
      </w:r>
      <w:r w:rsidR="00A05C63" w:rsidRPr="00D33399">
        <w:rPr>
          <w:rFonts w:ascii="Arial" w:hAnsi="Arial" w:cs="Arial"/>
        </w:rPr>
        <w:t xml:space="preserve"> de maio de </w:t>
      </w:r>
      <w:r w:rsidRPr="00D33399">
        <w:rPr>
          <w:rFonts w:ascii="Arial" w:hAnsi="Arial" w:cs="Arial"/>
        </w:rPr>
        <w:t>2019, houve a liberação da primeira parcela do contrato nº ECF-3374/19, no valor de R$ 101</w:t>
      </w:r>
      <w:r w:rsidR="002F72D5" w:rsidRPr="00D33399">
        <w:rPr>
          <w:rFonts w:ascii="Arial" w:hAnsi="Arial" w:cs="Arial"/>
        </w:rPr>
        <w:t>.916</w:t>
      </w:r>
      <w:r w:rsidRPr="00D33399">
        <w:rPr>
          <w:rFonts w:ascii="Arial" w:hAnsi="Arial" w:cs="Arial"/>
        </w:rPr>
        <w:t>, que em valores líquidos de IOF</w:t>
      </w:r>
      <w:r w:rsidR="00192FDF" w:rsidRPr="00D33399">
        <w:rPr>
          <w:rFonts w:ascii="Arial" w:hAnsi="Arial" w:cs="Arial"/>
        </w:rPr>
        <w:t>,</w:t>
      </w:r>
      <w:r w:rsidRPr="00D33399">
        <w:rPr>
          <w:rFonts w:ascii="Arial" w:hAnsi="Arial" w:cs="Arial"/>
        </w:rPr>
        <w:t xml:space="preserve"> totalizou R$ 100</w:t>
      </w:r>
      <w:r w:rsidR="002F72D5" w:rsidRPr="00D33399">
        <w:rPr>
          <w:rFonts w:ascii="Arial" w:hAnsi="Arial" w:cs="Arial"/>
        </w:rPr>
        <w:t>.000</w:t>
      </w:r>
      <w:r w:rsidRPr="00D33399">
        <w:rPr>
          <w:rFonts w:ascii="Arial" w:hAnsi="Arial" w:cs="Arial"/>
        </w:rPr>
        <w:t xml:space="preserve">, mediante solicitação de desembolso enviada pela ELETRONUCLEAR. </w:t>
      </w:r>
    </w:p>
    <w:p w14:paraId="6C65DD90" w14:textId="77777777" w:rsidR="0016041A" w:rsidRPr="00D33399" w:rsidRDefault="0016041A" w:rsidP="005144E2">
      <w:pPr>
        <w:jc w:val="both"/>
        <w:rPr>
          <w:rFonts w:ascii="Arial" w:hAnsi="Arial" w:cs="Arial"/>
        </w:rPr>
      </w:pPr>
    </w:p>
    <w:p w14:paraId="1AF1CCF5" w14:textId="77777777" w:rsidR="0016041A" w:rsidRPr="00D33399" w:rsidRDefault="0016041A" w:rsidP="005144E2">
      <w:pPr>
        <w:widowControl/>
        <w:tabs>
          <w:tab w:val="num" w:pos="360"/>
        </w:tabs>
        <w:jc w:val="both"/>
        <w:rPr>
          <w:rFonts w:ascii="Arial" w:hAnsi="Arial" w:cs="Arial"/>
        </w:rPr>
      </w:pPr>
      <w:r w:rsidRPr="00D33399">
        <w:rPr>
          <w:rFonts w:ascii="Arial" w:hAnsi="Arial" w:cs="Arial"/>
        </w:rPr>
        <w:t>Em 28</w:t>
      </w:r>
      <w:r w:rsidR="00A05C63" w:rsidRPr="00D33399">
        <w:rPr>
          <w:rFonts w:ascii="Arial" w:hAnsi="Arial" w:cs="Arial"/>
        </w:rPr>
        <w:t xml:space="preserve"> de junho de </w:t>
      </w:r>
      <w:r w:rsidRPr="00D33399">
        <w:rPr>
          <w:rFonts w:ascii="Arial" w:hAnsi="Arial" w:cs="Arial"/>
        </w:rPr>
        <w:t>201</w:t>
      </w:r>
      <w:r w:rsidR="002328D0" w:rsidRPr="00D33399">
        <w:rPr>
          <w:rFonts w:ascii="Arial" w:hAnsi="Arial" w:cs="Arial"/>
        </w:rPr>
        <w:t>9</w:t>
      </w:r>
      <w:r w:rsidRPr="00D33399">
        <w:rPr>
          <w:rFonts w:ascii="Arial" w:hAnsi="Arial" w:cs="Arial"/>
        </w:rPr>
        <w:t>, houve a liberação da segunda e última parcela do contrato nº ECF-3374/19, no valor de R$ 65</w:t>
      </w:r>
      <w:r w:rsidR="008C2FBE" w:rsidRPr="00D33399">
        <w:rPr>
          <w:rFonts w:ascii="Arial" w:hAnsi="Arial" w:cs="Arial"/>
        </w:rPr>
        <w:t>.266</w:t>
      </w:r>
      <w:r w:rsidRPr="00D33399">
        <w:rPr>
          <w:rFonts w:ascii="Arial" w:hAnsi="Arial" w:cs="Arial"/>
        </w:rPr>
        <w:t>, que em valores líquidos de IOF</w:t>
      </w:r>
      <w:r w:rsidR="00192FDF" w:rsidRPr="00D33399">
        <w:rPr>
          <w:rFonts w:ascii="Arial" w:hAnsi="Arial" w:cs="Arial"/>
        </w:rPr>
        <w:t>,</w:t>
      </w:r>
      <w:r w:rsidRPr="00D33399">
        <w:rPr>
          <w:rFonts w:ascii="Arial" w:hAnsi="Arial" w:cs="Arial"/>
        </w:rPr>
        <w:t xml:space="preserve"> totalizou R$ 64</w:t>
      </w:r>
      <w:r w:rsidR="008C2FBE" w:rsidRPr="00D33399">
        <w:rPr>
          <w:rFonts w:ascii="Arial" w:hAnsi="Arial" w:cs="Arial"/>
        </w:rPr>
        <w:t>.000</w:t>
      </w:r>
      <w:r w:rsidRPr="00D33399">
        <w:rPr>
          <w:rFonts w:ascii="Arial" w:hAnsi="Arial" w:cs="Arial"/>
        </w:rPr>
        <w:t xml:space="preserve">, mediante solicitação de desembolso enviada pela ELETRONUCLEAR. </w:t>
      </w:r>
    </w:p>
    <w:p w14:paraId="49509F5B" w14:textId="77777777" w:rsidR="00B223D4" w:rsidRPr="00D33399" w:rsidRDefault="00B223D4" w:rsidP="005144E2">
      <w:pPr>
        <w:widowControl/>
        <w:tabs>
          <w:tab w:val="num" w:pos="360"/>
        </w:tabs>
        <w:jc w:val="both"/>
        <w:rPr>
          <w:rFonts w:ascii="Arial" w:hAnsi="Arial" w:cs="Arial"/>
          <w:b/>
        </w:rPr>
      </w:pPr>
    </w:p>
    <w:p w14:paraId="34FE436C" w14:textId="77777777" w:rsidR="0016041A" w:rsidRPr="00D33399" w:rsidRDefault="0016041A" w:rsidP="005144E2">
      <w:pPr>
        <w:widowControl/>
        <w:tabs>
          <w:tab w:val="num" w:pos="360"/>
        </w:tabs>
        <w:jc w:val="both"/>
        <w:rPr>
          <w:rFonts w:ascii="Arial" w:hAnsi="Arial" w:cs="Arial"/>
          <w:b/>
        </w:rPr>
      </w:pPr>
      <w:r w:rsidRPr="00D33399">
        <w:rPr>
          <w:rFonts w:ascii="Arial" w:hAnsi="Arial" w:cs="Arial"/>
          <w:b/>
        </w:rPr>
        <w:t>Reestruturação do Serviço da Dívida</w:t>
      </w:r>
    </w:p>
    <w:p w14:paraId="196D4627" w14:textId="77777777" w:rsidR="0016041A" w:rsidRPr="00D33399" w:rsidRDefault="0016041A" w:rsidP="005144E2">
      <w:pPr>
        <w:widowControl/>
        <w:tabs>
          <w:tab w:val="num" w:pos="360"/>
        </w:tabs>
        <w:jc w:val="both"/>
        <w:rPr>
          <w:rFonts w:ascii="Arial" w:hAnsi="Arial" w:cs="Arial"/>
          <w:b/>
        </w:rPr>
      </w:pPr>
    </w:p>
    <w:p w14:paraId="1028F753" w14:textId="182D6DF4" w:rsidR="0016041A" w:rsidRPr="00D33399" w:rsidRDefault="0016041A" w:rsidP="005144E2">
      <w:pPr>
        <w:widowControl/>
        <w:tabs>
          <w:tab w:val="num" w:pos="360"/>
        </w:tabs>
        <w:jc w:val="both"/>
        <w:rPr>
          <w:rFonts w:ascii="Arial" w:hAnsi="Arial" w:cs="Arial"/>
        </w:rPr>
      </w:pPr>
      <w:r w:rsidRPr="00D33399">
        <w:rPr>
          <w:rFonts w:ascii="Arial" w:hAnsi="Arial" w:cs="Arial"/>
        </w:rPr>
        <w:t>Em 17</w:t>
      </w:r>
      <w:r w:rsidR="00787860" w:rsidRPr="00D33399">
        <w:rPr>
          <w:rFonts w:ascii="Arial" w:hAnsi="Arial" w:cs="Arial"/>
        </w:rPr>
        <w:t xml:space="preserve"> </w:t>
      </w:r>
      <w:r w:rsidR="00593EB4" w:rsidRPr="00D33399">
        <w:rPr>
          <w:rFonts w:ascii="Arial" w:hAnsi="Arial" w:cs="Arial"/>
        </w:rPr>
        <w:t xml:space="preserve">de </w:t>
      </w:r>
      <w:r w:rsidR="00F34FD9" w:rsidRPr="00D33399">
        <w:rPr>
          <w:rFonts w:ascii="Arial" w:hAnsi="Arial" w:cs="Arial"/>
        </w:rPr>
        <w:t xml:space="preserve">junho de </w:t>
      </w:r>
      <w:r w:rsidRPr="00D33399">
        <w:rPr>
          <w:rFonts w:ascii="Arial" w:hAnsi="Arial" w:cs="Arial"/>
        </w:rPr>
        <w:t>2019, a Eletrobras aprovou, por meio da Resolução nº RES-412/2019 de sua Diretoria Executiva, ratificada pelo seu Conselho de Administração por meio da Deliberação nº DEL-135/2019 em 27</w:t>
      </w:r>
      <w:r w:rsidR="00996CFF" w:rsidRPr="00D33399">
        <w:rPr>
          <w:rFonts w:ascii="Arial" w:hAnsi="Arial" w:cs="Arial"/>
        </w:rPr>
        <w:t xml:space="preserve"> de junho de 2019</w:t>
      </w:r>
      <w:r w:rsidRPr="00D33399">
        <w:rPr>
          <w:rFonts w:ascii="Arial" w:hAnsi="Arial" w:cs="Arial"/>
        </w:rPr>
        <w:t xml:space="preserve"> a suspensão da exigibilidade do principal, sem incorporação dos juros, dos contratos ECR-286/14, ECF-3278/15, ECF-3284/16, ECF-3341/17, ECF-3347/17, ECF-3367/18 e ECF-3370/18, durante o período de 30</w:t>
      </w:r>
      <w:r w:rsidR="00BC46FA" w:rsidRPr="00D33399">
        <w:rPr>
          <w:rFonts w:ascii="Arial" w:hAnsi="Arial" w:cs="Arial"/>
        </w:rPr>
        <w:t>/06/</w:t>
      </w:r>
      <w:r w:rsidRPr="00D33399">
        <w:rPr>
          <w:rFonts w:ascii="Arial" w:hAnsi="Arial" w:cs="Arial"/>
        </w:rPr>
        <w:t>2019 a 31</w:t>
      </w:r>
      <w:r w:rsidR="00BC46FA" w:rsidRPr="00D33399">
        <w:rPr>
          <w:rFonts w:ascii="Arial" w:hAnsi="Arial" w:cs="Arial"/>
        </w:rPr>
        <w:t>/</w:t>
      </w:r>
      <w:r w:rsidRPr="00D33399">
        <w:rPr>
          <w:rFonts w:ascii="Arial" w:hAnsi="Arial" w:cs="Arial"/>
        </w:rPr>
        <w:t>12</w:t>
      </w:r>
      <w:r w:rsidR="00BC46FA" w:rsidRPr="00D33399">
        <w:rPr>
          <w:rFonts w:ascii="Arial" w:hAnsi="Arial" w:cs="Arial"/>
        </w:rPr>
        <w:t>/</w:t>
      </w:r>
      <w:r w:rsidRPr="00D33399">
        <w:rPr>
          <w:rFonts w:ascii="Arial" w:hAnsi="Arial" w:cs="Arial"/>
        </w:rPr>
        <w:t xml:space="preserve">2019, mantendo todas as demais cláusulas contratuais. </w:t>
      </w:r>
    </w:p>
    <w:p w14:paraId="0EA4E4A0" w14:textId="77777777" w:rsidR="0069006A" w:rsidRPr="00D33399" w:rsidRDefault="0069006A" w:rsidP="005144E2">
      <w:pPr>
        <w:widowControl/>
        <w:tabs>
          <w:tab w:val="num" w:pos="360"/>
        </w:tabs>
        <w:jc w:val="both"/>
        <w:rPr>
          <w:rFonts w:ascii="Arial" w:hAnsi="Arial" w:cs="Arial"/>
        </w:rPr>
      </w:pPr>
    </w:p>
    <w:p w14:paraId="66E38DD0" w14:textId="77777777" w:rsidR="00AA5E48" w:rsidRPr="00D33399" w:rsidRDefault="00AA5E48" w:rsidP="00AA5E48">
      <w:pPr>
        <w:widowControl/>
        <w:tabs>
          <w:tab w:val="num" w:pos="360"/>
        </w:tabs>
        <w:jc w:val="both"/>
        <w:rPr>
          <w:rFonts w:ascii="Arial" w:hAnsi="Arial" w:cs="Arial"/>
          <w:color w:val="000000" w:themeColor="text1"/>
        </w:rPr>
      </w:pPr>
      <w:r w:rsidRPr="00D33399">
        <w:rPr>
          <w:rFonts w:ascii="Arial" w:hAnsi="Arial" w:cs="Arial"/>
          <w:color w:val="000000" w:themeColor="text1"/>
        </w:rPr>
        <w:t>Em 21 de janeiro de 2020, a Eletrobras aprovou, por meio da Resolução nº RES-041/2020 de sua Diretoria Executiva, que havia recebido delegação de poderes do Conselho de Administração por meio da Deliberação nº DEL-135/2019 em 27 de junho de 2019, a manutenção da suspensão da exigibilidade do principal, sem incorporação dos juros, dos contratos ECR-286/14, ECF-3278/15, ECF-3284/16, ECF-3341/17, ECF-3347/17, ECF-</w:t>
      </w:r>
      <w:r w:rsidRPr="00D33399">
        <w:rPr>
          <w:rFonts w:ascii="Arial" w:hAnsi="Arial" w:cs="Arial"/>
          <w:color w:val="000000" w:themeColor="text1"/>
        </w:rPr>
        <w:lastRenderedPageBreak/>
        <w:t>3367/18 e ECF-3370/18, durante o período de 30/01/2020 a 30/06/2020, mantendo todas as demais cláusulas contratuais.</w:t>
      </w:r>
    </w:p>
    <w:p w14:paraId="42C44D8A" w14:textId="77777777" w:rsidR="00AA5E48" w:rsidRPr="00D33399" w:rsidRDefault="00AA5E48" w:rsidP="00AA5E48">
      <w:pPr>
        <w:widowControl/>
        <w:tabs>
          <w:tab w:val="num" w:pos="360"/>
        </w:tabs>
        <w:jc w:val="both"/>
        <w:rPr>
          <w:rFonts w:ascii="Arial" w:hAnsi="Arial" w:cs="Arial"/>
          <w:color w:val="000000" w:themeColor="text1"/>
        </w:rPr>
      </w:pPr>
    </w:p>
    <w:p w14:paraId="7D4C6B2C" w14:textId="50692B9C" w:rsidR="00B61862" w:rsidRPr="00D33399" w:rsidRDefault="00B61862" w:rsidP="00B61862">
      <w:pPr>
        <w:widowControl/>
        <w:tabs>
          <w:tab w:val="num" w:pos="360"/>
        </w:tabs>
        <w:jc w:val="both"/>
        <w:rPr>
          <w:rFonts w:ascii="Arial" w:hAnsi="Arial" w:cs="Arial"/>
          <w:color w:val="000000" w:themeColor="text1"/>
        </w:rPr>
      </w:pPr>
      <w:r w:rsidRPr="00D33399">
        <w:rPr>
          <w:rFonts w:ascii="Arial" w:hAnsi="Arial" w:cs="Arial"/>
          <w:color w:val="000000" w:themeColor="text1"/>
        </w:rPr>
        <w:t>Em 22 de março de 2020, o BNDES anunciou medidas em caráter emergencial para auxiliar e mitigar os efeitos da pandemia do novo coronavírus na economia brasileira. Uma das medidas adotadas pelo banco de fomento foi a possibilidade de suspensão temporária por até 6 (seis) meses do pagamento das parcelas mensais (principal e juros remuneratórios), operação esta denominada no mercado de “standstill”, dos contratos de financiamentos diretos firmados junto ao BNDES, no qual se enquadra o Contrato nº 10.2.2032.1 e para o qual a Companhia aderiu, oportunamente, adotando como uma de suas medidas de preservação de caixa.</w:t>
      </w:r>
    </w:p>
    <w:p w14:paraId="77B87E14" w14:textId="77777777" w:rsidR="00B61862" w:rsidRPr="00D33399" w:rsidRDefault="00B61862" w:rsidP="00B61862">
      <w:pPr>
        <w:widowControl/>
        <w:tabs>
          <w:tab w:val="num" w:pos="360"/>
        </w:tabs>
        <w:jc w:val="both"/>
        <w:rPr>
          <w:rFonts w:ascii="Arial" w:hAnsi="Arial" w:cs="Arial"/>
          <w:color w:val="000000" w:themeColor="text1"/>
        </w:rPr>
      </w:pPr>
    </w:p>
    <w:p w14:paraId="5A3D294C" w14:textId="77777777" w:rsidR="00B61862" w:rsidRPr="00D33399" w:rsidRDefault="00B61862" w:rsidP="00B61862">
      <w:pPr>
        <w:widowControl/>
        <w:tabs>
          <w:tab w:val="num" w:pos="360"/>
        </w:tabs>
        <w:jc w:val="both"/>
        <w:rPr>
          <w:rFonts w:ascii="Arial" w:hAnsi="Arial" w:cs="Arial"/>
          <w:color w:val="000000" w:themeColor="text1"/>
        </w:rPr>
      </w:pPr>
      <w:r w:rsidRPr="00D33399">
        <w:rPr>
          <w:rFonts w:ascii="Arial" w:hAnsi="Arial" w:cs="Arial"/>
          <w:color w:val="000000" w:themeColor="text1"/>
        </w:rPr>
        <w:t>Em 06 de Maio de 2020, a ELETRONUCLEAR recebeu comunicação formal do Banco Nacional de Desenvolvimento Econômico e Social – BNDES, por meio da Carta AE/DEENE1 nº 056/2020, aprovando o pedido, encaminhado pela Companhia em 26 de março de 2020, para a suspensão do pagamento por 6 (seis) meses, no período de 15.05.2020 a 15.10.2020, do serviço da dívida contratado com esta instituição financeira conforme Contrato nº 10.2.2023.1. Concomitantemente a suspensão do pagamento do serviço da dívida, foi comunicado pelo BNDES, na mesma carta, que houve a prorrogação até a data de 15/10/2020 do prazo para o cumprimento pela ELETRONUCLEAR da obrigação do preenchimento da Conta Reserva.</w:t>
      </w:r>
    </w:p>
    <w:p w14:paraId="7766249E" w14:textId="77777777" w:rsidR="00B61862" w:rsidRPr="00D33399" w:rsidRDefault="00B61862" w:rsidP="00B61862">
      <w:pPr>
        <w:widowControl/>
        <w:tabs>
          <w:tab w:val="num" w:pos="360"/>
        </w:tabs>
        <w:jc w:val="both"/>
        <w:rPr>
          <w:rFonts w:ascii="Arial" w:hAnsi="Arial" w:cs="Arial"/>
          <w:color w:val="000000" w:themeColor="text1"/>
        </w:rPr>
      </w:pPr>
    </w:p>
    <w:p w14:paraId="2497C3B3" w14:textId="7859D079" w:rsidR="00B61862" w:rsidRPr="00D33399" w:rsidRDefault="00B61862" w:rsidP="00B61862">
      <w:pPr>
        <w:widowControl/>
        <w:tabs>
          <w:tab w:val="num" w:pos="360"/>
        </w:tabs>
        <w:jc w:val="both"/>
        <w:rPr>
          <w:rFonts w:ascii="Arial" w:hAnsi="Arial" w:cs="Arial"/>
          <w:color w:val="000000" w:themeColor="text1"/>
        </w:rPr>
      </w:pPr>
      <w:r w:rsidRPr="00D33399">
        <w:rPr>
          <w:rFonts w:ascii="Arial" w:hAnsi="Arial" w:cs="Arial"/>
          <w:color w:val="000000" w:themeColor="text1"/>
        </w:rPr>
        <w:t>Em 12 de maio de 2020 foi aprovado pela Diretoria Executiva da ELETRONUCLEAR, por meio da RDE nº 1515003/20, a suspensão do pagamento do serviço da dívida por 6 (seis) meses, assim como, a prorrogação do prazo para preenchimento da Conta Reserva até 15 de outubro, encaminhando para posterior deliberação do Conselho de Administração da companhia, que por sua vez ratificou a decisão, em 19 de maio de 2020, por meio da DCA nº 418.003/20.</w:t>
      </w:r>
    </w:p>
    <w:p w14:paraId="6D3B7F12" w14:textId="77777777" w:rsidR="00B61862" w:rsidRPr="00D33399" w:rsidRDefault="00B61862" w:rsidP="00B61862">
      <w:pPr>
        <w:widowControl/>
        <w:tabs>
          <w:tab w:val="num" w:pos="360"/>
        </w:tabs>
        <w:jc w:val="both"/>
        <w:rPr>
          <w:rFonts w:ascii="Arial" w:hAnsi="Arial" w:cs="Arial"/>
          <w:color w:val="000000" w:themeColor="text1"/>
        </w:rPr>
      </w:pPr>
    </w:p>
    <w:p w14:paraId="1E86B599" w14:textId="29D7EF25" w:rsidR="00B61862" w:rsidRPr="00D33399" w:rsidRDefault="00B61862" w:rsidP="00B61862">
      <w:pPr>
        <w:widowControl/>
        <w:tabs>
          <w:tab w:val="num" w:pos="360"/>
        </w:tabs>
        <w:jc w:val="both"/>
        <w:rPr>
          <w:rFonts w:ascii="Arial" w:hAnsi="Arial" w:cs="Arial"/>
          <w:color w:val="000000" w:themeColor="text1"/>
        </w:rPr>
      </w:pPr>
      <w:r w:rsidRPr="00D33399">
        <w:rPr>
          <w:rFonts w:ascii="Arial" w:hAnsi="Arial" w:cs="Arial"/>
          <w:color w:val="000000" w:themeColor="text1"/>
        </w:rPr>
        <w:t xml:space="preserve">Conforme proposição do Conselho de Administração, presente na DCA nº 418.003/20, houve delegação de poderes à Diretoria Executiva da ELETRONUCLEAR para aprovação do teor do instrumento definitivo. Desta forma, em 03 de junho de 2020, a Diretoria Executiva da ELETRONUCEAR aprovou, por meio da RDE nº 1520.007/20, a minuta do Termo Aditivo nº 7 ao Contrato de Financiamento Mediante Abertura de Crédito nº 10.2.2032.1, que formaliza a suspensão do pagamento de principal e juros durante o período de 15 de maio a 15 de outubro, além da prorrogação do prazo para preenchimento da Conta Reserva. </w:t>
      </w:r>
    </w:p>
    <w:p w14:paraId="30F18354" w14:textId="77777777" w:rsidR="00B61862" w:rsidRPr="00D33399" w:rsidRDefault="00B61862" w:rsidP="00B61862">
      <w:pPr>
        <w:widowControl/>
        <w:tabs>
          <w:tab w:val="num" w:pos="360"/>
        </w:tabs>
        <w:jc w:val="both"/>
        <w:rPr>
          <w:rFonts w:ascii="Arial" w:hAnsi="Arial" w:cs="Arial"/>
          <w:color w:val="000000" w:themeColor="text1"/>
        </w:rPr>
      </w:pPr>
    </w:p>
    <w:p w14:paraId="3C47F1B3" w14:textId="77777777" w:rsidR="00B61862" w:rsidRPr="00D33399" w:rsidRDefault="00B61862" w:rsidP="00B61862">
      <w:pPr>
        <w:widowControl/>
        <w:tabs>
          <w:tab w:val="num" w:pos="360"/>
        </w:tabs>
        <w:jc w:val="both"/>
        <w:rPr>
          <w:rFonts w:ascii="Arial" w:hAnsi="Arial" w:cs="Arial"/>
          <w:color w:val="000000" w:themeColor="text1"/>
        </w:rPr>
      </w:pPr>
      <w:r w:rsidRPr="00D33399">
        <w:rPr>
          <w:rFonts w:ascii="Arial" w:hAnsi="Arial" w:cs="Arial"/>
          <w:color w:val="000000" w:themeColor="text1"/>
        </w:rPr>
        <w:t>Em 23 de junho de 2020 foi assinado o Termo Aditivo nº 7 ao Contrato de Financiamento Mediante Abertura de Crédito nº 10.2.2032.1.</w:t>
      </w:r>
    </w:p>
    <w:p w14:paraId="2F10451B" w14:textId="77777777" w:rsidR="00B61862" w:rsidRPr="00D33399" w:rsidRDefault="00B61862" w:rsidP="00B61862">
      <w:pPr>
        <w:widowControl/>
        <w:tabs>
          <w:tab w:val="num" w:pos="360"/>
        </w:tabs>
        <w:jc w:val="both"/>
        <w:rPr>
          <w:rFonts w:ascii="Arial" w:hAnsi="Arial" w:cs="Arial"/>
          <w:color w:val="0070C0"/>
        </w:rPr>
      </w:pPr>
    </w:p>
    <w:p w14:paraId="1E37F7EC" w14:textId="77777777" w:rsidR="00B61862" w:rsidRPr="00D33399" w:rsidRDefault="00B61862" w:rsidP="00B61862">
      <w:pPr>
        <w:widowControl/>
        <w:tabs>
          <w:tab w:val="num" w:pos="360"/>
        </w:tabs>
        <w:jc w:val="both"/>
        <w:rPr>
          <w:rFonts w:ascii="Arial" w:hAnsi="Arial" w:cs="Arial"/>
          <w:color w:val="000000" w:themeColor="text1"/>
        </w:rPr>
      </w:pPr>
      <w:r w:rsidRPr="00D33399">
        <w:rPr>
          <w:rFonts w:ascii="Arial" w:hAnsi="Arial" w:cs="Arial"/>
          <w:color w:val="000000" w:themeColor="text1"/>
        </w:rPr>
        <w:t xml:space="preserve">Em 15 de junho de 2020, a Eletrobras aprovou, por meio da Resolução nº RES-351/2020 de sua Diretoria Executiva, a capitalização dos contratos ECR-286/14, ECF-3278/15, ECF-3284/16, ECF-3341/17, ECF-3347/17, ECF-3367/18 e ECF-3370/18 e 3374/19. Em 25 de </w:t>
      </w:r>
      <w:r w:rsidRPr="00D33399">
        <w:rPr>
          <w:rFonts w:ascii="Arial" w:hAnsi="Arial" w:cs="Arial"/>
          <w:color w:val="000000" w:themeColor="text1"/>
        </w:rPr>
        <w:lastRenderedPageBreak/>
        <w:t>junho, o Conselho de Administração da Eletrobras, por meio da Deliberação nº DEL-106/2020, ratificou a decisão da Diretoria Executiva e aprovou a capitalização dos referidos contratos. Desta forma, ficou determinada a suspensão do pagamento do principal dos referidos contratos, com a manutenção dos pagamentos dos juros e encargos até a efetivação do processo de capitalização aprovado.</w:t>
      </w:r>
    </w:p>
    <w:p w14:paraId="555E7587" w14:textId="77777777" w:rsidR="00091B3D" w:rsidRPr="00D33399" w:rsidRDefault="00091B3D" w:rsidP="00B61862">
      <w:pPr>
        <w:widowControl/>
        <w:tabs>
          <w:tab w:val="num" w:pos="360"/>
        </w:tabs>
        <w:jc w:val="both"/>
        <w:rPr>
          <w:rFonts w:ascii="Arial" w:hAnsi="Arial" w:cs="Arial"/>
          <w:color w:val="000000" w:themeColor="text1"/>
        </w:rPr>
      </w:pPr>
    </w:p>
    <w:p w14:paraId="1AD06CF6" w14:textId="3ED940C7" w:rsidR="00091B3D" w:rsidRPr="00D33399" w:rsidRDefault="00091B3D" w:rsidP="00091B3D">
      <w:pPr>
        <w:widowControl/>
        <w:tabs>
          <w:tab w:val="num" w:pos="360"/>
        </w:tabs>
        <w:jc w:val="both"/>
        <w:rPr>
          <w:rFonts w:ascii="Arial" w:hAnsi="Arial" w:cs="Arial"/>
        </w:rPr>
      </w:pPr>
      <w:r w:rsidRPr="00D33399">
        <w:rPr>
          <w:rFonts w:ascii="Arial" w:hAnsi="Arial" w:cs="Arial"/>
        </w:rPr>
        <w:t>Em 15 de Julho, a Eletrobras solicitou ao Ministério de Minas e Energia - MME as providências necessárias para o encaminhamento do processo de aumento de capital da ELETRONUCLEAR, por conta da capitalização de instrumentos de dívida firmados com a sua holding, assim como, pela integralização dos contratos de Adiantamento para Futuro Aumento de Capital - AFAC, à Procuradoria Geral do Ministério da Fazenda (PGNF) e à Secretaria de Coordenação e Governança das Empresas Estatais (SEST) no sentido de obter parecer autorizando o voto da Eletrobras na Assembleia Geral Extraordinária a ser convocada pela ELETRONUCLEAR para a efetivação da integralização do capital social da companhia.</w:t>
      </w:r>
    </w:p>
    <w:p w14:paraId="48F0EC3D" w14:textId="77777777" w:rsidR="00091B3D" w:rsidRPr="00D33399" w:rsidRDefault="00091B3D" w:rsidP="00091B3D">
      <w:pPr>
        <w:widowControl/>
        <w:tabs>
          <w:tab w:val="num" w:pos="360"/>
        </w:tabs>
        <w:jc w:val="both"/>
        <w:rPr>
          <w:rFonts w:ascii="Arial" w:hAnsi="Arial" w:cs="Arial"/>
        </w:rPr>
      </w:pPr>
    </w:p>
    <w:p w14:paraId="5DA3B5F4" w14:textId="20452DBB" w:rsidR="00091B3D" w:rsidRPr="00D33399" w:rsidRDefault="00091B3D" w:rsidP="00091B3D">
      <w:pPr>
        <w:widowControl/>
        <w:tabs>
          <w:tab w:val="num" w:pos="360"/>
        </w:tabs>
        <w:jc w:val="both"/>
        <w:rPr>
          <w:rFonts w:ascii="Arial" w:hAnsi="Arial" w:cs="Arial"/>
        </w:rPr>
      </w:pPr>
      <w:r w:rsidRPr="00D33399">
        <w:rPr>
          <w:rFonts w:ascii="Arial" w:hAnsi="Arial" w:cs="Arial"/>
        </w:rPr>
        <w:t>Após manifestação favorável da PGNF e da SEST em relação ao aumento de capi</w:t>
      </w:r>
      <w:r w:rsidR="00746428">
        <w:rPr>
          <w:rFonts w:ascii="Arial" w:hAnsi="Arial" w:cs="Arial"/>
        </w:rPr>
        <w:t>tal da ELETRONUCLEAR; em 23 de s</w:t>
      </w:r>
      <w:r w:rsidRPr="00D33399">
        <w:rPr>
          <w:rFonts w:ascii="Arial" w:hAnsi="Arial" w:cs="Arial"/>
        </w:rPr>
        <w:t>etembro</w:t>
      </w:r>
      <w:r w:rsidR="00746428">
        <w:rPr>
          <w:rFonts w:ascii="Arial" w:hAnsi="Arial" w:cs="Arial"/>
        </w:rPr>
        <w:t xml:space="preserve"> de 2020</w:t>
      </w:r>
      <w:r w:rsidRPr="00D33399">
        <w:rPr>
          <w:rFonts w:ascii="Arial" w:hAnsi="Arial" w:cs="Arial"/>
        </w:rPr>
        <w:t>, houve aprovação da Diretoria Executiva da companhia ratificando a decisão anterior que havia autorizado o aumento de capital e dando como cumpridas as exigências requeridas na proposta d</w:t>
      </w:r>
      <w:r w:rsidR="00746428">
        <w:rPr>
          <w:rFonts w:ascii="Arial" w:hAnsi="Arial" w:cs="Arial"/>
        </w:rPr>
        <w:t>e aumento de capital. Em 30 de s</w:t>
      </w:r>
      <w:r w:rsidRPr="00D33399">
        <w:rPr>
          <w:rFonts w:ascii="Arial" w:hAnsi="Arial" w:cs="Arial"/>
        </w:rPr>
        <w:t>etembro</w:t>
      </w:r>
      <w:r w:rsidR="00746428">
        <w:rPr>
          <w:rFonts w:ascii="Arial" w:hAnsi="Arial" w:cs="Arial"/>
        </w:rPr>
        <w:t xml:space="preserve"> de 2020</w:t>
      </w:r>
      <w:r w:rsidRPr="00D33399">
        <w:rPr>
          <w:rFonts w:ascii="Arial" w:hAnsi="Arial" w:cs="Arial"/>
        </w:rPr>
        <w:t>, o Conselho de Administração ratificou a decisão da Diretoria Executiva, aprovando a convocação de Assembleia Geral Extraordinária – AGE, em cumprimento ao Estatuto Social da ELETRONUCLEAR, para a deliberação da integralização de capital aprovada.</w:t>
      </w:r>
      <w:r w:rsidR="00D04BA7">
        <w:rPr>
          <w:rFonts w:ascii="Arial" w:hAnsi="Arial" w:cs="Arial"/>
        </w:rPr>
        <w:t xml:space="preserve"> Os desdobramentos na </w:t>
      </w:r>
      <w:r w:rsidR="00D04BA7" w:rsidRPr="00D33399">
        <w:rPr>
          <w:rFonts w:ascii="Arial" w:hAnsi="Arial" w:cs="Arial"/>
        </w:rPr>
        <w:t>Assembleia Geral Extraordinária – AGE</w:t>
      </w:r>
      <w:r w:rsidR="00D04BA7">
        <w:rPr>
          <w:rFonts w:ascii="Arial" w:hAnsi="Arial" w:cs="Arial"/>
        </w:rPr>
        <w:t xml:space="preserve"> estão descritos na nota de evento subsequente.</w:t>
      </w:r>
    </w:p>
    <w:p w14:paraId="2A0B9E9B" w14:textId="77777777" w:rsidR="00091B3D" w:rsidRPr="00D33399" w:rsidRDefault="00091B3D" w:rsidP="00B61862">
      <w:pPr>
        <w:widowControl/>
        <w:tabs>
          <w:tab w:val="num" w:pos="360"/>
        </w:tabs>
        <w:jc w:val="both"/>
        <w:rPr>
          <w:rFonts w:ascii="Arial" w:hAnsi="Arial" w:cs="Arial"/>
        </w:rPr>
      </w:pPr>
    </w:p>
    <w:p w14:paraId="642EEDC7" w14:textId="77777777" w:rsidR="00B61862" w:rsidRPr="00D33399" w:rsidRDefault="00B61862" w:rsidP="00B61862">
      <w:pPr>
        <w:widowControl/>
        <w:tabs>
          <w:tab w:val="num" w:pos="360"/>
        </w:tabs>
        <w:jc w:val="both"/>
        <w:rPr>
          <w:rFonts w:ascii="Arial" w:hAnsi="Arial" w:cs="Arial"/>
          <w:color w:val="000000" w:themeColor="text1"/>
          <w:sz w:val="16"/>
          <w:szCs w:val="16"/>
        </w:rPr>
      </w:pPr>
    </w:p>
    <w:p w14:paraId="7AF38231" w14:textId="77777777" w:rsidR="0069006A" w:rsidRPr="00D33399" w:rsidRDefault="0069006A" w:rsidP="005144E2">
      <w:pPr>
        <w:widowControl/>
        <w:tabs>
          <w:tab w:val="num" w:pos="360"/>
        </w:tabs>
        <w:jc w:val="both"/>
        <w:rPr>
          <w:rFonts w:ascii="Arial" w:hAnsi="Arial" w:cs="Arial"/>
          <w:b/>
        </w:rPr>
      </w:pPr>
      <w:r w:rsidRPr="00D33399">
        <w:rPr>
          <w:rFonts w:ascii="Arial" w:hAnsi="Arial" w:cs="Arial"/>
          <w:b/>
        </w:rPr>
        <w:t>Confissão de Dívida</w:t>
      </w:r>
    </w:p>
    <w:p w14:paraId="4016CCED" w14:textId="77777777" w:rsidR="00091B3D" w:rsidRPr="00D33399" w:rsidRDefault="00091B3D" w:rsidP="005144E2">
      <w:pPr>
        <w:widowControl/>
        <w:tabs>
          <w:tab w:val="num" w:pos="360"/>
        </w:tabs>
        <w:jc w:val="both"/>
        <w:rPr>
          <w:rFonts w:ascii="Arial" w:hAnsi="Arial" w:cs="Arial"/>
        </w:rPr>
      </w:pPr>
    </w:p>
    <w:p w14:paraId="44DFBFC8" w14:textId="4CDD4E2F" w:rsidR="0069006A" w:rsidRPr="00D33399" w:rsidRDefault="0069006A" w:rsidP="005144E2">
      <w:pPr>
        <w:widowControl/>
        <w:tabs>
          <w:tab w:val="num" w:pos="360"/>
        </w:tabs>
        <w:jc w:val="both"/>
        <w:rPr>
          <w:rFonts w:ascii="Arial" w:hAnsi="Arial" w:cs="Arial"/>
        </w:rPr>
      </w:pPr>
      <w:r w:rsidRPr="00D33399">
        <w:rPr>
          <w:rFonts w:ascii="Arial" w:hAnsi="Arial" w:cs="Arial"/>
        </w:rPr>
        <w:t>Em 30</w:t>
      </w:r>
      <w:r w:rsidR="00886446" w:rsidRPr="00D33399">
        <w:rPr>
          <w:rFonts w:ascii="Arial" w:hAnsi="Arial" w:cs="Arial"/>
        </w:rPr>
        <w:t xml:space="preserve"> de outubro de </w:t>
      </w:r>
      <w:r w:rsidRPr="00D33399">
        <w:rPr>
          <w:rFonts w:ascii="Arial" w:hAnsi="Arial" w:cs="Arial"/>
        </w:rPr>
        <w:t>2019</w:t>
      </w:r>
      <w:r w:rsidR="00871F84" w:rsidRPr="00D33399">
        <w:rPr>
          <w:rFonts w:ascii="Arial" w:hAnsi="Arial" w:cs="Arial"/>
        </w:rPr>
        <w:t>,</w:t>
      </w:r>
      <w:r w:rsidRPr="00D33399">
        <w:rPr>
          <w:rFonts w:ascii="Arial" w:hAnsi="Arial" w:cs="Arial"/>
        </w:rPr>
        <w:t xml:space="preserve"> foi celebrado pela ELETRONUCLEAR e por Furnas Centrais Elétricas S.A. o Instrumento Particular de Confissão de Dívida e Outras Avenças – 001/2019, por meio do qual as duas partes reconhecem a existência de créditos pendentes</w:t>
      </w:r>
      <w:r w:rsidR="00593EB4" w:rsidRPr="00D33399">
        <w:rPr>
          <w:rFonts w:ascii="Arial" w:hAnsi="Arial" w:cs="Arial"/>
        </w:rPr>
        <w:t xml:space="preserve"> uma</w:t>
      </w:r>
      <w:r w:rsidRPr="00D33399">
        <w:rPr>
          <w:rFonts w:ascii="Arial" w:hAnsi="Arial" w:cs="Arial"/>
        </w:rPr>
        <w:t xml:space="preserve"> com a outra, que após compensação dos valores somam um crédito líquido em favor de Furnas no montante de R$ 122.560, atualizado à data de 31</w:t>
      </w:r>
      <w:r w:rsidR="00886446" w:rsidRPr="00D33399">
        <w:rPr>
          <w:rFonts w:ascii="Arial" w:hAnsi="Arial" w:cs="Arial"/>
        </w:rPr>
        <w:t xml:space="preserve"> de dezembro de </w:t>
      </w:r>
      <w:r w:rsidRPr="00D33399">
        <w:rPr>
          <w:rFonts w:ascii="Arial" w:hAnsi="Arial" w:cs="Arial"/>
        </w:rPr>
        <w:t xml:space="preserve">2012. Este montante devido pela ELETRONUCLEAR, atualizado </w:t>
      </w:r>
      <w:r w:rsidR="00593EB4" w:rsidRPr="00D33399">
        <w:rPr>
          <w:rFonts w:ascii="Arial" w:hAnsi="Arial" w:cs="Arial"/>
        </w:rPr>
        <w:t>em</w:t>
      </w:r>
      <w:r w:rsidRPr="00D33399">
        <w:rPr>
          <w:rFonts w:ascii="Arial" w:hAnsi="Arial" w:cs="Arial"/>
        </w:rPr>
        <w:t xml:space="preserve"> 31</w:t>
      </w:r>
      <w:r w:rsidR="007E15E9" w:rsidRPr="00D33399">
        <w:rPr>
          <w:rFonts w:ascii="Arial" w:hAnsi="Arial" w:cs="Arial"/>
        </w:rPr>
        <w:t xml:space="preserve"> de dezembro </w:t>
      </w:r>
      <w:r w:rsidRPr="00D33399">
        <w:rPr>
          <w:rFonts w:ascii="Arial" w:hAnsi="Arial" w:cs="Arial"/>
        </w:rPr>
        <w:t>2018, totalizava R$ 246.142.</w:t>
      </w:r>
    </w:p>
    <w:p w14:paraId="56CD3EA3" w14:textId="77777777" w:rsidR="00C61D3A" w:rsidRPr="00D33399" w:rsidRDefault="00C61D3A" w:rsidP="005144E2">
      <w:pPr>
        <w:widowControl/>
        <w:tabs>
          <w:tab w:val="num" w:pos="360"/>
        </w:tabs>
        <w:jc w:val="both"/>
        <w:rPr>
          <w:rFonts w:ascii="Arial" w:hAnsi="Arial" w:cs="Arial"/>
        </w:rPr>
      </w:pPr>
    </w:p>
    <w:p w14:paraId="1AE8CB09" w14:textId="77777777" w:rsidR="0069006A" w:rsidRPr="00D33399" w:rsidRDefault="0069006A" w:rsidP="005144E2">
      <w:pPr>
        <w:widowControl/>
        <w:tabs>
          <w:tab w:val="num" w:pos="360"/>
        </w:tabs>
        <w:jc w:val="both"/>
        <w:rPr>
          <w:rFonts w:ascii="Arial" w:hAnsi="Arial" w:cs="Arial"/>
        </w:rPr>
      </w:pPr>
      <w:r w:rsidRPr="00D33399">
        <w:rPr>
          <w:rFonts w:ascii="Arial" w:hAnsi="Arial" w:cs="Arial"/>
        </w:rPr>
        <w:t xml:space="preserve">Desta forma, conforme as condições firmadas pelas duas partes no Instrumento firmado, a ELETRONUCLEAR obriga-se a pagar o saldo atualizado, pelo IPCA, da dívida reconhecida em 96 (noventa e seis) parcelas iguais e sucessivas, no Sistema de Amortização Constante </w:t>
      </w:r>
      <w:r w:rsidR="007E15E9" w:rsidRPr="00D33399">
        <w:rPr>
          <w:rFonts w:ascii="Arial" w:hAnsi="Arial" w:cs="Arial"/>
        </w:rPr>
        <w:t xml:space="preserve">– </w:t>
      </w:r>
      <w:r w:rsidRPr="00D33399">
        <w:rPr>
          <w:rFonts w:ascii="Arial" w:hAnsi="Arial" w:cs="Arial"/>
        </w:rPr>
        <w:t xml:space="preserve">SAC, contados a partir da expiração dos 24 meses de carência do principal que possui início a partir do mês subsequente à assinatura do referido Instrumento de Confissão de Dívida. </w:t>
      </w:r>
    </w:p>
    <w:p w14:paraId="6FC1C73F" w14:textId="77777777" w:rsidR="0069006A" w:rsidRPr="00D33399" w:rsidRDefault="0069006A" w:rsidP="005144E2">
      <w:pPr>
        <w:widowControl/>
        <w:tabs>
          <w:tab w:val="num" w:pos="360"/>
        </w:tabs>
        <w:jc w:val="both"/>
        <w:rPr>
          <w:rFonts w:ascii="Arial" w:hAnsi="Arial" w:cs="Arial"/>
        </w:rPr>
      </w:pPr>
    </w:p>
    <w:p w14:paraId="7805B7D1" w14:textId="77777777" w:rsidR="0069006A" w:rsidRPr="00D33399" w:rsidRDefault="0069006A" w:rsidP="005144E2">
      <w:pPr>
        <w:widowControl/>
        <w:tabs>
          <w:tab w:val="num" w:pos="360"/>
        </w:tabs>
        <w:jc w:val="both"/>
        <w:rPr>
          <w:rFonts w:ascii="Arial" w:hAnsi="Arial" w:cs="Arial"/>
        </w:rPr>
      </w:pPr>
      <w:r w:rsidRPr="00D33399">
        <w:rPr>
          <w:rFonts w:ascii="Arial" w:hAnsi="Arial" w:cs="Arial"/>
        </w:rPr>
        <w:lastRenderedPageBreak/>
        <w:t>A partir da assinatura do referido contrato, sobre o saldo devedor atualizado mensalmente pelo IPCA, incidem juros no montante de 7,83% a.a. e uma taxa de administração de 0,5% a.a.</w:t>
      </w:r>
      <w:r w:rsidR="00D95EA4" w:rsidRPr="00D33399">
        <w:rPr>
          <w:rFonts w:ascii="Arial" w:hAnsi="Arial" w:cs="Arial"/>
        </w:rPr>
        <w:t>,</w:t>
      </w:r>
      <w:r w:rsidRPr="00D33399">
        <w:rPr>
          <w:rFonts w:ascii="Arial" w:hAnsi="Arial" w:cs="Arial"/>
        </w:rPr>
        <w:t xml:space="preserve"> ambos calculados </w:t>
      </w:r>
      <w:r w:rsidRPr="00D33399">
        <w:rPr>
          <w:rFonts w:ascii="Arial" w:hAnsi="Arial" w:cs="Arial"/>
          <w:i/>
        </w:rPr>
        <w:t>pro rata temporis</w:t>
      </w:r>
      <w:r w:rsidRPr="00D33399">
        <w:rPr>
          <w:rFonts w:ascii="Arial" w:hAnsi="Arial" w:cs="Arial"/>
        </w:rPr>
        <w:t>.</w:t>
      </w:r>
    </w:p>
    <w:p w14:paraId="0E69B78D" w14:textId="77777777" w:rsidR="007E15E9" w:rsidRPr="00D33399" w:rsidRDefault="007E15E9" w:rsidP="005144E2">
      <w:pPr>
        <w:widowControl/>
        <w:tabs>
          <w:tab w:val="num" w:pos="360"/>
        </w:tabs>
        <w:jc w:val="both"/>
        <w:rPr>
          <w:rFonts w:ascii="Arial" w:hAnsi="Arial" w:cs="Arial"/>
        </w:rPr>
      </w:pPr>
    </w:p>
    <w:p w14:paraId="4C6E4F29" w14:textId="77777777" w:rsidR="00CD1CF3" w:rsidRPr="00D33399" w:rsidRDefault="00CD1CF3" w:rsidP="005144E2">
      <w:pPr>
        <w:widowControl/>
        <w:tabs>
          <w:tab w:val="num" w:pos="360"/>
        </w:tabs>
        <w:jc w:val="both"/>
        <w:rPr>
          <w:rFonts w:ascii="Arial" w:hAnsi="Arial" w:cs="Arial"/>
          <w:sz w:val="16"/>
          <w:szCs w:val="16"/>
        </w:rPr>
      </w:pPr>
    </w:p>
    <w:p w14:paraId="64C2B824" w14:textId="77777777" w:rsidR="003F4719" w:rsidRPr="00D33399" w:rsidRDefault="003F4719" w:rsidP="005144E2">
      <w:pPr>
        <w:pStyle w:val="PargrafodaLista"/>
        <w:widowControl/>
        <w:numPr>
          <w:ilvl w:val="0"/>
          <w:numId w:val="12"/>
        </w:numPr>
        <w:ind w:left="567" w:hanging="567"/>
        <w:jc w:val="both"/>
        <w:rPr>
          <w:rFonts w:ascii="Arial" w:hAnsi="Arial" w:cs="Arial"/>
          <w:b/>
        </w:rPr>
      </w:pPr>
      <w:r w:rsidRPr="00D33399">
        <w:rPr>
          <w:rFonts w:ascii="Arial" w:hAnsi="Arial" w:cs="Arial"/>
          <w:b/>
        </w:rPr>
        <w:t>Quadro dos financiamentos e empréstimos</w:t>
      </w:r>
    </w:p>
    <w:p w14:paraId="1D1F34BE" w14:textId="77777777" w:rsidR="001643B0" w:rsidRPr="00D33399" w:rsidRDefault="001643B0" w:rsidP="001643B0">
      <w:pPr>
        <w:widowControl/>
        <w:jc w:val="both"/>
        <w:rPr>
          <w:rFonts w:ascii="Arial" w:hAnsi="Arial" w:cs="Arial"/>
          <w:b/>
          <w:sz w:val="16"/>
          <w:szCs w:val="16"/>
        </w:rPr>
      </w:pPr>
    </w:p>
    <w:p w14:paraId="51371392" w14:textId="2B1F442A" w:rsidR="00C61D3A" w:rsidRPr="00D33399" w:rsidRDefault="00CD6222" w:rsidP="005144E2">
      <w:pPr>
        <w:widowControl/>
        <w:jc w:val="both"/>
        <w:rPr>
          <w:rFonts w:ascii="Arial" w:hAnsi="Arial" w:cs="Arial"/>
          <w:b/>
        </w:rPr>
      </w:pPr>
      <w:r w:rsidRPr="00D33399">
        <w:rPr>
          <w:noProof/>
        </w:rPr>
        <w:drawing>
          <wp:inline distT="0" distB="0" distL="0" distR="0" wp14:anchorId="71E3A41D" wp14:editId="78EA7356">
            <wp:extent cx="6073140" cy="2270909"/>
            <wp:effectExtent l="0" t="0" r="381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73140" cy="2270909"/>
                    </a:xfrm>
                    <a:prstGeom prst="rect">
                      <a:avLst/>
                    </a:prstGeom>
                    <a:noFill/>
                    <a:ln>
                      <a:noFill/>
                    </a:ln>
                  </pic:spPr>
                </pic:pic>
              </a:graphicData>
            </a:graphic>
          </wp:inline>
        </w:drawing>
      </w:r>
    </w:p>
    <w:p w14:paraId="48F6AADF" w14:textId="77777777" w:rsidR="00BF0956" w:rsidRPr="00D33399" w:rsidRDefault="00BF0956" w:rsidP="005144E2">
      <w:pPr>
        <w:widowControl/>
        <w:jc w:val="both"/>
        <w:rPr>
          <w:rFonts w:ascii="Arial" w:hAnsi="Arial" w:cs="Arial"/>
          <w:b/>
        </w:rPr>
      </w:pPr>
    </w:p>
    <w:p w14:paraId="093F5C88" w14:textId="77777777" w:rsidR="007631FB" w:rsidRPr="00D33399" w:rsidRDefault="007631FB" w:rsidP="005144E2">
      <w:pPr>
        <w:widowControl/>
        <w:jc w:val="both"/>
        <w:rPr>
          <w:rFonts w:ascii="Arial" w:hAnsi="Arial" w:cs="Arial"/>
          <w:b/>
          <w:sz w:val="16"/>
          <w:szCs w:val="16"/>
        </w:rPr>
      </w:pPr>
    </w:p>
    <w:p w14:paraId="5ECD72DE" w14:textId="77777777" w:rsidR="003F4719" w:rsidRPr="00D33399" w:rsidRDefault="003F4719" w:rsidP="005144E2">
      <w:pPr>
        <w:pStyle w:val="PargrafodaLista"/>
        <w:widowControl/>
        <w:numPr>
          <w:ilvl w:val="0"/>
          <w:numId w:val="12"/>
        </w:numPr>
        <w:ind w:left="567" w:hanging="567"/>
        <w:jc w:val="both"/>
        <w:rPr>
          <w:rFonts w:ascii="Arial" w:hAnsi="Arial" w:cs="Arial"/>
          <w:b/>
        </w:rPr>
      </w:pPr>
      <w:r w:rsidRPr="00D33399">
        <w:rPr>
          <w:rFonts w:ascii="Arial" w:hAnsi="Arial" w:cs="Arial"/>
          <w:b/>
        </w:rPr>
        <w:t>Quadro das mutações dos financiamentos e empréstimos</w:t>
      </w:r>
    </w:p>
    <w:p w14:paraId="0ABCA7F6" w14:textId="77777777" w:rsidR="00CF61AB" w:rsidRPr="00D33399" w:rsidRDefault="00CF61AB" w:rsidP="005144E2">
      <w:pPr>
        <w:widowControl/>
        <w:jc w:val="both"/>
        <w:rPr>
          <w:rFonts w:ascii="Arial" w:hAnsi="Arial" w:cs="Arial"/>
          <w:b/>
          <w:sz w:val="16"/>
          <w:szCs w:val="16"/>
        </w:rPr>
      </w:pPr>
    </w:p>
    <w:p w14:paraId="02843EC5" w14:textId="4D7EBBED" w:rsidR="00CF61AB" w:rsidRPr="00D33399" w:rsidRDefault="00CB694C" w:rsidP="005144E2">
      <w:pPr>
        <w:widowControl/>
        <w:jc w:val="both"/>
        <w:rPr>
          <w:rFonts w:ascii="Arial" w:hAnsi="Arial" w:cs="Arial"/>
          <w:b/>
        </w:rPr>
      </w:pPr>
      <w:r w:rsidRPr="00D33399">
        <w:rPr>
          <w:noProof/>
        </w:rPr>
        <w:drawing>
          <wp:inline distT="0" distB="0" distL="0" distR="0" wp14:anchorId="60A06DA7" wp14:editId="5374391E">
            <wp:extent cx="6073140" cy="2385537"/>
            <wp:effectExtent l="0" t="0" r="381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73140" cy="2385537"/>
                    </a:xfrm>
                    <a:prstGeom prst="rect">
                      <a:avLst/>
                    </a:prstGeom>
                    <a:noFill/>
                    <a:ln>
                      <a:noFill/>
                    </a:ln>
                  </pic:spPr>
                </pic:pic>
              </a:graphicData>
            </a:graphic>
          </wp:inline>
        </w:drawing>
      </w:r>
    </w:p>
    <w:p w14:paraId="2668BA19" w14:textId="77777777" w:rsidR="002B3A39" w:rsidRPr="00D33399" w:rsidRDefault="002B3A39" w:rsidP="005144E2">
      <w:pPr>
        <w:widowControl/>
        <w:jc w:val="both"/>
        <w:rPr>
          <w:rFonts w:ascii="Arial" w:hAnsi="Arial" w:cs="Arial"/>
          <w:b/>
        </w:rPr>
      </w:pPr>
    </w:p>
    <w:p w14:paraId="4CF469F1" w14:textId="77777777" w:rsidR="00D9240E" w:rsidRPr="00D33399" w:rsidRDefault="00D9240E" w:rsidP="005144E2">
      <w:pPr>
        <w:widowControl/>
        <w:jc w:val="both"/>
        <w:rPr>
          <w:rFonts w:ascii="Arial" w:hAnsi="Arial" w:cs="Arial"/>
          <w:b/>
        </w:rPr>
      </w:pPr>
    </w:p>
    <w:p w14:paraId="57911C64" w14:textId="77777777" w:rsidR="00D9240E" w:rsidRPr="00D33399" w:rsidRDefault="00D9240E" w:rsidP="005144E2">
      <w:pPr>
        <w:widowControl/>
        <w:jc w:val="both"/>
        <w:rPr>
          <w:rFonts w:ascii="Arial" w:hAnsi="Arial" w:cs="Arial"/>
          <w:b/>
        </w:rPr>
      </w:pPr>
    </w:p>
    <w:p w14:paraId="1AB82335" w14:textId="77777777" w:rsidR="007E15E9" w:rsidRPr="00D33399" w:rsidRDefault="007E15E9" w:rsidP="005144E2">
      <w:pPr>
        <w:widowControl/>
        <w:jc w:val="both"/>
        <w:rPr>
          <w:rFonts w:ascii="Arial" w:hAnsi="Arial" w:cs="Arial"/>
          <w:b/>
          <w:sz w:val="16"/>
          <w:szCs w:val="16"/>
        </w:rPr>
      </w:pPr>
    </w:p>
    <w:p w14:paraId="2CC01156" w14:textId="77777777" w:rsidR="00CB694C" w:rsidRPr="00D33399" w:rsidRDefault="00CB694C" w:rsidP="005144E2">
      <w:pPr>
        <w:widowControl/>
        <w:jc w:val="both"/>
        <w:rPr>
          <w:rFonts w:ascii="Arial" w:hAnsi="Arial" w:cs="Arial"/>
          <w:b/>
          <w:sz w:val="16"/>
          <w:szCs w:val="16"/>
        </w:rPr>
      </w:pPr>
    </w:p>
    <w:p w14:paraId="0DBF3207" w14:textId="77777777" w:rsidR="00CB694C" w:rsidRPr="00D33399" w:rsidRDefault="00CB694C" w:rsidP="005144E2">
      <w:pPr>
        <w:widowControl/>
        <w:jc w:val="both"/>
        <w:rPr>
          <w:rFonts w:ascii="Arial" w:hAnsi="Arial" w:cs="Arial"/>
          <w:b/>
          <w:sz w:val="16"/>
          <w:szCs w:val="16"/>
        </w:rPr>
      </w:pPr>
    </w:p>
    <w:p w14:paraId="7AEEF2B5" w14:textId="77777777" w:rsidR="00CB694C" w:rsidRPr="00D33399" w:rsidRDefault="00CB694C" w:rsidP="005144E2">
      <w:pPr>
        <w:widowControl/>
        <w:jc w:val="both"/>
        <w:rPr>
          <w:rFonts w:ascii="Arial" w:hAnsi="Arial" w:cs="Arial"/>
          <w:b/>
          <w:sz w:val="16"/>
          <w:szCs w:val="16"/>
        </w:rPr>
      </w:pPr>
    </w:p>
    <w:p w14:paraId="3BE2047D" w14:textId="77777777" w:rsidR="00CB694C" w:rsidRPr="00D33399" w:rsidRDefault="00CB694C" w:rsidP="005144E2">
      <w:pPr>
        <w:widowControl/>
        <w:jc w:val="both"/>
        <w:rPr>
          <w:rFonts w:ascii="Arial" w:hAnsi="Arial" w:cs="Arial"/>
          <w:b/>
          <w:sz w:val="16"/>
          <w:szCs w:val="16"/>
        </w:rPr>
      </w:pPr>
    </w:p>
    <w:p w14:paraId="68D2F744" w14:textId="77777777" w:rsidR="00CB694C" w:rsidRPr="00D33399" w:rsidRDefault="00CB694C" w:rsidP="005144E2">
      <w:pPr>
        <w:widowControl/>
        <w:jc w:val="both"/>
        <w:rPr>
          <w:rFonts w:ascii="Arial" w:hAnsi="Arial" w:cs="Arial"/>
          <w:b/>
          <w:sz w:val="16"/>
          <w:szCs w:val="16"/>
        </w:rPr>
      </w:pPr>
    </w:p>
    <w:p w14:paraId="0064CCF7" w14:textId="77777777" w:rsidR="00CB694C" w:rsidRPr="00D33399" w:rsidRDefault="00CB694C" w:rsidP="005144E2">
      <w:pPr>
        <w:widowControl/>
        <w:jc w:val="both"/>
        <w:rPr>
          <w:rFonts w:ascii="Arial" w:hAnsi="Arial" w:cs="Arial"/>
          <w:b/>
          <w:sz w:val="16"/>
          <w:szCs w:val="16"/>
        </w:rPr>
      </w:pPr>
    </w:p>
    <w:p w14:paraId="3617CA5E" w14:textId="77777777" w:rsidR="00CB694C" w:rsidRPr="00D33399" w:rsidRDefault="00CB694C" w:rsidP="005144E2">
      <w:pPr>
        <w:widowControl/>
        <w:jc w:val="both"/>
        <w:rPr>
          <w:rFonts w:ascii="Arial" w:hAnsi="Arial" w:cs="Arial"/>
          <w:b/>
          <w:sz w:val="16"/>
          <w:szCs w:val="16"/>
        </w:rPr>
      </w:pPr>
    </w:p>
    <w:p w14:paraId="49BB3930" w14:textId="77777777" w:rsidR="00CB694C" w:rsidRPr="00D33399" w:rsidRDefault="00CB694C" w:rsidP="005144E2">
      <w:pPr>
        <w:widowControl/>
        <w:jc w:val="both"/>
        <w:rPr>
          <w:rFonts w:ascii="Arial" w:hAnsi="Arial" w:cs="Arial"/>
          <w:b/>
          <w:sz w:val="16"/>
          <w:szCs w:val="16"/>
        </w:rPr>
      </w:pPr>
    </w:p>
    <w:p w14:paraId="2E8DC1C7" w14:textId="77777777" w:rsidR="00CB694C" w:rsidRPr="00D33399" w:rsidRDefault="00CB694C" w:rsidP="005144E2">
      <w:pPr>
        <w:widowControl/>
        <w:jc w:val="both"/>
        <w:rPr>
          <w:rFonts w:ascii="Arial" w:hAnsi="Arial" w:cs="Arial"/>
          <w:b/>
          <w:sz w:val="16"/>
          <w:szCs w:val="16"/>
        </w:rPr>
      </w:pPr>
    </w:p>
    <w:p w14:paraId="252B75BB" w14:textId="77777777" w:rsidR="003F4719" w:rsidRPr="00D33399" w:rsidRDefault="003F4719" w:rsidP="005144E2">
      <w:pPr>
        <w:pStyle w:val="PargrafodaLista"/>
        <w:widowControl/>
        <w:numPr>
          <w:ilvl w:val="0"/>
          <w:numId w:val="12"/>
        </w:numPr>
        <w:ind w:left="567" w:hanging="567"/>
        <w:jc w:val="both"/>
        <w:rPr>
          <w:rFonts w:ascii="Arial" w:hAnsi="Arial" w:cs="Arial"/>
          <w:b/>
        </w:rPr>
      </w:pPr>
      <w:r w:rsidRPr="00D33399">
        <w:rPr>
          <w:rFonts w:ascii="Arial" w:hAnsi="Arial" w:cs="Arial"/>
          <w:b/>
        </w:rPr>
        <w:lastRenderedPageBreak/>
        <w:t>Dívida total com seus vencimentos programados</w:t>
      </w:r>
    </w:p>
    <w:p w14:paraId="0F5059BC" w14:textId="77777777" w:rsidR="00A86941" w:rsidRPr="00D33399" w:rsidRDefault="00A86941" w:rsidP="005144E2">
      <w:pPr>
        <w:pStyle w:val="PargrafodaLista"/>
        <w:widowControl/>
        <w:ind w:left="567"/>
        <w:jc w:val="both"/>
        <w:rPr>
          <w:rFonts w:ascii="Arial" w:hAnsi="Arial" w:cs="Arial"/>
          <w:noProof/>
          <w:sz w:val="16"/>
          <w:szCs w:val="16"/>
        </w:rPr>
      </w:pPr>
    </w:p>
    <w:p w14:paraId="188F29C3" w14:textId="0C4F869E" w:rsidR="00F72229" w:rsidRPr="00D33399" w:rsidRDefault="00A4035B" w:rsidP="005144E2">
      <w:pPr>
        <w:pStyle w:val="PargrafodaLista"/>
        <w:widowControl/>
        <w:ind w:left="567" w:hanging="567"/>
        <w:jc w:val="both"/>
        <w:rPr>
          <w:rFonts w:ascii="Arial" w:hAnsi="Arial" w:cs="Arial"/>
          <w:b/>
        </w:rPr>
      </w:pPr>
      <w:r w:rsidRPr="00D33399">
        <w:rPr>
          <w:noProof/>
        </w:rPr>
        <w:drawing>
          <wp:inline distT="0" distB="0" distL="0" distR="0" wp14:anchorId="58CCB0D4" wp14:editId="71CACE0C">
            <wp:extent cx="4514850" cy="1876425"/>
            <wp:effectExtent l="0" t="0" r="0" b="9525"/>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14850" cy="1876425"/>
                    </a:xfrm>
                    <a:prstGeom prst="rect">
                      <a:avLst/>
                    </a:prstGeom>
                    <a:noFill/>
                    <a:ln>
                      <a:noFill/>
                    </a:ln>
                  </pic:spPr>
                </pic:pic>
              </a:graphicData>
            </a:graphic>
          </wp:inline>
        </w:drawing>
      </w:r>
    </w:p>
    <w:p w14:paraId="4741D49D" w14:textId="77777777" w:rsidR="003A256A" w:rsidRPr="00D33399" w:rsidRDefault="003A256A" w:rsidP="005144E2">
      <w:pPr>
        <w:widowControl/>
        <w:jc w:val="both"/>
        <w:rPr>
          <w:rFonts w:ascii="Arial" w:hAnsi="Arial" w:cs="Arial"/>
          <w:b/>
        </w:rPr>
      </w:pPr>
    </w:p>
    <w:p w14:paraId="5A0C1EDE" w14:textId="77777777" w:rsidR="00EA21AE" w:rsidRPr="00D33399" w:rsidRDefault="00EA21AE" w:rsidP="005144E2">
      <w:pPr>
        <w:widowControl/>
        <w:jc w:val="both"/>
        <w:rPr>
          <w:rFonts w:ascii="Arial" w:hAnsi="Arial" w:cs="Arial"/>
          <w:b/>
        </w:rPr>
      </w:pPr>
    </w:p>
    <w:p w14:paraId="4A15402C" w14:textId="77777777" w:rsidR="00057EE9" w:rsidRPr="00D33399" w:rsidRDefault="00057EE9" w:rsidP="005144E2">
      <w:pPr>
        <w:widowControl/>
        <w:jc w:val="both"/>
        <w:rPr>
          <w:rFonts w:ascii="Arial" w:hAnsi="Arial" w:cs="Arial"/>
          <w:b/>
        </w:rPr>
      </w:pPr>
    </w:p>
    <w:p w14:paraId="1E092276" w14:textId="77777777" w:rsidR="003F4719" w:rsidRPr="00D33399" w:rsidRDefault="003F4719" w:rsidP="005144E2">
      <w:pPr>
        <w:widowControl/>
        <w:jc w:val="both"/>
        <w:rPr>
          <w:rFonts w:ascii="Arial" w:hAnsi="Arial" w:cs="Arial"/>
          <w:b/>
          <w:sz w:val="26"/>
          <w:szCs w:val="26"/>
        </w:rPr>
      </w:pPr>
      <w:r w:rsidRPr="00D33399">
        <w:rPr>
          <w:rFonts w:ascii="Arial" w:hAnsi="Arial" w:cs="Arial"/>
          <w:b/>
          <w:sz w:val="26"/>
          <w:szCs w:val="26"/>
        </w:rPr>
        <w:t>NOTA 18 – IMPOSTOS E CONTRIBUIÇÕES SOCIAIS - PASSIVO</w:t>
      </w:r>
    </w:p>
    <w:p w14:paraId="5F7BCD5A" w14:textId="77777777" w:rsidR="00F72229" w:rsidRPr="00D33399" w:rsidRDefault="00F72229" w:rsidP="005144E2">
      <w:pPr>
        <w:widowControl/>
        <w:jc w:val="both"/>
        <w:rPr>
          <w:rFonts w:ascii="Arial" w:hAnsi="Arial" w:cs="Arial"/>
        </w:rPr>
      </w:pPr>
    </w:p>
    <w:p w14:paraId="2B81D049" w14:textId="77777777" w:rsidR="002577C6" w:rsidRPr="00D33399" w:rsidRDefault="002577C6" w:rsidP="005144E2">
      <w:pPr>
        <w:widowControl/>
        <w:jc w:val="both"/>
        <w:rPr>
          <w:rFonts w:ascii="Arial" w:hAnsi="Arial" w:cs="Arial"/>
        </w:rPr>
      </w:pPr>
    </w:p>
    <w:p w14:paraId="2E204B26" w14:textId="77777777" w:rsidR="003F4719" w:rsidRPr="00D33399" w:rsidRDefault="003F4719" w:rsidP="005144E2">
      <w:pPr>
        <w:widowControl/>
        <w:jc w:val="both"/>
        <w:rPr>
          <w:rFonts w:ascii="Arial" w:hAnsi="Arial" w:cs="Arial"/>
        </w:rPr>
      </w:pPr>
      <w:r w:rsidRPr="00D33399">
        <w:rPr>
          <w:rFonts w:ascii="Arial" w:hAnsi="Arial" w:cs="Arial"/>
        </w:rPr>
        <w:t>A seguir, a composição das obrigações com tributos e contribuições sociais que se apresentam consignados no passivo circulante</w:t>
      </w:r>
      <w:r w:rsidR="00076A15" w:rsidRPr="00D33399">
        <w:rPr>
          <w:rFonts w:ascii="Arial" w:hAnsi="Arial" w:cs="Arial"/>
        </w:rPr>
        <w:t xml:space="preserve"> e não circulante</w:t>
      </w:r>
      <w:r w:rsidRPr="00D33399">
        <w:rPr>
          <w:rFonts w:ascii="Arial" w:hAnsi="Arial" w:cs="Arial"/>
        </w:rPr>
        <w:t>, e que compõem as obrigações correntes, na sua totalidade, a vencer e sem registro de qualquer inadimplência, e os passivos fiscais diferidos.</w:t>
      </w:r>
    </w:p>
    <w:p w14:paraId="34BF734E" w14:textId="08944AC9" w:rsidR="006A5FB5" w:rsidRPr="00D33399" w:rsidRDefault="00817C1C" w:rsidP="005144E2">
      <w:pPr>
        <w:widowControl/>
        <w:jc w:val="both"/>
        <w:rPr>
          <w:rFonts w:ascii="Arial" w:hAnsi="Arial" w:cs="Arial"/>
        </w:rPr>
      </w:pPr>
      <w:r w:rsidRPr="00D33399">
        <w:rPr>
          <w:rFonts w:ascii="Arial" w:hAnsi="Arial" w:cs="Arial"/>
        </w:rPr>
        <w:t xml:space="preserve"> </w:t>
      </w:r>
      <w:r w:rsidR="00DB5C8D" w:rsidRPr="00DB5C8D">
        <w:rPr>
          <w:noProof/>
        </w:rPr>
        <w:drawing>
          <wp:inline distT="0" distB="0" distL="0" distR="0" wp14:anchorId="46A689C5" wp14:editId="26B54162">
            <wp:extent cx="6073140" cy="3241398"/>
            <wp:effectExtent l="0" t="0" r="381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73140" cy="3241398"/>
                    </a:xfrm>
                    <a:prstGeom prst="rect">
                      <a:avLst/>
                    </a:prstGeom>
                    <a:noFill/>
                    <a:ln>
                      <a:noFill/>
                    </a:ln>
                  </pic:spPr>
                </pic:pic>
              </a:graphicData>
            </a:graphic>
          </wp:inline>
        </w:drawing>
      </w:r>
    </w:p>
    <w:p w14:paraId="5A433940" w14:textId="0024A811" w:rsidR="00817C1C" w:rsidRPr="00D33399" w:rsidRDefault="00AD5997" w:rsidP="00817C1C">
      <w:pPr>
        <w:pStyle w:val="PargrafodaLista"/>
        <w:widowControl/>
        <w:numPr>
          <w:ilvl w:val="0"/>
          <w:numId w:val="14"/>
        </w:numPr>
        <w:ind w:left="426" w:hanging="426"/>
        <w:jc w:val="both"/>
        <w:rPr>
          <w:rFonts w:ascii="Arial" w:hAnsi="Arial" w:cs="Arial"/>
        </w:rPr>
      </w:pPr>
      <w:r w:rsidRPr="00D33399">
        <w:rPr>
          <w:rFonts w:ascii="Arial" w:hAnsi="Arial" w:cs="Arial"/>
        </w:rPr>
        <w:t>Aumento do saldo em função d</w:t>
      </w:r>
      <w:r w:rsidR="00C24BF4" w:rsidRPr="00D33399">
        <w:rPr>
          <w:rFonts w:ascii="Arial" w:hAnsi="Arial" w:cs="Arial"/>
        </w:rPr>
        <w:t xml:space="preserve">o diferimento </w:t>
      </w:r>
      <w:r w:rsidRPr="00D33399">
        <w:rPr>
          <w:rFonts w:ascii="Arial" w:hAnsi="Arial" w:cs="Arial"/>
        </w:rPr>
        <w:t>d</w:t>
      </w:r>
      <w:r w:rsidR="00C24BF4" w:rsidRPr="00D33399">
        <w:rPr>
          <w:rFonts w:ascii="Arial" w:hAnsi="Arial" w:cs="Arial"/>
        </w:rPr>
        <w:t>o</w:t>
      </w:r>
      <w:r w:rsidR="00B31E58" w:rsidRPr="00D33399">
        <w:rPr>
          <w:rFonts w:ascii="Arial" w:hAnsi="Arial" w:cs="Arial"/>
        </w:rPr>
        <w:t xml:space="preserve"> pagamento das </w:t>
      </w:r>
      <w:r w:rsidRPr="00D33399">
        <w:rPr>
          <w:rFonts w:ascii="Arial" w:hAnsi="Arial" w:cs="Arial"/>
        </w:rPr>
        <w:t>competências</w:t>
      </w:r>
      <w:r w:rsidR="00071371">
        <w:rPr>
          <w:rFonts w:ascii="Arial" w:hAnsi="Arial" w:cs="Arial"/>
        </w:rPr>
        <w:t xml:space="preserve"> de </w:t>
      </w:r>
      <w:r w:rsidR="00B31E58" w:rsidRPr="00D33399">
        <w:rPr>
          <w:rFonts w:ascii="Arial" w:hAnsi="Arial" w:cs="Arial"/>
        </w:rPr>
        <w:t>abr/20</w:t>
      </w:r>
      <w:r w:rsidR="00071371">
        <w:rPr>
          <w:rFonts w:ascii="Arial" w:hAnsi="Arial" w:cs="Arial"/>
        </w:rPr>
        <w:t xml:space="preserve"> e</w:t>
      </w:r>
      <w:r w:rsidR="00B31E58" w:rsidRPr="00D33399">
        <w:rPr>
          <w:rFonts w:ascii="Arial" w:hAnsi="Arial" w:cs="Arial"/>
        </w:rPr>
        <w:t xml:space="preserve"> mai/20</w:t>
      </w:r>
      <w:r w:rsidRPr="00D33399">
        <w:rPr>
          <w:rFonts w:ascii="Arial" w:hAnsi="Arial" w:cs="Arial"/>
        </w:rPr>
        <w:t xml:space="preserve"> autorizada pelo governo federal no per</w:t>
      </w:r>
      <w:r w:rsidR="00B631C8" w:rsidRPr="00D33399">
        <w:rPr>
          <w:rFonts w:ascii="Arial" w:hAnsi="Arial" w:cs="Arial"/>
        </w:rPr>
        <w:t>íodo da pan</w:t>
      </w:r>
      <w:r w:rsidR="00C931FA" w:rsidRPr="00D33399">
        <w:rPr>
          <w:rFonts w:ascii="Arial" w:hAnsi="Arial" w:cs="Arial"/>
        </w:rPr>
        <w:t>demia</w:t>
      </w:r>
      <w:r w:rsidR="000F5B2C">
        <w:rPr>
          <w:rFonts w:ascii="Arial" w:hAnsi="Arial" w:cs="Arial"/>
        </w:rPr>
        <w:t xml:space="preserve"> para out/20 e nov/20 respectivamente</w:t>
      </w:r>
      <w:r w:rsidRPr="00D33399">
        <w:rPr>
          <w:rFonts w:ascii="Arial" w:hAnsi="Arial" w:cs="Arial"/>
        </w:rPr>
        <w:t>.</w:t>
      </w:r>
    </w:p>
    <w:p w14:paraId="2FB7463D" w14:textId="77777777" w:rsidR="006A5FB5" w:rsidRPr="00D33399" w:rsidRDefault="006A5FB5" w:rsidP="005144E2">
      <w:pPr>
        <w:widowControl/>
        <w:jc w:val="both"/>
        <w:rPr>
          <w:rFonts w:ascii="Arial" w:hAnsi="Arial" w:cs="Arial"/>
        </w:rPr>
      </w:pPr>
    </w:p>
    <w:p w14:paraId="2C4BC0BC" w14:textId="77777777" w:rsidR="00057EE9" w:rsidRPr="00D33399" w:rsidRDefault="00057EE9" w:rsidP="00BF0956">
      <w:pPr>
        <w:jc w:val="both"/>
        <w:rPr>
          <w:rFonts w:ascii="Arial" w:hAnsi="Arial" w:cs="Arial"/>
        </w:rPr>
      </w:pPr>
    </w:p>
    <w:p w14:paraId="250E4FE7" w14:textId="38837F4E" w:rsidR="004E28C9" w:rsidRPr="00D33399" w:rsidRDefault="000371CF" w:rsidP="00BF0956">
      <w:pPr>
        <w:jc w:val="both"/>
        <w:rPr>
          <w:rFonts w:ascii="Arial" w:hAnsi="Arial" w:cs="Arial"/>
        </w:rPr>
      </w:pPr>
      <w:r w:rsidRPr="00D33399">
        <w:rPr>
          <w:rFonts w:ascii="Arial" w:hAnsi="Arial" w:cs="Arial"/>
        </w:rPr>
        <w:t xml:space="preserve">A </w:t>
      </w:r>
      <w:r w:rsidR="00EF23C1" w:rsidRPr="00D33399">
        <w:rPr>
          <w:rFonts w:ascii="Arial" w:hAnsi="Arial" w:cs="Arial"/>
        </w:rPr>
        <w:t>C</w:t>
      </w:r>
      <w:r w:rsidR="005B5BD1" w:rsidRPr="00D33399">
        <w:rPr>
          <w:rFonts w:ascii="Arial" w:hAnsi="Arial" w:cs="Arial"/>
        </w:rPr>
        <w:t xml:space="preserve">ompanhia constitui IRPJ e CSLL </w:t>
      </w:r>
      <w:r w:rsidR="00B631C8" w:rsidRPr="00D33399">
        <w:rPr>
          <w:rFonts w:ascii="Arial" w:hAnsi="Arial" w:cs="Arial"/>
        </w:rPr>
        <w:t>diferidos</w:t>
      </w:r>
      <w:r w:rsidR="005B5BD1" w:rsidRPr="00D33399">
        <w:rPr>
          <w:rFonts w:ascii="Arial" w:hAnsi="Arial" w:cs="Arial"/>
        </w:rPr>
        <w:t xml:space="preserve"> sobre outros resultados abrangentes, ajustes relativos </w:t>
      </w:r>
      <w:r w:rsidR="0087722E" w:rsidRPr="00D33399">
        <w:rPr>
          <w:rFonts w:ascii="Arial" w:hAnsi="Arial" w:cs="Arial"/>
        </w:rPr>
        <w:t>à</w:t>
      </w:r>
      <w:r w:rsidR="005B5BD1" w:rsidRPr="00D33399">
        <w:rPr>
          <w:rFonts w:ascii="Arial" w:hAnsi="Arial" w:cs="Arial"/>
        </w:rPr>
        <w:t xml:space="preserve"> adoção da Lei 11.638, bem como sobre diferenças temporárias que, em </w:t>
      </w:r>
      <w:r w:rsidR="00B631C8" w:rsidRPr="00D33399">
        <w:rPr>
          <w:rFonts w:ascii="Arial" w:hAnsi="Arial" w:cs="Arial"/>
        </w:rPr>
        <w:t>setembro</w:t>
      </w:r>
      <w:r w:rsidR="00D337BC" w:rsidRPr="00D33399">
        <w:rPr>
          <w:rFonts w:ascii="Arial" w:hAnsi="Arial" w:cs="Arial"/>
        </w:rPr>
        <w:t xml:space="preserve"> de 2020</w:t>
      </w:r>
      <w:r w:rsidR="005B5BD1" w:rsidRPr="00D33399">
        <w:rPr>
          <w:rFonts w:ascii="Arial" w:hAnsi="Arial" w:cs="Arial"/>
        </w:rPr>
        <w:t xml:space="preserve">, geraram uma posição líquida </w:t>
      </w:r>
      <w:r w:rsidR="008F6D2D" w:rsidRPr="00D33399">
        <w:rPr>
          <w:rFonts w:ascii="Arial" w:hAnsi="Arial" w:cs="Arial"/>
        </w:rPr>
        <w:t>a</w:t>
      </w:r>
      <w:r w:rsidR="005B5BD1" w:rsidRPr="00D33399">
        <w:rPr>
          <w:rFonts w:ascii="Arial" w:hAnsi="Arial" w:cs="Arial"/>
        </w:rPr>
        <w:t>tiva de IRPJ e CSLL</w:t>
      </w:r>
      <w:r w:rsidR="00B631C8" w:rsidRPr="00D33399">
        <w:rPr>
          <w:rFonts w:ascii="Arial" w:hAnsi="Arial" w:cs="Arial"/>
        </w:rPr>
        <w:t xml:space="preserve"> d</w:t>
      </w:r>
      <w:r w:rsidR="005B5BD1" w:rsidRPr="00D33399">
        <w:rPr>
          <w:rFonts w:ascii="Arial" w:hAnsi="Arial" w:cs="Arial"/>
        </w:rPr>
        <w:t xml:space="preserve">iferidos no montante total de </w:t>
      </w:r>
      <w:r w:rsidR="00262ECE" w:rsidRPr="00D33399">
        <w:rPr>
          <w:rFonts w:ascii="Arial" w:hAnsi="Arial" w:cs="Arial"/>
        </w:rPr>
        <w:t>R$</w:t>
      </w:r>
      <w:r w:rsidR="00220F9F" w:rsidRPr="00D33399">
        <w:rPr>
          <w:rFonts w:ascii="Arial" w:hAnsi="Arial" w:cs="Arial"/>
        </w:rPr>
        <w:t xml:space="preserve"> </w:t>
      </w:r>
      <w:r w:rsidR="002E10AC">
        <w:rPr>
          <w:rFonts w:ascii="Arial" w:hAnsi="Arial" w:cs="Arial"/>
        </w:rPr>
        <w:t>1.989.229</w:t>
      </w:r>
      <w:r w:rsidR="00262ECE" w:rsidRPr="00D33399">
        <w:rPr>
          <w:rFonts w:ascii="Arial" w:hAnsi="Arial" w:cs="Arial"/>
        </w:rPr>
        <w:t xml:space="preserve"> </w:t>
      </w:r>
      <w:r w:rsidR="005B5BD1" w:rsidRPr="00D33399">
        <w:rPr>
          <w:rFonts w:ascii="Arial" w:hAnsi="Arial" w:cs="Arial"/>
        </w:rPr>
        <w:t xml:space="preserve">(R$ </w:t>
      </w:r>
      <w:r w:rsidR="00D337BC" w:rsidRPr="00D33399">
        <w:rPr>
          <w:rFonts w:ascii="Arial" w:hAnsi="Arial" w:cs="Arial"/>
        </w:rPr>
        <w:t>1.874.030</w:t>
      </w:r>
      <w:r w:rsidR="00556783" w:rsidRPr="00D33399">
        <w:rPr>
          <w:rFonts w:ascii="Arial" w:hAnsi="Arial" w:cs="Arial"/>
        </w:rPr>
        <w:t xml:space="preserve"> </w:t>
      </w:r>
      <w:r w:rsidR="005B5BD1" w:rsidRPr="00D33399">
        <w:rPr>
          <w:rFonts w:ascii="Arial" w:hAnsi="Arial" w:cs="Arial"/>
        </w:rPr>
        <w:t>em 201</w:t>
      </w:r>
      <w:r w:rsidR="00D337BC" w:rsidRPr="00D33399">
        <w:rPr>
          <w:rFonts w:ascii="Arial" w:hAnsi="Arial" w:cs="Arial"/>
        </w:rPr>
        <w:t>9</w:t>
      </w:r>
      <w:r w:rsidR="005B5BD1" w:rsidRPr="00D33399">
        <w:rPr>
          <w:rFonts w:ascii="Arial" w:hAnsi="Arial" w:cs="Arial"/>
        </w:rPr>
        <w:t>), contabilizados no Ativo Não Circulante. Todavia, em respeito ao estabelecido pelo CPC 32, foram registradas contas retificadoras, no mesmo montante, também no Ativo Não Circulante, de forma que o citado Ativo Diferido estivesse limitado ao montante do Passivo Diferido de IRPJ e CSLL.</w:t>
      </w:r>
    </w:p>
    <w:p w14:paraId="3C6369DF" w14:textId="77777777" w:rsidR="00220F9F" w:rsidRPr="00D33399" w:rsidRDefault="00220F9F" w:rsidP="00BF0956">
      <w:pPr>
        <w:jc w:val="both"/>
        <w:rPr>
          <w:rFonts w:ascii="Arial" w:hAnsi="Arial" w:cs="Arial"/>
          <w:sz w:val="16"/>
          <w:szCs w:val="16"/>
        </w:rPr>
      </w:pPr>
    </w:p>
    <w:p w14:paraId="78F2FF52" w14:textId="123AC2F8" w:rsidR="00845243" w:rsidRPr="00D33399" w:rsidRDefault="001B6DC3" w:rsidP="00BF0956">
      <w:pPr>
        <w:jc w:val="both"/>
        <w:rPr>
          <w:rFonts w:ascii="Arial" w:hAnsi="Arial" w:cs="Arial"/>
          <w:b/>
        </w:rPr>
      </w:pPr>
      <w:r w:rsidRPr="001B6DC3">
        <w:rPr>
          <w:noProof/>
        </w:rPr>
        <w:drawing>
          <wp:inline distT="0" distB="0" distL="0" distR="0" wp14:anchorId="3B12D1F3" wp14:editId="61D34693">
            <wp:extent cx="6073140" cy="3942020"/>
            <wp:effectExtent l="0" t="0" r="3810" b="190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73140" cy="3942020"/>
                    </a:xfrm>
                    <a:prstGeom prst="rect">
                      <a:avLst/>
                    </a:prstGeom>
                    <a:noFill/>
                    <a:ln>
                      <a:noFill/>
                    </a:ln>
                  </pic:spPr>
                </pic:pic>
              </a:graphicData>
            </a:graphic>
          </wp:inline>
        </w:drawing>
      </w:r>
    </w:p>
    <w:p w14:paraId="1D39EF18" w14:textId="77777777" w:rsidR="008F4E2A" w:rsidRPr="00D33399" w:rsidRDefault="008F4E2A" w:rsidP="005144E2">
      <w:pPr>
        <w:widowControl/>
        <w:tabs>
          <w:tab w:val="center" w:pos="4419"/>
          <w:tab w:val="right" w:pos="8838"/>
        </w:tabs>
        <w:rPr>
          <w:rFonts w:ascii="Arial" w:hAnsi="Arial" w:cs="Arial"/>
          <w:b/>
        </w:rPr>
      </w:pPr>
    </w:p>
    <w:p w14:paraId="52963154" w14:textId="77777777" w:rsidR="004E28C9" w:rsidRPr="00D33399" w:rsidRDefault="004E28C9" w:rsidP="005144E2">
      <w:pPr>
        <w:widowControl/>
        <w:tabs>
          <w:tab w:val="center" w:pos="4419"/>
          <w:tab w:val="right" w:pos="8838"/>
        </w:tabs>
        <w:rPr>
          <w:rFonts w:ascii="Arial" w:hAnsi="Arial" w:cs="Arial"/>
          <w:b/>
        </w:rPr>
      </w:pPr>
    </w:p>
    <w:p w14:paraId="7486765F" w14:textId="77777777" w:rsidR="00F16680" w:rsidRPr="00D33399" w:rsidRDefault="00F16680" w:rsidP="005144E2">
      <w:pPr>
        <w:widowControl/>
        <w:tabs>
          <w:tab w:val="center" w:pos="4419"/>
          <w:tab w:val="right" w:pos="8838"/>
        </w:tabs>
        <w:rPr>
          <w:rFonts w:ascii="Arial" w:hAnsi="Arial" w:cs="Arial"/>
          <w:b/>
        </w:rPr>
      </w:pPr>
    </w:p>
    <w:p w14:paraId="070D81BB" w14:textId="77777777" w:rsidR="00EC6B13" w:rsidRPr="00D33399" w:rsidRDefault="00EC6B13" w:rsidP="005144E2">
      <w:pPr>
        <w:widowControl/>
        <w:tabs>
          <w:tab w:val="center" w:pos="4419"/>
          <w:tab w:val="right" w:pos="8838"/>
        </w:tabs>
        <w:rPr>
          <w:rFonts w:ascii="Arial" w:hAnsi="Arial" w:cs="Arial"/>
          <w:b/>
          <w:sz w:val="26"/>
          <w:szCs w:val="26"/>
        </w:rPr>
      </w:pPr>
    </w:p>
    <w:p w14:paraId="7262EC1D" w14:textId="77777777" w:rsidR="00F16506" w:rsidRPr="00D33399" w:rsidRDefault="00F16506" w:rsidP="005144E2">
      <w:pPr>
        <w:widowControl/>
        <w:tabs>
          <w:tab w:val="center" w:pos="4419"/>
          <w:tab w:val="right" w:pos="8838"/>
        </w:tabs>
        <w:rPr>
          <w:rFonts w:ascii="Arial" w:hAnsi="Arial" w:cs="Arial"/>
          <w:b/>
          <w:sz w:val="26"/>
          <w:szCs w:val="26"/>
        </w:rPr>
      </w:pPr>
    </w:p>
    <w:p w14:paraId="5808FFFB" w14:textId="77777777" w:rsidR="00F16506" w:rsidRPr="00D33399" w:rsidRDefault="00F16506" w:rsidP="005144E2">
      <w:pPr>
        <w:widowControl/>
        <w:tabs>
          <w:tab w:val="center" w:pos="4419"/>
          <w:tab w:val="right" w:pos="8838"/>
        </w:tabs>
        <w:rPr>
          <w:rFonts w:ascii="Arial" w:hAnsi="Arial" w:cs="Arial"/>
          <w:b/>
          <w:sz w:val="26"/>
          <w:szCs w:val="26"/>
        </w:rPr>
      </w:pPr>
    </w:p>
    <w:p w14:paraId="6C512C27" w14:textId="77777777" w:rsidR="00F16506" w:rsidRPr="00D33399" w:rsidRDefault="00F16506" w:rsidP="005144E2">
      <w:pPr>
        <w:widowControl/>
        <w:tabs>
          <w:tab w:val="center" w:pos="4419"/>
          <w:tab w:val="right" w:pos="8838"/>
        </w:tabs>
        <w:rPr>
          <w:rFonts w:ascii="Arial" w:hAnsi="Arial" w:cs="Arial"/>
          <w:b/>
          <w:sz w:val="26"/>
          <w:szCs w:val="26"/>
        </w:rPr>
      </w:pPr>
    </w:p>
    <w:p w14:paraId="0117CA8F" w14:textId="77777777" w:rsidR="00F16506" w:rsidRPr="00D33399" w:rsidRDefault="00F16506" w:rsidP="005144E2">
      <w:pPr>
        <w:widowControl/>
        <w:tabs>
          <w:tab w:val="center" w:pos="4419"/>
          <w:tab w:val="right" w:pos="8838"/>
        </w:tabs>
        <w:rPr>
          <w:rFonts w:ascii="Arial" w:hAnsi="Arial" w:cs="Arial"/>
          <w:b/>
          <w:sz w:val="26"/>
          <w:szCs w:val="26"/>
        </w:rPr>
      </w:pPr>
    </w:p>
    <w:p w14:paraId="08C28321" w14:textId="77777777" w:rsidR="00F16506" w:rsidRPr="00D33399" w:rsidRDefault="00F16506" w:rsidP="005144E2">
      <w:pPr>
        <w:widowControl/>
        <w:tabs>
          <w:tab w:val="center" w:pos="4419"/>
          <w:tab w:val="right" w:pos="8838"/>
        </w:tabs>
        <w:rPr>
          <w:rFonts w:ascii="Arial" w:hAnsi="Arial" w:cs="Arial"/>
          <w:b/>
          <w:sz w:val="26"/>
          <w:szCs w:val="26"/>
        </w:rPr>
      </w:pPr>
    </w:p>
    <w:p w14:paraId="292D3ECA" w14:textId="77777777" w:rsidR="00F16506" w:rsidRPr="00D33399" w:rsidRDefault="00F16506" w:rsidP="005144E2">
      <w:pPr>
        <w:widowControl/>
        <w:tabs>
          <w:tab w:val="center" w:pos="4419"/>
          <w:tab w:val="right" w:pos="8838"/>
        </w:tabs>
        <w:rPr>
          <w:rFonts w:ascii="Arial" w:hAnsi="Arial" w:cs="Arial"/>
          <w:b/>
          <w:sz w:val="26"/>
          <w:szCs w:val="26"/>
        </w:rPr>
      </w:pPr>
    </w:p>
    <w:p w14:paraId="47CE9A65" w14:textId="77777777" w:rsidR="00F16506" w:rsidRPr="00D33399" w:rsidRDefault="00F16506" w:rsidP="005144E2">
      <w:pPr>
        <w:widowControl/>
        <w:tabs>
          <w:tab w:val="center" w:pos="4419"/>
          <w:tab w:val="right" w:pos="8838"/>
        </w:tabs>
        <w:rPr>
          <w:rFonts w:ascii="Arial" w:hAnsi="Arial" w:cs="Arial"/>
          <w:b/>
          <w:sz w:val="26"/>
          <w:szCs w:val="26"/>
        </w:rPr>
      </w:pPr>
    </w:p>
    <w:p w14:paraId="5B11A828" w14:textId="77777777" w:rsidR="00C9653E" w:rsidRPr="00D33399" w:rsidRDefault="00C9653E" w:rsidP="005144E2">
      <w:pPr>
        <w:widowControl/>
        <w:tabs>
          <w:tab w:val="center" w:pos="4419"/>
          <w:tab w:val="right" w:pos="8838"/>
        </w:tabs>
        <w:rPr>
          <w:rFonts w:ascii="Arial" w:hAnsi="Arial" w:cs="Arial"/>
          <w:b/>
          <w:sz w:val="26"/>
          <w:szCs w:val="26"/>
        </w:rPr>
      </w:pPr>
    </w:p>
    <w:p w14:paraId="2C36A4DF" w14:textId="77777777" w:rsidR="00EC6B13" w:rsidRPr="00D33399" w:rsidRDefault="00EC6B13" w:rsidP="005144E2">
      <w:pPr>
        <w:widowControl/>
        <w:tabs>
          <w:tab w:val="center" w:pos="4419"/>
          <w:tab w:val="right" w:pos="8838"/>
        </w:tabs>
        <w:rPr>
          <w:rFonts w:ascii="Arial" w:hAnsi="Arial" w:cs="Arial"/>
          <w:b/>
          <w:sz w:val="26"/>
          <w:szCs w:val="26"/>
        </w:rPr>
      </w:pPr>
    </w:p>
    <w:p w14:paraId="3DEECBA4" w14:textId="77777777" w:rsidR="00C70F1B" w:rsidRDefault="00C70F1B" w:rsidP="005144E2">
      <w:pPr>
        <w:widowControl/>
        <w:tabs>
          <w:tab w:val="center" w:pos="4419"/>
          <w:tab w:val="right" w:pos="8838"/>
        </w:tabs>
        <w:rPr>
          <w:rFonts w:ascii="Arial" w:hAnsi="Arial" w:cs="Arial"/>
          <w:b/>
          <w:sz w:val="26"/>
          <w:szCs w:val="26"/>
        </w:rPr>
      </w:pPr>
    </w:p>
    <w:p w14:paraId="65780D26" w14:textId="1D6B7185" w:rsidR="009E77CC" w:rsidRPr="00D33399" w:rsidRDefault="003F4719" w:rsidP="005144E2">
      <w:pPr>
        <w:widowControl/>
        <w:tabs>
          <w:tab w:val="center" w:pos="4419"/>
          <w:tab w:val="right" w:pos="8838"/>
        </w:tabs>
        <w:rPr>
          <w:rFonts w:ascii="Arial" w:hAnsi="Arial" w:cs="Arial"/>
          <w:b/>
          <w:sz w:val="26"/>
          <w:szCs w:val="26"/>
        </w:rPr>
      </w:pPr>
      <w:r w:rsidRPr="00D33399">
        <w:rPr>
          <w:rFonts w:ascii="Arial" w:hAnsi="Arial" w:cs="Arial"/>
          <w:b/>
          <w:sz w:val="26"/>
          <w:szCs w:val="26"/>
        </w:rPr>
        <w:t>NOTA 19 – OBRIGAÇÕES ESTIMADAS</w:t>
      </w:r>
    </w:p>
    <w:p w14:paraId="36A08317" w14:textId="77777777" w:rsidR="004E28C9" w:rsidRPr="00D33399" w:rsidRDefault="004E28C9" w:rsidP="005144E2">
      <w:pPr>
        <w:widowControl/>
        <w:tabs>
          <w:tab w:val="center" w:pos="4419"/>
          <w:tab w:val="right" w:pos="8838"/>
        </w:tabs>
        <w:rPr>
          <w:rFonts w:ascii="Arial" w:hAnsi="Arial" w:cs="Arial"/>
          <w:b/>
        </w:rPr>
      </w:pPr>
    </w:p>
    <w:p w14:paraId="1C78207D" w14:textId="77777777" w:rsidR="00D5370F" w:rsidRPr="00D33399" w:rsidRDefault="00D5370F" w:rsidP="005144E2">
      <w:pPr>
        <w:widowControl/>
        <w:tabs>
          <w:tab w:val="center" w:pos="4419"/>
          <w:tab w:val="right" w:pos="8838"/>
        </w:tabs>
        <w:rPr>
          <w:rFonts w:ascii="Arial" w:hAnsi="Arial" w:cs="Arial"/>
          <w:b/>
        </w:rPr>
      </w:pPr>
    </w:p>
    <w:p w14:paraId="7B6219B7" w14:textId="53CF72B0" w:rsidR="00505449" w:rsidRPr="00D33399" w:rsidRDefault="009D4087" w:rsidP="005144E2">
      <w:pPr>
        <w:keepNext/>
        <w:widowControl/>
        <w:jc w:val="both"/>
        <w:outlineLvl w:val="0"/>
        <w:rPr>
          <w:rFonts w:ascii="Arial" w:hAnsi="Arial" w:cs="Arial"/>
          <w:b/>
        </w:rPr>
      </w:pPr>
      <w:r w:rsidRPr="009D4087">
        <w:rPr>
          <w:noProof/>
        </w:rPr>
        <w:drawing>
          <wp:inline distT="0" distB="0" distL="0" distR="0" wp14:anchorId="3E4BAA41" wp14:editId="7A66C639">
            <wp:extent cx="5572125" cy="1657350"/>
            <wp:effectExtent l="0" t="0" r="952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572125" cy="1657350"/>
                    </a:xfrm>
                    <a:prstGeom prst="rect">
                      <a:avLst/>
                    </a:prstGeom>
                    <a:noFill/>
                    <a:ln>
                      <a:noFill/>
                    </a:ln>
                  </pic:spPr>
                </pic:pic>
              </a:graphicData>
            </a:graphic>
          </wp:inline>
        </w:drawing>
      </w:r>
    </w:p>
    <w:p w14:paraId="737B9BB8" w14:textId="77777777" w:rsidR="000767AF" w:rsidRPr="00D33399" w:rsidRDefault="000767AF" w:rsidP="005144E2">
      <w:pPr>
        <w:keepNext/>
        <w:widowControl/>
        <w:jc w:val="both"/>
        <w:outlineLvl w:val="0"/>
        <w:rPr>
          <w:rFonts w:ascii="Arial" w:hAnsi="Arial" w:cs="Arial"/>
          <w:b/>
          <w:sz w:val="26"/>
          <w:szCs w:val="26"/>
        </w:rPr>
      </w:pPr>
    </w:p>
    <w:p w14:paraId="5F23AF80" w14:textId="77777777" w:rsidR="009F2AEA" w:rsidRPr="00D33399" w:rsidRDefault="009F2AEA" w:rsidP="005144E2">
      <w:pPr>
        <w:keepNext/>
        <w:widowControl/>
        <w:jc w:val="both"/>
        <w:outlineLvl w:val="0"/>
        <w:rPr>
          <w:rFonts w:ascii="Arial" w:hAnsi="Arial" w:cs="Arial"/>
          <w:b/>
          <w:sz w:val="26"/>
          <w:szCs w:val="26"/>
        </w:rPr>
      </w:pPr>
    </w:p>
    <w:p w14:paraId="65F5D2C9" w14:textId="77777777" w:rsidR="009544B7" w:rsidRPr="00D33399" w:rsidRDefault="009544B7" w:rsidP="005144E2">
      <w:pPr>
        <w:keepNext/>
        <w:widowControl/>
        <w:jc w:val="both"/>
        <w:outlineLvl w:val="0"/>
        <w:rPr>
          <w:rFonts w:ascii="Arial" w:hAnsi="Arial" w:cs="Arial"/>
          <w:b/>
          <w:sz w:val="26"/>
          <w:szCs w:val="26"/>
        </w:rPr>
      </w:pPr>
    </w:p>
    <w:p w14:paraId="4B9FF497" w14:textId="77777777" w:rsidR="003F4719" w:rsidRPr="00D33399" w:rsidRDefault="003F4719" w:rsidP="005144E2">
      <w:pPr>
        <w:keepNext/>
        <w:widowControl/>
        <w:jc w:val="both"/>
        <w:outlineLvl w:val="0"/>
        <w:rPr>
          <w:rFonts w:ascii="Arial" w:hAnsi="Arial" w:cs="Arial"/>
          <w:b/>
          <w:sz w:val="26"/>
          <w:szCs w:val="26"/>
        </w:rPr>
      </w:pPr>
      <w:r w:rsidRPr="00D33399">
        <w:rPr>
          <w:rFonts w:ascii="Arial" w:hAnsi="Arial" w:cs="Arial"/>
          <w:b/>
          <w:sz w:val="26"/>
          <w:szCs w:val="26"/>
        </w:rPr>
        <w:t>NOTA 20 – ENCARGOS SETORIAIS</w:t>
      </w:r>
    </w:p>
    <w:p w14:paraId="527723B7" w14:textId="77777777" w:rsidR="003F7EBB" w:rsidRPr="00D33399" w:rsidRDefault="003F7EBB" w:rsidP="005144E2">
      <w:pPr>
        <w:rPr>
          <w:rFonts w:ascii="Arial" w:hAnsi="Arial" w:cs="Arial"/>
          <w:b/>
        </w:rPr>
      </w:pPr>
    </w:p>
    <w:p w14:paraId="126840AE" w14:textId="77777777" w:rsidR="00EF5144" w:rsidRPr="00D33399" w:rsidRDefault="00EF5144" w:rsidP="005144E2">
      <w:pPr>
        <w:rPr>
          <w:rFonts w:ascii="Arial" w:hAnsi="Arial" w:cs="Arial"/>
          <w:b/>
        </w:rPr>
      </w:pPr>
    </w:p>
    <w:p w14:paraId="7F5FBBB1" w14:textId="3744E69B" w:rsidR="003F7EBB" w:rsidRPr="00D33399" w:rsidRDefault="00655318" w:rsidP="005144E2">
      <w:pPr>
        <w:rPr>
          <w:rFonts w:ascii="Arial" w:hAnsi="Arial" w:cs="Arial"/>
          <w:b/>
        </w:rPr>
      </w:pPr>
      <w:r w:rsidRPr="00D33399">
        <w:rPr>
          <w:noProof/>
        </w:rPr>
        <w:drawing>
          <wp:inline distT="0" distB="0" distL="0" distR="0" wp14:anchorId="1A8EFE6A" wp14:editId="2608B643">
            <wp:extent cx="4943475" cy="1323975"/>
            <wp:effectExtent l="0" t="0" r="9525" b="9525"/>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943475" cy="1323975"/>
                    </a:xfrm>
                    <a:prstGeom prst="rect">
                      <a:avLst/>
                    </a:prstGeom>
                    <a:noFill/>
                    <a:ln>
                      <a:noFill/>
                    </a:ln>
                  </pic:spPr>
                </pic:pic>
              </a:graphicData>
            </a:graphic>
          </wp:inline>
        </w:drawing>
      </w:r>
    </w:p>
    <w:p w14:paraId="0D2204DA" w14:textId="77777777" w:rsidR="00EC6B13" w:rsidRPr="00D33399" w:rsidRDefault="00EC6B13" w:rsidP="005144E2">
      <w:pPr>
        <w:rPr>
          <w:rFonts w:ascii="Arial" w:hAnsi="Arial" w:cs="Arial"/>
          <w:b/>
          <w:sz w:val="26"/>
          <w:szCs w:val="26"/>
        </w:rPr>
      </w:pPr>
    </w:p>
    <w:p w14:paraId="6D20D045" w14:textId="77777777" w:rsidR="00EC6B13" w:rsidRPr="00D33399" w:rsidRDefault="00EC6B13" w:rsidP="005144E2">
      <w:pPr>
        <w:rPr>
          <w:rFonts w:ascii="Arial" w:hAnsi="Arial" w:cs="Arial"/>
          <w:b/>
          <w:sz w:val="26"/>
          <w:szCs w:val="26"/>
        </w:rPr>
      </w:pPr>
    </w:p>
    <w:p w14:paraId="7710B08A" w14:textId="77777777" w:rsidR="009F2AEA" w:rsidRPr="00D33399" w:rsidRDefault="009F2AEA" w:rsidP="005144E2">
      <w:pPr>
        <w:rPr>
          <w:rFonts w:ascii="Arial" w:hAnsi="Arial" w:cs="Arial"/>
          <w:b/>
          <w:sz w:val="26"/>
          <w:szCs w:val="26"/>
        </w:rPr>
      </w:pPr>
    </w:p>
    <w:p w14:paraId="0C7E71AF" w14:textId="77777777" w:rsidR="00F47BC0" w:rsidRPr="00D33399" w:rsidRDefault="00F47BC0" w:rsidP="005144E2">
      <w:pPr>
        <w:rPr>
          <w:rFonts w:ascii="Arial" w:hAnsi="Arial" w:cs="Arial"/>
          <w:b/>
          <w:sz w:val="26"/>
          <w:szCs w:val="26"/>
        </w:rPr>
      </w:pPr>
      <w:r w:rsidRPr="00D33399">
        <w:rPr>
          <w:rFonts w:ascii="Arial" w:hAnsi="Arial" w:cs="Arial"/>
          <w:b/>
          <w:sz w:val="26"/>
          <w:szCs w:val="26"/>
        </w:rPr>
        <w:t>NOTA 21 – BENEFÍCIOS PÓS-EMPREGO</w:t>
      </w:r>
    </w:p>
    <w:p w14:paraId="69DBF3AE" w14:textId="77777777" w:rsidR="00754FF6" w:rsidRPr="00D33399" w:rsidRDefault="00754FF6" w:rsidP="005144E2">
      <w:pPr>
        <w:rPr>
          <w:rFonts w:ascii="Arial" w:hAnsi="Arial" w:cs="Arial"/>
          <w:b/>
        </w:rPr>
      </w:pPr>
    </w:p>
    <w:p w14:paraId="36204163" w14:textId="77777777" w:rsidR="005A2219" w:rsidRPr="00D33399" w:rsidRDefault="005A2219" w:rsidP="005144E2">
      <w:pPr>
        <w:rPr>
          <w:rFonts w:ascii="Arial" w:hAnsi="Arial" w:cs="Arial"/>
          <w:b/>
        </w:rPr>
      </w:pPr>
    </w:p>
    <w:p w14:paraId="0E795161" w14:textId="2C89AD54" w:rsidR="00325A12" w:rsidRPr="00D33399" w:rsidRDefault="00702915" w:rsidP="005144E2">
      <w:pPr>
        <w:rPr>
          <w:rFonts w:ascii="Arial" w:hAnsi="Arial" w:cs="Arial"/>
          <w:b/>
        </w:rPr>
      </w:pPr>
      <w:r w:rsidRPr="00D33399">
        <w:rPr>
          <w:noProof/>
        </w:rPr>
        <w:drawing>
          <wp:inline distT="0" distB="0" distL="0" distR="0" wp14:anchorId="239B8232" wp14:editId="647EE93C">
            <wp:extent cx="6073140" cy="1100556"/>
            <wp:effectExtent l="0" t="0" r="3810" b="444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73140" cy="1100556"/>
                    </a:xfrm>
                    <a:prstGeom prst="rect">
                      <a:avLst/>
                    </a:prstGeom>
                    <a:noFill/>
                    <a:ln>
                      <a:noFill/>
                    </a:ln>
                  </pic:spPr>
                </pic:pic>
              </a:graphicData>
            </a:graphic>
          </wp:inline>
        </w:drawing>
      </w:r>
    </w:p>
    <w:p w14:paraId="154DCE51" w14:textId="77777777" w:rsidR="009F2AEA" w:rsidRPr="00D33399" w:rsidRDefault="009F2AEA" w:rsidP="005144E2">
      <w:pPr>
        <w:rPr>
          <w:rFonts w:ascii="Arial" w:hAnsi="Arial" w:cs="Arial"/>
          <w:b/>
        </w:rPr>
      </w:pPr>
    </w:p>
    <w:p w14:paraId="2185C7FF" w14:textId="1061FBB7" w:rsidR="00F472B7" w:rsidRPr="00D33399" w:rsidRDefault="00F472B7" w:rsidP="00F472B7">
      <w:pPr>
        <w:jc w:val="both"/>
        <w:rPr>
          <w:rFonts w:ascii="Arial" w:hAnsi="Arial"/>
        </w:rPr>
      </w:pPr>
      <w:r w:rsidRPr="00D33399">
        <w:rPr>
          <w:rFonts w:ascii="Arial" w:hAnsi="Arial"/>
        </w:rPr>
        <w:t>Em 3</w:t>
      </w:r>
      <w:r w:rsidR="004E55D7" w:rsidRPr="00D33399">
        <w:rPr>
          <w:rFonts w:ascii="Arial" w:hAnsi="Arial"/>
        </w:rPr>
        <w:t>0</w:t>
      </w:r>
      <w:r w:rsidRPr="00D33399">
        <w:rPr>
          <w:rFonts w:ascii="Arial" w:hAnsi="Arial"/>
        </w:rPr>
        <w:t xml:space="preserve"> de </w:t>
      </w:r>
      <w:r w:rsidR="00981709" w:rsidRPr="00D33399">
        <w:rPr>
          <w:rFonts w:ascii="Arial" w:hAnsi="Arial"/>
        </w:rPr>
        <w:t>setembro</w:t>
      </w:r>
      <w:r w:rsidRPr="00D33399">
        <w:rPr>
          <w:rFonts w:ascii="Arial" w:hAnsi="Arial"/>
        </w:rPr>
        <w:t xml:space="preserve"> de 2020</w:t>
      </w:r>
      <w:r w:rsidR="00EF5144" w:rsidRPr="00D33399">
        <w:rPr>
          <w:rFonts w:ascii="Arial" w:hAnsi="Arial"/>
        </w:rPr>
        <w:t>,</w:t>
      </w:r>
      <w:r w:rsidRPr="00D33399">
        <w:rPr>
          <w:rFonts w:ascii="Arial" w:hAnsi="Arial"/>
        </w:rPr>
        <w:t xml:space="preserve"> não ocorreram alterações na natureza e nas condições dos planos de benefícios à aposentadoria em relação ao descrito na </w:t>
      </w:r>
      <w:r w:rsidR="00325A12" w:rsidRPr="00D33399">
        <w:rPr>
          <w:rFonts w:ascii="Arial" w:hAnsi="Arial"/>
        </w:rPr>
        <w:t>n</w:t>
      </w:r>
      <w:r w:rsidRPr="00D33399">
        <w:rPr>
          <w:rFonts w:ascii="Arial" w:hAnsi="Arial"/>
        </w:rPr>
        <w:t>ota 21 das demonstrações financeiras da Companhia do exercício findo em 31 de dezembro de 2019.</w:t>
      </w:r>
    </w:p>
    <w:p w14:paraId="24563663" w14:textId="77777777" w:rsidR="00325A12" w:rsidRPr="00D33399" w:rsidRDefault="00325A12" w:rsidP="00F472B7">
      <w:pPr>
        <w:jc w:val="both"/>
        <w:rPr>
          <w:rFonts w:ascii="Arial" w:hAnsi="Arial"/>
        </w:rPr>
      </w:pPr>
    </w:p>
    <w:p w14:paraId="1A714903" w14:textId="77777777" w:rsidR="00325A12" w:rsidRPr="00D33399" w:rsidRDefault="00325A12" w:rsidP="00325A12">
      <w:pPr>
        <w:keepNext/>
        <w:widowControl/>
        <w:spacing w:line="240" w:lineRule="auto"/>
        <w:jc w:val="both"/>
        <w:outlineLvl w:val="0"/>
        <w:rPr>
          <w:rFonts w:ascii="Arial" w:hAnsi="Arial"/>
          <w:b/>
        </w:rPr>
      </w:pPr>
      <w:r w:rsidRPr="00D33399">
        <w:rPr>
          <w:rFonts w:ascii="Arial" w:hAnsi="Arial"/>
          <w:b/>
        </w:rPr>
        <w:lastRenderedPageBreak/>
        <w:t>a) Movimentação das obrigações de benefícios de aposentadoria</w:t>
      </w:r>
    </w:p>
    <w:p w14:paraId="070AB1CA" w14:textId="77777777" w:rsidR="00325A12" w:rsidRPr="00D33399" w:rsidRDefault="00325A12" w:rsidP="00325A12">
      <w:pPr>
        <w:widowControl/>
        <w:tabs>
          <w:tab w:val="center" w:pos="4419"/>
          <w:tab w:val="right" w:pos="8838"/>
        </w:tabs>
        <w:spacing w:line="240" w:lineRule="auto"/>
        <w:rPr>
          <w:rFonts w:ascii="Arial" w:hAnsi="Arial"/>
          <w:b/>
          <w:sz w:val="16"/>
          <w:szCs w:val="16"/>
        </w:rPr>
      </w:pPr>
    </w:p>
    <w:p w14:paraId="4053409D" w14:textId="1D6598E2" w:rsidR="00325A12" w:rsidRPr="00D33399" w:rsidRDefault="00325A12" w:rsidP="00325A12">
      <w:pPr>
        <w:keepNext/>
        <w:widowControl/>
        <w:spacing w:line="240" w:lineRule="auto"/>
        <w:jc w:val="both"/>
        <w:outlineLvl w:val="0"/>
        <w:rPr>
          <w:rFonts w:ascii="Arial" w:hAnsi="Arial"/>
        </w:rPr>
      </w:pPr>
      <w:r w:rsidRPr="00D33399">
        <w:rPr>
          <w:rFonts w:ascii="Arial" w:hAnsi="Arial"/>
        </w:rPr>
        <w:t>O estudo atuarial, em consonância com o CPC 33, efetuado por atuário independente para a data base de 31 de dezembro de 201</w:t>
      </w:r>
      <w:r w:rsidR="000A5242" w:rsidRPr="00D33399">
        <w:rPr>
          <w:rFonts w:ascii="Arial" w:hAnsi="Arial"/>
        </w:rPr>
        <w:t>9</w:t>
      </w:r>
      <w:r w:rsidRPr="00D33399">
        <w:rPr>
          <w:rFonts w:ascii="Arial" w:hAnsi="Arial"/>
        </w:rPr>
        <w:t>, apresentou passivo de R$</w:t>
      </w:r>
      <w:r w:rsidR="000A5242" w:rsidRPr="00D33399">
        <w:rPr>
          <w:rFonts w:ascii="Arial" w:hAnsi="Arial"/>
        </w:rPr>
        <w:t xml:space="preserve"> 77.463</w:t>
      </w:r>
      <w:r w:rsidRPr="00D33399">
        <w:rPr>
          <w:rFonts w:ascii="Arial" w:hAnsi="Arial"/>
        </w:rPr>
        <w:t>. O referido estudo atuarial será revisado em 31 de dezembro de 20</w:t>
      </w:r>
      <w:r w:rsidR="00370AF8" w:rsidRPr="00D33399">
        <w:rPr>
          <w:rFonts w:ascii="Arial" w:hAnsi="Arial"/>
        </w:rPr>
        <w:t>20</w:t>
      </w:r>
      <w:r w:rsidRPr="00D33399">
        <w:rPr>
          <w:rFonts w:ascii="Arial" w:hAnsi="Arial"/>
        </w:rPr>
        <w:t>. A movimentação das obrigações dos benefícios de aposentadoria com base nas estimativas para 20</w:t>
      </w:r>
      <w:r w:rsidR="00370AF8" w:rsidRPr="00D33399">
        <w:rPr>
          <w:rFonts w:ascii="Arial" w:hAnsi="Arial"/>
        </w:rPr>
        <w:t>20</w:t>
      </w:r>
      <w:r w:rsidRPr="00D33399">
        <w:rPr>
          <w:rFonts w:ascii="Arial" w:hAnsi="Arial"/>
        </w:rPr>
        <w:t xml:space="preserve"> pode ser assim demonstrada:</w:t>
      </w:r>
    </w:p>
    <w:p w14:paraId="54E2A3A5" w14:textId="77777777" w:rsidR="00F472B7" w:rsidRPr="00D33399" w:rsidRDefault="00F472B7" w:rsidP="00F472B7">
      <w:pPr>
        <w:jc w:val="both"/>
        <w:rPr>
          <w:rFonts w:ascii="Arial" w:hAnsi="Arial"/>
          <w:sz w:val="16"/>
          <w:szCs w:val="16"/>
        </w:rPr>
      </w:pPr>
    </w:p>
    <w:p w14:paraId="15ACDE44" w14:textId="3CA29DFA" w:rsidR="00F472B7" w:rsidRPr="00D33399" w:rsidRDefault="00702915" w:rsidP="00F472B7">
      <w:pPr>
        <w:jc w:val="both"/>
        <w:rPr>
          <w:rFonts w:ascii="Arial" w:hAnsi="Arial"/>
        </w:rPr>
      </w:pPr>
      <w:r w:rsidRPr="00D33399">
        <w:rPr>
          <w:noProof/>
        </w:rPr>
        <w:drawing>
          <wp:inline distT="0" distB="0" distL="0" distR="0" wp14:anchorId="62BE3F05" wp14:editId="28F791D7">
            <wp:extent cx="5953125" cy="790575"/>
            <wp:effectExtent l="0" t="0" r="9525" b="9525"/>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53125" cy="790575"/>
                    </a:xfrm>
                    <a:prstGeom prst="rect">
                      <a:avLst/>
                    </a:prstGeom>
                    <a:noFill/>
                    <a:ln>
                      <a:noFill/>
                    </a:ln>
                  </pic:spPr>
                </pic:pic>
              </a:graphicData>
            </a:graphic>
          </wp:inline>
        </w:drawing>
      </w:r>
    </w:p>
    <w:p w14:paraId="23D78AB5" w14:textId="77777777" w:rsidR="00F472B7" w:rsidRPr="00D33399" w:rsidRDefault="00F472B7" w:rsidP="00F472B7">
      <w:pPr>
        <w:jc w:val="both"/>
        <w:rPr>
          <w:rFonts w:ascii="Arial" w:hAnsi="Arial"/>
        </w:rPr>
      </w:pPr>
    </w:p>
    <w:p w14:paraId="1EF0F77B" w14:textId="77777777" w:rsidR="00F472B7" w:rsidRPr="00D33399" w:rsidRDefault="00F472B7" w:rsidP="00F472B7">
      <w:pPr>
        <w:jc w:val="both"/>
        <w:rPr>
          <w:rFonts w:ascii="Arial" w:hAnsi="Arial"/>
        </w:rPr>
      </w:pPr>
    </w:p>
    <w:p w14:paraId="1D52E63A" w14:textId="77777777" w:rsidR="00645811" w:rsidRPr="00D33399" w:rsidRDefault="00645811" w:rsidP="00F472B7">
      <w:pPr>
        <w:jc w:val="both"/>
        <w:rPr>
          <w:rFonts w:ascii="Arial" w:hAnsi="Arial"/>
        </w:rPr>
      </w:pPr>
    </w:p>
    <w:p w14:paraId="10570FEC" w14:textId="77777777" w:rsidR="00B97C3A" w:rsidRPr="00D33399" w:rsidRDefault="003F4719" w:rsidP="005144E2">
      <w:pPr>
        <w:widowControl/>
        <w:tabs>
          <w:tab w:val="center" w:pos="4419"/>
          <w:tab w:val="right" w:pos="8838"/>
        </w:tabs>
        <w:rPr>
          <w:rFonts w:ascii="Arial" w:hAnsi="Arial" w:cs="Arial"/>
          <w:b/>
          <w:sz w:val="26"/>
          <w:szCs w:val="26"/>
        </w:rPr>
      </w:pPr>
      <w:r w:rsidRPr="00D33399">
        <w:rPr>
          <w:rFonts w:ascii="Arial" w:hAnsi="Arial" w:cs="Arial"/>
          <w:b/>
          <w:sz w:val="26"/>
          <w:szCs w:val="26"/>
        </w:rPr>
        <w:t>NOTA 22 – PROVISÃO PARA PLANO</w:t>
      </w:r>
      <w:r w:rsidR="001D7513" w:rsidRPr="00D33399">
        <w:rPr>
          <w:rFonts w:ascii="Arial" w:hAnsi="Arial" w:cs="Arial"/>
          <w:b/>
          <w:sz w:val="26"/>
          <w:szCs w:val="26"/>
        </w:rPr>
        <w:t>S</w:t>
      </w:r>
      <w:r w:rsidRPr="00D33399">
        <w:rPr>
          <w:rFonts w:ascii="Arial" w:hAnsi="Arial" w:cs="Arial"/>
          <w:b/>
          <w:sz w:val="26"/>
          <w:szCs w:val="26"/>
        </w:rPr>
        <w:t xml:space="preserve"> DE INCENTIVO DE DESLIGAMENTO</w:t>
      </w:r>
    </w:p>
    <w:p w14:paraId="770A83D5" w14:textId="77777777" w:rsidR="002C7AC6" w:rsidRPr="00D33399" w:rsidRDefault="002C7AC6" w:rsidP="005144E2">
      <w:pPr>
        <w:widowControl/>
        <w:tabs>
          <w:tab w:val="center" w:pos="4419"/>
          <w:tab w:val="right" w:pos="8838"/>
        </w:tabs>
        <w:rPr>
          <w:rFonts w:ascii="Arial" w:hAnsi="Arial" w:cs="Arial"/>
          <w:b/>
        </w:rPr>
      </w:pPr>
    </w:p>
    <w:p w14:paraId="69707DEF" w14:textId="77777777" w:rsidR="001933B3" w:rsidRPr="00D33399" w:rsidRDefault="001933B3" w:rsidP="005144E2">
      <w:pPr>
        <w:widowControl/>
        <w:tabs>
          <w:tab w:val="center" w:pos="4419"/>
          <w:tab w:val="right" w:pos="8838"/>
        </w:tabs>
        <w:rPr>
          <w:rFonts w:ascii="Arial" w:hAnsi="Arial" w:cs="Arial"/>
          <w:b/>
        </w:rPr>
      </w:pPr>
    </w:p>
    <w:p w14:paraId="1B9C27E5" w14:textId="77777777" w:rsidR="003F4719" w:rsidRPr="00D33399" w:rsidRDefault="003F4719" w:rsidP="0063741F">
      <w:pPr>
        <w:widowControl/>
        <w:spacing w:line="240" w:lineRule="auto"/>
        <w:jc w:val="both"/>
      </w:pPr>
      <w:r w:rsidRPr="00D33399">
        <w:rPr>
          <w:rFonts w:ascii="Arial" w:hAnsi="Arial" w:cs="Arial"/>
        </w:rPr>
        <w:t xml:space="preserve">A Companhia instituiu, em fevereiro de 2014, o Plano de Sucessão Programada dos Empregados – </w:t>
      </w:r>
      <w:r w:rsidR="00513610" w:rsidRPr="00D33399">
        <w:rPr>
          <w:rFonts w:ascii="Arial" w:hAnsi="Arial" w:cs="Arial"/>
          <w:szCs w:val="20"/>
        </w:rPr>
        <w:t>PSPE</w:t>
      </w:r>
      <w:r w:rsidR="00645811" w:rsidRPr="00D33399">
        <w:rPr>
          <w:rFonts w:ascii="Arial" w:hAnsi="Arial" w:cs="Arial"/>
          <w:szCs w:val="20"/>
        </w:rPr>
        <w:t xml:space="preserve"> </w:t>
      </w:r>
      <w:r w:rsidRPr="00D33399">
        <w:rPr>
          <w:rFonts w:ascii="Arial" w:hAnsi="Arial" w:cs="Arial"/>
        </w:rPr>
        <w:t>conforme aprovado na 282ª reunião do Conselho de Administração da ELETRONUCLEAR de 19</w:t>
      </w:r>
      <w:r w:rsidR="001933B3" w:rsidRPr="00D33399">
        <w:rPr>
          <w:rFonts w:ascii="Arial" w:hAnsi="Arial" w:cs="Arial"/>
        </w:rPr>
        <w:t xml:space="preserve"> de dezembro de 2012</w:t>
      </w:r>
      <w:r w:rsidRPr="00D33399">
        <w:rPr>
          <w:rFonts w:ascii="Arial" w:hAnsi="Arial" w:cs="Arial"/>
        </w:rPr>
        <w:t xml:space="preserve">, com o início das adesões </w:t>
      </w:r>
      <w:r w:rsidR="004F3D45" w:rsidRPr="00D33399">
        <w:rPr>
          <w:rFonts w:ascii="Arial" w:hAnsi="Arial" w:cs="Arial"/>
        </w:rPr>
        <w:t>em</w:t>
      </w:r>
      <w:r w:rsidRPr="00D33399">
        <w:rPr>
          <w:rFonts w:ascii="Arial" w:hAnsi="Arial" w:cs="Arial"/>
        </w:rPr>
        <w:t xml:space="preserve"> março de 2014 e término em abril de 2014. Ocorre</w:t>
      </w:r>
      <w:r w:rsidR="002C75F6" w:rsidRPr="00D33399">
        <w:rPr>
          <w:rFonts w:ascii="Arial" w:hAnsi="Arial" w:cs="Arial"/>
        </w:rPr>
        <w:t>r</w:t>
      </w:r>
      <w:r w:rsidRPr="00D33399">
        <w:rPr>
          <w:rFonts w:ascii="Arial" w:hAnsi="Arial" w:cs="Arial"/>
        </w:rPr>
        <w:t>am 341 desligamentos até 31 de dezembro de 2014, 277 até 31 até dezembro de 2015,</w:t>
      </w:r>
      <w:r w:rsidR="00B02629" w:rsidRPr="00D33399">
        <w:rPr>
          <w:rFonts w:ascii="Arial" w:hAnsi="Arial" w:cs="Arial"/>
        </w:rPr>
        <w:t xml:space="preserve"> 1 em fevereiro de 2016,</w:t>
      </w:r>
      <w:r w:rsidR="00645811" w:rsidRPr="00D33399">
        <w:rPr>
          <w:rFonts w:ascii="Arial" w:hAnsi="Arial" w:cs="Arial"/>
        </w:rPr>
        <w:t xml:space="preserve"> </w:t>
      </w:r>
      <w:r w:rsidR="002B1FD9" w:rsidRPr="00D33399">
        <w:rPr>
          <w:rFonts w:ascii="Arial" w:hAnsi="Arial" w:cs="Arial"/>
        </w:rPr>
        <w:t>e o último em maio</w:t>
      </w:r>
      <w:r w:rsidRPr="00D33399">
        <w:rPr>
          <w:rFonts w:ascii="Arial" w:hAnsi="Arial" w:cs="Arial"/>
        </w:rPr>
        <w:t xml:space="preserve"> de 2016. </w:t>
      </w:r>
      <w:r w:rsidR="0063741F" w:rsidRPr="00D33399">
        <w:rPr>
          <w:rFonts w:ascii="Arial" w:hAnsi="Arial" w:cs="Arial"/>
        </w:rPr>
        <w:t xml:space="preserve">O incentivo de desligamento PSPE incluiu uma indenização financeira no momento do desligamento e </w:t>
      </w:r>
      <w:r w:rsidR="00AF26B8" w:rsidRPr="00D33399">
        <w:rPr>
          <w:rFonts w:ascii="Arial" w:hAnsi="Arial" w:cs="Arial"/>
        </w:rPr>
        <w:t>garantia de continuidade</w:t>
      </w:r>
      <w:r w:rsidR="00645811" w:rsidRPr="00D33399">
        <w:rPr>
          <w:rFonts w:ascii="Arial" w:hAnsi="Arial" w:cs="Arial"/>
        </w:rPr>
        <w:t xml:space="preserve"> </w:t>
      </w:r>
      <w:r w:rsidR="00AF26B8" w:rsidRPr="00D33399">
        <w:rPr>
          <w:rFonts w:ascii="Arial" w:hAnsi="Arial" w:cs="Arial"/>
        </w:rPr>
        <w:t>n</w:t>
      </w:r>
      <w:r w:rsidR="0063741F" w:rsidRPr="00D33399">
        <w:rPr>
          <w:rFonts w:ascii="Arial" w:hAnsi="Arial" w:cs="Arial"/>
        </w:rPr>
        <w:t xml:space="preserve">o plano de saúde </w:t>
      </w:r>
      <w:r w:rsidR="00AF26B8" w:rsidRPr="00D33399">
        <w:rPr>
          <w:rFonts w:ascii="Arial" w:hAnsi="Arial" w:cs="Arial"/>
        </w:rPr>
        <w:t>da Companhia pelo período de</w:t>
      </w:r>
      <w:r w:rsidR="0063741F" w:rsidRPr="00D33399">
        <w:rPr>
          <w:rFonts w:ascii="Arial" w:hAnsi="Arial" w:cs="Arial"/>
        </w:rPr>
        <w:t xml:space="preserve"> 5 anos</w:t>
      </w:r>
      <w:r w:rsidR="00AF26B8" w:rsidRPr="00D33399">
        <w:rPr>
          <w:rFonts w:ascii="Arial" w:hAnsi="Arial" w:cs="Arial"/>
        </w:rPr>
        <w:t>, incluindo os respectivos dependentes.</w:t>
      </w:r>
    </w:p>
    <w:p w14:paraId="50B34F83" w14:textId="77777777" w:rsidR="001D7513" w:rsidRPr="00D33399" w:rsidRDefault="001D7513" w:rsidP="0063741F">
      <w:pPr>
        <w:widowControl/>
        <w:tabs>
          <w:tab w:val="center" w:pos="4419"/>
          <w:tab w:val="right" w:pos="8838"/>
        </w:tabs>
        <w:jc w:val="both"/>
        <w:rPr>
          <w:rFonts w:ascii="Arial" w:hAnsi="Arial" w:cs="Arial"/>
        </w:rPr>
      </w:pPr>
    </w:p>
    <w:p w14:paraId="09FE2DD5" w14:textId="77777777" w:rsidR="00766976" w:rsidRPr="00D33399" w:rsidRDefault="001D7513" w:rsidP="00AF26B8">
      <w:pPr>
        <w:widowControl/>
        <w:spacing w:line="240" w:lineRule="auto"/>
        <w:jc w:val="both"/>
        <w:rPr>
          <w:rFonts w:ascii="Arial" w:hAnsi="Arial" w:cs="Arial"/>
        </w:rPr>
      </w:pPr>
      <w:r w:rsidRPr="00D33399">
        <w:rPr>
          <w:rFonts w:ascii="Arial" w:hAnsi="Arial" w:cs="Arial"/>
        </w:rPr>
        <w:t xml:space="preserve">Em 2017, o Plano de Aposentadoria Extraordinária – PAE foi </w:t>
      </w:r>
      <w:r w:rsidR="00024BE8" w:rsidRPr="00D33399">
        <w:rPr>
          <w:rFonts w:ascii="Arial" w:hAnsi="Arial" w:cs="Arial"/>
        </w:rPr>
        <w:t xml:space="preserve">aprovado </w:t>
      </w:r>
      <w:r w:rsidR="00076A15" w:rsidRPr="00D33399">
        <w:rPr>
          <w:rFonts w:ascii="Arial" w:hAnsi="Arial" w:cs="Arial"/>
        </w:rPr>
        <w:t xml:space="preserve">pela Diretoria Executiva </w:t>
      </w:r>
      <w:r w:rsidR="003D09D6" w:rsidRPr="00D33399">
        <w:rPr>
          <w:rFonts w:ascii="Arial" w:hAnsi="Arial" w:cs="Arial"/>
        </w:rPr>
        <w:t xml:space="preserve">na </w:t>
      </w:r>
      <w:r w:rsidR="00D33A05" w:rsidRPr="00D33399">
        <w:rPr>
          <w:rFonts w:ascii="Arial" w:hAnsi="Arial" w:cs="Arial"/>
        </w:rPr>
        <w:t>1</w:t>
      </w:r>
      <w:r w:rsidR="003D09D6" w:rsidRPr="00D33399">
        <w:rPr>
          <w:rFonts w:ascii="Arial" w:hAnsi="Arial" w:cs="Arial"/>
        </w:rPr>
        <w:t xml:space="preserve">352ª reunião realizada em </w:t>
      </w:r>
      <w:r w:rsidR="00064F4C" w:rsidRPr="00D33399">
        <w:rPr>
          <w:rFonts w:ascii="Arial" w:hAnsi="Arial" w:cs="Arial"/>
        </w:rPr>
        <w:t>23</w:t>
      </w:r>
      <w:r w:rsidR="001933B3" w:rsidRPr="00D33399">
        <w:rPr>
          <w:rFonts w:ascii="Arial" w:hAnsi="Arial" w:cs="Arial"/>
        </w:rPr>
        <w:t xml:space="preserve"> de maio de 2017</w:t>
      </w:r>
      <w:r w:rsidR="003D09D6" w:rsidRPr="00D33399">
        <w:rPr>
          <w:rFonts w:ascii="Arial" w:hAnsi="Arial" w:cs="Arial"/>
        </w:rPr>
        <w:t xml:space="preserve"> e </w:t>
      </w:r>
      <w:r w:rsidR="00024BE8" w:rsidRPr="00D33399">
        <w:rPr>
          <w:rFonts w:ascii="Arial" w:hAnsi="Arial" w:cs="Arial"/>
        </w:rPr>
        <w:t xml:space="preserve">pelo </w:t>
      </w:r>
      <w:r w:rsidRPr="00D33399">
        <w:rPr>
          <w:rFonts w:ascii="Arial" w:hAnsi="Arial" w:cs="Arial"/>
        </w:rPr>
        <w:t xml:space="preserve">Conselho de Administração </w:t>
      </w:r>
      <w:r w:rsidR="00024BE8" w:rsidRPr="00D33399">
        <w:rPr>
          <w:rFonts w:ascii="Arial" w:hAnsi="Arial" w:cs="Arial"/>
        </w:rPr>
        <w:t xml:space="preserve">da ELETRONUCLEAR, na </w:t>
      </w:r>
      <w:r w:rsidR="003D09D6" w:rsidRPr="00D33399">
        <w:rPr>
          <w:rFonts w:ascii="Arial" w:hAnsi="Arial" w:cs="Arial"/>
        </w:rPr>
        <w:t xml:space="preserve">360ª reunião realizada </w:t>
      </w:r>
      <w:r w:rsidR="00BE4F35" w:rsidRPr="00D33399">
        <w:rPr>
          <w:rFonts w:ascii="Arial" w:hAnsi="Arial" w:cs="Arial"/>
        </w:rPr>
        <w:t xml:space="preserve">em </w:t>
      </w:r>
      <w:r w:rsidR="00064F4C" w:rsidRPr="00D33399">
        <w:rPr>
          <w:rFonts w:ascii="Arial" w:hAnsi="Arial" w:cs="Arial"/>
        </w:rPr>
        <w:t>25</w:t>
      </w:r>
      <w:r w:rsidR="001933B3" w:rsidRPr="00D33399">
        <w:rPr>
          <w:rFonts w:ascii="Arial" w:hAnsi="Arial" w:cs="Arial"/>
        </w:rPr>
        <w:t xml:space="preserve"> de maio de 2017</w:t>
      </w:r>
      <w:r w:rsidR="00024BE8" w:rsidRPr="00D33399">
        <w:rPr>
          <w:rFonts w:ascii="Arial" w:hAnsi="Arial" w:cs="Arial"/>
        </w:rPr>
        <w:t>, com início da</w:t>
      </w:r>
      <w:r w:rsidR="00BE4F35" w:rsidRPr="00D33399">
        <w:rPr>
          <w:rFonts w:ascii="Arial" w:hAnsi="Arial" w:cs="Arial"/>
        </w:rPr>
        <w:t>s</w:t>
      </w:r>
      <w:r w:rsidR="00024BE8" w:rsidRPr="00D33399">
        <w:rPr>
          <w:rFonts w:ascii="Arial" w:hAnsi="Arial" w:cs="Arial"/>
        </w:rPr>
        <w:t xml:space="preserve"> adesões para </w:t>
      </w:r>
      <w:r w:rsidR="008A6C8C" w:rsidRPr="00D33399">
        <w:rPr>
          <w:rFonts w:ascii="Arial" w:hAnsi="Arial" w:cs="Arial"/>
        </w:rPr>
        <w:t>maio</w:t>
      </w:r>
      <w:r w:rsidR="00024BE8" w:rsidRPr="00D33399">
        <w:rPr>
          <w:rFonts w:ascii="Arial" w:hAnsi="Arial" w:cs="Arial"/>
        </w:rPr>
        <w:t xml:space="preserve"> de 2017 e </w:t>
      </w:r>
      <w:r w:rsidR="008D2C2F" w:rsidRPr="00D33399">
        <w:rPr>
          <w:rFonts w:ascii="Arial" w:hAnsi="Arial" w:cs="Arial"/>
        </w:rPr>
        <w:t>término</w:t>
      </w:r>
      <w:r w:rsidR="00024BE8" w:rsidRPr="00D33399">
        <w:rPr>
          <w:rFonts w:ascii="Arial" w:hAnsi="Arial" w:cs="Arial"/>
        </w:rPr>
        <w:t xml:space="preserve"> em </w:t>
      </w:r>
      <w:r w:rsidR="003D09D6" w:rsidRPr="00D33399">
        <w:rPr>
          <w:rFonts w:ascii="Arial" w:hAnsi="Arial" w:cs="Arial"/>
        </w:rPr>
        <w:t xml:space="preserve">31 de </w:t>
      </w:r>
      <w:r w:rsidR="00D847CB" w:rsidRPr="00D33399">
        <w:rPr>
          <w:rFonts w:ascii="Arial" w:hAnsi="Arial" w:cs="Arial"/>
        </w:rPr>
        <w:t>j</w:t>
      </w:r>
      <w:r w:rsidR="003D09D6" w:rsidRPr="00D33399">
        <w:rPr>
          <w:rFonts w:ascii="Arial" w:hAnsi="Arial" w:cs="Arial"/>
        </w:rPr>
        <w:t>ulho</w:t>
      </w:r>
      <w:r w:rsidR="00024BE8" w:rsidRPr="00D33399">
        <w:rPr>
          <w:rFonts w:ascii="Arial" w:hAnsi="Arial" w:cs="Arial"/>
        </w:rPr>
        <w:t xml:space="preserve"> de 2017. </w:t>
      </w:r>
      <w:r w:rsidR="00C87E2A" w:rsidRPr="00D33399">
        <w:rPr>
          <w:rFonts w:ascii="Arial" w:hAnsi="Arial" w:cs="Arial"/>
        </w:rPr>
        <w:t xml:space="preserve">Ocorreram 185 desligamentos entre </w:t>
      </w:r>
      <w:r w:rsidR="008A6C8C" w:rsidRPr="00D33399">
        <w:rPr>
          <w:rFonts w:ascii="Arial" w:hAnsi="Arial" w:cs="Arial"/>
        </w:rPr>
        <w:t>julho</w:t>
      </w:r>
      <w:r w:rsidR="00024BE8" w:rsidRPr="00D33399">
        <w:rPr>
          <w:rFonts w:ascii="Arial" w:hAnsi="Arial" w:cs="Arial"/>
        </w:rPr>
        <w:t xml:space="preserve"> de 2017 </w:t>
      </w:r>
      <w:r w:rsidR="00C87E2A" w:rsidRPr="00D33399">
        <w:rPr>
          <w:rFonts w:ascii="Arial" w:hAnsi="Arial" w:cs="Arial"/>
        </w:rPr>
        <w:t>e</w:t>
      </w:r>
      <w:r w:rsidR="00024BE8" w:rsidRPr="00D33399">
        <w:rPr>
          <w:rFonts w:ascii="Arial" w:hAnsi="Arial" w:cs="Arial"/>
        </w:rPr>
        <w:t xml:space="preserve"> dezembro 2017. </w:t>
      </w:r>
      <w:r w:rsidR="0063741F" w:rsidRPr="00D33399">
        <w:rPr>
          <w:rFonts w:ascii="Arial" w:hAnsi="Arial" w:cs="Arial"/>
        </w:rPr>
        <w:t xml:space="preserve">O incentivo de desligamento PAE incluiu uma indenização financeira no momento do desligamento </w:t>
      </w:r>
      <w:r w:rsidR="00740F5F" w:rsidRPr="00D33399">
        <w:rPr>
          <w:rFonts w:ascii="Arial" w:hAnsi="Arial" w:cs="Arial"/>
        </w:rPr>
        <w:t>e garantia de continuidade no plano de saúde da Companhia pelo período de 5 anos, incluindo os respectivos dependentes</w:t>
      </w:r>
      <w:r w:rsidR="00AF26B8" w:rsidRPr="00D33399">
        <w:rPr>
          <w:rFonts w:ascii="Arial" w:hAnsi="Arial" w:cs="Arial"/>
        </w:rPr>
        <w:t>.</w:t>
      </w:r>
    </w:p>
    <w:p w14:paraId="773104AA" w14:textId="77777777" w:rsidR="00AF26B8" w:rsidRPr="00D33399" w:rsidRDefault="00AF26B8" w:rsidP="00AF26B8">
      <w:pPr>
        <w:widowControl/>
        <w:spacing w:line="240" w:lineRule="auto"/>
        <w:jc w:val="both"/>
        <w:rPr>
          <w:rFonts w:ascii="Arial" w:hAnsi="Arial" w:cs="Arial"/>
        </w:rPr>
      </w:pPr>
    </w:p>
    <w:p w14:paraId="2E8CE81E" w14:textId="77777777" w:rsidR="0063741F" w:rsidRPr="00D33399" w:rsidRDefault="00175FCE" w:rsidP="0063741F">
      <w:pPr>
        <w:widowControl/>
        <w:spacing w:line="240" w:lineRule="auto"/>
        <w:jc w:val="both"/>
      </w:pPr>
      <w:r w:rsidRPr="00D33399">
        <w:rPr>
          <w:rFonts w:ascii="Arial" w:hAnsi="Arial" w:cs="Arial"/>
        </w:rPr>
        <w:t xml:space="preserve">O Plano de Demissão Consensual – PDC foi aprovado pelo Conselho de Administração na </w:t>
      </w:r>
      <w:r w:rsidR="00F76CFB" w:rsidRPr="00D33399">
        <w:rPr>
          <w:rFonts w:ascii="Arial" w:hAnsi="Arial" w:cs="Arial"/>
        </w:rPr>
        <w:t>374ª</w:t>
      </w:r>
      <w:r w:rsidRPr="00D33399">
        <w:rPr>
          <w:rFonts w:ascii="Arial" w:hAnsi="Arial" w:cs="Arial"/>
        </w:rPr>
        <w:t xml:space="preserve"> reunião realizada em </w:t>
      </w:r>
      <w:r w:rsidR="00F76CFB" w:rsidRPr="00D33399">
        <w:rPr>
          <w:rFonts w:ascii="Arial" w:hAnsi="Arial" w:cs="Arial"/>
        </w:rPr>
        <w:t>23</w:t>
      </w:r>
      <w:r w:rsidR="001933B3" w:rsidRPr="00D33399">
        <w:rPr>
          <w:rFonts w:ascii="Arial" w:hAnsi="Arial" w:cs="Arial"/>
        </w:rPr>
        <w:t xml:space="preserve"> de março de 2018</w:t>
      </w:r>
      <w:r w:rsidR="00F76CFB" w:rsidRPr="00D33399">
        <w:rPr>
          <w:rFonts w:ascii="Arial" w:hAnsi="Arial" w:cs="Arial"/>
        </w:rPr>
        <w:t>,</w:t>
      </w:r>
      <w:r w:rsidRPr="00D33399">
        <w:rPr>
          <w:rFonts w:ascii="Arial" w:hAnsi="Arial" w:cs="Arial"/>
        </w:rPr>
        <w:t xml:space="preserve"> com período de adesão entre 26</w:t>
      </w:r>
      <w:r w:rsidR="008C0E48" w:rsidRPr="00D33399">
        <w:rPr>
          <w:rFonts w:ascii="Arial" w:hAnsi="Arial" w:cs="Arial"/>
        </w:rPr>
        <w:t>/</w:t>
      </w:r>
      <w:r w:rsidRPr="00D33399">
        <w:rPr>
          <w:rFonts w:ascii="Arial" w:hAnsi="Arial" w:cs="Arial"/>
        </w:rPr>
        <w:t>03</w:t>
      </w:r>
      <w:r w:rsidR="008C0E48" w:rsidRPr="00D33399">
        <w:rPr>
          <w:rFonts w:ascii="Arial" w:hAnsi="Arial" w:cs="Arial"/>
        </w:rPr>
        <w:t>/</w:t>
      </w:r>
      <w:r w:rsidR="004572B9" w:rsidRPr="00D33399">
        <w:rPr>
          <w:rFonts w:ascii="Arial" w:hAnsi="Arial" w:cs="Arial"/>
        </w:rPr>
        <w:t>20</w:t>
      </w:r>
      <w:r w:rsidRPr="00D33399">
        <w:rPr>
          <w:rFonts w:ascii="Arial" w:hAnsi="Arial" w:cs="Arial"/>
        </w:rPr>
        <w:t>18 e 27</w:t>
      </w:r>
      <w:r w:rsidR="008C0E48" w:rsidRPr="00D33399">
        <w:rPr>
          <w:rFonts w:ascii="Arial" w:hAnsi="Arial" w:cs="Arial"/>
        </w:rPr>
        <w:t>/</w:t>
      </w:r>
      <w:r w:rsidRPr="00D33399">
        <w:rPr>
          <w:rFonts w:ascii="Arial" w:hAnsi="Arial" w:cs="Arial"/>
        </w:rPr>
        <w:t>04</w:t>
      </w:r>
      <w:r w:rsidR="008C0E48" w:rsidRPr="00D33399">
        <w:rPr>
          <w:rFonts w:ascii="Arial" w:hAnsi="Arial" w:cs="Arial"/>
        </w:rPr>
        <w:t>/</w:t>
      </w:r>
      <w:r w:rsidR="004572B9" w:rsidRPr="00D33399">
        <w:rPr>
          <w:rFonts w:ascii="Arial" w:hAnsi="Arial" w:cs="Arial"/>
        </w:rPr>
        <w:t>20</w:t>
      </w:r>
      <w:r w:rsidRPr="00D33399">
        <w:rPr>
          <w:rFonts w:ascii="Arial" w:hAnsi="Arial" w:cs="Arial"/>
        </w:rPr>
        <w:t>18</w:t>
      </w:r>
      <w:r w:rsidR="007226C2" w:rsidRPr="00D33399">
        <w:rPr>
          <w:rFonts w:ascii="Arial" w:hAnsi="Arial" w:cs="Arial"/>
        </w:rPr>
        <w:t>.</w:t>
      </w:r>
      <w:r w:rsidRPr="00D33399">
        <w:rPr>
          <w:rFonts w:ascii="Arial" w:hAnsi="Arial" w:cs="Arial"/>
        </w:rPr>
        <w:t>Os desligamentos</w:t>
      </w:r>
      <w:r w:rsidR="00F76CFB" w:rsidRPr="00D33399">
        <w:rPr>
          <w:rFonts w:ascii="Arial" w:hAnsi="Arial" w:cs="Arial"/>
        </w:rPr>
        <w:t>, que</w:t>
      </w:r>
      <w:r w:rsidR="00645811" w:rsidRPr="00D33399">
        <w:rPr>
          <w:rFonts w:ascii="Arial" w:hAnsi="Arial" w:cs="Arial"/>
        </w:rPr>
        <w:t xml:space="preserve"> </w:t>
      </w:r>
      <w:r w:rsidR="00F76CFB" w:rsidRPr="00D33399">
        <w:rPr>
          <w:rFonts w:ascii="Arial" w:hAnsi="Arial" w:cs="Arial"/>
        </w:rPr>
        <w:t xml:space="preserve">se iniciaram em 04 de </w:t>
      </w:r>
      <w:r w:rsidR="008A6C8C" w:rsidRPr="00D33399">
        <w:rPr>
          <w:rFonts w:ascii="Arial" w:hAnsi="Arial" w:cs="Arial"/>
        </w:rPr>
        <w:t>junho</w:t>
      </w:r>
      <w:r w:rsidR="00F76CFB" w:rsidRPr="00D33399">
        <w:rPr>
          <w:rFonts w:ascii="Arial" w:hAnsi="Arial" w:cs="Arial"/>
        </w:rPr>
        <w:t xml:space="preserve"> de 2018, </w:t>
      </w:r>
      <w:r w:rsidR="00D13AA0" w:rsidRPr="00D33399">
        <w:rPr>
          <w:rFonts w:ascii="Arial" w:hAnsi="Arial" w:cs="Arial"/>
        </w:rPr>
        <w:t xml:space="preserve">foram </w:t>
      </w:r>
      <w:r w:rsidR="0012695D" w:rsidRPr="00D33399">
        <w:rPr>
          <w:rFonts w:ascii="Arial" w:hAnsi="Arial" w:cs="Arial"/>
        </w:rPr>
        <w:t xml:space="preserve">efetuados até </w:t>
      </w:r>
      <w:r w:rsidR="007226C2" w:rsidRPr="00D33399">
        <w:rPr>
          <w:rFonts w:ascii="Arial" w:hAnsi="Arial" w:cs="Arial"/>
        </w:rPr>
        <w:t>14</w:t>
      </w:r>
      <w:r w:rsidR="0012695D" w:rsidRPr="00D33399">
        <w:rPr>
          <w:rFonts w:ascii="Arial" w:hAnsi="Arial" w:cs="Arial"/>
        </w:rPr>
        <w:t xml:space="preserve"> de </w:t>
      </w:r>
      <w:r w:rsidR="00D847CB" w:rsidRPr="00D33399">
        <w:rPr>
          <w:rFonts w:ascii="Arial" w:hAnsi="Arial" w:cs="Arial"/>
        </w:rPr>
        <w:t>d</w:t>
      </w:r>
      <w:r w:rsidR="0012695D" w:rsidRPr="00D33399">
        <w:rPr>
          <w:rFonts w:ascii="Arial" w:hAnsi="Arial" w:cs="Arial"/>
        </w:rPr>
        <w:t>ezembro de 2018</w:t>
      </w:r>
      <w:r w:rsidR="00F76CFB" w:rsidRPr="00D33399">
        <w:rPr>
          <w:rFonts w:ascii="Arial" w:hAnsi="Arial" w:cs="Arial"/>
        </w:rPr>
        <w:t>.</w:t>
      </w:r>
      <w:r w:rsidR="0063741F" w:rsidRPr="00D33399">
        <w:rPr>
          <w:rFonts w:ascii="Arial" w:hAnsi="Arial" w:cs="Arial"/>
        </w:rPr>
        <w:t xml:space="preserve">O incentivo de desligamento PDC incluiu uma indenização financeira no momento do desligamento </w:t>
      </w:r>
      <w:r w:rsidR="00740F5F" w:rsidRPr="00D33399">
        <w:rPr>
          <w:rFonts w:ascii="Arial" w:hAnsi="Arial" w:cs="Arial"/>
        </w:rPr>
        <w:t xml:space="preserve">e garantia de continuidade no plano de saúde da Companhia pelo período de </w:t>
      </w:r>
      <w:r w:rsidR="003F1B8D" w:rsidRPr="00D33399">
        <w:rPr>
          <w:rFonts w:ascii="Arial" w:hAnsi="Arial" w:cs="Arial"/>
        </w:rPr>
        <w:t xml:space="preserve">5 </w:t>
      </w:r>
      <w:r w:rsidR="00740F5F" w:rsidRPr="00D33399">
        <w:rPr>
          <w:rFonts w:ascii="Arial" w:hAnsi="Arial" w:cs="Arial"/>
        </w:rPr>
        <w:t>anos, incluindo os respectivos dependentes</w:t>
      </w:r>
      <w:r w:rsidR="0063741F" w:rsidRPr="00D33399">
        <w:rPr>
          <w:rFonts w:ascii="Arial" w:hAnsi="Arial" w:cs="Arial"/>
        </w:rPr>
        <w:t>.</w:t>
      </w:r>
    </w:p>
    <w:p w14:paraId="6EB19233" w14:textId="77777777" w:rsidR="00FE1678" w:rsidRPr="00D33399" w:rsidRDefault="00FE1678" w:rsidP="0063741F">
      <w:pPr>
        <w:widowControl/>
        <w:tabs>
          <w:tab w:val="center" w:pos="4419"/>
          <w:tab w:val="right" w:pos="8838"/>
        </w:tabs>
        <w:jc w:val="both"/>
        <w:rPr>
          <w:rFonts w:ascii="Arial" w:hAnsi="Arial" w:cs="Arial"/>
        </w:rPr>
      </w:pPr>
    </w:p>
    <w:p w14:paraId="16220B88" w14:textId="77777777" w:rsidR="00EF5144" w:rsidRPr="00D33399" w:rsidRDefault="00EF5144" w:rsidP="0063741F">
      <w:pPr>
        <w:widowControl/>
        <w:tabs>
          <w:tab w:val="center" w:pos="4419"/>
          <w:tab w:val="right" w:pos="8838"/>
        </w:tabs>
        <w:jc w:val="both"/>
        <w:rPr>
          <w:rFonts w:ascii="Arial" w:hAnsi="Arial" w:cs="Arial"/>
        </w:rPr>
      </w:pPr>
    </w:p>
    <w:p w14:paraId="2D429D6C" w14:textId="5D1857F1" w:rsidR="003F4719" w:rsidRPr="00D33399" w:rsidRDefault="00645811" w:rsidP="0063741F">
      <w:pPr>
        <w:widowControl/>
        <w:tabs>
          <w:tab w:val="center" w:pos="4419"/>
          <w:tab w:val="right" w:pos="8838"/>
        </w:tabs>
        <w:jc w:val="both"/>
        <w:rPr>
          <w:rFonts w:ascii="Arial" w:hAnsi="Arial" w:cs="Arial"/>
        </w:rPr>
      </w:pPr>
      <w:r w:rsidRPr="00D33399">
        <w:rPr>
          <w:rFonts w:ascii="Arial" w:hAnsi="Arial" w:cs="Arial"/>
        </w:rPr>
        <w:lastRenderedPageBreak/>
        <w:t xml:space="preserve"> </w:t>
      </w:r>
      <w:r w:rsidR="00806C1A" w:rsidRPr="00D33399">
        <w:rPr>
          <w:rFonts w:ascii="Arial" w:hAnsi="Arial" w:cs="Arial"/>
        </w:rPr>
        <w:t xml:space="preserve">A </w:t>
      </w:r>
      <w:r w:rsidR="003F4719" w:rsidRPr="00D33399">
        <w:rPr>
          <w:rFonts w:ascii="Arial" w:hAnsi="Arial" w:cs="Arial"/>
        </w:rPr>
        <w:t>ELETRONUCLEAR reconheceu</w:t>
      </w:r>
      <w:r w:rsidR="00806C1A" w:rsidRPr="00D33399">
        <w:rPr>
          <w:rFonts w:ascii="Arial" w:hAnsi="Arial" w:cs="Arial"/>
        </w:rPr>
        <w:t xml:space="preserve"> </w:t>
      </w:r>
      <w:r w:rsidR="00490D44" w:rsidRPr="00D33399">
        <w:rPr>
          <w:rFonts w:ascii="Arial" w:hAnsi="Arial" w:cs="Arial"/>
        </w:rPr>
        <w:t>a</w:t>
      </w:r>
      <w:r w:rsidR="00FA7E6A">
        <w:rPr>
          <w:rFonts w:ascii="Arial" w:hAnsi="Arial" w:cs="Arial"/>
        </w:rPr>
        <w:t xml:space="preserve"> </w:t>
      </w:r>
      <w:r w:rsidR="00866430">
        <w:rPr>
          <w:rFonts w:ascii="Arial" w:hAnsi="Arial" w:cs="Arial"/>
        </w:rPr>
        <w:t>baixa</w:t>
      </w:r>
      <w:r w:rsidR="00806C1A" w:rsidRPr="00D33399">
        <w:rPr>
          <w:rFonts w:ascii="Arial" w:hAnsi="Arial" w:cs="Arial"/>
        </w:rPr>
        <w:t xml:space="preserve"> de provisão </w:t>
      </w:r>
      <w:r w:rsidR="00024BE8" w:rsidRPr="00D33399">
        <w:rPr>
          <w:rFonts w:ascii="Arial" w:hAnsi="Arial" w:cs="Arial"/>
        </w:rPr>
        <w:t>de R$</w:t>
      </w:r>
      <w:r w:rsidR="00806C1A" w:rsidRPr="00D33399">
        <w:rPr>
          <w:rFonts w:ascii="Arial" w:hAnsi="Arial" w:cs="Arial"/>
        </w:rPr>
        <w:t xml:space="preserve"> </w:t>
      </w:r>
      <w:r w:rsidR="00702915" w:rsidRPr="00D33399">
        <w:rPr>
          <w:rFonts w:ascii="Arial" w:hAnsi="Arial" w:cs="Arial"/>
        </w:rPr>
        <w:t>20.967</w:t>
      </w:r>
      <w:r w:rsidR="00806C1A" w:rsidRPr="00D33399">
        <w:rPr>
          <w:rFonts w:ascii="Arial" w:hAnsi="Arial" w:cs="Arial"/>
        </w:rPr>
        <w:t xml:space="preserve"> </w:t>
      </w:r>
      <w:r w:rsidR="004F3D45" w:rsidRPr="00D33399">
        <w:rPr>
          <w:rFonts w:ascii="Arial" w:hAnsi="Arial" w:cs="Arial"/>
        </w:rPr>
        <w:t>referente ao</w:t>
      </w:r>
      <w:r w:rsidR="00B62990" w:rsidRPr="00D33399">
        <w:rPr>
          <w:rFonts w:ascii="Arial" w:hAnsi="Arial" w:cs="Arial"/>
        </w:rPr>
        <w:t xml:space="preserve"> </w:t>
      </w:r>
      <w:r w:rsidR="004F3D45" w:rsidRPr="00D33399">
        <w:rPr>
          <w:rFonts w:ascii="Arial" w:hAnsi="Arial" w:cs="Arial"/>
        </w:rPr>
        <w:t>plano de</w:t>
      </w:r>
      <w:r w:rsidR="00F267F0" w:rsidRPr="00D33399">
        <w:rPr>
          <w:rFonts w:ascii="Arial" w:hAnsi="Arial" w:cs="Arial"/>
        </w:rPr>
        <w:t xml:space="preserve"> incentivo de desligamento</w:t>
      </w:r>
      <w:r w:rsidR="00490D44" w:rsidRPr="00D33399">
        <w:rPr>
          <w:rFonts w:ascii="Arial" w:hAnsi="Arial" w:cs="Arial"/>
        </w:rPr>
        <w:t xml:space="preserve"> dos</w:t>
      </w:r>
      <w:r w:rsidR="00B62990" w:rsidRPr="00D33399">
        <w:rPr>
          <w:rFonts w:ascii="Arial" w:hAnsi="Arial" w:cs="Arial"/>
        </w:rPr>
        <w:t xml:space="preserve"> </w:t>
      </w:r>
      <w:r w:rsidR="00791C00" w:rsidRPr="00D33399">
        <w:rPr>
          <w:rFonts w:ascii="Arial" w:hAnsi="Arial" w:cs="Arial"/>
        </w:rPr>
        <w:t>funcionários</w:t>
      </w:r>
      <w:r w:rsidR="00806C1A" w:rsidRPr="00D33399">
        <w:rPr>
          <w:rFonts w:ascii="Arial" w:hAnsi="Arial" w:cs="Arial"/>
        </w:rPr>
        <w:t xml:space="preserve">, permanecendo </w:t>
      </w:r>
      <w:r w:rsidR="00B02629" w:rsidRPr="00D33399">
        <w:rPr>
          <w:rFonts w:ascii="Arial" w:hAnsi="Arial" w:cs="Arial"/>
        </w:rPr>
        <w:t>o saldo</w:t>
      </w:r>
      <w:r w:rsidR="00B62990" w:rsidRPr="00D33399">
        <w:rPr>
          <w:rFonts w:ascii="Arial" w:hAnsi="Arial" w:cs="Arial"/>
        </w:rPr>
        <w:t xml:space="preserve"> </w:t>
      </w:r>
      <w:r w:rsidR="00B02629" w:rsidRPr="00D33399">
        <w:rPr>
          <w:rFonts w:ascii="Arial" w:hAnsi="Arial" w:cs="Arial"/>
        </w:rPr>
        <w:t>da provisão</w:t>
      </w:r>
      <w:r w:rsidR="003F4719" w:rsidRPr="00D33399">
        <w:rPr>
          <w:rFonts w:ascii="Arial" w:hAnsi="Arial" w:cs="Arial"/>
        </w:rPr>
        <w:t xml:space="preserve"> </w:t>
      </w:r>
      <w:r w:rsidR="00806C1A" w:rsidRPr="00D33399">
        <w:rPr>
          <w:rFonts w:ascii="Arial" w:hAnsi="Arial" w:cs="Arial"/>
        </w:rPr>
        <w:t>em 3</w:t>
      </w:r>
      <w:r w:rsidR="002D24D0" w:rsidRPr="00D33399">
        <w:rPr>
          <w:rFonts w:ascii="Arial" w:hAnsi="Arial" w:cs="Arial"/>
        </w:rPr>
        <w:t>0</w:t>
      </w:r>
      <w:r w:rsidR="00806C1A" w:rsidRPr="00D33399">
        <w:rPr>
          <w:rFonts w:ascii="Arial" w:hAnsi="Arial" w:cs="Arial"/>
        </w:rPr>
        <w:t xml:space="preserve"> de </w:t>
      </w:r>
      <w:r w:rsidR="00981977" w:rsidRPr="00D33399">
        <w:rPr>
          <w:rFonts w:ascii="Arial" w:hAnsi="Arial" w:cs="Arial"/>
        </w:rPr>
        <w:t>setembro</w:t>
      </w:r>
      <w:r w:rsidR="00806C1A" w:rsidRPr="00D33399">
        <w:rPr>
          <w:rFonts w:ascii="Arial" w:hAnsi="Arial" w:cs="Arial"/>
        </w:rPr>
        <w:t xml:space="preserve"> de 2020 </w:t>
      </w:r>
      <w:r w:rsidR="00935658" w:rsidRPr="00D33399">
        <w:rPr>
          <w:rFonts w:ascii="Arial" w:hAnsi="Arial" w:cs="Arial"/>
        </w:rPr>
        <w:t xml:space="preserve">de </w:t>
      </w:r>
      <w:r w:rsidR="003F01EE" w:rsidRPr="00D33399">
        <w:rPr>
          <w:rFonts w:ascii="Arial" w:hAnsi="Arial" w:cs="Arial"/>
        </w:rPr>
        <w:t>R$</w:t>
      </w:r>
      <w:r w:rsidR="00702915" w:rsidRPr="00D33399">
        <w:rPr>
          <w:rFonts w:ascii="Arial" w:hAnsi="Arial" w:cs="Arial"/>
        </w:rPr>
        <w:t xml:space="preserve"> 23.118</w:t>
      </w:r>
      <w:r w:rsidR="00B62990" w:rsidRPr="00D33399">
        <w:rPr>
          <w:rFonts w:ascii="Arial" w:hAnsi="Arial" w:cs="Arial"/>
        </w:rPr>
        <w:t xml:space="preserve"> </w:t>
      </w:r>
      <w:r w:rsidR="003F4719" w:rsidRPr="00D33399">
        <w:rPr>
          <w:rFonts w:ascii="Arial" w:hAnsi="Arial" w:cs="Arial"/>
        </w:rPr>
        <w:t xml:space="preserve">(R$ </w:t>
      </w:r>
      <w:r w:rsidR="00B62990" w:rsidRPr="00D33399">
        <w:rPr>
          <w:rFonts w:ascii="Arial" w:hAnsi="Arial" w:cs="Arial"/>
        </w:rPr>
        <w:t xml:space="preserve">44.085 </w:t>
      </w:r>
      <w:r w:rsidR="003F4719" w:rsidRPr="00D33399">
        <w:rPr>
          <w:rFonts w:ascii="Arial" w:hAnsi="Arial" w:cs="Arial"/>
        </w:rPr>
        <w:t xml:space="preserve">em </w:t>
      </w:r>
      <w:r w:rsidR="00311C5C" w:rsidRPr="00D33399">
        <w:rPr>
          <w:rFonts w:ascii="Arial" w:hAnsi="Arial" w:cs="Arial"/>
        </w:rPr>
        <w:t xml:space="preserve">31 </w:t>
      </w:r>
      <w:r w:rsidR="003F4719" w:rsidRPr="00D33399">
        <w:rPr>
          <w:rFonts w:ascii="Arial" w:hAnsi="Arial" w:cs="Arial"/>
        </w:rPr>
        <w:t>dezembro de 201</w:t>
      </w:r>
      <w:r w:rsidR="00B62990" w:rsidRPr="00D33399">
        <w:rPr>
          <w:rFonts w:ascii="Arial" w:hAnsi="Arial" w:cs="Arial"/>
        </w:rPr>
        <w:t>9</w:t>
      </w:r>
      <w:r w:rsidR="003F4719" w:rsidRPr="00D33399">
        <w:rPr>
          <w:rFonts w:ascii="Arial" w:hAnsi="Arial" w:cs="Arial"/>
        </w:rPr>
        <w:t>).</w:t>
      </w:r>
    </w:p>
    <w:p w14:paraId="6F9E0B7A" w14:textId="77777777" w:rsidR="007A55C4" w:rsidRPr="00D33399" w:rsidRDefault="007A55C4" w:rsidP="0063741F">
      <w:pPr>
        <w:widowControl/>
        <w:jc w:val="both"/>
        <w:rPr>
          <w:rFonts w:ascii="Arial" w:hAnsi="Arial" w:cs="Arial"/>
          <w:b/>
          <w:sz w:val="16"/>
          <w:szCs w:val="16"/>
        </w:rPr>
      </w:pPr>
    </w:p>
    <w:p w14:paraId="1D2B3FF5" w14:textId="742304F4" w:rsidR="00D5405D" w:rsidRPr="00D33399" w:rsidRDefault="00702915" w:rsidP="005144E2">
      <w:pPr>
        <w:widowControl/>
        <w:rPr>
          <w:rFonts w:ascii="Arial" w:hAnsi="Arial" w:cs="Arial"/>
          <w:b/>
        </w:rPr>
      </w:pPr>
      <w:r w:rsidRPr="00D33399">
        <w:rPr>
          <w:noProof/>
        </w:rPr>
        <w:drawing>
          <wp:inline distT="0" distB="0" distL="0" distR="0" wp14:anchorId="15A710E7" wp14:editId="6DB7BBB4">
            <wp:extent cx="6073140" cy="4902086"/>
            <wp:effectExtent l="0" t="0" r="3810" b="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73140" cy="4902086"/>
                    </a:xfrm>
                    <a:prstGeom prst="rect">
                      <a:avLst/>
                    </a:prstGeom>
                    <a:noFill/>
                    <a:ln>
                      <a:noFill/>
                    </a:ln>
                  </pic:spPr>
                </pic:pic>
              </a:graphicData>
            </a:graphic>
          </wp:inline>
        </w:drawing>
      </w:r>
    </w:p>
    <w:p w14:paraId="1F415E91" w14:textId="77777777" w:rsidR="00D5405D" w:rsidRPr="00D33399" w:rsidRDefault="00D5405D" w:rsidP="005144E2">
      <w:pPr>
        <w:widowControl/>
        <w:rPr>
          <w:rFonts w:ascii="Arial" w:hAnsi="Arial" w:cs="Arial"/>
          <w:b/>
        </w:rPr>
      </w:pPr>
    </w:p>
    <w:p w14:paraId="29D59BDF" w14:textId="77777777" w:rsidR="007A55C4" w:rsidRPr="00D33399" w:rsidRDefault="007A55C4" w:rsidP="005144E2">
      <w:pPr>
        <w:widowControl/>
        <w:rPr>
          <w:rFonts w:ascii="Arial" w:hAnsi="Arial" w:cs="Arial"/>
          <w:b/>
        </w:rPr>
      </w:pPr>
    </w:p>
    <w:p w14:paraId="02C98086" w14:textId="77777777" w:rsidR="002B1BDF" w:rsidRPr="00D33399" w:rsidRDefault="002B1BDF" w:rsidP="005144E2">
      <w:pPr>
        <w:widowControl/>
        <w:rPr>
          <w:rFonts w:ascii="Arial" w:hAnsi="Arial" w:cs="Arial"/>
          <w:b/>
        </w:rPr>
      </w:pPr>
    </w:p>
    <w:p w14:paraId="0754453D" w14:textId="77777777" w:rsidR="002B1BDF" w:rsidRPr="00D33399" w:rsidRDefault="002B1BDF" w:rsidP="005144E2">
      <w:pPr>
        <w:widowControl/>
        <w:rPr>
          <w:rFonts w:ascii="Arial" w:hAnsi="Arial" w:cs="Arial"/>
          <w:b/>
        </w:rPr>
      </w:pPr>
    </w:p>
    <w:p w14:paraId="46F0DD40" w14:textId="77777777" w:rsidR="002B1BDF" w:rsidRPr="00D33399" w:rsidRDefault="002B1BDF" w:rsidP="005144E2">
      <w:pPr>
        <w:widowControl/>
        <w:rPr>
          <w:rFonts w:ascii="Arial" w:hAnsi="Arial" w:cs="Arial"/>
          <w:b/>
        </w:rPr>
      </w:pPr>
    </w:p>
    <w:p w14:paraId="2164B18A" w14:textId="77777777" w:rsidR="002B1BDF" w:rsidRPr="00D33399" w:rsidRDefault="002B1BDF" w:rsidP="005144E2">
      <w:pPr>
        <w:widowControl/>
        <w:rPr>
          <w:rFonts w:ascii="Arial" w:hAnsi="Arial" w:cs="Arial"/>
          <w:b/>
        </w:rPr>
      </w:pPr>
    </w:p>
    <w:p w14:paraId="2EFBC8C3" w14:textId="77777777" w:rsidR="002B1BDF" w:rsidRPr="00D33399" w:rsidRDefault="002B1BDF" w:rsidP="005144E2">
      <w:pPr>
        <w:widowControl/>
        <w:rPr>
          <w:rFonts w:ascii="Arial" w:hAnsi="Arial" w:cs="Arial"/>
          <w:b/>
        </w:rPr>
      </w:pPr>
    </w:p>
    <w:p w14:paraId="0C519B36" w14:textId="77777777" w:rsidR="002B1BDF" w:rsidRPr="00D33399" w:rsidRDefault="002B1BDF" w:rsidP="005144E2">
      <w:pPr>
        <w:widowControl/>
        <w:rPr>
          <w:rFonts w:ascii="Arial" w:hAnsi="Arial" w:cs="Arial"/>
          <w:b/>
        </w:rPr>
      </w:pPr>
    </w:p>
    <w:p w14:paraId="31BC2D33" w14:textId="77777777" w:rsidR="00FB1F1D" w:rsidRPr="00D33399" w:rsidRDefault="00FB1F1D" w:rsidP="005144E2">
      <w:pPr>
        <w:widowControl/>
        <w:rPr>
          <w:rFonts w:ascii="Arial" w:hAnsi="Arial" w:cs="Arial"/>
          <w:b/>
        </w:rPr>
      </w:pPr>
    </w:p>
    <w:p w14:paraId="1B1EDB6A" w14:textId="77777777" w:rsidR="00FB1F1D" w:rsidRPr="00D33399" w:rsidRDefault="00FB1F1D" w:rsidP="005144E2">
      <w:pPr>
        <w:widowControl/>
        <w:rPr>
          <w:rFonts w:ascii="Arial" w:hAnsi="Arial" w:cs="Arial"/>
          <w:b/>
        </w:rPr>
      </w:pPr>
    </w:p>
    <w:p w14:paraId="09D43BD7" w14:textId="77777777" w:rsidR="002B1BDF" w:rsidRPr="00D33399" w:rsidRDefault="002B1BDF" w:rsidP="005144E2">
      <w:pPr>
        <w:widowControl/>
        <w:rPr>
          <w:rFonts w:ascii="Arial" w:hAnsi="Arial" w:cs="Arial"/>
          <w:b/>
        </w:rPr>
      </w:pPr>
    </w:p>
    <w:p w14:paraId="385E5FC7" w14:textId="77777777" w:rsidR="00702915" w:rsidRPr="00D33399" w:rsidRDefault="00702915" w:rsidP="005144E2">
      <w:pPr>
        <w:widowControl/>
        <w:rPr>
          <w:rFonts w:ascii="Arial" w:hAnsi="Arial" w:cs="Arial"/>
          <w:b/>
        </w:rPr>
      </w:pPr>
    </w:p>
    <w:p w14:paraId="178D17D3" w14:textId="77777777" w:rsidR="00702915" w:rsidRPr="00D33399" w:rsidRDefault="00702915" w:rsidP="005144E2">
      <w:pPr>
        <w:widowControl/>
        <w:rPr>
          <w:rFonts w:ascii="Arial" w:hAnsi="Arial" w:cs="Arial"/>
          <w:b/>
        </w:rPr>
      </w:pPr>
    </w:p>
    <w:p w14:paraId="1AD7A93C" w14:textId="77777777" w:rsidR="00702915" w:rsidRPr="00D33399" w:rsidRDefault="00702915" w:rsidP="005144E2">
      <w:pPr>
        <w:widowControl/>
        <w:rPr>
          <w:rFonts w:ascii="Arial" w:hAnsi="Arial" w:cs="Arial"/>
          <w:b/>
        </w:rPr>
      </w:pPr>
    </w:p>
    <w:p w14:paraId="7DD6625D" w14:textId="77777777" w:rsidR="00A16C43" w:rsidRPr="00D33399" w:rsidRDefault="00A16C43" w:rsidP="005144E2">
      <w:pPr>
        <w:widowControl/>
        <w:rPr>
          <w:rFonts w:ascii="Arial" w:hAnsi="Arial" w:cs="Arial"/>
          <w:b/>
          <w:sz w:val="26"/>
          <w:szCs w:val="26"/>
        </w:rPr>
      </w:pPr>
      <w:r w:rsidRPr="00D33399">
        <w:rPr>
          <w:rFonts w:ascii="Arial" w:hAnsi="Arial" w:cs="Arial"/>
          <w:b/>
          <w:sz w:val="26"/>
          <w:szCs w:val="26"/>
        </w:rPr>
        <w:lastRenderedPageBreak/>
        <w:t>NOTA 23 – PROVISÕES PARA RISCOS</w:t>
      </w:r>
    </w:p>
    <w:p w14:paraId="24887BFA" w14:textId="77777777" w:rsidR="00A16C43" w:rsidRPr="00D33399" w:rsidRDefault="00A16C43" w:rsidP="005144E2">
      <w:pPr>
        <w:widowControl/>
        <w:rPr>
          <w:rFonts w:ascii="Arial" w:hAnsi="Arial" w:cs="Arial"/>
          <w:b/>
        </w:rPr>
      </w:pPr>
    </w:p>
    <w:p w14:paraId="2308F8C5" w14:textId="77777777" w:rsidR="001933B3" w:rsidRPr="00D33399" w:rsidRDefault="001933B3" w:rsidP="005144E2">
      <w:pPr>
        <w:widowControl/>
        <w:rPr>
          <w:rFonts w:ascii="Arial" w:hAnsi="Arial" w:cs="Arial"/>
          <w:b/>
        </w:rPr>
      </w:pPr>
    </w:p>
    <w:p w14:paraId="2A3C53F7" w14:textId="77777777" w:rsidR="00A16C43" w:rsidRPr="00D33399" w:rsidRDefault="00A16C43" w:rsidP="005144E2">
      <w:pPr>
        <w:widowControl/>
        <w:jc w:val="both"/>
        <w:rPr>
          <w:rFonts w:ascii="Arial" w:hAnsi="Arial" w:cs="Arial"/>
        </w:rPr>
      </w:pPr>
      <w:r w:rsidRPr="00D33399">
        <w:rPr>
          <w:rFonts w:ascii="Arial" w:hAnsi="Arial" w:cs="Arial"/>
        </w:rPr>
        <w:t>A Companhia, amparada pela sua Procuradoria Jurídica, mantém o registro no passivo não circulante, de provisões para contingências judiciais que atendem os critérios de reconhecimento apresentados no CPC 25 – Provisões, Passivos Contingentes e Ativos Contingentes, conforme quadro abaixo:</w:t>
      </w:r>
    </w:p>
    <w:p w14:paraId="676DFF9F" w14:textId="77777777" w:rsidR="00004EAA" w:rsidRPr="00D33399" w:rsidRDefault="00004EAA" w:rsidP="005144E2">
      <w:pPr>
        <w:widowControl/>
        <w:jc w:val="both"/>
        <w:rPr>
          <w:rFonts w:ascii="Arial" w:hAnsi="Arial" w:cs="Arial"/>
        </w:rPr>
      </w:pPr>
    </w:p>
    <w:p w14:paraId="65002811" w14:textId="77777777" w:rsidR="003B746A" w:rsidRPr="00D33399" w:rsidRDefault="003B746A" w:rsidP="005144E2">
      <w:pPr>
        <w:widowControl/>
        <w:jc w:val="both"/>
        <w:rPr>
          <w:rFonts w:ascii="Arial" w:hAnsi="Arial" w:cs="Arial"/>
          <w:sz w:val="16"/>
          <w:szCs w:val="16"/>
        </w:rPr>
      </w:pPr>
    </w:p>
    <w:p w14:paraId="01F46F40" w14:textId="77777777" w:rsidR="00A16C43" w:rsidRPr="00D33399" w:rsidRDefault="00A16C43" w:rsidP="00067006">
      <w:pPr>
        <w:pStyle w:val="PargrafodaLista"/>
        <w:widowControl/>
        <w:numPr>
          <w:ilvl w:val="0"/>
          <w:numId w:val="17"/>
        </w:numPr>
        <w:tabs>
          <w:tab w:val="center" w:pos="4419"/>
          <w:tab w:val="right" w:pos="8838"/>
        </w:tabs>
        <w:ind w:left="426" w:hanging="426"/>
        <w:rPr>
          <w:rFonts w:ascii="Arial" w:hAnsi="Arial" w:cs="Arial"/>
          <w:b/>
        </w:rPr>
      </w:pPr>
      <w:r w:rsidRPr="00D33399">
        <w:rPr>
          <w:rFonts w:ascii="Arial" w:hAnsi="Arial" w:cs="Arial"/>
          <w:b/>
        </w:rPr>
        <w:t>Composição</w:t>
      </w:r>
    </w:p>
    <w:p w14:paraId="2AC5588B" w14:textId="77777777" w:rsidR="004C20FF" w:rsidRPr="00D33399" w:rsidRDefault="004C20FF" w:rsidP="004C20FF">
      <w:pPr>
        <w:widowControl/>
        <w:spacing w:line="240" w:lineRule="auto"/>
        <w:jc w:val="both"/>
        <w:rPr>
          <w:rFonts w:ascii="Arial" w:hAnsi="Arial" w:cs="Arial"/>
          <w:sz w:val="16"/>
          <w:szCs w:val="16"/>
        </w:rPr>
      </w:pPr>
    </w:p>
    <w:p w14:paraId="6FE2A0A3" w14:textId="1A458905" w:rsidR="004C20FF" w:rsidRPr="00D33399" w:rsidRDefault="004C20FF" w:rsidP="004C20FF">
      <w:pPr>
        <w:widowControl/>
        <w:spacing w:line="240" w:lineRule="auto"/>
        <w:jc w:val="both"/>
        <w:rPr>
          <w:rFonts w:ascii="Arial" w:hAnsi="Arial" w:cs="Arial"/>
        </w:rPr>
      </w:pPr>
      <w:r w:rsidRPr="00D33399">
        <w:rPr>
          <w:rFonts w:ascii="Arial" w:hAnsi="Arial" w:cs="Arial"/>
        </w:rPr>
        <w:t xml:space="preserve">Os depósitos judiciais apresentados no quadro </w:t>
      </w:r>
      <w:r w:rsidR="007B72D5" w:rsidRPr="00D33399">
        <w:rPr>
          <w:rFonts w:ascii="Arial" w:hAnsi="Arial" w:cs="Arial"/>
        </w:rPr>
        <w:t>abaixo</w:t>
      </w:r>
      <w:r w:rsidRPr="00D33399">
        <w:rPr>
          <w:rFonts w:ascii="Arial" w:hAnsi="Arial" w:cs="Arial"/>
        </w:rPr>
        <w:t xml:space="preserve"> são apenas aqueles vinculados às contingências de perda provável.  Os demais depósitos judiciais da Companhia estão </w:t>
      </w:r>
      <w:r w:rsidRPr="00D874EF">
        <w:rPr>
          <w:rFonts w:ascii="Arial" w:hAnsi="Arial" w:cs="Arial"/>
        </w:rPr>
        <w:t>divulgados na Nota 12.</w:t>
      </w:r>
    </w:p>
    <w:p w14:paraId="0156F77F" w14:textId="77777777" w:rsidR="00A61BC0" w:rsidRPr="00D33399" w:rsidRDefault="00A61BC0" w:rsidP="004C20FF">
      <w:pPr>
        <w:widowControl/>
        <w:spacing w:line="240" w:lineRule="auto"/>
        <w:jc w:val="both"/>
        <w:rPr>
          <w:rFonts w:ascii="Arial" w:hAnsi="Arial" w:cs="Arial"/>
          <w:sz w:val="16"/>
          <w:szCs w:val="16"/>
        </w:rPr>
      </w:pPr>
    </w:p>
    <w:p w14:paraId="00616C81" w14:textId="70B252CC" w:rsidR="00A61BC0" w:rsidRPr="00D33399" w:rsidRDefault="00574504" w:rsidP="004C20FF">
      <w:pPr>
        <w:widowControl/>
        <w:spacing w:line="240" w:lineRule="auto"/>
        <w:jc w:val="both"/>
        <w:rPr>
          <w:rFonts w:ascii="Arial" w:hAnsi="Arial" w:cs="Arial"/>
        </w:rPr>
      </w:pPr>
      <w:r w:rsidRPr="00D33399">
        <w:rPr>
          <w:noProof/>
        </w:rPr>
        <w:drawing>
          <wp:inline distT="0" distB="0" distL="0" distR="0" wp14:anchorId="1DC99871" wp14:editId="5C20C855">
            <wp:extent cx="5743575" cy="4400550"/>
            <wp:effectExtent l="0" t="0" r="9525" b="0"/>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43575" cy="4400550"/>
                    </a:xfrm>
                    <a:prstGeom prst="rect">
                      <a:avLst/>
                    </a:prstGeom>
                    <a:noFill/>
                    <a:ln>
                      <a:noFill/>
                    </a:ln>
                  </pic:spPr>
                </pic:pic>
              </a:graphicData>
            </a:graphic>
          </wp:inline>
        </w:drawing>
      </w:r>
    </w:p>
    <w:p w14:paraId="1FDE6C84" w14:textId="77777777" w:rsidR="00814DAE" w:rsidRPr="00D33399" w:rsidRDefault="00814DAE" w:rsidP="00A61BC0">
      <w:pPr>
        <w:widowControl/>
        <w:spacing w:line="240" w:lineRule="auto"/>
        <w:jc w:val="both"/>
        <w:rPr>
          <w:rFonts w:ascii="Arial" w:hAnsi="Arial" w:cs="Arial"/>
        </w:rPr>
      </w:pPr>
    </w:p>
    <w:p w14:paraId="32F5BB40" w14:textId="2A023F1E" w:rsidR="00814DAE" w:rsidRPr="00D33399" w:rsidRDefault="00814DAE" w:rsidP="00814DAE">
      <w:pPr>
        <w:widowControl/>
        <w:spacing w:line="240" w:lineRule="auto"/>
        <w:jc w:val="both"/>
        <w:rPr>
          <w:rFonts w:ascii="Arial" w:hAnsi="Arial" w:cs="Arial"/>
        </w:rPr>
      </w:pPr>
      <w:r w:rsidRPr="00D33399">
        <w:rPr>
          <w:rFonts w:ascii="Arial" w:hAnsi="Arial" w:cs="Arial"/>
        </w:rPr>
        <w:t>Os depósitos judiciais apresentados no quadro acima são apenas aqueles vinculados às contingências de perda provável. Os demais depósitos judiciais da Companhia estão divulgados na Nota 12.</w:t>
      </w:r>
    </w:p>
    <w:p w14:paraId="181D620A" w14:textId="77777777" w:rsidR="00814DAE" w:rsidRPr="00D33399" w:rsidRDefault="00814DAE" w:rsidP="00814DAE">
      <w:pPr>
        <w:widowControl/>
        <w:spacing w:line="240" w:lineRule="auto"/>
        <w:jc w:val="both"/>
        <w:rPr>
          <w:rFonts w:ascii="Arial" w:hAnsi="Arial" w:cs="Arial"/>
        </w:rPr>
      </w:pPr>
    </w:p>
    <w:p w14:paraId="3A46E0AA" w14:textId="77777777" w:rsidR="00814DAE" w:rsidRPr="00D33399" w:rsidRDefault="00814DAE" w:rsidP="00814DAE">
      <w:pPr>
        <w:widowControl/>
        <w:spacing w:line="240" w:lineRule="auto"/>
        <w:jc w:val="both"/>
        <w:rPr>
          <w:rFonts w:ascii="Arial" w:hAnsi="Arial" w:cs="Arial"/>
        </w:rPr>
      </w:pPr>
      <w:r w:rsidRPr="00D33399">
        <w:rPr>
          <w:rFonts w:ascii="Arial" w:hAnsi="Arial" w:cs="Arial"/>
        </w:rPr>
        <w:t xml:space="preserve">Os processos judiciais, avaliados como de perda possível, movidos contra a Companhia e, portanto, não provisionados, montam R$ 1.242.109 atualizados em 30 de setembro 2020 (R$ 1.441.553 em 31 de dezembro de 2019), sendo R$ 733.283 de processos de natureza </w:t>
      </w:r>
      <w:r w:rsidRPr="00D33399">
        <w:rPr>
          <w:rFonts w:ascii="Arial" w:hAnsi="Arial" w:cs="Arial"/>
        </w:rPr>
        <w:lastRenderedPageBreak/>
        <w:t>trabalhista (R$ 906.361 em 31 de dezembro de 2019), R$ 122.127 de ações tributárias (R$ 120.352 em 31 de dezembro de 2019), R$ 386.699 de ações cíveis (R$ 414.839 em 31 de dezembro de 2019).</w:t>
      </w:r>
    </w:p>
    <w:p w14:paraId="4C25BB17" w14:textId="77777777" w:rsidR="00814DAE" w:rsidRPr="00D33399" w:rsidRDefault="00814DAE" w:rsidP="00814DAE">
      <w:pPr>
        <w:widowControl/>
        <w:spacing w:line="240" w:lineRule="auto"/>
        <w:jc w:val="both"/>
        <w:rPr>
          <w:rFonts w:ascii="Arial" w:hAnsi="Arial" w:cs="Arial"/>
        </w:rPr>
      </w:pPr>
    </w:p>
    <w:p w14:paraId="5E873952" w14:textId="16E3AECC" w:rsidR="00814DAE" w:rsidRPr="00D33399" w:rsidRDefault="00814DAE" w:rsidP="00814DAE">
      <w:pPr>
        <w:widowControl/>
        <w:spacing w:line="240" w:lineRule="auto"/>
        <w:jc w:val="both"/>
        <w:rPr>
          <w:rFonts w:ascii="Arial" w:hAnsi="Arial"/>
        </w:rPr>
      </w:pPr>
      <w:r w:rsidRPr="00D33399">
        <w:rPr>
          <w:rFonts w:ascii="Arial" w:hAnsi="Arial"/>
        </w:rPr>
        <w:t xml:space="preserve">Dentre as ações de causas prováveis e possíveis, e, que apresentam valores avaliados com perda superiores a 1,33% da Receita Operacional Líquida (até setembro de 2020), ou seja, acima de R$ </w:t>
      </w:r>
      <w:r w:rsidR="00BB48E6">
        <w:rPr>
          <w:rFonts w:ascii="Arial" w:hAnsi="Arial"/>
        </w:rPr>
        <w:t>28.406</w:t>
      </w:r>
      <w:r w:rsidRPr="00D33399">
        <w:rPr>
          <w:rFonts w:ascii="Arial" w:hAnsi="Arial"/>
        </w:rPr>
        <w:t>, destacam-se:</w:t>
      </w:r>
    </w:p>
    <w:p w14:paraId="04AEE213" w14:textId="77777777" w:rsidR="00814DAE" w:rsidRPr="00D33399" w:rsidRDefault="00814DAE" w:rsidP="00814DAE">
      <w:pPr>
        <w:widowControl/>
        <w:spacing w:line="240" w:lineRule="auto"/>
        <w:jc w:val="both"/>
        <w:rPr>
          <w:rFonts w:ascii="Arial" w:hAnsi="Arial"/>
        </w:rPr>
      </w:pPr>
    </w:p>
    <w:tbl>
      <w:tblPr>
        <w:tblW w:w="0" w:type="auto"/>
        <w:tblInd w:w="2" w:type="dxa"/>
        <w:tblCellMar>
          <w:left w:w="0" w:type="dxa"/>
          <w:right w:w="0" w:type="dxa"/>
        </w:tblCellMar>
        <w:tblLook w:val="04A0" w:firstRow="1" w:lastRow="0" w:firstColumn="1" w:lastColumn="0" w:noHBand="0" w:noVBand="1"/>
      </w:tblPr>
      <w:tblGrid>
        <w:gridCol w:w="1396"/>
        <w:gridCol w:w="8146"/>
      </w:tblGrid>
      <w:tr w:rsidR="00814DAE" w:rsidRPr="00D33399" w14:paraId="3F17B84B" w14:textId="77777777" w:rsidTr="00C9653E">
        <w:trPr>
          <w:trHeight w:val="675"/>
        </w:trPr>
        <w:tc>
          <w:tcPr>
            <w:tcW w:w="9617"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24D29E82" w14:textId="16D9F6AC" w:rsidR="00814DAE" w:rsidRPr="00F54844" w:rsidRDefault="00814DAE" w:rsidP="00067006">
            <w:pPr>
              <w:pStyle w:val="PargrafodaLista"/>
              <w:numPr>
                <w:ilvl w:val="0"/>
                <w:numId w:val="23"/>
              </w:numPr>
              <w:rPr>
                <w:rFonts w:ascii="Arial" w:hAnsi="Arial" w:cs="Arial"/>
                <w:b/>
                <w:bCs/>
              </w:rPr>
            </w:pPr>
            <w:r w:rsidRPr="00F54844">
              <w:rPr>
                <w:rFonts w:ascii="Arial" w:hAnsi="Arial" w:cs="Arial"/>
                <w:b/>
                <w:bCs/>
              </w:rPr>
              <w:t>Ação Trabalhista n. 0064500-25.1989.5.01.0029</w:t>
            </w:r>
          </w:p>
        </w:tc>
      </w:tr>
      <w:tr w:rsidR="00814DAE" w:rsidRPr="00D33399" w14:paraId="1CC4936F" w14:textId="77777777" w:rsidTr="00C9653E">
        <w:trPr>
          <w:trHeight w:val="540"/>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C05F1A3"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Instância /Juízo</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13AC44"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 xml:space="preserve">[1ª] Instância - [29ª] Vara do Trabalho da Capital do Rio de Janeiro </w:t>
            </w:r>
          </w:p>
        </w:tc>
      </w:tr>
      <w:tr w:rsidR="00814DAE" w:rsidRPr="00D33399" w14:paraId="0EF75732" w14:textId="77777777" w:rsidTr="00C9653E">
        <w:trPr>
          <w:trHeight w:val="52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58BDED"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Partes</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7AF435"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Sindicato do Engenheiros do Estado do RJ – SENGE (Substituindo cerca de 245 empregados e ex-empregados) x Eletrobras Eletronuclear (Reclamada)</w:t>
            </w:r>
          </w:p>
        </w:tc>
      </w:tr>
      <w:tr w:rsidR="00814DAE" w:rsidRPr="00D33399" w14:paraId="047D3664" w14:textId="77777777" w:rsidTr="00C9653E">
        <w:trPr>
          <w:trHeight w:val="52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D8C6A5"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Valores, bens ou direitos envolvidos</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4498B99" w14:textId="7C8AE75F" w:rsidR="00814DAE" w:rsidRPr="00D33399" w:rsidRDefault="00814DAE" w:rsidP="00C9653E">
            <w:pPr>
              <w:jc w:val="both"/>
              <w:rPr>
                <w:rFonts w:ascii="Arial" w:hAnsi="Arial" w:cs="Arial"/>
                <w:sz w:val="20"/>
                <w:szCs w:val="20"/>
              </w:rPr>
            </w:pPr>
            <w:r w:rsidRPr="00D33399">
              <w:rPr>
                <w:rFonts w:ascii="Arial" w:hAnsi="Arial" w:cs="Arial"/>
                <w:sz w:val="20"/>
                <w:szCs w:val="20"/>
              </w:rPr>
              <w:t>R$ 561.45</w:t>
            </w:r>
            <w:r w:rsidR="00C9653E" w:rsidRPr="00D33399">
              <w:rPr>
                <w:rFonts w:ascii="Arial" w:hAnsi="Arial" w:cs="Arial"/>
                <w:sz w:val="20"/>
                <w:szCs w:val="20"/>
              </w:rPr>
              <w:t>1</w:t>
            </w:r>
          </w:p>
        </w:tc>
      </w:tr>
      <w:tr w:rsidR="00814DAE" w:rsidRPr="00D33399" w14:paraId="24DCF052" w14:textId="77777777" w:rsidTr="00C9653E">
        <w:trPr>
          <w:trHeight w:val="694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9C4A95"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Objeto:</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E60F11" w14:textId="3D252A60" w:rsidR="00814DAE" w:rsidRPr="00D33399" w:rsidRDefault="00814DAE" w:rsidP="00C9653E">
            <w:pPr>
              <w:jc w:val="both"/>
              <w:rPr>
                <w:rFonts w:ascii="Arial" w:hAnsi="Arial" w:cs="Arial"/>
                <w:sz w:val="20"/>
                <w:szCs w:val="20"/>
              </w:rPr>
            </w:pPr>
            <w:r w:rsidRPr="00D33399">
              <w:rPr>
                <w:rFonts w:ascii="Arial" w:hAnsi="Arial" w:cs="Arial"/>
                <w:sz w:val="20"/>
                <w:szCs w:val="20"/>
              </w:rPr>
              <w:t>URP/1989 – Plano Econômico. A controvérsia principal do processo reside na interpretação da coisa julgada que delimitou o pagamento do índice da URP apenas do mês de fevereiro de 1989. Contudo, em fase de liquidação a outra parte alegou que deve ser aplicado o índice de 26,05% mês a mês até sua incorporação na remuneração dos substituídos ou até sua demissão. Há possibilidade de ter decisão judicial homologando o valor histórico de R$ 359.67</w:t>
            </w:r>
            <w:r w:rsidR="00C9653E" w:rsidRPr="00D33399">
              <w:rPr>
                <w:rFonts w:ascii="Arial" w:hAnsi="Arial" w:cs="Arial"/>
                <w:sz w:val="20"/>
                <w:szCs w:val="20"/>
              </w:rPr>
              <w:t>1</w:t>
            </w:r>
            <w:r w:rsidRPr="00D33399">
              <w:rPr>
                <w:rFonts w:ascii="Arial" w:hAnsi="Arial" w:cs="Arial"/>
                <w:sz w:val="20"/>
                <w:szCs w:val="20"/>
              </w:rPr>
              <w:t>, calculado pelo perito judicial em 2014. Ressalte-se que a Advocacia Geral da União – AGU ingressou nos autos. A AGU tem tese jurídica que se alinha à defesa da Eletrobras Eletronuclear, ao explicitar que: [1] a decisão em fase de liquidação/execução que estabelece direito à incorporação da URP/1989 na remuneração dos substituídos ofende a decisão já transitada em julgado; [2] o valor exigido com base na decisão transitada em julgado, ou seja, o pagamento da URP relativa apenas ao mês de fevereiro de 1989,  já foi adimplido, por conta da existência de Acordo Coletivo pactuado em 1989, entre as partes da presente ação judicial, cujo conteúdo trata especificadamente da quitação da URP/1989. No momento há laudo emitido pelo perito do Juízo.  Em 24.11.2017 foi publicada decisão judicial para as partes se manifestarem em relação ao laudo pericial que respondeu os quesitos apresentados pela Companhia. Nesse laudo o Perito do Juízo, por amostragem, destacou que os valores indicados no acordo coletivo especifico da URP de fevereiro de 1989 foram pagos.  A última decisão publicada em diário oficial é a do dia 16.03.2018, destinada à parte autora (SENGE) para que oferte manifestação em relação a petição apresentada pela parte Ré.  Há outros andamentos processuais que constam no sítio eletrônico do Tribunal Regional do Trabalho da 1ª Região, são eles: [1] autos enviados à contadoria da Vara; [2] homologada a liquidação; [3] petição da União Federal; [4] petição do Senge com impugnação aos cálculos, todos atos processuais aos quais a Companhia ainda não foi intimada para tomar ciência. Em 29 de janeiro de 2019 foi publicada decisão para a Companhia pagar o débito ou ofertar defesa, o que inaugurou a fase de execução do processo. De toda forma, na decisão a Companhia foi isentada de ofertar bens à penhora para ajuizar eventual defesa. Foram interposto embargos de declaração pela Eletrobras Eletronuclear, sem decisão de julgamento publicada. Foi publicada decisão em 19.07.19 para a Companhia pagar honorário do perito do Juízo, o que já foi realizado.</w:t>
            </w:r>
          </w:p>
        </w:tc>
      </w:tr>
      <w:tr w:rsidR="00814DAE" w:rsidRPr="00D33399" w14:paraId="280A07BE" w14:textId="77777777" w:rsidTr="00C9653E">
        <w:trPr>
          <w:trHeight w:val="52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AFC37E7"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Expectativa de Perda</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8F98903"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 xml:space="preserve">Possível </w:t>
            </w:r>
          </w:p>
        </w:tc>
      </w:tr>
      <w:tr w:rsidR="00814DAE" w:rsidRPr="00D33399" w14:paraId="2B00E9AD" w14:textId="77777777" w:rsidTr="00C9653E">
        <w:trPr>
          <w:trHeight w:val="300"/>
        </w:trPr>
        <w:tc>
          <w:tcPr>
            <w:tcW w:w="1406" w:type="dxa"/>
            <w:noWrap/>
            <w:tcMar>
              <w:top w:w="0" w:type="dxa"/>
              <w:left w:w="70" w:type="dxa"/>
              <w:bottom w:w="0" w:type="dxa"/>
              <w:right w:w="70" w:type="dxa"/>
            </w:tcMar>
            <w:vAlign w:val="center"/>
          </w:tcPr>
          <w:p w14:paraId="23D7BAB9" w14:textId="77777777" w:rsidR="00814DAE" w:rsidRPr="00D33399" w:rsidRDefault="00814DAE" w:rsidP="00C9653E">
            <w:pPr>
              <w:rPr>
                <w:rFonts w:ascii="Arial" w:hAnsi="Arial" w:cs="Arial"/>
                <w:sz w:val="20"/>
                <w:szCs w:val="20"/>
              </w:rPr>
            </w:pPr>
          </w:p>
        </w:tc>
        <w:tc>
          <w:tcPr>
            <w:tcW w:w="8211" w:type="dxa"/>
            <w:noWrap/>
            <w:tcMar>
              <w:top w:w="0" w:type="dxa"/>
              <w:left w:w="70" w:type="dxa"/>
              <w:bottom w:w="0" w:type="dxa"/>
              <w:right w:w="70" w:type="dxa"/>
            </w:tcMar>
            <w:vAlign w:val="bottom"/>
            <w:hideMark/>
          </w:tcPr>
          <w:p w14:paraId="2623159D" w14:textId="77777777" w:rsidR="00814DAE" w:rsidRPr="00D33399" w:rsidRDefault="00814DAE" w:rsidP="00C9653E">
            <w:pPr>
              <w:rPr>
                <w:rFonts w:ascii="Arial" w:hAnsi="Arial" w:cs="Arial"/>
                <w:sz w:val="20"/>
                <w:szCs w:val="20"/>
              </w:rPr>
            </w:pPr>
          </w:p>
        </w:tc>
      </w:tr>
      <w:tr w:rsidR="00814DAE" w:rsidRPr="00D33399" w14:paraId="5900137B" w14:textId="77777777" w:rsidTr="00C9653E">
        <w:trPr>
          <w:trHeight w:val="315"/>
        </w:trPr>
        <w:tc>
          <w:tcPr>
            <w:tcW w:w="1406" w:type="dxa"/>
            <w:noWrap/>
            <w:tcMar>
              <w:top w:w="0" w:type="dxa"/>
              <w:left w:w="70" w:type="dxa"/>
              <w:bottom w:w="0" w:type="dxa"/>
              <w:right w:w="70" w:type="dxa"/>
            </w:tcMar>
            <w:vAlign w:val="center"/>
            <w:hideMark/>
          </w:tcPr>
          <w:p w14:paraId="5D1149D1" w14:textId="77777777" w:rsidR="00814DAE" w:rsidRPr="00D33399" w:rsidRDefault="00814DAE" w:rsidP="00C9653E">
            <w:pPr>
              <w:rPr>
                <w:sz w:val="20"/>
                <w:szCs w:val="20"/>
              </w:rPr>
            </w:pPr>
          </w:p>
        </w:tc>
        <w:tc>
          <w:tcPr>
            <w:tcW w:w="8211" w:type="dxa"/>
            <w:noWrap/>
            <w:tcMar>
              <w:top w:w="0" w:type="dxa"/>
              <w:left w:w="70" w:type="dxa"/>
              <w:bottom w:w="0" w:type="dxa"/>
              <w:right w:w="70" w:type="dxa"/>
            </w:tcMar>
            <w:vAlign w:val="bottom"/>
            <w:hideMark/>
          </w:tcPr>
          <w:p w14:paraId="7B49CB10" w14:textId="77777777" w:rsidR="00814DAE" w:rsidRPr="00D33399" w:rsidRDefault="00814DAE" w:rsidP="00C9653E">
            <w:pPr>
              <w:rPr>
                <w:sz w:val="20"/>
                <w:szCs w:val="20"/>
              </w:rPr>
            </w:pPr>
          </w:p>
        </w:tc>
      </w:tr>
      <w:tr w:rsidR="00814DAE" w:rsidRPr="00D33399" w14:paraId="37E7A679" w14:textId="77777777" w:rsidTr="00C9653E">
        <w:trPr>
          <w:trHeight w:val="675"/>
        </w:trPr>
        <w:tc>
          <w:tcPr>
            <w:tcW w:w="9617"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72F83A76" w14:textId="7FD96250" w:rsidR="00814DAE" w:rsidRPr="00F54844" w:rsidRDefault="00814DAE" w:rsidP="00067006">
            <w:pPr>
              <w:pStyle w:val="PargrafodaLista"/>
              <w:numPr>
                <w:ilvl w:val="0"/>
                <w:numId w:val="23"/>
              </w:numPr>
              <w:rPr>
                <w:rFonts w:ascii="Arial" w:eastAsiaTheme="minorHAnsi" w:hAnsi="Arial" w:cs="Arial"/>
                <w:b/>
                <w:bCs/>
                <w:sz w:val="20"/>
                <w:szCs w:val="20"/>
                <w:lang w:eastAsia="en-US"/>
              </w:rPr>
            </w:pPr>
            <w:r w:rsidRPr="00F54844">
              <w:rPr>
                <w:rFonts w:ascii="Arial" w:hAnsi="Arial" w:cs="Arial"/>
                <w:b/>
                <w:bCs/>
              </w:rPr>
              <w:t>Ação Tributária/ Fiscal n. 0003767-29.2009.8.19.0001</w:t>
            </w:r>
          </w:p>
        </w:tc>
      </w:tr>
      <w:tr w:rsidR="00814DAE" w:rsidRPr="00D33399" w14:paraId="638CD8F8" w14:textId="77777777" w:rsidTr="00C9653E">
        <w:trPr>
          <w:trHeight w:val="52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CEA2F1F"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Instância /Juízo</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1E96D2"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 xml:space="preserve">[1ª] Instância - [11ª] Vara de Fazenda Pública do Tribunal de Justiça do Estado do RJ </w:t>
            </w:r>
          </w:p>
        </w:tc>
      </w:tr>
      <w:tr w:rsidR="00814DAE" w:rsidRPr="00D33399" w14:paraId="66E70C2B" w14:textId="77777777" w:rsidTr="00C9653E">
        <w:trPr>
          <w:trHeight w:val="31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D6C8467"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Partes</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2022E2"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Estado do Rio de Janeiro (Exequente) x Eletrobras Eletronuclear (Executada)</w:t>
            </w:r>
          </w:p>
        </w:tc>
      </w:tr>
      <w:tr w:rsidR="00814DAE" w:rsidRPr="00D33399" w14:paraId="7663BDB1" w14:textId="77777777" w:rsidTr="00C9653E">
        <w:trPr>
          <w:trHeight w:val="52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CAC62E"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Valores, bens ou direitos envolvidos</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621B684" w14:textId="5144B0EC" w:rsidR="00814DAE" w:rsidRPr="00D33399" w:rsidRDefault="00814DAE" w:rsidP="00C9653E">
            <w:pPr>
              <w:jc w:val="both"/>
              <w:rPr>
                <w:rFonts w:ascii="Arial" w:hAnsi="Arial" w:cs="Arial"/>
                <w:sz w:val="20"/>
                <w:szCs w:val="20"/>
              </w:rPr>
            </w:pPr>
            <w:r w:rsidRPr="00D33399">
              <w:rPr>
                <w:rFonts w:ascii="Arial" w:hAnsi="Arial" w:cs="Arial"/>
                <w:sz w:val="20"/>
                <w:szCs w:val="20"/>
              </w:rPr>
              <w:t>Valor atualizado: R$ 121.16</w:t>
            </w:r>
            <w:r w:rsidR="00C9653E" w:rsidRPr="00D33399">
              <w:rPr>
                <w:rFonts w:ascii="Arial" w:hAnsi="Arial" w:cs="Arial"/>
                <w:sz w:val="20"/>
                <w:szCs w:val="20"/>
              </w:rPr>
              <w:t>5</w:t>
            </w:r>
          </w:p>
        </w:tc>
      </w:tr>
      <w:tr w:rsidR="00814DAE" w:rsidRPr="00D33399" w14:paraId="4FF48CB4" w14:textId="77777777" w:rsidTr="00C9653E">
        <w:trPr>
          <w:trHeight w:val="496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712409"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Objeto:</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E806D78"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No auto de infração nº 01.134725-9 é exigida a certidão n. 2008/027.141-2, crédito tributário exigido na presente execução fiscal.  Em síntese, a Receita Estadual descreve que a Companhia realizou creditamento indevido de ICMS, por utilizar documentação incorreta e inidônea. Em contraponto a Companhia argumenta que os documentos utilizados para o creditamento são idôneos, já que por ser Furnas responsável pela importação antes da cisão, por sucessão universal de direitos e obrigações, a Companhia passou a ser detentora do crédito, de toda forma, assevera também que não utilizou tais créditos. Foram ajuizados os embargos à execução de n. 0404842-28.2015.8.19.0001 pela Eletrobras Eletronuclear. Há um seguro garantindo o Juízo, o que possibilidade a emissão da certidão tributária estadual e o impedimento de penhora on line das contas da Companhia. Em 31.08.2018 foi publicada decisão judicial para as partes se manifestarem quanto ao laudo emitido pelo perito judicial. O perito do Juízo destacou que a Companhia não realizou o aproveitamento do crédito fiscal indicado pelo Fisco Estadual.  A Companhia manifestou-se quanto àquele laudo e juntou documentos. O processo foi remetido à Procuradoria do Estado do Rio de Janeiro em 10.10.2018. Em 24.04.2019 foi publicada sentença de procedência dos embargos à execução, com a consequente extinção da execução. O Juízo considerou a tese da Companhia no sentido de que os créditos foram estornados. O Estado do Rio de Janeiro apelou da sentença e a Companhia ofertou suas contrarrazões, com encaminhamento do processo em 14.10.2019 para a instância superior (Tribunal de Justiça do Rio de Janeiro). O TJRJ julgou improcedente o recurso de apelação do Estado do Rio de Janeiro, mantendo a decisão de 1º instância. A decisão, favorável à Companhia, transitou em julgado em julho de 2020. Com o trânsito em julgado nos autos dos embargos à execução n. 0404842-28.2015.8.19.0001 da decisão que nulificou o título exigido na execução fiscal n. 0003767-29.2009.8.19.0001, o Estado do Rio de Janeiro foi intimado nos autos daqueles embargos para o cumprimento do acordão. Dessa forma, o Estado do RJ informou nos autos dos embargos à execução que cancelou o título executivo n. CDA nº 2008/027.141-2, culminando com a extinção do crédito tributário. A Companhia informou nos autos sobre o levantamento do seguro garantia. Além disso, nos autos dos embargos à execução fiscal sobredito, foi iniciada a execução contra o Estado do RJ referente à devolução das custas judiciais e a cobrança dos honorários. Ademais, na execução fiscal n. 0003767-29.2009.8.19.0001 há indicação de sentença proferida em setembro de 2020, ainda não publicada, julgando extinta a execução fiscal, em decorrência do trânsito em julgado dos Embargos correlatos.</w:t>
            </w:r>
          </w:p>
        </w:tc>
      </w:tr>
      <w:tr w:rsidR="00814DAE" w:rsidRPr="00D33399" w14:paraId="386C17BA" w14:textId="77777777" w:rsidTr="00C9653E">
        <w:trPr>
          <w:trHeight w:val="58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C6B5D2"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Expectativa de Perda</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3A30BA"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Possível</w:t>
            </w:r>
          </w:p>
        </w:tc>
      </w:tr>
    </w:tbl>
    <w:p w14:paraId="25D71157" w14:textId="51BEDACC" w:rsidR="00814DAE" w:rsidRDefault="00814DAE" w:rsidP="00814DAE">
      <w:pPr>
        <w:rPr>
          <w:rFonts w:ascii="Calibri" w:eastAsiaTheme="minorHAnsi" w:hAnsi="Calibri" w:cs="Calibri"/>
          <w:sz w:val="22"/>
          <w:szCs w:val="22"/>
          <w:lang w:eastAsia="en-US"/>
        </w:rPr>
      </w:pPr>
    </w:p>
    <w:p w14:paraId="21DCB2EE" w14:textId="28E6D1A2" w:rsidR="00F54844" w:rsidRDefault="00F54844" w:rsidP="00814DAE">
      <w:pPr>
        <w:rPr>
          <w:rFonts w:ascii="Calibri" w:eastAsiaTheme="minorHAnsi" w:hAnsi="Calibri" w:cs="Calibri"/>
          <w:sz w:val="22"/>
          <w:szCs w:val="22"/>
          <w:lang w:eastAsia="en-US"/>
        </w:rPr>
      </w:pPr>
    </w:p>
    <w:p w14:paraId="3A050EAA" w14:textId="77777777" w:rsidR="00F54844" w:rsidRPr="00D33399" w:rsidRDefault="00F54844" w:rsidP="00814DAE">
      <w:pPr>
        <w:rPr>
          <w:rFonts w:ascii="Calibri" w:eastAsiaTheme="minorHAnsi" w:hAnsi="Calibri" w:cs="Calibri"/>
          <w:sz w:val="22"/>
          <w:szCs w:val="22"/>
          <w:lang w:eastAsia="en-US"/>
        </w:rPr>
      </w:pPr>
    </w:p>
    <w:tbl>
      <w:tblPr>
        <w:tblW w:w="0" w:type="auto"/>
        <w:tblInd w:w="2" w:type="dxa"/>
        <w:tblCellMar>
          <w:left w:w="0" w:type="dxa"/>
          <w:right w:w="0" w:type="dxa"/>
        </w:tblCellMar>
        <w:tblLook w:val="04A0" w:firstRow="1" w:lastRow="0" w:firstColumn="1" w:lastColumn="0" w:noHBand="0" w:noVBand="1"/>
      </w:tblPr>
      <w:tblGrid>
        <w:gridCol w:w="1406"/>
        <w:gridCol w:w="8136"/>
      </w:tblGrid>
      <w:tr w:rsidR="00814DAE" w:rsidRPr="00D33399" w14:paraId="73D522CC" w14:textId="77777777" w:rsidTr="00FF5FBE">
        <w:trPr>
          <w:trHeight w:val="630"/>
        </w:trPr>
        <w:tc>
          <w:tcPr>
            <w:tcW w:w="9542" w:type="dxa"/>
            <w:gridSpan w:val="2"/>
            <w:tcBorders>
              <w:top w:val="nil"/>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46C0F71E" w14:textId="57A9CCCD" w:rsidR="00814DAE" w:rsidRPr="00F54844" w:rsidRDefault="00814DAE" w:rsidP="00067006">
            <w:pPr>
              <w:pStyle w:val="PargrafodaLista"/>
              <w:numPr>
                <w:ilvl w:val="0"/>
                <w:numId w:val="23"/>
              </w:numPr>
              <w:rPr>
                <w:rFonts w:ascii="Arial" w:hAnsi="Arial" w:cs="Arial"/>
                <w:b/>
                <w:bCs/>
                <w:sz w:val="20"/>
                <w:szCs w:val="20"/>
              </w:rPr>
            </w:pPr>
            <w:r w:rsidRPr="00F54844">
              <w:rPr>
                <w:rFonts w:ascii="Arial" w:hAnsi="Arial" w:cs="Arial"/>
                <w:b/>
                <w:bCs/>
              </w:rPr>
              <w:lastRenderedPageBreak/>
              <w:t>Ação Trabalhista n. 0010788-47.2015.5.08.0116</w:t>
            </w:r>
          </w:p>
        </w:tc>
      </w:tr>
      <w:tr w:rsidR="00814DAE" w:rsidRPr="00D33399" w14:paraId="48771EEB" w14:textId="77777777" w:rsidTr="00FF5FBE">
        <w:trPr>
          <w:trHeight w:val="31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A4D156"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Instância /Juízo</w:t>
            </w:r>
          </w:p>
        </w:tc>
        <w:tc>
          <w:tcPr>
            <w:tcW w:w="813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FFB95F"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[1ª] Instância - 1ª Vara do Trabalho de Paragominas</w:t>
            </w:r>
          </w:p>
        </w:tc>
      </w:tr>
      <w:tr w:rsidR="00814DAE" w:rsidRPr="00D33399" w14:paraId="22C83C1F" w14:textId="77777777" w:rsidTr="00FF5FBE">
        <w:trPr>
          <w:trHeight w:val="52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CE9FA0F"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Partes</w:t>
            </w:r>
          </w:p>
        </w:tc>
        <w:tc>
          <w:tcPr>
            <w:tcW w:w="813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72ADF60"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Vanderley Costa Oliveira e outros x Eletrobras Eletronuclear (Reclamada) e Outros</w:t>
            </w:r>
          </w:p>
        </w:tc>
      </w:tr>
      <w:tr w:rsidR="00814DAE" w:rsidRPr="00D33399" w14:paraId="6F636884" w14:textId="77777777" w:rsidTr="00FF5FBE">
        <w:trPr>
          <w:trHeight w:val="52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6B7275B"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Valores, bens ou direitos envolvidos</w:t>
            </w:r>
          </w:p>
        </w:tc>
        <w:tc>
          <w:tcPr>
            <w:tcW w:w="813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B6DD3CE" w14:textId="2161A3A9" w:rsidR="00814DAE" w:rsidRPr="00D33399" w:rsidRDefault="00814DAE" w:rsidP="00C9653E">
            <w:pPr>
              <w:jc w:val="both"/>
              <w:rPr>
                <w:rFonts w:ascii="Arial" w:hAnsi="Arial" w:cs="Arial"/>
                <w:sz w:val="20"/>
                <w:szCs w:val="20"/>
              </w:rPr>
            </w:pPr>
            <w:r w:rsidRPr="00D33399">
              <w:rPr>
                <w:rFonts w:ascii="Arial" w:hAnsi="Arial" w:cs="Arial"/>
                <w:sz w:val="20"/>
                <w:szCs w:val="20"/>
              </w:rPr>
              <w:t>Valor atualizado: R$ 150.374</w:t>
            </w:r>
          </w:p>
        </w:tc>
      </w:tr>
      <w:tr w:rsidR="00814DAE" w:rsidRPr="00D33399" w14:paraId="10EA83AC" w14:textId="77777777" w:rsidTr="00FF5FBE">
        <w:trPr>
          <w:trHeight w:val="2400"/>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3AD7255"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Objeto:</w:t>
            </w:r>
          </w:p>
        </w:tc>
        <w:tc>
          <w:tcPr>
            <w:tcW w:w="813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00813C0"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Trata-se de demanda ajuizada por ex-empregados da Companhia Bauxita Brasileira, que foi subcontratada, sem a autorização da Eletronuclear, pela empresa Interamerican Ltda para a realização dos serviços de destinação final de aproximadamente 10.000 Kg (dez mil quilogramas) de resíduos Industriais provenientes de sobra da construção da Usina de Angra 2, no município de Angra dos Reis- RJ, o que gerou pedido dos Reclamantes para ressarcimento de danos materiais/morais decorrentes do exercício de atividade laboral sem o uso de equipamentos adequados.  Há aproximadamente setenta e cinco reclamadas. Além do exposto acima, há alegação de prescrição quanto ao direito dos reclamantes. Processo em fase de 1º grau. Sem prolação de sentença.</w:t>
            </w:r>
          </w:p>
        </w:tc>
      </w:tr>
      <w:tr w:rsidR="00814DAE" w:rsidRPr="00D33399" w14:paraId="65BC9CA4" w14:textId="77777777" w:rsidTr="00FF5FBE">
        <w:trPr>
          <w:trHeight w:val="570"/>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FCA0593"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Expectativa de Perda</w:t>
            </w:r>
          </w:p>
        </w:tc>
        <w:tc>
          <w:tcPr>
            <w:tcW w:w="813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4492B2"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Possível</w:t>
            </w:r>
          </w:p>
        </w:tc>
      </w:tr>
    </w:tbl>
    <w:p w14:paraId="0FD22196" w14:textId="77777777" w:rsidR="00814DAE" w:rsidRPr="00D33399" w:rsidRDefault="00814DAE" w:rsidP="00814DAE">
      <w:pPr>
        <w:rPr>
          <w:rFonts w:ascii="Calibri" w:eastAsiaTheme="minorHAnsi" w:hAnsi="Calibri" w:cs="Calibri"/>
          <w:sz w:val="22"/>
          <w:szCs w:val="22"/>
          <w:lang w:eastAsia="en-US"/>
        </w:rPr>
      </w:pPr>
    </w:p>
    <w:tbl>
      <w:tblPr>
        <w:tblW w:w="6336" w:type="pct"/>
        <w:tblCellMar>
          <w:left w:w="0" w:type="dxa"/>
          <w:right w:w="0" w:type="dxa"/>
        </w:tblCellMar>
        <w:tblLook w:val="04A0" w:firstRow="1" w:lastRow="0" w:firstColumn="1" w:lastColumn="0" w:noHBand="0" w:noVBand="1"/>
      </w:tblPr>
      <w:tblGrid>
        <w:gridCol w:w="1407"/>
        <w:gridCol w:w="8170"/>
        <w:gridCol w:w="19"/>
        <w:gridCol w:w="2511"/>
      </w:tblGrid>
      <w:tr w:rsidR="00814DAE" w:rsidRPr="00D33399" w14:paraId="5070CF46" w14:textId="77777777" w:rsidTr="00C9653E">
        <w:trPr>
          <w:trHeight w:val="495"/>
        </w:trPr>
        <w:tc>
          <w:tcPr>
            <w:tcW w:w="3955" w:type="pct"/>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0B5F4173" w14:textId="26977AF2" w:rsidR="00814DAE" w:rsidRPr="00F54844" w:rsidRDefault="00814DAE" w:rsidP="00067006">
            <w:pPr>
              <w:pStyle w:val="PargrafodaLista"/>
              <w:numPr>
                <w:ilvl w:val="0"/>
                <w:numId w:val="23"/>
              </w:numPr>
              <w:rPr>
                <w:rFonts w:ascii="Arial" w:hAnsi="Arial" w:cs="Arial"/>
                <w:b/>
                <w:bCs/>
                <w:sz w:val="20"/>
                <w:szCs w:val="20"/>
              </w:rPr>
            </w:pPr>
            <w:r w:rsidRPr="00F54844">
              <w:rPr>
                <w:rFonts w:ascii="Arial" w:hAnsi="Arial" w:cs="Arial"/>
                <w:b/>
                <w:bCs/>
              </w:rPr>
              <w:t>Ação Cível n. 1024684-59.2018.4.01.3400</w:t>
            </w:r>
          </w:p>
        </w:tc>
        <w:tc>
          <w:tcPr>
            <w:tcW w:w="8" w:type="pct"/>
            <w:vAlign w:val="center"/>
            <w:hideMark/>
          </w:tcPr>
          <w:p w14:paraId="605E96F7" w14:textId="77777777" w:rsidR="00814DAE" w:rsidRPr="00D33399" w:rsidRDefault="00814DAE" w:rsidP="00C9653E">
            <w:pPr>
              <w:rPr>
                <w:rFonts w:ascii="Arial" w:hAnsi="Arial" w:cs="Arial"/>
                <w:b/>
                <w:bCs/>
                <w:sz w:val="20"/>
                <w:szCs w:val="20"/>
              </w:rPr>
            </w:pPr>
          </w:p>
        </w:tc>
        <w:tc>
          <w:tcPr>
            <w:tcW w:w="1037" w:type="pct"/>
            <w:vAlign w:val="center"/>
            <w:hideMark/>
          </w:tcPr>
          <w:p w14:paraId="27D278CB"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663B55BD" w14:textId="77777777" w:rsidTr="00FF5FBE">
        <w:trPr>
          <w:trHeight w:val="315"/>
        </w:trPr>
        <w:tc>
          <w:tcPr>
            <w:tcW w:w="58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CC8DDE" w14:textId="77777777" w:rsidR="00814DAE" w:rsidRPr="007F59B4" w:rsidRDefault="00814DAE" w:rsidP="00C9653E">
            <w:pPr>
              <w:rPr>
                <w:rFonts w:ascii="Arial" w:hAnsi="Arial" w:cs="Arial"/>
                <w:b/>
                <w:bCs/>
                <w:sz w:val="20"/>
                <w:szCs w:val="20"/>
              </w:rPr>
            </w:pPr>
            <w:r w:rsidRPr="007F59B4">
              <w:rPr>
                <w:rFonts w:ascii="Arial" w:hAnsi="Arial" w:cs="Arial"/>
                <w:b/>
                <w:bCs/>
                <w:sz w:val="20"/>
                <w:szCs w:val="20"/>
              </w:rPr>
              <w:t>Instância /Juízo</w:t>
            </w:r>
          </w:p>
        </w:tc>
        <w:tc>
          <w:tcPr>
            <w:tcW w:w="337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C6B4488" w14:textId="77777777" w:rsidR="00814DAE" w:rsidRPr="007F59B4" w:rsidRDefault="00814DAE" w:rsidP="00C9653E">
            <w:pPr>
              <w:jc w:val="both"/>
              <w:rPr>
                <w:rFonts w:ascii="Arial" w:hAnsi="Arial" w:cs="Arial"/>
                <w:sz w:val="20"/>
                <w:szCs w:val="20"/>
              </w:rPr>
            </w:pPr>
            <w:r w:rsidRPr="007F59B4">
              <w:rPr>
                <w:rFonts w:ascii="Arial" w:hAnsi="Arial" w:cs="Arial"/>
                <w:sz w:val="20"/>
                <w:szCs w:val="20"/>
              </w:rPr>
              <w:t>[1ª] Instância – [16ª] Vara Federal - SJDF</w:t>
            </w:r>
          </w:p>
        </w:tc>
        <w:tc>
          <w:tcPr>
            <w:tcW w:w="8" w:type="pct"/>
            <w:vAlign w:val="center"/>
            <w:hideMark/>
          </w:tcPr>
          <w:p w14:paraId="4A30E8CD" w14:textId="77777777" w:rsidR="00814DAE" w:rsidRPr="00D33399" w:rsidRDefault="00814DAE" w:rsidP="00C9653E">
            <w:pPr>
              <w:rPr>
                <w:rFonts w:ascii="Arial" w:hAnsi="Arial" w:cs="Arial"/>
                <w:sz w:val="20"/>
                <w:szCs w:val="20"/>
              </w:rPr>
            </w:pPr>
          </w:p>
        </w:tc>
        <w:tc>
          <w:tcPr>
            <w:tcW w:w="1037" w:type="pct"/>
            <w:vAlign w:val="center"/>
            <w:hideMark/>
          </w:tcPr>
          <w:p w14:paraId="515FE0AE"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09042731" w14:textId="77777777" w:rsidTr="00FF5FBE">
        <w:trPr>
          <w:trHeight w:val="315"/>
        </w:trPr>
        <w:tc>
          <w:tcPr>
            <w:tcW w:w="58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552E65" w14:textId="77777777" w:rsidR="00814DAE" w:rsidRPr="007F59B4" w:rsidRDefault="00814DAE" w:rsidP="00C9653E">
            <w:pPr>
              <w:rPr>
                <w:rFonts w:ascii="Arial" w:hAnsi="Arial" w:cs="Arial"/>
                <w:b/>
                <w:bCs/>
                <w:sz w:val="20"/>
                <w:szCs w:val="20"/>
              </w:rPr>
            </w:pPr>
            <w:r w:rsidRPr="007F59B4">
              <w:rPr>
                <w:rFonts w:ascii="Arial" w:hAnsi="Arial" w:cs="Arial"/>
                <w:b/>
                <w:bCs/>
                <w:sz w:val="20"/>
                <w:szCs w:val="20"/>
              </w:rPr>
              <w:t>Partes</w:t>
            </w:r>
          </w:p>
        </w:tc>
        <w:tc>
          <w:tcPr>
            <w:tcW w:w="337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7E1A067" w14:textId="77777777" w:rsidR="00814DAE" w:rsidRPr="007F59B4" w:rsidRDefault="00814DAE" w:rsidP="00C9653E">
            <w:pPr>
              <w:jc w:val="both"/>
              <w:rPr>
                <w:rFonts w:ascii="Arial" w:hAnsi="Arial" w:cs="Arial"/>
                <w:sz w:val="20"/>
                <w:szCs w:val="20"/>
              </w:rPr>
            </w:pPr>
            <w:r w:rsidRPr="007F59B4">
              <w:rPr>
                <w:rFonts w:ascii="Arial" w:hAnsi="Arial" w:cs="Arial"/>
                <w:sz w:val="20"/>
                <w:szCs w:val="20"/>
              </w:rPr>
              <w:t>RCS Tecnologia Ltda.</w:t>
            </w:r>
          </w:p>
        </w:tc>
        <w:tc>
          <w:tcPr>
            <w:tcW w:w="8" w:type="pct"/>
            <w:vAlign w:val="center"/>
            <w:hideMark/>
          </w:tcPr>
          <w:p w14:paraId="45D33C60" w14:textId="77777777" w:rsidR="00814DAE" w:rsidRPr="00D33399" w:rsidRDefault="00814DAE" w:rsidP="00C9653E">
            <w:pPr>
              <w:rPr>
                <w:rFonts w:ascii="Arial" w:hAnsi="Arial" w:cs="Arial"/>
                <w:sz w:val="20"/>
                <w:szCs w:val="20"/>
              </w:rPr>
            </w:pPr>
          </w:p>
        </w:tc>
        <w:tc>
          <w:tcPr>
            <w:tcW w:w="1037" w:type="pct"/>
            <w:vAlign w:val="center"/>
            <w:hideMark/>
          </w:tcPr>
          <w:p w14:paraId="53C0081D"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631590E1" w14:textId="77777777" w:rsidTr="00FF5FBE">
        <w:trPr>
          <w:trHeight w:val="525"/>
        </w:trPr>
        <w:tc>
          <w:tcPr>
            <w:tcW w:w="58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60306E" w14:textId="77777777" w:rsidR="00814DAE" w:rsidRPr="007F59B4" w:rsidRDefault="00814DAE" w:rsidP="00C9653E">
            <w:pPr>
              <w:rPr>
                <w:rFonts w:ascii="Arial" w:hAnsi="Arial" w:cs="Arial"/>
                <w:b/>
                <w:bCs/>
                <w:sz w:val="20"/>
                <w:szCs w:val="20"/>
              </w:rPr>
            </w:pPr>
            <w:r w:rsidRPr="007F59B4">
              <w:rPr>
                <w:rFonts w:ascii="Arial" w:hAnsi="Arial" w:cs="Arial"/>
                <w:b/>
                <w:bCs/>
                <w:sz w:val="20"/>
                <w:szCs w:val="20"/>
              </w:rPr>
              <w:t>Valores, bens ou direitos envolvidos</w:t>
            </w:r>
          </w:p>
        </w:tc>
        <w:tc>
          <w:tcPr>
            <w:tcW w:w="337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82EDD8E" w14:textId="702D4A6F" w:rsidR="00814DAE" w:rsidRPr="007F59B4" w:rsidRDefault="00814DAE" w:rsidP="00C9653E">
            <w:pPr>
              <w:jc w:val="both"/>
              <w:rPr>
                <w:rFonts w:ascii="Arial" w:hAnsi="Arial" w:cs="Arial"/>
                <w:sz w:val="20"/>
                <w:szCs w:val="20"/>
              </w:rPr>
            </w:pPr>
            <w:r w:rsidRPr="007F59B4">
              <w:rPr>
                <w:rFonts w:ascii="Arial" w:hAnsi="Arial" w:cs="Arial"/>
                <w:sz w:val="20"/>
                <w:szCs w:val="20"/>
              </w:rPr>
              <w:t>Valor atualizado: R$ 89.828</w:t>
            </w:r>
          </w:p>
        </w:tc>
        <w:tc>
          <w:tcPr>
            <w:tcW w:w="8" w:type="pct"/>
            <w:vAlign w:val="center"/>
            <w:hideMark/>
          </w:tcPr>
          <w:p w14:paraId="28F65226" w14:textId="77777777" w:rsidR="00814DAE" w:rsidRPr="00D33399" w:rsidRDefault="00814DAE" w:rsidP="00C9653E">
            <w:pPr>
              <w:rPr>
                <w:rFonts w:ascii="Arial" w:hAnsi="Arial" w:cs="Arial"/>
                <w:sz w:val="20"/>
                <w:szCs w:val="20"/>
              </w:rPr>
            </w:pPr>
          </w:p>
        </w:tc>
        <w:tc>
          <w:tcPr>
            <w:tcW w:w="1037" w:type="pct"/>
            <w:vAlign w:val="center"/>
            <w:hideMark/>
          </w:tcPr>
          <w:p w14:paraId="0CBA532D"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6CA7B042" w14:textId="77777777" w:rsidTr="00FF5FBE">
        <w:trPr>
          <w:trHeight w:val="1635"/>
        </w:trPr>
        <w:tc>
          <w:tcPr>
            <w:tcW w:w="581" w:type="pct"/>
            <w:tcBorders>
              <w:top w:val="nil"/>
              <w:left w:val="single" w:sz="8" w:space="0" w:color="auto"/>
              <w:bottom w:val="nil"/>
              <w:right w:val="single" w:sz="8" w:space="0" w:color="auto"/>
            </w:tcBorders>
            <w:tcMar>
              <w:top w:w="0" w:type="dxa"/>
              <w:left w:w="70" w:type="dxa"/>
              <w:bottom w:w="0" w:type="dxa"/>
              <w:right w:w="70" w:type="dxa"/>
            </w:tcMar>
            <w:vAlign w:val="center"/>
            <w:hideMark/>
          </w:tcPr>
          <w:p w14:paraId="4D63F608" w14:textId="77777777" w:rsidR="00814DAE" w:rsidRPr="007F59B4" w:rsidRDefault="00814DAE" w:rsidP="00C9653E">
            <w:pPr>
              <w:rPr>
                <w:rFonts w:ascii="Arial" w:hAnsi="Arial" w:cs="Arial"/>
                <w:b/>
                <w:bCs/>
                <w:sz w:val="20"/>
                <w:szCs w:val="20"/>
              </w:rPr>
            </w:pPr>
            <w:r w:rsidRPr="007F59B4">
              <w:rPr>
                <w:rFonts w:ascii="Arial" w:hAnsi="Arial" w:cs="Arial"/>
                <w:b/>
                <w:bCs/>
                <w:sz w:val="20"/>
                <w:szCs w:val="20"/>
              </w:rPr>
              <w:t>Objeto:</w:t>
            </w:r>
          </w:p>
        </w:tc>
        <w:tc>
          <w:tcPr>
            <w:tcW w:w="3374" w:type="pct"/>
            <w:tcBorders>
              <w:top w:val="nil"/>
              <w:left w:val="nil"/>
              <w:bottom w:val="nil"/>
              <w:right w:val="single" w:sz="8" w:space="0" w:color="auto"/>
            </w:tcBorders>
            <w:tcMar>
              <w:top w:w="0" w:type="dxa"/>
              <w:left w:w="70" w:type="dxa"/>
              <w:bottom w:w="0" w:type="dxa"/>
              <w:right w:w="70" w:type="dxa"/>
            </w:tcMar>
            <w:vAlign w:val="center"/>
            <w:hideMark/>
          </w:tcPr>
          <w:p w14:paraId="0EE27923" w14:textId="77777777" w:rsidR="00814DAE" w:rsidRPr="007F59B4" w:rsidRDefault="00814DAE" w:rsidP="00C9653E">
            <w:pPr>
              <w:jc w:val="both"/>
              <w:rPr>
                <w:rFonts w:ascii="Arial" w:hAnsi="Arial" w:cs="Arial"/>
                <w:sz w:val="20"/>
                <w:szCs w:val="20"/>
              </w:rPr>
            </w:pPr>
            <w:r w:rsidRPr="007F59B4">
              <w:rPr>
                <w:rFonts w:ascii="Arial" w:hAnsi="Arial" w:cs="Arial"/>
                <w:sz w:val="20"/>
                <w:szCs w:val="20"/>
              </w:rPr>
              <w:t>Mandado de Segurança, com pedido de provimento liminar, requerendo a anulação da decisão da autoridade coatora que desclassificou a impetrante da Licitação PE nº 369/2017. Pedido liminar indeferido. Houve apresentação de defesa pela ELETRONUCLEAR. Processo concluso para julgamento. Em 25/08/2020, foi proferida sentença denegando a segurança. Transitou em julgado em 08/10/2020. Já foi pedido o encerramento do processo no Projurid.</w:t>
            </w:r>
          </w:p>
        </w:tc>
        <w:tc>
          <w:tcPr>
            <w:tcW w:w="8" w:type="pct"/>
            <w:vAlign w:val="center"/>
            <w:hideMark/>
          </w:tcPr>
          <w:p w14:paraId="214DDA3B" w14:textId="77777777" w:rsidR="00814DAE" w:rsidRPr="00D33399" w:rsidRDefault="00814DAE" w:rsidP="00C9653E">
            <w:pPr>
              <w:rPr>
                <w:rFonts w:ascii="Arial" w:hAnsi="Arial" w:cs="Arial"/>
                <w:sz w:val="20"/>
                <w:szCs w:val="20"/>
              </w:rPr>
            </w:pPr>
          </w:p>
        </w:tc>
        <w:tc>
          <w:tcPr>
            <w:tcW w:w="1037" w:type="pct"/>
            <w:vAlign w:val="center"/>
            <w:hideMark/>
          </w:tcPr>
          <w:p w14:paraId="42B9CAD9"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492721D2" w14:textId="77777777" w:rsidTr="00FF5FBE">
        <w:trPr>
          <w:trHeight w:val="555"/>
        </w:trPr>
        <w:tc>
          <w:tcPr>
            <w:tcW w:w="58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21D47A" w14:textId="77777777" w:rsidR="00814DAE" w:rsidRPr="007F59B4" w:rsidRDefault="00814DAE" w:rsidP="00C9653E">
            <w:pPr>
              <w:rPr>
                <w:rFonts w:ascii="Arial" w:hAnsi="Arial" w:cs="Arial"/>
                <w:b/>
                <w:bCs/>
                <w:sz w:val="20"/>
                <w:szCs w:val="20"/>
              </w:rPr>
            </w:pPr>
            <w:r w:rsidRPr="007F59B4">
              <w:rPr>
                <w:rFonts w:ascii="Arial" w:hAnsi="Arial" w:cs="Arial"/>
                <w:b/>
                <w:bCs/>
                <w:sz w:val="20"/>
                <w:szCs w:val="20"/>
              </w:rPr>
              <w:t>Expectativa de Perda</w:t>
            </w:r>
          </w:p>
        </w:tc>
        <w:tc>
          <w:tcPr>
            <w:tcW w:w="337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4E139F1" w14:textId="77777777" w:rsidR="00814DAE" w:rsidRPr="007F59B4" w:rsidRDefault="00814DAE" w:rsidP="00C9653E">
            <w:pPr>
              <w:jc w:val="both"/>
              <w:rPr>
                <w:rFonts w:ascii="Arial" w:hAnsi="Arial" w:cs="Arial"/>
                <w:sz w:val="20"/>
                <w:szCs w:val="20"/>
              </w:rPr>
            </w:pPr>
            <w:r w:rsidRPr="007F59B4">
              <w:rPr>
                <w:rFonts w:ascii="Arial" w:hAnsi="Arial" w:cs="Arial"/>
                <w:sz w:val="20"/>
                <w:szCs w:val="20"/>
              </w:rPr>
              <w:t>Possível</w:t>
            </w:r>
          </w:p>
        </w:tc>
        <w:tc>
          <w:tcPr>
            <w:tcW w:w="8" w:type="pct"/>
            <w:vAlign w:val="center"/>
            <w:hideMark/>
          </w:tcPr>
          <w:p w14:paraId="0F78A281" w14:textId="77777777" w:rsidR="00814DAE" w:rsidRPr="00D33399" w:rsidRDefault="00814DAE" w:rsidP="00C9653E">
            <w:pPr>
              <w:rPr>
                <w:rFonts w:ascii="Arial" w:hAnsi="Arial" w:cs="Arial"/>
                <w:sz w:val="20"/>
                <w:szCs w:val="20"/>
              </w:rPr>
            </w:pPr>
          </w:p>
        </w:tc>
        <w:tc>
          <w:tcPr>
            <w:tcW w:w="1037" w:type="pct"/>
            <w:vAlign w:val="center"/>
            <w:hideMark/>
          </w:tcPr>
          <w:p w14:paraId="21FEDB13"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4C3A84A5" w14:textId="77777777" w:rsidTr="00FF5FBE">
        <w:trPr>
          <w:trHeight w:val="315"/>
        </w:trPr>
        <w:tc>
          <w:tcPr>
            <w:tcW w:w="581" w:type="pct"/>
            <w:noWrap/>
            <w:tcMar>
              <w:top w:w="0" w:type="dxa"/>
              <w:left w:w="70" w:type="dxa"/>
              <w:bottom w:w="0" w:type="dxa"/>
              <w:right w:w="70" w:type="dxa"/>
            </w:tcMar>
            <w:vAlign w:val="center"/>
            <w:hideMark/>
          </w:tcPr>
          <w:p w14:paraId="7D495EC9" w14:textId="77777777" w:rsidR="00814DAE" w:rsidRPr="00D33399" w:rsidRDefault="00814DAE" w:rsidP="00C9653E"/>
        </w:tc>
        <w:tc>
          <w:tcPr>
            <w:tcW w:w="3374" w:type="pct"/>
            <w:noWrap/>
            <w:tcMar>
              <w:top w:w="0" w:type="dxa"/>
              <w:left w:w="70" w:type="dxa"/>
              <w:bottom w:w="0" w:type="dxa"/>
              <w:right w:w="70" w:type="dxa"/>
            </w:tcMar>
            <w:vAlign w:val="bottom"/>
            <w:hideMark/>
          </w:tcPr>
          <w:p w14:paraId="02C63BA3" w14:textId="77777777" w:rsidR="00814DAE" w:rsidRPr="00D33399" w:rsidRDefault="00814DAE" w:rsidP="00C9653E">
            <w:pPr>
              <w:rPr>
                <w:sz w:val="20"/>
                <w:szCs w:val="20"/>
              </w:rPr>
            </w:pPr>
          </w:p>
        </w:tc>
        <w:tc>
          <w:tcPr>
            <w:tcW w:w="8" w:type="pct"/>
            <w:vAlign w:val="center"/>
            <w:hideMark/>
          </w:tcPr>
          <w:p w14:paraId="09EA7E03" w14:textId="77777777" w:rsidR="00814DAE" w:rsidRPr="00D33399" w:rsidRDefault="00814DAE" w:rsidP="00C9653E">
            <w:pPr>
              <w:rPr>
                <w:sz w:val="20"/>
                <w:szCs w:val="20"/>
              </w:rPr>
            </w:pPr>
          </w:p>
        </w:tc>
        <w:tc>
          <w:tcPr>
            <w:tcW w:w="1037" w:type="pct"/>
            <w:vAlign w:val="center"/>
            <w:hideMark/>
          </w:tcPr>
          <w:p w14:paraId="03F0E980"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1428948D" w14:textId="77777777" w:rsidTr="00C9653E">
        <w:trPr>
          <w:trHeight w:val="510"/>
        </w:trPr>
        <w:tc>
          <w:tcPr>
            <w:tcW w:w="3955" w:type="pct"/>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7BFF7E84" w14:textId="19458B40" w:rsidR="00814DAE" w:rsidRPr="00F54844" w:rsidRDefault="00814DAE" w:rsidP="00067006">
            <w:pPr>
              <w:pStyle w:val="PargrafodaLista"/>
              <w:numPr>
                <w:ilvl w:val="0"/>
                <w:numId w:val="23"/>
              </w:numPr>
              <w:rPr>
                <w:rFonts w:ascii="Arial" w:hAnsi="Arial" w:cs="Arial"/>
                <w:b/>
                <w:bCs/>
              </w:rPr>
            </w:pPr>
            <w:r w:rsidRPr="00F54844">
              <w:rPr>
                <w:rFonts w:ascii="Arial" w:hAnsi="Arial" w:cs="Arial"/>
                <w:b/>
                <w:bCs/>
              </w:rPr>
              <w:t>Ação Cível n. 5028541-56.2018.4.02.5101</w:t>
            </w:r>
          </w:p>
        </w:tc>
        <w:tc>
          <w:tcPr>
            <w:tcW w:w="8" w:type="pct"/>
            <w:vAlign w:val="center"/>
            <w:hideMark/>
          </w:tcPr>
          <w:p w14:paraId="13A57954" w14:textId="77777777" w:rsidR="00814DAE" w:rsidRPr="00D33399" w:rsidRDefault="00814DAE" w:rsidP="00C9653E">
            <w:pPr>
              <w:rPr>
                <w:rFonts w:ascii="Arial" w:hAnsi="Arial" w:cs="Arial"/>
                <w:b/>
                <w:bCs/>
              </w:rPr>
            </w:pPr>
          </w:p>
        </w:tc>
        <w:tc>
          <w:tcPr>
            <w:tcW w:w="1037" w:type="pct"/>
            <w:vAlign w:val="center"/>
            <w:hideMark/>
          </w:tcPr>
          <w:p w14:paraId="4E2C4A3B"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5DFEFA00" w14:textId="77777777" w:rsidTr="00FF5FBE">
        <w:trPr>
          <w:trHeight w:val="315"/>
        </w:trPr>
        <w:tc>
          <w:tcPr>
            <w:tcW w:w="58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D793E6"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Instância /Juízo</w:t>
            </w:r>
          </w:p>
        </w:tc>
        <w:tc>
          <w:tcPr>
            <w:tcW w:w="337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051E4FA"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[1ª] Instância – [19ª] Vara Federal - RJ</w:t>
            </w:r>
          </w:p>
        </w:tc>
        <w:tc>
          <w:tcPr>
            <w:tcW w:w="8" w:type="pct"/>
            <w:vAlign w:val="center"/>
            <w:hideMark/>
          </w:tcPr>
          <w:p w14:paraId="50CA1F90" w14:textId="77777777" w:rsidR="00814DAE" w:rsidRPr="00D33399" w:rsidRDefault="00814DAE" w:rsidP="00C9653E">
            <w:pPr>
              <w:rPr>
                <w:rFonts w:ascii="Arial" w:hAnsi="Arial" w:cs="Arial"/>
                <w:sz w:val="20"/>
                <w:szCs w:val="20"/>
              </w:rPr>
            </w:pPr>
          </w:p>
        </w:tc>
        <w:tc>
          <w:tcPr>
            <w:tcW w:w="1037" w:type="pct"/>
            <w:vAlign w:val="center"/>
            <w:hideMark/>
          </w:tcPr>
          <w:p w14:paraId="7529C1DC"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57CC3EDE" w14:textId="77777777" w:rsidTr="00FF5FBE">
        <w:trPr>
          <w:trHeight w:val="315"/>
        </w:trPr>
        <w:tc>
          <w:tcPr>
            <w:tcW w:w="58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9C9AD31"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Partes</w:t>
            </w:r>
          </w:p>
        </w:tc>
        <w:tc>
          <w:tcPr>
            <w:tcW w:w="337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905E672"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Tecnatom S/A.</w:t>
            </w:r>
          </w:p>
        </w:tc>
        <w:tc>
          <w:tcPr>
            <w:tcW w:w="8" w:type="pct"/>
            <w:vAlign w:val="center"/>
            <w:hideMark/>
          </w:tcPr>
          <w:p w14:paraId="2266A5B7" w14:textId="77777777" w:rsidR="00814DAE" w:rsidRPr="00D33399" w:rsidRDefault="00814DAE" w:rsidP="00C9653E">
            <w:pPr>
              <w:rPr>
                <w:rFonts w:ascii="Arial" w:hAnsi="Arial" w:cs="Arial"/>
                <w:sz w:val="20"/>
                <w:szCs w:val="20"/>
              </w:rPr>
            </w:pPr>
          </w:p>
        </w:tc>
        <w:tc>
          <w:tcPr>
            <w:tcW w:w="1037" w:type="pct"/>
            <w:vAlign w:val="center"/>
            <w:hideMark/>
          </w:tcPr>
          <w:p w14:paraId="56F03273"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2B904537" w14:textId="77777777" w:rsidTr="00FF5FBE">
        <w:trPr>
          <w:trHeight w:val="525"/>
        </w:trPr>
        <w:tc>
          <w:tcPr>
            <w:tcW w:w="58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94A35D"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 xml:space="preserve">Valores, bens ou direitos </w:t>
            </w:r>
            <w:r w:rsidRPr="00D33399">
              <w:rPr>
                <w:rFonts w:ascii="Arial" w:hAnsi="Arial" w:cs="Arial"/>
                <w:b/>
                <w:bCs/>
                <w:sz w:val="20"/>
                <w:szCs w:val="20"/>
              </w:rPr>
              <w:lastRenderedPageBreak/>
              <w:t>envolvidos</w:t>
            </w:r>
          </w:p>
        </w:tc>
        <w:tc>
          <w:tcPr>
            <w:tcW w:w="337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E4C0305" w14:textId="31AEC5E2" w:rsidR="00814DAE" w:rsidRPr="00D33399" w:rsidRDefault="00814DAE" w:rsidP="00C9653E">
            <w:pPr>
              <w:jc w:val="both"/>
              <w:rPr>
                <w:rFonts w:ascii="Arial" w:hAnsi="Arial" w:cs="Arial"/>
                <w:sz w:val="20"/>
                <w:szCs w:val="20"/>
              </w:rPr>
            </w:pPr>
            <w:r w:rsidRPr="00D33399">
              <w:rPr>
                <w:rFonts w:ascii="Arial" w:hAnsi="Arial" w:cs="Arial"/>
                <w:sz w:val="20"/>
                <w:szCs w:val="20"/>
              </w:rPr>
              <w:lastRenderedPageBreak/>
              <w:t>Valor atualizado: R$ 70.354</w:t>
            </w:r>
          </w:p>
        </w:tc>
        <w:tc>
          <w:tcPr>
            <w:tcW w:w="8" w:type="pct"/>
            <w:vAlign w:val="center"/>
            <w:hideMark/>
          </w:tcPr>
          <w:p w14:paraId="551CC7A8" w14:textId="77777777" w:rsidR="00814DAE" w:rsidRPr="00D33399" w:rsidRDefault="00814DAE" w:rsidP="00C9653E">
            <w:pPr>
              <w:rPr>
                <w:rFonts w:ascii="Arial" w:hAnsi="Arial" w:cs="Arial"/>
                <w:sz w:val="20"/>
                <w:szCs w:val="20"/>
              </w:rPr>
            </w:pPr>
          </w:p>
        </w:tc>
        <w:tc>
          <w:tcPr>
            <w:tcW w:w="1037" w:type="pct"/>
            <w:vAlign w:val="center"/>
            <w:hideMark/>
          </w:tcPr>
          <w:p w14:paraId="4C246700"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6F9AE294" w14:textId="77777777" w:rsidTr="00FF5FBE">
        <w:trPr>
          <w:trHeight w:val="1140"/>
        </w:trPr>
        <w:tc>
          <w:tcPr>
            <w:tcW w:w="581"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58BC1D21"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lastRenderedPageBreak/>
              <w:t>Objeto:</w:t>
            </w:r>
          </w:p>
        </w:tc>
        <w:tc>
          <w:tcPr>
            <w:tcW w:w="3374" w:type="pct"/>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43B66623"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Mandado de segurança requerendo o cancelamento da Concorrência Internacional DAI.A/CI-004.18. Houve apresentação de defesa pela ELETROUCLEAR e decisão denegando a ordem. Há recurso de apelação da Tecnatom pendente de julgamento. Sem alteração</w:t>
            </w:r>
          </w:p>
        </w:tc>
        <w:tc>
          <w:tcPr>
            <w:tcW w:w="8" w:type="pct"/>
            <w:vAlign w:val="center"/>
            <w:hideMark/>
          </w:tcPr>
          <w:p w14:paraId="47791CD0" w14:textId="77777777" w:rsidR="00814DAE" w:rsidRPr="00D33399" w:rsidRDefault="00814DAE" w:rsidP="00C9653E">
            <w:pPr>
              <w:rPr>
                <w:rFonts w:ascii="Arial" w:hAnsi="Arial" w:cs="Arial"/>
                <w:sz w:val="20"/>
                <w:szCs w:val="20"/>
              </w:rPr>
            </w:pPr>
          </w:p>
        </w:tc>
        <w:tc>
          <w:tcPr>
            <w:tcW w:w="1037" w:type="pct"/>
            <w:vAlign w:val="center"/>
            <w:hideMark/>
          </w:tcPr>
          <w:p w14:paraId="0C533813"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0768F989" w14:textId="77777777" w:rsidTr="00FF5FBE">
        <w:trPr>
          <w:trHeight w:val="230"/>
        </w:trPr>
        <w:tc>
          <w:tcPr>
            <w:tcW w:w="581" w:type="pct"/>
            <w:vMerge/>
            <w:tcBorders>
              <w:top w:val="nil"/>
              <w:left w:val="single" w:sz="8" w:space="0" w:color="auto"/>
              <w:bottom w:val="single" w:sz="8" w:space="0" w:color="000000"/>
              <w:right w:val="single" w:sz="8" w:space="0" w:color="auto"/>
            </w:tcBorders>
            <w:vAlign w:val="center"/>
            <w:hideMark/>
          </w:tcPr>
          <w:p w14:paraId="23F33204" w14:textId="77777777" w:rsidR="00814DAE" w:rsidRPr="00D33399" w:rsidRDefault="00814DAE" w:rsidP="00C9653E">
            <w:pPr>
              <w:rPr>
                <w:rFonts w:ascii="Arial" w:eastAsiaTheme="minorHAnsi" w:hAnsi="Arial" w:cs="Arial"/>
                <w:b/>
                <w:bCs/>
                <w:sz w:val="20"/>
                <w:szCs w:val="20"/>
                <w:lang w:eastAsia="en-US"/>
              </w:rPr>
            </w:pPr>
          </w:p>
        </w:tc>
        <w:tc>
          <w:tcPr>
            <w:tcW w:w="3374" w:type="pct"/>
            <w:vMerge/>
            <w:tcBorders>
              <w:top w:val="nil"/>
              <w:left w:val="nil"/>
              <w:bottom w:val="single" w:sz="8" w:space="0" w:color="000000"/>
              <w:right w:val="single" w:sz="8" w:space="0" w:color="auto"/>
            </w:tcBorders>
            <w:vAlign w:val="center"/>
            <w:hideMark/>
          </w:tcPr>
          <w:p w14:paraId="43D28CCF" w14:textId="77777777" w:rsidR="00814DAE" w:rsidRPr="00D33399" w:rsidRDefault="00814DAE" w:rsidP="00C9653E">
            <w:pPr>
              <w:rPr>
                <w:rFonts w:ascii="Arial" w:eastAsiaTheme="minorHAnsi" w:hAnsi="Arial" w:cs="Arial"/>
                <w:sz w:val="20"/>
                <w:szCs w:val="20"/>
                <w:lang w:eastAsia="en-US"/>
              </w:rPr>
            </w:pPr>
          </w:p>
        </w:tc>
        <w:tc>
          <w:tcPr>
            <w:tcW w:w="8" w:type="pct"/>
            <w:vAlign w:val="center"/>
            <w:hideMark/>
          </w:tcPr>
          <w:p w14:paraId="7F70B45E" w14:textId="77777777" w:rsidR="00814DAE" w:rsidRPr="00D33399" w:rsidRDefault="00814DAE" w:rsidP="00C9653E"/>
        </w:tc>
        <w:tc>
          <w:tcPr>
            <w:tcW w:w="1037" w:type="pct"/>
            <w:vAlign w:val="center"/>
            <w:hideMark/>
          </w:tcPr>
          <w:p w14:paraId="21C46BD1"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66E07FB7" w14:textId="77777777" w:rsidTr="00FF5FBE">
        <w:trPr>
          <w:trHeight w:val="510"/>
        </w:trPr>
        <w:tc>
          <w:tcPr>
            <w:tcW w:w="58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139B09E"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Expectativa de Perda</w:t>
            </w:r>
          </w:p>
        </w:tc>
        <w:tc>
          <w:tcPr>
            <w:tcW w:w="337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D3991E9"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Possível</w:t>
            </w:r>
          </w:p>
        </w:tc>
        <w:tc>
          <w:tcPr>
            <w:tcW w:w="8" w:type="pct"/>
            <w:vAlign w:val="center"/>
            <w:hideMark/>
          </w:tcPr>
          <w:p w14:paraId="249F82CB" w14:textId="77777777" w:rsidR="00814DAE" w:rsidRPr="00D33399" w:rsidRDefault="00814DAE" w:rsidP="00C9653E">
            <w:pPr>
              <w:rPr>
                <w:rFonts w:ascii="Arial" w:hAnsi="Arial" w:cs="Arial"/>
                <w:sz w:val="20"/>
                <w:szCs w:val="20"/>
              </w:rPr>
            </w:pPr>
          </w:p>
        </w:tc>
        <w:tc>
          <w:tcPr>
            <w:tcW w:w="1037" w:type="pct"/>
            <w:vAlign w:val="center"/>
            <w:hideMark/>
          </w:tcPr>
          <w:p w14:paraId="166975FF" w14:textId="77777777" w:rsidR="00814DAE" w:rsidRPr="00D33399" w:rsidRDefault="00814DAE" w:rsidP="00C9653E">
            <w:pPr>
              <w:rPr>
                <w:rFonts w:ascii="Calibri" w:eastAsiaTheme="minorHAnsi" w:hAnsi="Calibri" w:cs="Calibri"/>
                <w:sz w:val="22"/>
                <w:szCs w:val="22"/>
                <w:lang w:eastAsia="en-US"/>
              </w:rPr>
            </w:pPr>
            <w:r w:rsidRPr="00D33399">
              <w:t> </w:t>
            </w:r>
          </w:p>
        </w:tc>
      </w:tr>
    </w:tbl>
    <w:p w14:paraId="4D9085A4" w14:textId="77777777" w:rsidR="00814DAE" w:rsidRPr="00D33399" w:rsidRDefault="00814DAE" w:rsidP="00814DAE">
      <w:pPr>
        <w:rPr>
          <w:rFonts w:ascii="Calibri" w:eastAsiaTheme="minorHAnsi" w:hAnsi="Calibri" w:cs="Calibri"/>
          <w:sz w:val="22"/>
          <w:szCs w:val="22"/>
          <w:lang w:eastAsia="en-US"/>
        </w:rPr>
      </w:pPr>
    </w:p>
    <w:tbl>
      <w:tblPr>
        <w:tblW w:w="6320" w:type="pct"/>
        <w:tblInd w:w="28" w:type="dxa"/>
        <w:tblCellMar>
          <w:left w:w="0" w:type="dxa"/>
          <w:right w:w="0" w:type="dxa"/>
        </w:tblCellMar>
        <w:tblLook w:val="04A0" w:firstRow="1" w:lastRow="0" w:firstColumn="1" w:lastColumn="0" w:noHBand="0" w:noVBand="1"/>
      </w:tblPr>
      <w:tblGrid>
        <w:gridCol w:w="1390"/>
        <w:gridCol w:w="8170"/>
        <w:gridCol w:w="19"/>
        <w:gridCol w:w="2510"/>
      </w:tblGrid>
      <w:tr w:rsidR="00814DAE" w:rsidRPr="00D33399" w14:paraId="0820788F" w14:textId="77777777" w:rsidTr="00FF5FBE">
        <w:trPr>
          <w:trHeight w:val="315"/>
        </w:trPr>
        <w:tc>
          <w:tcPr>
            <w:tcW w:w="575" w:type="pct"/>
            <w:noWrap/>
            <w:tcMar>
              <w:top w:w="0" w:type="dxa"/>
              <w:left w:w="70" w:type="dxa"/>
              <w:bottom w:w="0" w:type="dxa"/>
              <w:right w:w="70" w:type="dxa"/>
            </w:tcMar>
            <w:vAlign w:val="center"/>
            <w:hideMark/>
          </w:tcPr>
          <w:p w14:paraId="3C63CF94" w14:textId="77777777" w:rsidR="00814DAE" w:rsidRPr="00D33399" w:rsidRDefault="00814DAE" w:rsidP="00C9653E"/>
        </w:tc>
        <w:tc>
          <w:tcPr>
            <w:tcW w:w="3379" w:type="pct"/>
            <w:noWrap/>
            <w:tcMar>
              <w:top w:w="0" w:type="dxa"/>
              <w:left w:w="70" w:type="dxa"/>
              <w:bottom w:w="0" w:type="dxa"/>
              <w:right w:w="70" w:type="dxa"/>
            </w:tcMar>
            <w:vAlign w:val="bottom"/>
            <w:hideMark/>
          </w:tcPr>
          <w:p w14:paraId="5C1F22ED" w14:textId="77777777" w:rsidR="00814DAE" w:rsidRPr="00D33399" w:rsidRDefault="00814DAE" w:rsidP="00C9653E">
            <w:pPr>
              <w:rPr>
                <w:sz w:val="20"/>
                <w:szCs w:val="20"/>
              </w:rPr>
            </w:pPr>
          </w:p>
        </w:tc>
        <w:tc>
          <w:tcPr>
            <w:tcW w:w="8" w:type="pct"/>
            <w:vAlign w:val="center"/>
            <w:hideMark/>
          </w:tcPr>
          <w:p w14:paraId="318BC6D9" w14:textId="77777777" w:rsidR="00814DAE" w:rsidRPr="00D33399" w:rsidRDefault="00814DAE" w:rsidP="00C9653E">
            <w:pPr>
              <w:rPr>
                <w:sz w:val="20"/>
                <w:szCs w:val="20"/>
              </w:rPr>
            </w:pPr>
          </w:p>
        </w:tc>
        <w:tc>
          <w:tcPr>
            <w:tcW w:w="1038" w:type="pct"/>
            <w:vAlign w:val="center"/>
            <w:hideMark/>
          </w:tcPr>
          <w:p w14:paraId="5A584A1F"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04BC5D6D" w14:textId="77777777" w:rsidTr="00FF5FBE">
        <w:trPr>
          <w:trHeight w:val="510"/>
        </w:trPr>
        <w:tc>
          <w:tcPr>
            <w:tcW w:w="3954" w:type="pct"/>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60BDABA3" w14:textId="0ABAD45F" w:rsidR="00814DAE" w:rsidRPr="00F54844" w:rsidRDefault="00814DAE" w:rsidP="00067006">
            <w:pPr>
              <w:pStyle w:val="PargrafodaLista"/>
              <w:numPr>
                <w:ilvl w:val="0"/>
                <w:numId w:val="23"/>
              </w:numPr>
              <w:rPr>
                <w:rFonts w:ascii="Arial" w:hAnsi="Arial" w:cs="Arial"/>
                <w:b/>
                <w:bCs/>
              </w:rPr>
            </w:pPr>
            <w:r w:rsidRPr="00F54844">
              <w:rPr>
                <w:rFonts w:ascii="Arial" w:hAnsi="Arial" w:cs="Arial"/>
                <w:b/>
                <w:bCs/>
              </w:rPr>
              <w:t>Ação Cível n. 0022780-32.2018.4.02.5101</w:t>
            </w:r>
          </w:p>
        </w:tc>
        <w:tc>
          <w:tcPr>
            <w:tcW w:w="8" w:type="pct"/>
            <w:vAlign w:val="center"/>
            <w:hideMark/>
          </w:tcPr>
          <w:p w14:paraId="676E7410" w14:textId="77777777" w:rsidR="00814DAE" w:rsidRPr="00D33399" w:rsidRDefault="00814DAE" w:rsidP="00C9653E">
            <w:pPr>
              <w:rPr>
                <w:rFonts w:ascii="Arial" w:hAnsi="Arial" w:cs="Arial"/>
                <w:b/>
                <w:bCs/>
              </w:rPr>
            </w:pPr>
          </w:p>
        </w:tc>
        <w:tc>
          <w:tcPr>
            <w:tcW w:w="1038" w:type="pct"/>
            <w:vAlign w:val="center"/>
            <w:hideMark/>
          </w:tcPr>
          <w:p w14:paraId="13678094"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00F30F20" w14:textId="77777777" w:rsidTr="00FF5FBE">
        <w:trPr>
          <w:trHeight w:val="315"/>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58BFCA"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Instância /Juízo</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CC29421"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[1ª] Instância – [10ª] Vara Federal - RJ</w:t>
            </w:r>
          </w:p>
        </w:tc>
        <w:tc>
          <w:tcPr>
            <w:tcW w:w="8" w:type="pct"/>
            <w:vAlign w:val="center"/>
            <w:hideMark/>
          </w:tcPr>
          <w:p w14:paraId="7FB99777" w14:textId="77777777" w:rsidR="00814DAE" w:rsidRPr="00D33399" w:rsidRDefault="00814DAE" w:rsidP="00C9653E">
            <w:pPr>
              <w:rPr>
                <w:rFonts w:ascii="Arial" w:hAnsi="Arial" w:cs="Arial"/>
                <w:sz w:val="20"/>
                <w:szCs w:val="20"/>
              </w:rPr>
            </w:pPr>
          </w:p>
        </w:tc>
        <w:tc>
          <w:tcPr>
            <w:tcW w:w="1038" w:type="pct"/>
            <w:vAlign w:val="center"/>
            <w:hideMark/>
          </w:tcPr>
          <w:p w14:paraId="0DF4BC93"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407C5D4C" w14:textId="77777777" w:rsidTr="00FF5FBE">
        <w:trPr>
          <w:trHeight w:val="315"/>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797E930"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Partes</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9D99082"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Andrade Gutierrez S.A.</w:t>
            </w:r>
          </w:p>
        </w:tc>
        <w:tc>
          <w:tcPr>
            <w:tcW w:w="8" w:type="pct"/>
            <w:vAlign w:val="center"/>
            <w:hideMark/>
          </w:tcPr>
          <w:p w14:paraId="5A89A7CD" w14:textId="77777777" w:rsidR="00814DAE" w:rsidRPr="00D33399" w:rsidRDefault="00814DAE" w:rsidP="00C9653E">
            <w:pPr>
              <w:rPr>
                <w:rFonts w:ascii="Arial" w:hAnsi="Arial" w:cs="Arial"/>
                <w:sz w:val="20"/>
                <w:szCs w:val="20"/>
              </w:rPr>
            </w:pPr>
          </w:p>
        </w:tc>
        <w:tc>
          <w:tcPr>
            <w:tcW w:w="1038" w:type="pct"/>
            <w:vAlign w:val="center"/>
            <w:hideMark/>
          </w:tcPr>
          <w:p w14:paraId="6DF73A16"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1C0A6992" w14:textId="77777777" w:rsidTr="00FF5FBE">
        <w:trPr>
          <w:trHeight w:val="525"/>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E13F776"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Valores, bens ou direitos envolvidos</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F095550" w14:textId="464671F1" w:rsidR="00814DAE" w:rsidRPr="00D33399" w:rsidRDefault="00814DAE" w:rsidP="00C9653E">
            <w:pPr>
              <w:jc w:val="both"/>
              <w:rPr>
                <w:rFonts w:ascii="Arial" w:hAnsi="Arial" w:cs="Arial"/>
                <w:sz w:val="20"/>
                <w:szCs w:val="20"/>
              </w:rPr>
            </w:pPr>
            <w:r w:rsidRPr="00D33399">
              <w:rPr>
                <w:rFonts w:ascii="Arial" w:hAnsi="Arial" w:cs="Arial"/>
                <w:sz w:val="20"/>
                <w:szCs w:val="20"/>
              </w:rPr>
              <w:t>Valor atualizado: R$ 164.361</w:t>
            </w:r>
          </w:p>
        </w:tc>
        <w:tc>
          <w:tcPr>
            <w:tcW w:w="8" w:type="pct"/>
            <w:vAlign w:val="center"/>
            <w:hideMark/>
          </w:tcPr>
          <w:p w14:paraId="041ACA30" w14:textId="77777777" w:rsidR="00814DAE" w:rsidRPr="00D33399" w:rsidRDefault="00814DAE" w:rsidP="00C9653E">
            <w:pPr>
              <w:rPr>
                <w:rFonts w:ascii="Arial" w:hAnsi="Arial" w:cs="Arial"/>
                <w:sz w:val="20"/>
                <w:szCs w:val="20"/>
              </w:rPr>
            </w:pPr>
          </w:p>
        </w:tc>
        <w:tc>
          <w:tcPr>
            <w:tcW w:w="1038" w:type="pct"/>
            <w:vAlign w:val="center"/>
            <w:hideMark/>
          </w:tcPr>
          <w:p w14:paraId="12CB4B0A"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6B4D965B" w14:textId="77777777" w:rsidTr="00FF5FBE">
        <w:trPr>
          <w:trHeight w:val="1140"/>
        </w:trPr>
        <w:tc>
          <w:tcPr>
            <w:tcW w:w="575"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5680BC96"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Objeto:</w:t>
            </w:r>
          </w:p>
        </w:tc>
        <w:tc>
          <w:tcPr>
            <w:tcW w:w="3379" w:type="pct"/>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23CFA953"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Trata-se de ação declaratória e condenatória, para (i) reestabelecimento do equilíbrio econômico-financeiro e recomposição de prejuízos, impedindo-se o enriquecimento ilícito da ETN; (ii) revogação da decisão que declarou a nulidade do Contrato e seus aditamentos; (iii) reconhecimento de rescisão contratual por inadimplemento da ETN; (iv) cobrança dos serviços prestados pela AG e não pagos pela ETN.</w:t>
            </w:r>
          </w:p>
          <w:p w14:paraId="709F9F07"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Contestação apresentada pela ETN em 16.05.18. Réplica pela AG em 10.08.18.</w:t>
            </w:r>
          </w:p>
          <w:p w14:paraId="36A4D37E"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Despacho do juiz determinando às partes que especifiquem as provas a serem produzidas. Em 07.01.2020, o juiz proferiu despacho determinando a suspensão do processo até a decisão final da ação de ressarcimento proposta pela ETN em face da Andrade Gutierrez. Em 27.01.2020, a Andrade ofereceu embargos de declaração requerendo o acolhimento do seu recurso para que a ação movida pela ETN em face da AG seja suspensa alegando que a ação que move contra a ETN é prejudicial àquela. Sem alteração.</w:t>
            </w:r>
          </w:p>
        </w:tc>
        <w:tc>
          <w:tcPr>
            <w:tcW w:w="8" w:type="pct"/>
            <w:vAlign w:val="center"/>
            <w:hideMark/>
          </w:tcPr>
          <w:p w14:paraId="6C525DAA" w14:textId="77777777" w:rsidR="00814DAE" w:rsidRPr="00D33399" w:rsidRDefault="00814DAE" w:rsidP="00C9653E">
            <w:pPr>
              <w:rPr>
                <w:rFonts w:ascii="Arial" w:hAnsi="Arial" w:cs="Arial"/>
                <w:sz w:val="20"/>
                <w:szCs w:val="20"/>
              </w:rPr>
            </w:pPr>
          </w:p>
        </w:tc>
        <w:tc>
          <w:tcPr>
            <w:tcW w:w="1038" w:type="pct"/>
            <w:vAlign w:val="center"/>
            <w:hideMark/>
          </w:tcPr>
          <w:p w14:paraId="2EE03B3E"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492EC2C4" w14:textId="77777777" w:rsidTr="00FF5FBE">
        <w:trPr>
          <w:trHeight w:val="230"/>
        </w:trPr>
        <w:tc>
          <w:tcPr>
            <w:tcW w:w="575" w:type="pct"/>
            <w:vMerge/>
            <w:tcBorders>
              <w:top w:val="nil"/>
              <w:left w:val="single" w:sz="8" w:space="0" w:color="auto"/>
              <w:bottom w:val="single" w:sz="8" w:space="0" w:color="000000"/>
              <w:right w:val="single" w:sz="8" w:space="0" w:color="auto"/>
            </w:tcBorders>
            <w:vAlign w:val="center"/>
            <w:hideMark/>
          </w:tcPr>
          <w:p w14:paraId="1A8E2349" w14:textId="77777777" w:rsidR="00814DAE" w:rsidRPr="00D33399" w:rsidRDefault="00814DAE" w:rsidP="00C9653E">
            <w:pPr>
              <w:rPr>
                <w:rFonts w:ascii="Arial" w:eastAsiaTheme="minorHAnsi" w:hAnsi="Arial" w:cs="Arial"/>
                <w:b/>
                <w:bCs/>
                <w:sz w:val="20"/>
                <w:szCs w:val="20"/>
                <w:lang w:eastAsia="en-US"/>
              </w:rPr>
            </w:pPr>
          </w:p>
        </w:tc>
        <w:tc>
          <w:tcPr>
            <w:tcW w:w="3379" w:type="pct"/>
            <w:vMerge/>
            <w:tcBorders>
              <w:top w:val="nil"/>
              <w:left w:val="nil"/>
              <w:bottom w:val="single" w:sz="8" w:space="0" w:color="000000"/>
              <w:right w:val="single" w:sz="8" w:space="0" w:color="auto"/>
            </w:tcBorders>
            <w:vAlign w:val="center"/>
            <w:hideMark/>
          </w:tcPr>
          <w:p w14:paraId="59EC75AB" w14:textId="77777777" w:rsidR="00814DAE" w:rsidRPr="00D33399" w:rsidRDefault="00814DAE" w:rsidP="00C9653E">
            <w:pPr>
              <w:rPr>
                <w:rFonts w:ascii="Arial" w:eastAsiaTheme="minorHAnsi" w:hAnsi="Arial" w:cs="Arial"/>
                <w:sz w:val="20"/>
                <w:szCs w:val="20"/>
                <w:lang w:eastAsia="en-US"/>
              </w:rPr>
            </w:pPr>
          </w:p>
        </w:tc>
        <w:tc>
          <w:tcPr>
            <w:tcW w:w="8" w:type="pct"/>
            <w:vAlign w:val="center"/>
            <w:hideMark/>
          </w:tcPr>
          <w:p w14:paraId="5F6B0C44" w14:textId="77777777" w:rsidR="00814DAE" w:rsidRPr="00D33399" w:rsidRDefault="00814DAE" w:rsidP="00C9653E"/>
        </w:tc>
        <w:tc>
          <w:tcPr>
            <w:tcW w:w="1038" w:type="pct"/>
            <w:vAlign w:val="center"/>
            <w:hideMark/>
          </w:tcPr>
          <w:p w14:paraId="28C2832B"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4D5096B1" w14:textId="77777777" w:rsidTr="00FF5FBE">
        <w:trPr>
          <w:trHeight w:val="510"/>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1F2B13F"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Expectativa de Perda</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68681C5"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Possível</w:t>
            </w:r>
          </w:p>
        </w:tc>
        <w:tc>
          <w:tcPr>
            <w:tcW w:w="8" w:type="pct"/>
            <w:vAlign w:val="center"/>
            <w:hideMark/>
          </w:tcPr>
          <w:p w14:paraId="212D5223" w14:textId="77777777" w:rsidR="00814DAE" w:rsidRPr="00D33399" w:rsidRDefault="00814DAE" w:rsidP="00C9653E">
            <w:pPr>
              <w:rPr>
                <w:rFonts w:ascii="Arial" w:hAnsi="Arial" w:cs="Arial"/>
                <w:sz w:val="20"/>
                <w:szCs w:val="20"/>
              </w:rPr>
            </w:pPr>
          </w:p>
        </w:tc>
        <w:tc>
          <w:tcPr>
            <w:tcW w:w="1038" w:type="pct"/>
            <w:vAlign w:val="center"/>
            <w:hideMark/>
          </w:tcPr>
          <w:p w14:paraId="62B4CE06" w14:textId="77777777" w:rsidR="00814DAE" w:rsidRPr="00D33399" w:rsidRDefault="00814DAE" w:rsidP="00C9653E">
            <w:pPr>
              <w:rPr>
                <w:rFonts w:ascii="Calibri" w:eastAsiaTheme="minorHAnsi" w:hAnsi="Calibri" w:cs="Calibri"/>
                <w:sz w:val="22"/>
                <w:szCs w:val="22"/>
                <w:lang w:eastAsia="en-US"/>
              </w:rPr>
            </w:pPr>
            <w:r w:rsidRPr="00D33399">
              <w:t> </w:t>
            </w:r>
          </w:p>
        </w:tc>
      </w:tr>
    </w:tbl>
    <w:p w14:paraId="27B1EE53" w14:textId="7CA58196" w:rsidR="00814DAE" w:rsidRDefault="00814DAE" w:rsidP="00D12BD2">
      <w:pPr>
        <w:jc w:val="both"/>
        <w:rPr>
          <w:rFonts w:ascii="Calibri" w:eastAsiaTheme="minorHAnsi" w:hAnsi="Calibri" w:cs="Calibri"/>
          <w:sz w:val="22"/>
          <w:szCs w:val="22"/>
          <w:lang w:eastAsia="en-US"/>
        </w:rPr>
      </w:pPr>
    </w:p>
    <w:tbl>
      <w:tblPr>
        <w:tblW w:w="6320" w:type="pct"/>
        <w:tblInd w:w="28" w:type="dxa"/>
        <w:tblCellMar>
          <w:left w:w="0" w:type="dxa"/>
          <w:right w:w="0" w:type="dxa"/>
        </w:tblCellMar>
        <w:tblLook w:val="04A0" w:firstRow="1" w:lastRow="0" w:firstColumn="1" w:lastColumn="0" w:noHBand="0" w:noVBand="1"/>
      </w:tblPr>
      <w:tblGrid>
        <w:gridCol w:w="1390"/>
        <w:gridCol w:w="8170"/>
        <w:gridCol w:w="19"/>
        <w:gridCol w:w="2510"/>
      </w:tblGrid>
      <w:tr w:rsidR="008047FB" w:rsidRPr="00D33399" w14:paraId="5DBB14B5" w14:textId="77777777" w:rsidTr="00C46095">
        <w:trPr>
          <w:trHeight w:val="315"/>
        </w:trPr>
        <w:tc>
          <w:tcPr>
            <w:tcW w:w="575" w:type="pct"/>
            <w:noWrap/>
            <w:tcMar>
              <w:top w:w="0" w:type="dxa"/>
              <w:left w:w="70" w:type="dxa"/>
              <w:bottom w:w="0" w:type="dxa"/>
              <w:right w:w="70" w:type="dxa"/>
            </w:tcMar>
            <w:vAlign w:val="center"/>
            <w:hideMark/>
          </w:tcPr>
          <w:p w14:paraId="37A78B1F" w14:textId="77777777" w:rsidR="008047FB" w:rsidRPr="00D33399" w:rsidRDefault="008047FB" w:rsidP="00C46095"/>
        </w:tc>
        <w:tc>
          <w:tcPr>
            <w:tcW w:w="3379" w:type="pct"/>
            <w:noWrap/>
            <w:tcMar>
              <w:top w:w="0" w:type="dxa"/>
              <w:left w:w="70" w:type="dxa"/>
              <w:bottom w:w="0" w:type="dxa"/>
              <w:right w:w="70" w:type="dxa"/>
            </w:tcMar>
            <w:vAlign w:val="bottom"/>
            <w:hideMark/>
          </w:tcPr>
          <w:p w14:paraId="3190F33D" w14:textId="77777777" w:rsidR="008047FB" w:rsidRPr="00D33399" w:rsidRDefault="008047FB" w:rsidP="00C46095">
            <w:pPr>
              <w:rPr>
                <w:sz w:val="20"/>
                <w:szCs w:val="20"/>
              </w:rPr>
            </w:pPr>
          </w:p>
        </w:tc>
        <w:tc>
          <w:tcPr>
            <w:tcW w:w="8" w:type="pct"/>
            <w:vAlign w:val="center"/>
            <w:hideMark/>
          </w:tcPr>
          <w:p w14:paraId="20D02FDF" w14:textId="77777777" w:rsidR="008047FB" w:rsidRPr="00D33399" w:rsidRDefault="008047FB" w:rsidP="00C46095">
            <w:pPr>
              <w:rPr>
                <w:sz w:val="20"/>
                <w:szCs w:val="20"/>
              </w:rPr>
            </w:pPr>
          </w:p>
        </w:tc>
        <w:tc>
          <w:tcPr>
            <w:tcW w:w="1038" w:type="pct"/>
            <w:vAlign w:val="center"/>
            <w:hideMark/>
          </w:tcPr>
          <w:p w14:paraId="6DC94724" w14:textId="77777777" w:rsidR="008047FB" w:rsidRPr="00D33399" w:rsidRDefault="008047FB" w:rsidP="00C46095">
            <w:pPr>
              <w:rPr>
                <w:rFonts w:ascii="Calibri" w:eastAsiaTheme="minorHAnsi" w:hAnsi="Calibri" w:cs="Calibri"/>
                <w:sz w:val="22"/>
                <w:szCs w:val="22"/>
                <w:lang w:eastAsia="en-US"/>
              </w:rPr>
            </w:pPr>
            <w:r w:rsidRPr="00D33399">
              <w:t> </w:t>
            </w:r>
          </w:p>
        </w:tc>
      </w:tr>
      <w:tr w:rsidR="008047FB" w:rsidRPr="00D33399" w14:paraId="5FB029A2" w14:textId="77777777" w:rsidTr="00C46095">
        <w:trPr>
          <w:trHeight w:val="510"/>
        </w:trPr>
        <w:tc>
          <w:tcPr>
            <w:tcW w:w="3954" w:type="pct"/>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6D163B7E" w14:textId="1AE9C81A" w:rsidR="008047FB" w:rsidRPr="008047FB" w:rsidRDefault="008047FB" w:rsidP="00067006">
            <w:pPr>
              <w:pStyle w:val="PargrafodaLista"/>
              <w:numPr>
                <w:ilvl w:val="0"/>
                <w:numId w:val="23"/>
              </w:numPr>
              <w:rPr>
                <w:rFonts w:ascii="Arial" w:hAnsi="Arial" w:cs="Arial"/>
                <w:b/>
                <w:bCs/>
              </w:rPr>
            </w:pPr>
            <w:r w:rsidRPr="008047FB">
              <w:rPr>
                <w:rFonts w:ascii="Arial" w:hAnsi="Arial" w:cs="Arial"/>
                <w:b/>
                <w:bCs/>
              </w:rPr>
              <w:t>Ação Cível n. 0010787-62.2015.5.08.0116</w:t>
            </w:r>
          </w:p>
        </w:tc>
        <w:tc>
          <w:tcPr>
            <w:tcW w:w="8" w:type="pct"/>
            <w:vAlign w:val="center"/>
            <w:hideMark/>
          </w:tcPr>
          <w:p w14:paraId="08F54584" w14:textId="77777777" w:rsidR="008047FB" w:rsidRPr="00D33399" w:rsidRDefault="008047FB" w:rsidP="00C46095">
            <w:pPr>
              <w:rPr>
                <w:rFonts w:ascii="Arial" w:hAnsi="Arial" w:cs="Arial"/>
                <w:b/>
                <w:bCs/>
              </w:rPr>
            </w:pPr>
          </w:p>
        </w:tc>
        <w:tc>
          <w:tcPr>
            <w:tcW w:w="1038" w:type="pct"/>
            <w:vAlign w:val="center"/>
            <w:hideMark/>
          </w:tcPr>
          <w:p w14:paraId="44788C6E" w14:textId="77777777" w:rsidR="008047FB" w:rsidRPr="00D33399" w:rsidRDefault="008047FB" w:rsidP="00C46095">
            <w:pPr>
              <w:rPr>
                <w:rFonts w:ascii="Calibri" w:eastAsiaTheme="minorHAnsi" w:hAnsi="Calibri" w:cs="Calibri"/>
                <w:sz w:val="22"/>
                <w:szCs w:val="22"/>
                <w:lang w:eastAsia="en-US"/>
              </w:rPr>
            </w:pPr>
            <w:r w:rsidRPr="00D33399">
              <w:t> </w:t>
            </w:r>
          </w:p>
        </w:tc>
      </w:tr>
      <w:tr w:rsidR="008047FB" w:rsidRPr="00D33399" w14:paraId="6AD81EFC" w14:textId="77777777" w:rsidTr="00C46095">
        <w:trPr>
          <w:trHeight w:val="315"/>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43A053F" w14:textId="77777777" w:rsidR="008047FB" w:rsidRPr="00D33399" w:rsidRDefault="008047FB" w:rsidP="00C46095">
            <w:pPr>
              <w:rPr>
                <w:rFonts w:ascii="Arial" w:hAnsi="Arial" w:cs="Arial"/>
                <w:b/>
                <w:bCs/>
                <w:sz w:val="20"/>
                <w:szCs w:val="20"/>
              </w:rPr>
            </w:pPr>
            <w:r w:rsidRPr="00D33399">
              <w:rPr>
                <w:rFonts w:ascii="Arial" w:hAnsi="Arial" w:cs="Arial"/>
                <w:b/>
                <w:bCs/>
                <w:sz w:val="20"/>
                <w:szCs w:val="20"/>
              </w:rPr>
              <w:t>Instância /Juízo</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0E7E9C0" w14:textId="70BD7264" w:rsidR="008047FB" w:rsidRPr="00D33399" w:rsidRDefault="008047FB" w:rsidP="00C46095">
            <w:pPr>
              <w:jc w:val="both"/>
              <w:rPr>
                <w:rFonts w:ascii="Arial" w:hAnsi="Arial" w:cs="Arial"/>
                <w:sz w:val="20"/>
                <w:szCs w:val="20"/>
              </w:rPr>
            </w:pPr>
            <w:r>
              <w:rPr>
                <w:rFonts w:ascii="Arial" w:hAnsi="Arial" w:cs="Arial"/>
                <w:sz w:val="20"/>
                <w:szCs w:val="20"/>
              </w:rPr>
              <w:t>[1ª] Instância - 1ª Vara do Trabalho de Paragominas</w:t>
            </w:r>
          </w:p>
        </w:tc>
        <w:tc>
          <w:tcPr>
            <w:tcW w:w="8" w:type="pct"/>
            <w:vAlign w:val="center"/>
            <w:hideMark/>
          </w:tcPr>
          <w:p w14:paraId="1BFF3681" w14:textId="77777777" w:rsidR="008047FB" w:rsidRPr="00D33399" w:rsidRDefault="008047FB" w:rsidP="00C46095">
            <w:pPr>
              <w:rPr>
                <w:rFonts w:ascii="Arial" w:hAnsi="Arial" w:cs="Arial"/>
                <w:sz w:val="20"/>
                <w:szCs w:val="20"/>
              </w:rPr>
            </w:pPr>
          </w:p>
        </w:tc>
        <w:tc>
          <w:tcPr>
            <w:tcW w:w="1038" w:type="pct"/>
            <w:vAlign w:val="center"/>
            <w:hideMark/>
          </w:tcPr>
          <w:p w14:paraId="28DABED8" w14:textId="77777777" w:rsidR="008047FB" w:rsidRPr="00D33399" w:rsidRDefault="008047FB" w:rsidP="00C46095">
            <w:pPr>
              <w:rPr>
                <w:rFonts w:ascii="Calibri" w:eastAsiaTheme="minorHAnsi" w:hAnsi="Calibri" w:cs="Calibri"/>
                <w:sz w:val="22"/>
                <w:szCs w:val="22"/>
                <w:lang w:eastAsia="en-US"/>
              </w:rPr>
            </w:pPr>
            <w:r w:rsidRPr="00D33399">
              <w:t> </w:t>
            </w:r>
          </w:p>
        </w:tc>
      </w:tr>
      <w:tr w:rsidR="008047FB" w:rsidRPr="00D33399" w14:paraId="4930506B" w14:textId="77777777" w:rsidTr="00C46095">
        <w:trPr>
          <w:trHeight w:val="315"/>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29A46F" w14:textId="77777777" w:rsidR="008047FB" w:rsidRPr="00D33399" w:rsidRDefault="008047FB" w:rsidP="00C46095">
            <w:pPr>
              <w:rPr>
                <w:rFonts w:ascii="Arial" w:hAnsi="Arial" w:cs="Arial"/>
                <w:b/>
                <w:bCs/>
                <w:sz w:val="20"/>
                <w:szCs w:val="20"/>
              </w:rPr>
            </w:pPr>
            <w:r w:rsidRPr="00D33399">
              <w:rPr>
                <w:rFonts w:ascii="Arial" w:hAnsi="Arial" w:cs="Arial"/>
                <w:b/>
                <w:bCs/>
                <w:sz w:val="20"/>
                <w:szCs w:val="20"/>
              </w:rPr>
              <w:t>Partes</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895E59A" w14:textId="3BB3EF3B" w:rsidR="008047FB" w:rsidRPr="00D33399" w:rsidRDefault="008047FB" w:rsidP="00C46095">
            <w:pPr>
              <w:jc w:val="both"/>
              <w:rPr>
                <w:rFonts w:ascii="Arial" w:hAnsi="Arial" w:cs="Arial"/>
                <w:sz w:val="20"/>
                <w:szCs w:val="20"/>
              </w:rPr>
            </w:pPr>
            <w:r>
              <w:rPr>
                <w:rFonts w:ascii="Arial" w:hAnsi="Arial" w:cs="Arial"/>
                <w:sz w:val="20"/>
                <w:szCs w:val="20"/>
              </w:rPr>
              <w:t>Leilson Souza Lima e outros x Eletrobras Eletronuclear (Reclamada) e Outros</w:t>
            </w:r>
          </w:p>
        </w:tc>
        <w:tc>
          <w:tcPr>
            <w:tcW w:w="8" w:type="pct"/>
            <w:vAlign w:val="center"/>
            <w:hideMark/>
          </w:tcPr>
          <w:p w14:paraId="09963664" w14:textId="77777777" w:rsidR="008047FB" w:rsidRPr="00D33399" w:rsidRDefault="008047FB" w:rsidP="00C46095">
            <w:pPr>
              <w:rPr>
                <w:rFonts w:ascii="Arial" w:hAnsi="Arial" w:cs="Arial"/>
                <w:sz w:val="20"/>
                <w:szCs w:val="20"/>
              </w:rPr>
            </w:pPr>
          </w:p>
        </w:tc>
        <w:tc>
          <w:tcPr>
            <w:tcW w:w="1038" w:type="pct"/>
            <w:vAlign w:val="center"/>
            <w:hideMark/>
          </w:tcPr>
          <w:p w14:paraId="62B15C57" w14:textId="77777777" w:rsidR="008047FB" w:rsidRPr="00D33399" w:rsidRDefault="008047FB" w:rsidP="00C46095">
            <w:pPr>
              <w:rPr>
                <w:rFonts w:ascii="Calibri" w:eastAsiaTheme="minorHAnsi" w:hAnsi="Calibri" w:cs="Calibri"/>
                <w:sz w:val="22"/>
                <w:szCs w:val="22"/>
                <w:lang w:eastAsia="en-US"/>
              </w:rPr>
            </w:pPr>
            <w:r w:rsidRPr="00D33399">
              <w:t> </w:t>
            </w:r>
          </w:p>
        </w:tc>
      </w:tr>
      <w:tr w:rsidR="008047FB" w:rsidRPr="00D33399" w14:paraId="381A9F54" w14:textId="77777777" w:rsidTr="00C46095">
        <w:trPr>
          <w:trHeight w:val="525"/>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89F867" w14:textId="77777777" w:rsidR="008047FB" w:rsidRPr="00D33399" w:rsidRDefault="008047FB" w:rsidP="00C46095">
            <w:pPr>
              <w:rPr>
                <w:rFonts w:ascii="Arial" w:hAnsi="Arial" w:cs="Arial"/>
                <w:b/>
                <w:bCs/>
                <w:sz w:val="20"/>
                <w:szCs w:val="20"/>
              </w:rPr>
            </w:pPr>
            <w:r w:rsidRPr="00D33399">
              <w:rPr>
                <w:rFonts w:ascii="Arial" w:hAnsi="Arial" w:cs="Arial"/>
                <w:b/>
                <w:bCs/>
                <w:sz w:val="20"/>
                <w:szCs w:val="20"/>
              </w:rPr>
              <w:t>Valores, bens ou direitos envolvidos</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10B77F7" w14:textId="2C3F6530" w:rsidR="008047FB" w:rsidRPr="00D33399" w:rsidRDefault="008047FB" w:rsidP="00C46095">
            <w:pPr>
              <w:jc w:val="both"/>
              <w:rPr>
                <w:rFonts w:ascii="Arial" w:hAnsi="Arial" w:cs="Arial"/>
                <w:sz w:val="20"/>
                <w:szCs w:val="20"/>
              </w:rPr>
            </w:pPr>
            <w:r>
              <w:rPr>
                <w:rFonts w:ascii="Arial" w:hAnsi="Arial" w:cs="Arial"/>
                <w:sz w:val="20"/>
                <w:szCs w:val="20"/>
              </w:rPr>
              <w:t>Valor atualizado: R$ 150.347</w:t>
            </w:r>
          </w:p>
        </w:tc>
        <w:tc>
          <w:tcPr>
            <w:tcW w:w="8" w:type="pct"/>
            <w:vAlign w:val="center"/>
            <w:hideMark/>
          </w:tcPr>
          <w:p w14:paraId="0005EB78" w14:textId="77777777" w:rsidR="008047FB" w:rsidRPr="00D33399" w:rsidRDefault="008047FB" w:rsidP="00C46095">
            <w:pPr>
              <w:rPr>
                <w:rFonts w:ascii="Arial" w:hAnsi="Arial" w:cs="Arial"/>
                <w:sz w:val="20"/>
                <w:szCs w:val="20"/>
              </w:rPr>
            </w:pPr>
          </w:p>
        </w:tc>
        <w:tc>
          <w:tcPr>
            <w:tcW w:w="1038" w:type="pct"/>
            <w:vAlign w:val="center"/>
            <w:hideMark/>
          </w:tcPr>
          <w:p w14:paraId="7E26F890" w14:textId="77777777" w:rsidR="008047FB" w:rsidRPr="00D33399" w:rsidRDefault="008047FB" w:rsidP="00C46095">
            <w:pPr>
              <w:rPr>
                <w:rFonts w:ascii="Calibri" w:eastAsiaTheme="minorHAnsi" w:hAnsi="Calibri" w:cs="Calibri"/>
                <w:sz w:val="22"/>
                <w:szCs w:val="22"/>
                <w:lang w:eastAsia="en-US"/>
              </w:rPr>
            </w:pPr>
            <w:r w:rsidRPr="00D33399">
              <w:t> </w:t>
            </w:r>
          </w:p>
        </w:tc>
      </w:tr>
      <w:tr w:rsidR="008047FB" w:rsidRPr="00D33399" w14:paraId="79D6B914" w14:textId="77777777" w:rsidTr="00C46095">
        <w:trPr>
          <w:trHeight w:val="1140"/>
        </w:trPr>
        <w:tc>
          <w:tcPr>
            <w:tcW w:w="575"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705F3A3F" w14:textId="77777777" w:rsidR="008047FB" w:rsidRPr="00D33399" w:rsidRDefault="008047FB" w:rsidP="00C46095">
            <w:pPr>
              <w:rPr>
                <w:rFonts w:ascii="Arial" w:hAnsi="Arial" w:cs="Arial"/>
                <w:b/>
                <w:bCs/>
                <w:sz w:val="20"/>
                <w:szCs w:val="20"/>
              </w:rPr>
            </w:pPr>
            <w:r w:rsidRPr="00D33399">
              <w:rPr>
                <w:rFonts w:ascii="Arial" w:hAnsi="Arial" w:cs="Arial"/>
                <w:b/>
                <w:bCs/>
                <w:sz w:val="20"/>
                <w:szCs w:val="20"/>
              </w:rPr>
              <w:lastRenderedPageBreak/>
              <w:t>Objeto:</w:t>
            </w:r>
          </w:p>
        </w:tc>
        <w:tc>
          <w:tcPr>
            <w:tcW w:w="3379" w:type="pct"/>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2F9BE6C6" w14:textId="7161B40F" w:rsidR="008047FB" w:rsidRPr="00D33399" w:rsidRDefault="008047FB" w:rsidP="00C46095">
            <w:pPr>
              <w:jc w:val="both"/>
              <w:rPr>
                <w:rFonts w:ascii="Arial" w:hAnsi="Arial" w:cs="Arial"/>
                <w:sz w:val="20"/>
                <w:szCs w:val="20"/>
              </w:rPr>
            </w:pPr>
            <w:r>
              <w:rPr>
                <w:rFonts w:ascii="Arial" w:hAnsi="Arial" w:cs="Arial"/>
                <w:sz w:val="20"/>
                <w:szCs w:val="20"/>
              </w:rPr>
              <w:t>Trata-se de demanda ajuizada por ex-empregados da Companhia Bauxita Brasileira, que foi subcontratada, sem a autorização da Eletronuclear, pela empresa Interamerican Ltda para a realização dos serviços de destinação final de aproximadamente 10.000 Kg (dez mil quilogramas) de resíduos Industriais provenientes de sobra da construção da Usina de Angra 2, no município de Angra dos Reis- RJ, o que gerou pedido do Reclamante para ressarcimento de danos materiais/morais decorrentes do exercício de atividade laboral sem o uso de equipamentos adequados.  Há aproximadamente setenta e cinco reclamadas. Além do exposto acima, há alegação de prescrição quanto ao direito dos reclamantes. Processo em fase de 1º grau, houve o encerramento da instrução processual. Leitura de sentença para o dia 16 de dezembro de 2020.</w:t>
            </w:r>
          </w:p>
        </w:tc>
        <w:tc>
          <w:tcPr>
            <w:tcW w:w="8" w:type="pct"/>
            <w:vAlign w:val="center"/>
            <w:hideMark/>
          </w:tcPr>
          <w:p w14:paraId="0AF112B9" w14:textId="77777777" w:rsidR="008047FB" w:rsidRPr="00D33399" w:rsidRDefault="008047FB" w:rsidP="00C46095">
            <w:pPr>
              <w:rPr>
                <w:rFonts w:ascii="Arial" w:hAnsi="Arial" w:cs="Arial"/>
                <w:sz w:val="20"/>
                <w:szCs w:val="20"/>
              </w:rPr>
            </w:pPr>
          </w:p>
        </w:tc>
        <w:tc>
          <w:tcPr>
            <w:tcW w:w="1038" w:type="pct"/>
            <w:vAlign w:val="center"/>
            <w:hideMark/>
          </w:tcPr>
          <w:p w14:paraId="5D68000C" w14:textId="77777777" w:rsidR="008047FB" w:rsidRPr="00D33399" w:rsidRDefault="008047FB" w:rsidP="00C46095">
            <w:pPr>
              <w:rPr>
                <w:rFonts w:ascii="Calibri" w:eastAsiaTheme="minorHAnsi" w:hAnsi="Calibri" w:cs="Calibri"/>
                <w:sz w:val="22"/>
                <w:szCs w:val="22"/>
                <w:lang w:eastAsia="en-US"/>
              </w:rPr>
            </w:pPr>
            <w:r w:rsidRPr="00D33399">
              <w:t> </w:t>
            </w:r>
          </w:p>
        </w:tc>
      </w:tr>
      <w:tr w:rsidR="008047FB" w:rsidRPr="00D33399" w14:paraId="000DC30D" w14:textId="77777777" w:rsidTr="00C46095">
        <w:trPr>
          <w:trHeight w:val="230"/>
        </w:trPr>
        <w:tc>
          <w:tcPr>
            <w:tcW w:w="575" w:type="pct"/>
            <w:vMerge/>
            <w:tcBorders>
              <w:top w:val="nil"/>
              <w:left w:val="single" w:sz="8" w:space="0" w:color="auto"/>
              <w:bottom w:val="single" w:sz="8" w:space="0" w:color="000000"/>
              <w:right w:val="single" w:sz="8" w:space="0" w:color="auto"/>
            </w:tcBorders>
            <w:vAlign w:val="center"/>
            <w:hideMark/>
          </w:tcPr>
          <w:p w14:paraId="3D87239C" w14:textId="77777777" w:rsidR="008047FB" w:rsidRPr="00D33399" w:rsidRDefault="008047FB" w:rsidP="00C46095">
            <w:pPr>
              <w:rPr>
                <w:rFonts w:ascii="Arial" w:eastAsiaTheme="minorHAnsi" w:hAnsi="Arial" w:cs="Arial"/>
                <w:b/>
                <w:bCs/>
                <w:sz w:val="20"/>
                <w:szCs w:val="20"/>
                <w:lang w:eastAsia="en-US"/>
              </w:rPr>
            </w:pPr>
          </w:p>
        </w:tc>
        <w:tc>
          <w:tcPr>
            <w:tcW w:w="3379" w:type="pct"/>
            <w:vMerge/>
            <w:tcBorders>
              <w:top w:val="nil"/>
              <w:left w:val="nil"/>
              <w:bottom w:val="single" w:sz="8" w:space="0" w:color="000000"/>
              <w:right w:val="single" w:sz="8" w:space="0" w:color="auto"/>
            </w:tcBorders>
            <w:vAlign w:val="center"/>
            <w:hideMark/>
          </w:tcPr>
          <w:p w14:paraId="046DEE85" w14:textId="77777777" w:rsidR="008047FB" w:rsidRPr="00D33399" w:rsidRDefault="008047FB" w:rsidP="00C46095">
            <w:pPr>
              <w:rPr>
                <w:rFonts w:ascii="Arial" w:eastAsiaTheme="minorHAnsi" w:hAnsi="Arial" w:cs="Arial"/>
                <w:sz w:val="20"/>
                <w:szCs w:val="20"/>
                <w:lang w:eastAsia="en-US"/>
              </w:rPr>
            </w:pPr>
          </w:p>
        </w:tc>
        <w:tc>
          <w:tcPr>
            <w:tcW w:w="8" w:type="pct"/>
            <w:vAlign w:val="center"/>
            <w:hideMark/>
          </w:tcPr>
          <w:p w14:paraId="08640570" w14:textId="77777777" w:rsidR="008047FB" w:rsidRPr="00D33399" w:rsidRDefault="008047FB" w:rsidP="00C46095"/>
        </w:tc>
        <w:tc>
          <w:tcPr>
            <w:tcW w:w="1038" w:type="pct"/>
            <w:vAlign w:val="center"/>
            <w:hideMark/>
          </w:tcPr>
          <w:p w14:paraId="0031581B" w14:textId="77777777" w:rsidR="008047FB" w:rsidRPr="00D33399" w:rsidRDefault="008047FB" w:rsidP="00C46095">
            <w:pPr>
              <w:rPr>
                <w:rFonts w:ascii="Calibri" w:eastAsiaTheme="minorHAnsi" w:hAnsi="Calibri" w:cs="Calibri"/>
                <w:sz w:val="22"/>
                <w:szCs w:val="22"/>
                <w:lang w:eastAsia="en-US"/>
              </w:rPr>
            </w:pPr>
            <w:r w:rsidRPr="00D33399">
              <w:t> </w:t>
            </w:r>
          </w:p>
        </w:tc>
      </w:tr>
      <w:tr w:rsidR="008047FB" w:rsidRPr="00D33399" w14:paraId="355CEE11" w14:textId="77777777" w:rsidTr="00C46095">
        <w:trPr>
          <w:trHeight w:val="510"/>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B0088E4" w14:textId="77777777" w:rsidR="008047FB" w:rsidRPr="00D33399" w:rsidRDefault="008047FB" w:rsidP="00C46095">
            <w:pPr>
              <w:rPr>
                <w:rFonts w:ascii="Arial" w:hAnsi="Arial" w:cs="Arial"/>
                <w:b/>
                <w:bCs/>
                <w:sz w:val="20"/>
                <w:szCs w:val="20"/>
              </w:rPr>
            </w:pPr>
            <w:r w:rsidRPr="00D33399">
              <w:rPr>
                <w:rFonts w:ascii="Arial" w:hAnsi="Arial" w:cs="Arial"/>
                <w:b/>
                <w:bCs/>
                <w:sz w:val="20"/>
                <w:szCs w:val="20"/>
              </w:rPr>
              <w:t>Expectativa de Perda</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E905966" w14:textId="77777777" w:rsidR="008047FB" w:rsidRPr="00D33399" w:rsidRDefault="008047FB" w:rsidP="00C46095">
            <w:pPr>
              <w:jc w:val="both"/>
              <w:rPr>
                <w:rFonts w:ascii="Arial" w:hAnsi="Arial" w:cs="Arial"/>
                <w:sz w:val="20"/>
                <w:szCs w:val="20"/>
              </w:rPr>
            </w:pPr>
            <w:r w:rsidRPr="00D33399">
              <w:rPr>
                <w:rFonts w:ascii="Arial" w:hAnsi="Arial" w:cs="Arial"/>
                <w:sz w:val="20"/>
                <w:szCs w:val="20"/>
              </w:rPr>
              <w:t>Possível</w:t>
            </w:r>
          </w:p>
        </w:tc>
        <w:tc>
          <w:tcPr>
            <w:tcW w:w="8" w:type="pct"/>
            <w:vAlign w:val="center"/>
            <w:hideMark/>
          </w:tcPr>
          <w:p w14:paraId="12C27593" w14:textId="77777777" w:rsidR="008047FB" w:rsidRPr="00D33399" w:rsidRDefault="008047FB" w:rsidP="00C46095">
            <w:pPr>
              <w:rPr>
                <w:rFonts w:ascii="Arial" w:hAnsi="Arial" w:cs="Arial"/>
                <w:sz w:val="20"/>
                <w:szCs w:val="20"/>
              </w:rPr>
            </w:pPr>
          </w:p>
        </w:tc>
        <w:tc>
          <w:tcPr>
            <w:tcW w:w="1038" w:type="pct"/>
            <w:vAlign w:val="center"/>
            <w:hideMark/>
          </w:tcPr>
          <w:p w14:paraId="492541DF" w14:textId="77777777" w:rsidR="008047FB" w:rsidRPr="00D33399" w:rsidRDefault="008047FB" w:rsidP="00C46095">
            <w:pPr>
              <w:rPr>
                <w:rFonts w:ascii="Calibri" w:eastAsiaTheme="minorHAnsi" w:hAnsi="Calibri" w:cs="Calibri"/>
                <w:sz w:val="22"/>
                <w:szCs w:val="22"/>
                <w:lang w:eastAsia="en-US"/>
              </w:rPr>
            </w:pPr>
            <w:r w:rsidRPr="00D33399">
              <w:t> </w:t>
            </w:r>
          </w:p>
        </w:tc>
      </w:tr>
    </w:tbl>
    <w:p w14:paraId="7469657A" w14:textId="667AD269" w:rsidR="008047FB" w:rsidRDefault="008047FB" w:rsidP="00D12BD2">
      <w:pPr>
        <w:jc w:val="both"/>
        <w:rPr>
          <w:rFonts w:ascii="Calibri" w:eastAsiaTheme="minorHAnsi" w:hAnsi="Calibri" w:cs="Calibri"/>
          <w:sz w:val="22"/>
          <w:szCs w:val="22"/>
          <w:lang w:eastAsia="en-US"/>
        </w:rPr>
      </w:pPr>
    </w:p>
    <w:tbl>
      <w:tblPr>
        <w:tblW w:w="6320" w:type="pct"/>
        <w:tblInd w:w="28" w:type="dxa"/>
        <w:tblCellMar>
          <w:left w:w="0" w:type="dxa"/>
          <w:right w:w="0" w:type="dxa"/>
        </w:tblCellMar>
        <w:tblLook w:val="04A0" w:firstRow="1" w:lastRow="0" w:firstColumn="1" w:lastColumn="0" w:noHBand="0" w:noVBand="1"/>
      </w:tblPr>
      <w:tblGrid>
        <w:gridCol w:w="1390"/>
        <w:gridCol w:w="8170"/>
        <w:gridCol w:w="19"/>
        <w:gridCol w:w="2510"/>
      </w:tblGrid>
      <w:tr w:rsidR="003709A6" w:rsidRPr="00D33399" w14:paraId="42CB57F4" w14:textId="77777777" w:rsidTr="00C46095">
        <w:trPr>
          <w:trHeight w:val="315"/>
        </w:trPr>
        <w:tc>
          <w:tcPr>
            <w:tcW w:w="575" w:type="pct"/>
            <w:noWrap/>
            <w:tcMar>
              <w:top w:w="0" w:type="dxa"/>
              <w:left w:w="70" w:type="dxa"/>
              <w:bottom w:w="0" w:type="dxa"/>
              <w:right w:w="70" w:type="dxa"/>
            </w:tcMar>
            <w:vAlign w:val="center"/>
            <w:hideMark/>
          </w:tcPr>
          <w:p w14:paraId="241EBD45" w14:textId="77777777" w:rsidR="003709A6" w:rsidRPr="00D33399" w:rsidRDefault="003709A6" w:rsidP="00C46095"/>
        </w:tc>
        <w:tc>
          <w:tcPr>
            <w:tcW w:w="3379" w:type="pct"/>
            <w:noWrap/>
            <w:tcMar>
              <w:top w:w="0" w:type="dxa"/>
              <w:left w:w="70" w:type="dxa"/>
              <w:bottom w:w="0" w:type="dxa"/>
              <w:right w:w="70" w:type="dxa"/>
            </w:tcMar>
            <w:vAlign w:val="bottom"/>
            <w:hideMark/>
          </w:tcPr>
          <w:p w14:paraId="4A4FC633" w14:textId="77777777" w:rsidR="003709A6" w:rsidRPr="00D33399" w:rsidRDefault="003709A6" w:rsidP="00C46095">
            <w:pPr>
              <w:rPr>
                <w:sz w:val="20"/>
                <w:szCs w:val="20"/>
              </w:rPr>
            </w:pPr>
          </w:p>
        </w:tc>
        <w:tc>
          <w:tcPr>
            <w:tcW w:w="8" w:type="pct"/>
            <w:vAlign w:val="center"/>
            <w:hideMark/>
          </w:tcPr>
          <w:p w14:paraId="71736CF7" w14:textId="77777777" w:rsidR="003709A6" w:rsidRPr="00D33399" w:rsidRDefault="003709A6" w:rsidP="00C46095">
            <w:pPr>
              <w:rPr>
                <w:sz w:val="20"/>
                <w:szCs w:val="20"/>
              </w:rPr>
            </w:pPr>
          </w:p>
        </w:tc>
        <w:tc>
          <w:tcPr>
            <w:tcW w:w="1038" w:type="pct"/>
            <w:vAlign w:val="center"/>
            <w:hideMark/>
          </w:tcPr>
          <w:p w14:paraId="742822C8" w14:textId="77777777" w:rsidR="003709A6" w:rsidRPr="00D33399" w:rsidRDefault="003709A6" w:rsidP="00C46095">
            <w:pPr>
              <w:rPr>
                <w:rFonts w:ascii="Calibri" w:eastAsiaTheme="minorHAnsi" w:hAnsi="Calibri" w:cs="Calibri"/>
                <w:sz w:val="22"/>
                <w:szCs w:val="22"/>
                <w:lang w:eastAsia="en-US"/>
              </w:rPr>
            </w:pPr>
            <w:r w:rsidRPr="00D33399">
              <w:t> </w:t>
            </w:r>
          </w:p>
        </w:tc>
      </w:tr>
      <w:tr w:rsidR="003709A6" w:rsidRPr="00D33399" w14:paraId="262EFD9B" w14:textId="77777777" w:rsidTr="00C46095">
        <w:trPr>
          <w:trHeight w:val="510"/>
        </w:trPr>
        <w:tc>
          <w:tcPr>
            <w:tcW w:w="3954" w:type="pct"/>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0DFA0AE1" w14:textId="69563341" w:rsidR="003709A6" w:rsidRPr="003709A6" w:rsidRDefault="003709A6" w:rsidP="00067006">
            <w:pPr>
              <w:pStyle w:val="PargrafodaLista"/>
              <w:numPr>
                <w:ilvl w:val="0"/>
                <w:numId w:val="23"/>
              </w:numPr>
              <w:rPr>
                <w:rFonts w:ascii="Arial" w:hAnsi="Arial" w:cs="Arial"/>
                <w:b/>
                <w:bCs/>
              </w:rPr>
            </w:pPr>
            <w:r w:rsidRPr="003709A6">
              <w:rPr>
                <w:rFonts w:ascii="Arial" w:hAnsi="Arial" w:cs="Arial"/>
                <w:b/>
                <w:bCs/>
              </w:rPr>
              <w:t>Ação Cível n. 0010786-77.2015.5.08.0116</w:t>
            </w:r>
          </w:p>
        </w:tc>
        <w:tc>
          <w:tcPr>
            <w:tcW w:w="8" w:type="pct"/>
            <w:vAlign w:val="center"/>
            <w:hideMark/>
          </w:tcPr>
          <w:p w14:paraId="4C80080B" w14:textId="77777777" w:rsidR="003709A6" w:rsidRPr="00D33399" w:rsidRDefault="003709A6" w:rsidP="00C46095">
            <w:pPr>
              <w:rPr>
                <w:rFonts w:ascii="Arial" w:hAnsi="Arial" w:cs="Arial"/>
                <w:b/>
                <w:bCs/>
              </w:rPr>
            </w:pPr>
          </w:p>
        </w:tc>
        <w:tc>
          <w:tcPr>
            <w:tcW w:w="1038" w:type="pct"/>
            <w:vAlign w:val="center"/>
            <w:hideMark/>
          </w:tcPr>
          <w:p w14:paraId="66C17193" w14:textId="77777777" w:rsidR="003709A6" w:rsidRPr="00D33399" w:rsidRDefault="003709A6" w:rsidP="00C46095">
            <w:pPr>
              <w:rPr>
                <w:rFonts w:ascii="Calibri" w:eastAsiaTheme="minorHAnsi" w:hAnsi="Calibri" w:cs="Calibri"/>
                <w:sz w:val="22"/>
                <w:szCs w:val="22"/>
                <w:lang w:eastAsia="en-US"/>
              </w:rPr>
            </w:pPr>
            <w:r w:rsidRPr="00D33399">
              <w:t> </w:t>
            </w:r>
          </w:p>
        </w:tc>
      </w:tr>
      <w:tr w:rsidR="003709A6" w:rsidRPr="00D33399" w14:paraId="30587402" w14:textId="77777777" w:rsidTr="00C46095">
        <w:trPr>
          <w:trHeight w:val="315"/>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C3D7AE" w14:textId="77777777" w:rsidR="003709A6" w:rsidRPr="00D33399" w:rsidRDefault="003709A6" w:rsidP="00C46095">
            <w:pPr>
              <w:rPr>
                <w:rFonts w:ascii="Arial" w:hAnsi="Arial" w:cs="Arial"/>
                <w:b/>
                <w:bCs/>
                <w:sz w:val="20"/>
                <w:szCs w:val="20"/>
              </w:rPr>
            </w:pPr>
            <w:r w:rsidRPr="00D33399">
              <w:rPr>
                <w:rFonts w:ascii="Arial" w:hAnsi="Arial" w:cs="Arial"/>
                <w:b/>
                <w:bCs/>
                <w:sz w:val="20"/>
                <w:szCs w:val="20"/>
              </w:rPr>
              <w:t>Instância /Juízo</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B362D24" w14:textId="77777777" w:rsidR="003709A6" w:rsidRPr="00D33399" w:rsidRDefault="003709A6" w:rsidP="00C46095">
            <w:pPr>
              <w:jc w:val="both"/>
              <w:rPr>
                <w:rFonts w:ascii="Arial" w:hAnsi="Arial" w:cs="Arial"/>
                <w:sz w:val="20"/>
                <w:szCs w:val="20"/>
              </w:rPr>
            </w:pPr>
            <w:r>
              <w:rPr>
                <w:rFonts w:ascii="Arial" w:hAnsi="Arial" w:cs="Arial"/>
                <w:sz w:val="20"/>
                <w:szCs w:val="20"/>
              </w:rPr>
              <w:t>[1ª] Instância - 1ª Vara do Trabalho de Paragominas</w:t>
            </w:r>
          </w:p>
        </w:tc>
        <w:tc>
          <w:tcPr>
            <w:tcW w:w="8" w:type="pct"/>
            <w:vAlign w:val="center"/>
            <w:hideMark/>
          </w:tcPr>
          <w:p w14:paraId="286E8C88" w14:textId="77777777" w:rsidR="003709A6" w:rsidRPr="00D33399" w:rsidRDefault="003709A6" w:rsidP="00C46095">
            <w:pPr>
              <w:rPr>
                <w:rFonts w:ascii="Arial" w:hAnsi="Arial" w:cs="Arial"/>
                <w:sz w:val="20"/>
                <w:szCs w:val="20"/>
              </w:rPr>
            </w:pPr>
          </w:p>
        </w:tc>
        <w:tc>
          <w:tcPr>
            <w:tcW w:w="1038" w:type="pct"/>
            <w:vAlign w:val="center"/>
            <w:hideMark/>
          </w:tcPr>
          <w:p w14:paraId="3411F7B4" w14:textId="77777777" w:rsidR="003709A6" w:rsidRPr="00D33399" w:rsidRDefault="003709A6" w:rsidP="00C46095">
            <w:pPr>
              <w:rPr>
                <w:rFonts w:ascii="Calibri" w:eastAsiaTheme="minorHAnsi" w:hAnsi="Calibri" w:cs="Calibri"/>
                <w:sz w:val="22"/>
                <w:szCs w:val="22"/>
                <w:lang w:eastAsia="en-US"/>
              </w:rPr>
            </w:pPr>
            <w:r w:rsidRPr="00D33399">
              <w:t> </w:t>
            </w:r>
          </w:p>
        </w:tc>
      </w:tr>
      <w:tr w:rsidR="003709A6" w:rsidRPr="00D33399" w14:paraId="53157C72" w14:textId="77777777" w:rsidTr="00C46095">
        <w:trPr>
          <w:trHeight w:val="315"/>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C672C5E" w14:textId="77777777" w:rsidR="003709A6" w:rsidRPr="00D33399" w:rsidRDefault="003709A6" w:rsidP="00C46095">
            <w:pPr>
              <w:rPr>
                <w:rFonts w:ascii="Arial" w:hAnsi="Arial" w:cs="Arial"/>
                <w:b/>
                <w:bCs/>
                <w:sz w:val="20"/>
                <w:szCs w:val="20"/>
              </w:rPr>
            </w:pPr>
            <w:r w:rsidRPr="00D33399">
              <w:rPr>
                <w:rFonts w:ascii="Arial" w:hAnsi="Arial" w:cs="Arial"/>
                <w:b/>
                <w:bCs/>
                <w:sz w:val="20"/>
                <w:szCs w:val="20"/>
              </w:rPr>
              <w:t>Partes</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D1E0278" w14:textId="6BAAD179" w:rsidR="003709A6" w:rsidRPr="00D33399" w:rsidRDefault="003709A6" w:rsidP="00C46095">
            <w:pPr>
              <w:jc w:val="both"/>
              <w:rPr>
                <w:rFonts w:ascii="Arial" w:hAnsi="Arial" w:cs="Arial"/>
                <w:sz w:val="20"/>
                <w:szCs w:val="20"/>
              </w:rPr>
            </w:pPr>
            <w:r>
              <w:rPr>
                <w:rFonts w:ascii="Arial" w:hAnsi="Arial" w:cs="Arial"/>
                <w:sz w:val="20"/>
                <w:szCs w:val="20"/>
              </w:rPr>
              <w:t>Maria Raimunda Viana de Oliveira e outros (Autores) x Eletrobras Eletronuclear (Reclamada) e Outros</w:t>
            </w:r>
          </w:p>
        </w:tc>
        <w:tc>
          <w:tcPr>
            <w:tcW w:w="8" w:type="pct"/>
            <w:vAlign w:val="center"/>
            <w:hideMark/>
          </w:tcPr>
          <w:p w14:paraId="735173C8" w14:textId="77777777" w:rsidR="003709A6" w:rsidRPr="00D33399" w:rsidRDefault="003709A6" w:rsidP="00C46095">
            <w:pPr>
              <w:rPr>
                <w:rFonts w:ascii="Arial" w:hAnsi="Arial" w:cs="Arial"/>
                <w:sz w:val="20"/>
                <w:szCs w:val="20"/>
              </w:rPr>
            </w:pPr>
          </w:p>
        </w:tc>
        <w:tc>
          <w:tcPr>
            <w:tcW w:w="1038" w:type="pct"/>
            <w:vAlign w:val="center"/>
            <w:hideMark/>
          </w:tcPr>
          <w:p w14:paraId="16D3B6B8" w14:textId="77777777" w:rsidR="003709A6" w:rsidRPr="00D33399" w:rsidRDefault="003709A6" w:rsidP="00C46095">
            <w:pPr>
              <w:rPr>
                <w:rFonts w:ascii="Calibri" w:eastAsiaTheme="minorHAnsi" w:hAnsi="Calibri" w:cs="Calibri"/>
                <w:sz w:val="22"/>
                <w:szCs w:val="22"/>
                <w:lang w:eastAsia="en-US"/>
              </w:rPr>
            </w:pPr>
            <w:r w:rsidRPr="00D33399">
              <w:t> </w:t>
            </w:r>
          </w:p>
        </w:tc>
      </w:tr>
      <w:tr w:rsidR="003709A6" w:rsidRPr="00D33399" w14:paraId="7E789EAE" w14:textId="77777777" w:rsidTr="00C46095">
        <w:trPr>
          <w:trHeight w:val="525"/>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A5405D1" w14:textId="77777777" w:rsidR="003709A6" w:rsidRPr="00D33399" w:rsidRDefault="003709A6" w:rsidP="00C46095">
            <w:pPr>
              <w:rPr>
                <w:rFonts w:ascii="Arial" w:hAnsi="Arial" w:cs="Arial"/>
                <w:b/>
                <w:bCs/>
                <w:sz w:val="20"/>
                <w:szCs w:val="20"/>
              </w:rPr>
            </w:pPr>
            <w:r w:rsidRPr="00D33399">
              <w:rPr>
                <w:rFonts w:ascii="Arial" w:hAnsi="Arial" w:cs="Arial"/>
                <w:b/>
                <w:bCs/>
                <w:sz w:val="20"/>
                <w:szCs w:val="20"/>
              </w:rPr>
              <w:t>Valores, bens ou direitos envolvidos</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4700C0E" w14:textId="698A52A8" w:rsidR="003709A6" w:rsidRPr="00D33399" w:rsidRDefault="003709A6" w:rsidP="00C46095">
            <w:pPr>
              <w:jc w:val="both"/>
              <w:rPr>
                <w:rFonts w:ascii="Arial" w:hAnsi="Arial" w:cs="Arial"/>
                <w:sz w:val="20"/>
                <w:szCs w:val="20"/>
              </w:rPr>
            </w:pPr>
            <w:r>
              <w:rPr>
                <w:rFonts w:ascii="Arial" w:hAnsi="Arial" w:cs="Arial"/>
                <w:sz w:val="20"/>
                <w:szCs w:val="20"/>
              </w:rPr>
              <w:t>Valor atualizado: R$ 42.956</w:t>
            </w:r>
          </w:p>
        </w:tc>
        <w:tc>
          <w:tcPr>
            <w:tcW w:w="8" w:type="pct"/>
            <w:vAlign w:val="center"/>
            <w:hideMark/>
          </w:tcPr>
          <w:p w14:paraId="598B2291" w14:textId="77777777" w:rsidR="003709A6" w:rsidRPr="00D33399" w:rsidRDefault="003709A6" w:rsidP="00C46095">
            <w:pPr>
              <w:rPr>
                <w:rFonts w:ascii="Arial" w:hAnsi="Arial" w:cs="Arial"/>
                <w:sz w:val="20"/>
                <w:szCs w:val="20"/>
              </w:rPr>
            </w:pPr>
          </w:p>
        </w:tc>
        <w:tc>
          <w:tcPr>
            <w:tcW w:w="1038" w:type="pct"/>
            <w:vAlign w:val="center"/>
            <w:hideMark/>
          </w:tcPr>
          <w:p w14:paraId="49B9F855" w14:textId="77777777" w:rsidR="003709A6" w:rsidRPr="00D33399" w:rsidRDefault="003709A6" w:rsidP="00C46095">
            <w:pPr>
              <w:rPr>
                <w:rFonts w:ascii="Calibri" w:eastAsiaTheme="minorHAnsi" w:hAnsi="Calibri" w:cs="Calibri"/>
                <w:sz w:val="22"/>
                <w:szCs w:val="22"/>
                <w:lang w:eastAsia="en-US"/>
              </w:rPr>
            </w:pPr>
            <w:r w:rsidRPr="00D33399">
              <w:t> </w:t>
            </w:r>
          </w:p>
        </w:tc>
      </w:tr>
      <w:tr w:rsidR="003709A6" w:rsidRPr="00D33399" w14:paraId="75423134" w14:textId="77777777" w:rsidTr="00C46095">
        <w:trPr>
          <w:trHeight w:val="1140"/>
        </w:trPr>
        <w:tc>
          <w:tcPr>
            <w:tcW w:w="575"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746C7630" w14:textId="77777777" w:rsidR="003709A6" w:rsidRPr="00D33399" w:rsidRDefault="003709A6" w:rsidP="00C46095">
            <w:pPr>
              <w:rPr>
                <w:rFonts w:ascii="Arial" w:hAnsi="Arial" w:cs="Arial"/>
                <w:b/>
                <w:bCs/>
                <w:sz w:val="20"/>
                <w:szCs w:val="20"/>
              </w:rPr>
            </w:pPr>
            <w:r w:rsidRPr="00D33399">
              <w:rPr>
                <w:rFonts w:ascii="Arial" w:hAnsi="Arial" w:cs="Arial"/>
                <w:b/>
                <w:bCs/>
                <w:sz w:val="20"/>
                <w:szCs w:val="20"/>
              </w:rPr>
              <w:t>Objeto:</w:t>
            </w:r>
          </w:p>
        </w:tc>
        <w:tc>
          <w:tcPr>
            <w:tcW w:w="3379" w:type="pct"/>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7FFF0EBD" w14:textId="34445831" w:rsidR="003709A6" w:rsidRPr="00D33399" w:rsidRDefault="003709A6" w:rsidP="00C46095">
            <w:pPr>
              <w:jc w:val="both"/>
              <w:rPr>
                <w:rFonts w:ascii="Arial" w:hAnsi="Arial" w:cs="Arial"/>
                <w:sz w:val="20"/>
                <w:szCs w:val="20"/>
              </w:rPr>
            </w:pPr>
            <w:r>
              <w:rPr>
                <w:rFonts w:ascii="Arial" w:hAnsi="Arial" w:cs="Arial"/>
                <w:sz w:val="20"/>
                <w:szCs w:val="20"/>
              </w:rPr>
              <w:t>Trata-se de demanda ajuizada por ex-empregados da Companhia Bauxita Brasileira, que foi subcontratada, sem a autorização da Eletronuclear, pela empresa Interamerican Ltda para a realização dos serviços de destinação final de aproximadamente 10.000 Kg (dez mil quilogramas) de resíduos Industriais provenientes de sobra da construção da Usina de Angra 2, no município de Angra dos Reis- RJ, o que gerou pedido do Reclamante para ressarcimento de danos materiais/morais decorrentes do exercício de atividade laboral sem o uso de equipamentos adequados.  Há aproximadamente setenta e cinco reclamadas. Além do exposto acima, há alegação de prescrição quanto ao direito dos reclamantes. Processo em fase de 1º grau, houve o encerramento da instrução processual. Leitura de sentença para o dia 16 de dezembro de 2020.</w:t>
            </w:r>
          </w:p>
        </w:tc>
        <w:tc>
          <w:tcPr>
            <w:tcW w:w="8" w:type="pct"/>
            <w:vAlign w:val="center"/>
            <w:hideMark/>
          </w:tcPr>
          <w:p w14:paraId="76E559E0" w14:textId="77777777" w:rsidR="003709A6" w:rsidRPr="00D33399" w:rsidRDefault="003709A6" w:rsidP="00C46095">
            <w:pPr>
              <w:rPr>
                <w:rFonts w:ascii="Arial" w:hAnsi="Arial" w:cs="Arial"/>
                <w:sz w:val="20"/>
                <w:szCs w:val="20"/>
              </w:rPr>
            </w:pPr>
          </w:p>
        </w:tc>
        <w:tc>
          <w:tcPr>
            <w:tcW w:w="1038" w:type="pct"/>
            <w:vAlign w:val="center"/>
            <w:hideMark/>
          </w:tcPr>
          <w:p w14:paraId="57B5D1E5" w14:textId="77777777" w:rsidR="003709A6" w:rsidRPr="00D33399" w:rsidRDefault="003709A6" w:rsidP="00C46095">
            <w:pPr>
              <w:rPr>
                <w:rFonts w:ascii="Calibri" w:eastAsiaTheme="minorHAnsi" w:hAnsi="Calibri" w:cs="Calibri"/>
                <w:sz w:val="22"/>
                <w:szCs w:val="22"/>
                <w:lang w:eastAsia="en-US"/>
              </w:rPr>
            </w:pPr>
            <w:r w:rsidRPr="00D33399">
              <w:t> </w:t>
            </w:r>
          </w:p>
        </w:tc>
      </w:tr>
      <w:tr w:rsidR="003709A6" w:rsidRPr="00D33399" w14:paraId="5F728561" w14:textId="77777777" w:rsidTr="00C46095">
        <w:trPr>
          <w:trHeight w:val="230"/>
        </w:trPr>
        <w:tc>
          <w:tcPr>
            <w:tcW w:w="575" w:type="pct"/>
            <w:vMerge/>
            <w:tcBorders>
              <w:top w:val="nil"/>
              <w:left w:val="single" w:sz="8" w:space="0" w:color="auto"/>
              <w:bottom w:val="single" w:sz="8" w:space="0" w:color="000000"/>
              <w:right w:val="single" w:sz="8" w:space="0" w:color="auto"/>
            </w:tcBorders>
            <w:vAlign w:val="center"/>
            <w:hideMark/>
          </w:tcPr>
          <w:p w14:paraId="07669121" w14:textId="77777777" w:rsidR="003709A6" w:rsidRPr="00D33399" w:rsidRDefault="003709A6" w:rsidP="00C46095">
            <w:pPr>
              <w:rPr>
                <w:rFonts w:ascii="Arial" w:eastAsiaTheme="minorHAnsi" w:hAnsi="Arial" w:cs="Arial"/>
                <w:b/>
                <w:bCs/>
                <w:sz w:val="20"/>
                <w:szCs w:val="20"/>
                <w:lang w:eastAsia="en-US"/>
              </w:rPr>
            </w:pPr>
          </w:p>
        </w:tc>
        <w:tc>
          <w:tcPr>
            <w:tcW w:w="3379" w:type="pct"/>
            <w:vMerge/>
            <w:tcBorders>
              <w:top w:val="nil"/>
              <w:left w:val="nil"/>
              <w:bottom w:val="single" w:sz="8" w:space="0" w:color="000000"/>
              <w:right w:val="single" w:sz="8" w:space="0" w:color="auto"/>
            </w:tcBorders>
            <w:vAlign w:val="center"/>
            <w:hideMark/>
          </w:tcPr>
          <w:p w14:paraId="04DA4E92" w14:textId="77777777" w:rsidR="003709A6" w:rsidRPr="00D33399" w:rsidRDefault="003709A6" w:rsidP="00C46095">
            <w:pPr>
              <w:rPr>
                <w:rFonts w:ascii="Arial" w:eastAsiaTheme="minorHAnsi" w:hAnsi="Arial" w:cs="Arial"/>
                <w:sz w:val="20"/>
                <w:szCs w:val="20"/>
                <w:lang w:eastAsia="en-US"/>
              </w:rPr>
            </w:pPr>
          </w:p>
        </w:tc>
        <w:tc>
          <w:tcPr>
            <w:tcW w:w="8" w:type="pct"/>
            <w:vAlign w:val="center"/>
            <w:hideMark/>
          </w:tcPr>
          <w:p w14:paraId="4604F7A1" w14:textId="77777777" w:rsidR="003709A6" w:rsidRPr="00D33399" w:rsidRDefault="003709A6" w:rsidP="00C46095"/>
        </w:tc>
        <w:tc>
          <w:tcPr>
            <w:tcW w:w="1038" w:type="pct"/>
            <w:vAlign w:val="center"/>
            <w:hideMark/>
          </w:tcPr>
          <w:p w14:paraId="479CA4FE" w14:textId="77777777" w:rsidR="003709A6" w:rsidRPr="00D33399" w:rsidRDefault="003709A6" w:rsidP="00C46095">
            <w:pPr>
              <w:rPr>
                <w:rFonts w:ascii="Calibri" w:eastAsiaTheme="minorHAnsi" w:hAnsi="Calibri" w:cs="Calibri"/>
                <w:sz w:val="22"/>
                <w:szCs w:val="22"/>
                <w:lang w:eastAsia="en-US"/>
              </w:rPr>
            </w:pPr>
            <w:r w:rsidRPr="00D33399">
              <w:t> </w:t>
            </w:r>
          </w:p>
        </w:tc>
      </w:tr>
      <w:tr w:rsidR="003709A6" w:rsidRPr="00D33399" w14:paraId="526D5BC7" w14:textId="77777777" w:rsidTr="00C46095">
        <w:trPr>
          <w:trHeight w:val="510"/>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773C3AA" w14:textId="77777777" w:rsidR="003709A6" w:rsidRPr="00D33399" w:rsidRDefault="003709A6" w:rsidP="00C46095">
            <w:pPr>
              <w:rPr>
                <w:rFonts w:ascii="Arial" w:hAnsi="Arial" w:cs="Arial"/>
                <w:b/>
                <w:bCs/>
                <w:sz w:val="20"/>
                <w:szCs w:val="20"/>
              </w:rPr>
            </w:pPr>
            <w:r w:rsidRPr="00D33399">
              <w:rPr>
                <w:rFonts w:ascii="Arial" w:hAnsi="Arial" w:cs="Arial"/>
                <w:b/>
                <w:bCs/>
                <w:sz w:val="20"/>
                <w:szCs w:val="20"/>
              </w:rPr>
              <w:t>Expectativa de Perda</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F261A0A" w14:textId="77777777" w:rsidR="003709A6" w:rsidRPr="00D33399" w:rsidRDefault="003709A6" w:rsidP="00C46095">
            <w:pPr>
              <w:jc w:val="both"/>
              <w:rPr>
                <w:rFonts w:ascii="Arial" w:hAnsi="Arial" w:cs="Arial"/>
                <w:sz w:val="20"/>
                <w:szCs w:val="20"/>
              </w:rPr>
            </w:pPr>
            <w:r w:rsidRPr="00D33399">
              <w:rPr>
                <w:rFonts w:ascii="Arial" w:hAnsi="Arial" w:cs="Arial"/>
                <w:sz w:val="20"/>
                <w:szCs w:val="20"/>
              </w:rPr>
              <w:t>Possível</w:t>
            </w:r>
          </w:p>
        </w:tc>
        <w:tc>
          <w:tcPr>
            <w:tcW w:w="8" w:type="pct"/>
            <w:vAlign w:val="center"/>
            <w:hideMark/>
          </w:tcPr>
          <w:p w14:paraId="33C1BDD6" w14:textId="77777777" w:rsidR="003709A6" w:rsidRPr="00D33399" w:rsidRDefault="003709A6" w:rsidP="00C46095">
            <w:pPr>
              <w:rPr>
                <w:rFonts w:ascii="Arial" w:hAnsi="Arial" w:cs="Arial"/>
                <w:sz w:val="20"/>
                <w:szCs w:val="20"/>
              </w:rPr>
            </w:pPr>
          </w:p>
        </w:tc>
        <w:tc>
          <w:tcPr>
            <w:tcW w:w="1038" w:type="pct"/>
            <w:vAlign w:val="center"/>
            <w:hideMark/>
          </w:tcPr>
          <w:p w14:paraId="2A9C8A2B" w14:textId="77777777" w:rsidR="003709A6" w:rsidRPr="00D33399" w:rsidRDefault="003709A6" w:rsidP="00C46095">
            <w:pPr>
              <w:rPr>
                <w:rFonts w:ascii="Calibri" w:eastAsiaTheme="minorHAnsi" w:hAnsi="Calibri" w:cs="Calibri"/>
                <w:sz w:val="22"/>
                <w:szCs w:val="22"/>
                <w:lang w:eastAsia="en-US"/>
              </w:rPr>
            </w:pPr>
            <w:r w:rsidRPr="00D33399">
              <w:t> </w:t>
            </w:r>
          </w:p>
        </w:tc>
      </w:tr>
    </w:tbl>
    <w:p w14:paraId="10E70454" w14:textId="4CAC371D" w:rsidR="008047FB" w:rsidRDefault="008047FB" w:rsidP="00D12BD2">
      <w:pPr>
        <w:jc w:val="both"/>
        <w:rPr>
          <w:rFonts w:ascii="Calibri" w:eastAsiaTheme="minorHAnsi" w:hAnsi="Calibri" w:cs="Calibri"/>
          <w:sz w:val="22"/>
          <w:szCs w:val="22"/>
          <w:lang w:eastAsia="en-US"/>
        </w:rPr>
      </w:pPr>
    </w:p>
    <w:p w14:paraId="05CB34F2" w14:textId="77777777" w:rsidR="003709A6" w:rsidRPr="00D33399" w:rsidRDefault="003709A6" w:rsidP="00D12BD2">
      <w:pPr>
        <w:jc w:val="both"/>
        <w:rPr>
          <w:rFonts w:ascii="Calibri" w:eastAsiaTheme="minorHAnsi" w:hAnsi="Calibri" w:cs="Calibri"/>
          <w:sz w:val="22"/>
          <w:szCs w:val="22"/>
          <w:lang w:eastAsia="en-US"/>
        </w:rPr>
      </w:pPr>
    </w:p>
    <w:p w14:paraId="427868A3" w14:textId="77777777" w:rsidR="00814DAE" w:rsidRPr="00D33399" w:rsidRDefault="00814DAE" w:rsidP="00814DAE">
      <w:pPr>
        <w:widowControl/>
        <w:spacing w:line="240" w:lineRule="auto"/>
        <w:jc w:val="both"/>
        <w:rPr>
          <w:rFonts w:ascii="Arial" w:hAnsi="Arial"/>
        </w:rPr>
      </w:pPr>
      <w:r w:rsidRPr="00D33399">
        <w:rPr>
          <w:rFonts w:ascii="Arial" w:hAnsi="Arial"/>
        </w:rPr>
        <w:t xml:space="preserve">Os processos de contingência ativa com expectativa de ganho provável para retorno de caixa à ELETRONUCLEAR referentes a processos tributários federais e outros de natureza cível, e não reconhecidos nas demonstrações </w:t>
      </w:r>
      <w:r w:rsidRPr="00D33399">
        <w:rPr>
          <w:rFonts w:ascii="Arial" w:hAnsi="Arial" w:cs="Arial"/>
        </w:rPr>
        <w:t>financeiras</w:t>
      </w:r>
      <w:r w:rsidRPr="00D33399">
        <w:rPr>
          <w:rFonts w:ascii="Arial" w:hAnsi="Arial"/>
        </w:rPr>
        <w:t xml:space="preserve">, apresentam o montante de R$ 1.583. </w:t>
      </w:r>
    </w:p>
    <w:p w14:paraId="20530DA2" w14:textId="77777777" w:rsidR="00814DAE" w:rsidRPr="00D33399" w:rsidRDefault="00814DAE" w:rsidP="00814DAE">
      <w:pPr>
        <w:widowControl/>
        <w:spacing w:line="240" w:lineRule="auto"/>
        <w:jc w:val="both"/>
        <w:rPr>
          <w:rFonts w:ascii="Arial" w:hAnsi="Arial"/>
        </w:rPr>
      </w:pPr>
    </w:p>
    <w:p w14:paraId="2D3EC037" w14:textId="77777777" w:rsidR="00814DAE" w:rsidRDefault="00814DAE" w:rsidP="00814DAE">
      <w:pPr>
        <w:widowControl/>
        <w:spacing w:line="240" w:lineRule="auto"/>
        <w:jc w:val="both"/>
        <w:rPr>
          <w:rFonts w:ascii="Arial" w:hAnsi="Arial"/>
          <w:sz w:val="16"/>
          <w:szCs w:val="16"/>
        </w:rPr>
      </w:pPr>
    </w:p>
    <w:p w14:paraId="4810A8C6" w14:textId="77777777" w:rsidR="00AF1B34" w:rsidRDefault="00AF1B34" w:rsidP="00814DAE">
      <w:pPr>
        <w:widowControl/>
        <w:spacing w:line="240" w:lineRule="auto"/>
        <w:jc w:val="both"/>
        <w:rPr>
          <w:rFonts w:ascii="Arial" w:hAnsi="Arial"/>
          <w:sz w:val="16"/>
          <w:szCs w:val="16"/>
        </w:rPr>
      </w:pPr>
    </w:p>
    <w:p w14:paraId="3D39B3FC" w14:textId="77777777" w:rsidR="00AF1B34" w:rsidRDefault="00AF1B34" w:rsidP="00814DAE">
      <w:pPr>
        <w:widowControl/>
        <w:spacing w:line="240" w:lineRule="auto"/>
        <w:jc w:val="both"/>
        <w:rPr>
          <w:rFonts w:ascii="Arial" w:hAnsi="Arial"/>
          <w:sz w:val="16"/>
          <w:szCs w:val="16"/>
        </w:rPr>
      </w:pPr>
    </w:p>
    <w:p w14:paraId="69BA8DAE" w14:textId="77777777" w:rsidR="00AF1B34" w:rsidRDefault="00AF1B34" w:rsidP="00814DAE">
      <w:pPr>
        <w:widowControl/>
        <w:spacing w:line="240" w:lineRule="auto"/>
        <w:jc w:val="both"/>
        <w:rPr>
          <w:rFonts w:ascii="Arial" w:hAnsi="Arial"/>
          <w:sz w:val="16"/>
          <w:szCs w:val="16"/>
        </w:rPr>
      </w:pPr>
    </w:p>
    <w:p w14:paraId="34DA4E4A" w14:textId="77777777" w:rsidR="00AF1B34" w:rsidRDefault="00AF1B34" w:rsidP="00814DAE">
      <w:pPr>
        <w:widowControl/>
        <w:spacing w:line="240" w:lineRule="auto"/>
        <w:jc w:val="both"/>
        <w:rPr>
          <w:rFonts w:ascii="Arial" w:hAnsi="Arial"/>
          <w:sz w:val="16"/>
          <w:szCs w:val="16"/>
        </w:rPr>
      </w:pPr>
    </w:p>
    <w:p w14:paraId="35FA2CF3" w14:textId="77777777" w:rsidR="00AF1B34" w:rsidRDefault="00AF1B34" w:rsidP="00814DAE">
      <w:pPr>
        <w:widowControl/>
        <w:spacing w:line="240" w:lineRule="auto"/>
        <w:jc w:val="both"/>
        <w:rPr>
          <w:rFonts w:ascii="Arial" w:hAnsi="Arial"/>
          <w:sz w:val="16"/>
          <w:szCs w:val="16"/>
        </w:rPr>
      </w:pPr>
    </w:p>
    <w:p w14:paraId="599B255E" w14:textId="77777777" w:rsidR="00AF1B34" w:rsidRDefault="00AF1B34" w:rsidP="00814DAE">
      <w:pPr>
        <w:widowControl/>
        <w:spacing w:line="240" w:lineRule="auto"/>
        <w:jc w:val="both"/>
        <w:rPr>
          <w:rFonts w:ascii="Arial" w:hAnsi="Arial"/>
          <w:sz w:val="16"/>
          <w:szCs w:val="16"/>
        </w:rPr>
      </w:pPr>
    </w:p>
    <w:p w14:paraId="2FF55EBE" w14:textId="77777777" w:rsidR="00AF1B34" w:rsidRDefault="00AF1B34" w:rsidP="00814DAE">
      <w:pPr>
        <w:widowControl/>
        <w:spacing w:line="240" w:lineRule="auto"/>
        <w:jc w:val="both"/>
        <w:rPr>
          <w:rFonts w:ascii="Arial" w:hAnsi="Arial"/>
          <w:sz w:val="16"/>
          <w:szCs w:val="16"/>
        </w:rPr>
      </w:pPr>
    </w:p>
    <w:p w14:paraId="73405F75" w14:textId="77777777" w:rsidR="00AF1B34" w:rsidRDefault="00AF1B34" w:rsidP="00814DAE">
      <w:pPr>
        <w:widowControl/>
        <w:spacing w:line="240" w:lineRule="auto"/>
        <w:jc w:val="both"/>
        <w:rPr>
          <w:rFonts w:ascii="Arial" w:hAnsi="Arial"/>
          <w:sz w:val="16"/>
          <w:szCs w:val="16"/>
        </w:rPr>
      </w:pPr>
    </w:p>
    <w:p w14:paraId="079B13CD" w14:textId="77777777" w:rsidR="00AF1B34" w:rsidRDefault="00AF1B34" w:rsidP="00814DAE">
      <w:pPr>
        <w:widowControl/>
        <w:spacing w:line="240" w:lineRule="auto"/>
        <w:jc w:val="both"/>
        <w:rPr>
          <w:rFonts w:ascii="Arial" w:hAnsi="Arial"/>
          <w:sz w:val="16"/>
          <w:szCs w:val="16"/>
        </w:rPr>
      </w:pPr>
    </w:p>
    <w:p w14:paraId="63536288" w14:textId="77777777" w:rsidR="00AF1B34" w:rsidRPr="00D33399" w:rsidRDefault="00AF1B34" w:rsidP="00814DAE">
      <w:pPr>
        <w:widowControl/>
        <w:spacing w:line="240" w:lineRule="auto"/>
        <w:jc w:val="both"/>
        <w:rPr>
          <w:rFonts w:ascii="Arial" w:hAnsi="Arial"/>
          <w:sz w:val="16"/>
          <w:szCs w:val="16"/>
        </w:rPr>
      </w:pPr>
    </w:p>
    <w:p w14:paraId="171E73D0" w14:textId="77777777" w:rsidR="00A16C43" w:rsidRPr="00D33399" w:rsidRDefault="00A16C43" w:rsidP="005144E2">
      <w:pPr>
        <w:widowControl/>
        <w:tabs>
          <w:tab w:val="center" w:pos="4419"/>
          <w:tab w:val="right" w:pos="8838"/>
        </w:tabs>
        <w:rPr>
          <w:rFonts w:ascii="Arial" w:hAnsi="Arial" w:cs="Arial"/>
          <w:b/>
        </w:rPr>
      </w:pPr>
      <w:r w:rsidRPr="00D33399">
        <w:rPr>
          <w:rFonts w:ascii="Arial" w:hAnsi="Arial" w:cs="Arial"/>
          <w:b/>
        </w:rPr>
        <w:t>b) Movimentação</w:t>
      </w:r>
    </w:p>
    <w:p w14:paraId="064DA9DD" w14:textId="77777777" w:rsidR="00A16C43" w:rsidRPr="00D33399" w:rsidRDefault="00A16C43" w:rsidP="005144E2">
      <w:pPr>
        <w:widowControl/>
        <w:tabs>
          <w:tab w:val="center" w:pos="4419"/>
          <w:tab w:val="right" w:pos="8838"/>
        </w:tabs>
        <w:rPr>
          <w:rFonts w:ascii="Arial" w:hAnsi="Arial" w:cs="Arial"/>
          <w:b/>
          <w:sz w:val="16"/>
          <w:szCs w:val="16"/>
        </w:rPr>
      </w:pPr>
    </w:p>
    <w:p w14:paraId="0BD1CAAF" w14:textId="6A02B1A7" w:rsidR="001933B3" w:rsidRPr="00D33399" w:rsidRDefault="00251CC3" w:rsidP="005144E2">
      <w:pPr>
        <w:widowControl/>
        <w:tabs>
          <w:tab w:val="center" w:pos="4419"/>
          <w:tab w:val="right" w:pos="8838"/>
        </w:tabs>
        <w:rPr>
          <w:rFonts w:ascii="Arial" w:hAnsi="Arial" w:cs="Arial"/>
        </w:rPr>
      </w:pPr>
      <w:r w:rsidRPr="00D33399">
        <w:rPr>
          <w:noProof/>
        </w:rPr>
        <w:drawing>
          <wp:inline distT="0" distB="0" distL="0" distR="0" wp14:anchorId="00103871" wp14:editId="7D307822">
            <wp:extent cx="6073140" cy="1522109"/>
            <wp:effectExtent l="0" t="0" r="3810" b="1905"/>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073140" cy="1522109"/>
                    </a:xfrm>
                    <a:prstGeom prst="rect">
                      <a:avLst/>
                    </a:prstGeom>
                    <a:noFill/>
                    <a:ln>
                      <a:noFill/>
                    </a:ln>
                  </pic:spPr>
                </pic:pic>
              </a:graphicData>
            </a:graphic>
          </wp:inline>
        </w:drawing>
      </w:r>
    </w:p>
    <w:p w14:paraId="2CB7EE08" w14:textId="27337748" w:rsidR="003E5803" w:rsidRPr="00D33399" w:rsidRDefault="003E5803" w:rsidP="005144E2">
      <w:pPr>
        <w:widowControl/>
        <w:tabs>
          <w:tab w:val="center" w:pos="4419"/>
          <w:tab w:val="right" w:pos="8838"/>
        </w:tabs>
        <w:rPr>
          <w:rFonts w:ascii="Arial" w:hAnsi="Arial" w:cs="Arial"/>
        </w:rPr>
      </w:pPr>
    </w:p>
    <w:p w14:paraId="7C73DED8" w14:textId="77777777" w:rsidR="003E5803" w:rsidRPr="00D33399" w:rsidRDefault="003E5803" w:rsidP="005144E2">
      <w:pPr>
        <w:widowControl/>
        <w:tabs>
          <w:tab w:val="center" w:pos="4419"/>
          <w:tab w:val="right" w:pos="8838"/>
        </w:tabs>
        <w:rPr>
          <w:rFonts w:ascii="Arial" w:hAnsi="Arial" w:cs="Arial"/>
        </w:rPr>
      </w:pPr>
    </w:p>
    <w:p w14:paraId="443A193B" w14:textId="1CDED52B" w:rsidR="00EB2CC1" w:rsidRPr="00D33399" w:rsidRDefault="00EB2CC1" w:rsidP="005144E2">
      <w:pPr>
        <w:widowControl/>
        <w:tabs>
          <w:tab w:val="center" w:pos="4419"/>
          <w:tab w:val="right" w:pos="8838"/>
        </w:tabs>
        <w:rPr>
          <w:rFonts w:ascii="Arial" w:hAnsi="Arial" w:cs="Arial"/>
        </w:rPr>
      </w:pPr>
    </w:p>
    <w:p w14:paraId="655613CD" w14:textId="77777777" w:rsidR="003F4719" w:rsidRPr="00D33399" w:rsidRDefault="003F4719" w:rsidP="005144E2">
      <w:pPr>
        <w:widowControl/>
        <w:tabs>
          <w:tab w:val="center" w:pos="4419"/>
          <w:tab w:val="right" w:pos="8838"/>
        </w:tabs>
        <w:rPr>
          <w:rFonts w:ascii="Arial" w:hAnsi="Arial" w:cs="Arial"/>
          <w:b/>
          <w:sz w:val="26"/>
          <w:szCs w:val="26"/>
        </w:rPr>
      </w:pPr>
      <w:r w:rsidRPr="00D33399">
        <w:rPr>
          <w:rFonts w:ascii="Arial" w:hAnsi="Arial" w:cs="Arial"/>
          <w:b/>
          <w:sz w:val="26"/>
          <w:szCs w:val="26"/>
        </w:rPr>
        <w:t>NOTA 2</w:t>
      </w:r>
      <w:r w:rsidR="0002361E" w:rsidRPr="00D33399">
        <w:rPr>
          <w:rFonts w:ascii="Arial" w:hAnsi="Arial" w:cs="Arial"/>
          <w:b/>
          <w:sz w:val="26"/>
          <w:szCs w:val="26"/>
        </w:rPr>
        <w:t>4</w:t>
      </w:r>
      <w:r w:rsidRPr="00D33399">
        <w:rPr>
          <w:rFonts w:ascii="Arial" w:hAnsi="Arial" w:cs="Arial"/>
          <w:b/>
          <w:sz w:val="26"/>
          <w:szCs w:val="26"/>
        </w:rPr>
        <w:t xml:space="preserve"> – OBRIGAÇÃO PARA DESMOBILIZAÇÃO DE ATIVOS</w:t>
      </w:r>
    </w:p>
    <w:p w14:paraId="32429E41" w14:textId="77777777" w:rsidR="001B6E08" w:rsidRPr="00D33399" w:rsidRDefault="001B6E08" w:rsidP="005144E2">
      <w:pPr>
        <w:widowControl/>
        <w:tabs>
          <w:tab w:val="center" w:pos="4419"/>
          <w:tab w:val="right" w:pos="8838"/>
        </w:tabs>
        <w:rPr>
          <w:rFonts w:ascii="Arial" w:hAnsi="Arial" w:cs="Arial"/>
          <w:b/>
        </w:rPr>
      </w:pPr>
    </w:p>
    <w:p w14:paraId="40BDE3FA" w14:textId="77777777" w:rsidR="003E40A9" w:rsidRPr="00D33399" w:rsidRDefault="003E40A9" w:rsidP="005144E2">
      <w:pPr>
        <w:widowControl/>
        <w:tabs>
          <w:tab w:val="center" w:pos="4419"/>
          <w:tab w:val="right" w:pos="8838"/>
        </w:tabs>
        <w:rPr>
          <w:rFonts w:ascii="Arial" w:hAnsi="Arial" w:cs="Arial"/>
          <w:b/>
        </w:rPr>
      </w:pPr>
    </w:p>
    <w:p w14:paraId="4FDFC8C8" w14:textId="77777777" w:rsidR="003F4719" w:rsidRPr="00D33399" w:rsidRDefault="003F4719" w:rsidP="005144E2">
      <w:pPr>
        <w:widowControl/>
        <w:tabs>
          <w:tab w:val="center" w:pos="4419"/>
          <w:tab w:val="right" w:pos="8838"/>
        </w:tabs>
        <w:rPr>
          <w:rFonts w:ascii="Arial" w:hAnsi="Arial" w:cs="Arial"/>
          <w:b/>
        </w:rPr>
      </w:pPr>
      <w:r w:rsidRPr="00D33399">
        <w:rPr>
          <w:rFonts w:ascii="Arial" w:hAnsi="Arial" w:cs="Arial"/>
          <w:b/>
        </w:rPr>
        <w:t>a) Descomissionamento</w:t>
      </w:r>
    </w:p>
    <w:p w14:paraId="57268E20" w14:textId="77777777" w:rsidR="003F4719" w:rsidRPr="00D33399" w:rsidRDefault="003F4719" w:rsidP="005144E2">
      <w:pPr>
        <w:widowControl/>
        <w:tabs>
          <w:tab w:val="center" w:pos="4419"/>
          <w:tab w:val="right" w:pos="8838"/>
        </w:tabs>
        <w:jc w:val="both"/>
        <w:rPr>
          <w:rFonts w:ascii="Arial" w:hAnsi="Arial" w:cs="Arial"/>
          <w:b/>
        </w:rPr>
      </w:pPr>
    </w:p>
    <w:p w14:paraId="7D2749EC" w14:textId="77777777" w:rsidR="003F4719" w:rsidRPr="00D33399" w:rsidRDefault="003F4719" w:rsidP="005144E2">
      <w:pPr>
        <w:widowControl/>
        <w:tabs>
          <w:tab w:val="center" w:pos="4419"/>
          <w:tab w:val="right" w:pos="8838"/>
        </w:tabs>
        <w:jc w:val="both"/>
        <w:rPr>
          <w:rFonts w:ascii="Arial" w:hAnsi="Arial" w:cs="Arial"/>
        </w:rPr>
      </w:pPr>
      <w:r w:rsidRPr="00D33399">
        <w:rPr>
          <w:rFonts w:ascii="Arial" w:hAnsi="Arial" w:cs="Arial"/>
        </w:rPr>
        <w:t>O descomissionamento pode ser entendido como um conjunto de medidas tomadas para retirar de serviço, com segurança, uma instalação nuclear, reduzindo a radioatividade residual a níveis que permitam liberar o local para uso restrito ou irrestrito.</w:t>
      </w:r>
    </w:p>
    <w:p w14:paraId="674BDCF1" w14:textId="77777777" w:rsidR="00180A5B" w:rsidRPr="00D33399" w:rsidRDefault="00180A5B" w:rsidP="005144E2">
      <w:pPr>
        <w:widowControl/>
        <w:tabs>
          <w:tab w:val="center" w:pos="4419"/>
          <w:tab w:val="right" w:pos="8838"/>
        </w:tabs>
        <w:jc w:val="both"/>
        <w:rPr>
          <w:rFonts w:ascii="Arial" w:hAnsi="Arial" w:cs="Arial"/>
        </w:rPr>
      </w:pPr>
    </w:p>
    <w:p w14:paraId="6467ED47" w14:textId="77777777" w:rsidR="003E40A9" w:rsidRPr="00D33399" w:rsidRDefault="003E40A9" w:rsidP="005144E2">
      <w:pPr>
        <w:widowControl/>
        <w:tabs>
          <w:tab w:val="center" w:pos="4419"/>
          <w:tab w:val="right" w:pos="8838"/>
        </w:tabs>
        <w:jc w:val="both"/>
        <w:rPr>
          <w:rFonts w:ascii="Arial" w:hAnsi="Arial" w:cs="Arial"/>
          <w:sz w:val="16"/>
          <w:szCs w:val="16"/>
        </w:rPr>
      </w:pPr>
    </w:p>
    <w:p w14:paraId="0206B3EF" w14:textId="77777777" w:rsidR="0068309E" w:rsidRPr="00D33399" w:rsidRDefault="0068309E" w:rsidP="005144E2">
      <w:pPr>
        <w:widowControl/>
        <w:tabs>
          <w:tab w:val="center" w:pos="4419"/>
          <w:tab w:val="right" w:pos="8838"/>
        </w:tabs>
        <w:jc w:val="both"/>
        <w:rPr>
          <w:rFonts w:ascii="Arial" w:hAnsi="Arial" w:cs="Arial"/>
          <w:b/>
        </w:rPr>
      </w:pPr>
      <w:r w:rsidRPr="00D33399">
        <w:rPr>
          <w:rFonts w:ascii="Arial" w:hAnsi="Arial" w:cs="Arial"/>
          <w:b/>
        </w:rPr>
        <w:t>a.1) Constituição do Passivo para descomissionamento</w:t>
      </w:r>
    </w:p>
    <w:p w14:paraId="563183F5" w14:textId="77777777" w:rsidR="0068309E" w:rsidRPr="00D33399" w:rsidRDefault="0068309E" w:rsidP="005144E2">
      <w:pPr>
        <w:widowControl/>
        <w:tabs>
          <w:tab w:val="center" w:pos="4419"/>
          <w:tab w:val="right" w:pos="8838"/>
        </w:tabs>
        <w:jc w:val="both"/>
        <w:rPr>
          <w:rFonts w:ascii="Arial" w:hAnsi="Arial" w:cs="Arial"/>
          <w:sz w:val="16"/>
          <w:szCs w:val="16"/>
        </w:rPr>
      </w:pPr>
    </w:p>
    <w:p w14:paraId="44A02752" w14:textId="77777777" w:rsidR="0068309E" w:rsidRPr="00D33399" w:rsidRDefault="0068309E" w:rsidP="005144E2">
      <w:pPr>
        <w:widowControl/>
        <w:tabs>
          <w:tab w:val="center" w:pos="4419"/>
          <w:tab w:val="right" w:pos="8838"/>
        </w:tabs>
        <w:jc w:val="both"/>
        <w:rPr>
          <w:rFonts w:ascii="Arial" w:hAnsi="Arial" w:cs="Arial"/>
        </w:rPr>
      </w:pPr>
      <w:r w:rsidRPr="00D33399">
        <w:rPr>
          <w:rFonts w:ascii="Arial" w:hAnsi="Arial" w:cs="Arial"/>
        </w:rPr>
        <w:t xml:space="preserve">O descomissionamento de usinas nucleares refere-se à obrigação para desmobilização dos ativos dessas usinas para fazer face aos custos a serem incorridos ao final da vida útil econômica das mesmas. </w:t>
      </w:r>
    </w:p>
    <w:p w14:paraId="4F11530C" w14:textId="77777777" w:rsidR="0068309E" w:rsidRPr="00D33399" w:rsidRDefault="0068309E" w:rsidP="005144E2">
      <w:pPr>
        <w:widowControl/>
        <w:tabs>
          <w:tab w:val="center" w:pos="4419"/>
          <w:tab w:val="right" w:pos="8838"/>
        </w:tabs>
        <w:jc w:val="both"/>
        <w:rPr>
          <w:rFonts w:ascii="Arial" w:hAnsi="Arial" w:cs="Arial"/>
        </w:rPr>
      </w:pPr>
    </w:p>
    <w:p w14:paraId="66ABE087" w14:textId="77777777" w:rsidR="003F4719" w:rsidRPr="00D33399" w:rsidRDefault="003F4719" w:rsidP="005144E2">
      <w:pPr>
        <w:widowControl/>
        <w:tabs>
          <w:tab w:val="center" w:pos="4419"/>
          <w:tab w:val="right" w:pos="8838"/>
        </w:tabs>
        <w:jc w:val="both"/>
        <w:rPr>
          <w:rFonts w:ascii="Arial" w:hAnsi="Arial" w:cs="Arial"/>
        </w:rPr>
      </w:pPr>
      <w:r w:rsidRPr="00D33399">
        <w:rPr>
          <w:rFonts w:ascii="Arial" w:hAnsi="Arial" w:cs="Arial"/>
        </w:rPr>
        <w:t xml:space="preserve">É premissa fundamental para a formação desse passivo para o descomissionamento que o valor estimado para a sua realização deva ser atualizado ao longo da vida útil econômica das usinas, considerando os avanços tecnológicos, com o objetivo de alocar ao respectivo período de competência da operação, os custos a serem incorridos com a desativação técnico-operacional das usinas. </w:t>
      </w:r>
    </w:p>
    <w:p w14:paraId="6AD18DD5" w14:textId="77777777" w:rsidR="00F359DE" w:rsidRPr="00D33399" w:rsidRDefault="00F359DE" w:rsidP="00CD2DE9">
      <w:pPr>
        <w:widowControl/>
        <w:tabs>
          <w:tab w:val="center" w:pos="4419"/>
          <w:tab w:val="right" w:pos="8838"/>
        </w:tabs>
        <w:jc w:val="both"/>
        <w:rPr>
          <w:rFonts w:ascii="Arial" w:hAnsi="Arial" w:cs="Arial"/>
        </w:rPr>
      </w:pPr>
    </w:p>
    <w:p w14:paraId="0AAF5D93" w14:textId="77777777" w:rsidR="008A0283" w:rsidRDefault="003F4719" w:rsidP="00CD2DE9">
      <w:pPr>
        <w:widowControl/>
        <w:tabs>
          <w:tab w:val="center" w:pos="4419"/>
          <w:tab w:val="right" w:pos="8838"/>
        </w:tabs>
        <w:jc w:val="both"/>
        <w:rPr>
          <w:rFonts w:ascii="Arial" w:hAnsi="Arial" w:cs="Arial"/>
        </w:rPr>
      </w:pPr>
      <w:r w:rsidRPr="00D33399">
        <w:rPr>
          <w:rFonts w:ascii="Arial" w:hAnsi="Arial" w:cs="Arial"/>
        </w:rPr>
        <w:t>No exercício de 201</w:t>
      </w:r>
      <w:r w:rsidR="00D61FBE" w:rsidRPr="00D33399">
        <w:rPr>
          <w:rFonts w:ascii="Arial" w:hAnsi="Arial" w:cs="Arial"/>
        </w:rPr>
        <w:t>7</w:t>
      </w:r>
      <w:r w:rsidRPr="00D33399">
        <w:rPr>
          <w:rFonts w:ascii="Arial" w:hAnsi="Arial" w:cs="Arial"/>
        </w:rPr>
        <w:t xml:space="preserve">, foi realizado um estudo para atualização da estimativa de custos necessária para execução das atividades de descomissionamento das Usinas Angra 1 e Angra 2. O estudo concluiu por aumentar a mencionada estimativa para R$ </w:t>
      </w:r>
      <w:r w:rsidR="00D61FBE" w:rsidRPr="00D33399">
        <w:rPr>
          <w:rFonts w:ascii="Arial" w:hAnsi="Arial" w:cs="Arial"/>
        </w:rPr>
        <w:t>4.190.415</w:t>
      </w:r>
      <w:r w:rsidRPr="00D33399">
        <w:rPr>
          <w:rFonts w:ascii="Arial" w:hAnsi="Arial" w:cs="Arial"/>
        </w:rPr>
        <w:t xml:space="preserve">, sendo R$ </w:t>
      </w:r>
      <w:r w:rsidR="00D61FBE" w:rsidRPr="00D33399">
        <w:rPr>
          <w:rFonts w:ascii="Arial" w:hAnsi="Arial" w:cs="Arial"/>
        </w:rPr>
        <w:t xml:space="preserve">1.923.878 </w:t>
      </w:r>
      <w:r w:rsidRPr="00D33399">
        <w:rPr>
          <w:rFonts w:ascii="Arial" w:hAnsi="Arial" w:cs="Arial"/>
        </w:rPr>
        <w:t xml:space="preserve">para a Usina Angra 1 e R$ </w:t>
      </w:r>
      <w:r w:rsidR="00D61FBE" w:rsidRPr="00D33399">
        <w:rPr>
          <w:rFonts w:ascii="Arial" w:hAnsi="Arial" w:cs="Arial"/>
        </w:rPr>
        <w:t xml:space="preserve">2.266.537 </w:t>
      </w:r>
      <w:r w:rsidRPr="00D33399">
        <w:rPr>
          <w:rFonts w:ascii="Arial" w:hAnsi="Arial" w:cs="Arial"/>
        </w:rPr>
        <w:t>para a Usina Angra 2. O valor presente, correspondente, registrado no passivo</w:t>
      </w:r>
      <w:r w:rsidR="006E0B3A" w:rsidRPr="00D33399">
        <w:rPr>
          <w:rFonts w:ascii="Arial" w:hAnsi="Arial" w:cs="Arial"/>
        </w:rPr>
        <w:t xml:space="preserve"> foi</w:t>
      </w:r>
      <w:r w:rsidRPr="00D33399">
        <w:rPr>
          <w:rFonts w:ascii="Arial" w:hAnsi="Arial" w:cs="Arial"/>
        </w:rPr>
        <w:t xml:space="preserve"> de R$ </w:t>
      </w:r>
      <w:r w:rsidR="007A2938" w:rsidRPr="00D33399">
        <w:rPr>
          <w:rFonts w:ascii="Arial" w:hAnsi="Arial" w:cs="Arial"/>
        </w:rPr>
        <w:t>1.937.904</w:t>
      </w:r>
      <w:r w:rsidRPr="00D33399">
        <w:rPr>
          <w:rFonts w:ascii="Arial" w:hAnsi="Arial" w:cs="Arial"/>
        </w:rPr>
        <w:t xml:space="preserve">. Tal estudo foi aprovado pela Diretoria Executiva conforme RDE </w:t>
      </w:r>
      <w:r w:rsidR="005257B7" w:rsidRPr="00D33399">
        <w:rPr>
          <w:rFonts w:ascii="Arial" w:hAnsi="Arial" w:cs="Arial"/>
        </w:rPr>
        <w:t>1378.003/17</w:t>
      </w:r>
      <w:r w:rsidR="002058B0" w:rsidRPr="00D33399">
        <w:rPr>
          <w:rFonts w:ascii="Arial" w:hAnsi="Arial" w:cs="Arial"/>
        </w:rPr>
        <w:t>,</w:t>
      </w:r>
      <w:r w:rsidRPr="00D33399">
        <w:rPr>
          <w:rFonts w:ascii="Arial" w:hAnsi="Arial" w:cs="Arial"/>
        </w:rPr>
        <w:t xml:space="preserve"> de </w:t>
      </w:r>
      <w:r w:rsidR="005257B7" w:rsidRPr="00D33399">
        <w:rPr>
          <w:rFonts w:ascii="Arial" w:hAnsi="Arial" w:cs="Arial"/>
        </w:rPr>
        <w:t>07</w:t>
      </w:r>
      <w:r w:rsidR="00D35534" w:rsidRPr="00D33399">
        <w:rPr>
          <w:rFonts w:ascii="Arial" w:hAnsi="Arial" w:cs="Arial"/>
        </w:rPr>
        <w:t xml:space="preserve"> de novembro de </w:t>
      </w:r>
      <w:r w:rsidR="005257B7" w:rsidRPr="00D33399">
        <w:rPr>
          <w:rFonts w:ascii="Arial" w:hAnsi="Arial" w:cs="Arial"/>
        </w:rPr>
        <w:t>2017</w:t>
      </w:r>
      <w:r w:rsidR="008A0283">
        <w:rPr>
          <w:rFonts w:ascii="Arial" w:hAnsi="Arial" w:cs="Arial"/>
        </w:rPr>
        <w:t xml:space="preserve">. </w:t>
      </w:r>
    </w:p>
    <w:p w14:paraId="6C9E0E2A" w14:textId="77777777" w:rsidR="008A0283" w:rsidRDefault="008A0283" w:rsidP="00CD2DE9">
      <w:pPr>
        <w:widowControl/>
        <w:tabs>
          <w:tab w:val="center" w:pos="4419"/>
          <w:tab w:val="right" w:pos="8838"/>
        </w:tabs>
        <w:jc w:val="both"/>
        <w:rPr>
          <w:rFonts w:ascii="Arial" w:hAnsi="Arial" w:cs="Arial"/>
        </w:rPr>
      </w:pPr>
    </w:p>
    <w:p w14:paraId="043B08B6" w14:textId="66FD0E08" w:rsidR="003F4719" w:rsidRPr="00D33399" w:rsidRDefault="008A0283" w:rsidP="00CD2DE9">
      <w:pPr>
        <w:widowControl/>
        <w:tabs>
          <w:tab w:val="center" w:pos="4419"/>
          <w:tab w:val="right" w:pos="8838"/>
        </w:tabs>
        <w:jc w:val="both"/>
        <w:rPr>
          <w:rFonts w:ascii="Arial" w:hAnsi="Arial" w:cs="Arial"/>
        </w:rPr>
      </w:pPr>
      <w:r>
        <w:rPr>
          <w:rFonts w:ascii="Arial" w:hAnsi="Arial" w:cs="Arial"/>
        </w:rPr>
        <w:lastRenderedPageBreak/>
        <w:t xml:space="preserve">A nova atualização da estimativa de custos envolvidos nas atividades de descomissionamento </w:t>
      </w:r>
      <w:r w:rsidRPr="00D33399">
        <w:rPr>
          <w:rFonts w:ascii="Arial" w:hAnsi="Arial" w:cs="Arial"/>
        </w:rPr>
        <w:t>das Usinas Angra 1 e Angra 2</w:t>
      </w:r>
      <w:r>
        <w:rPr>
          <w:rFonts w:ascii="Arial" w:hAnsi="Arial" w:cs="Arial"/>
        </w:rPr>
        <w:t xml:space="preserve"> será registrada em 31 de dezembro de 2020.</w:t>
      </w:r>
      <w:r w:rsidR="00A74E70" w:rsidRPr="00D33399">
        <w:rPr>
          <w:rFonts w:ascii="Arial" w:hAnsi="Arial" w:cs="Arial"/>
        </w:rPr>
        <w:t xml:space="preserve"> </w:t>
      </w:r>
    </w:p>
    <w:p w14:paraId="67C9E9FC" w14:textId="77777777" w:rsidR="00F81517" w:rsidRPr="00D33399" w:rsidRDefault="00F81517" w:rsidP="00CD2DE9">
      <w:pPr>
        <w:widowControl/>
        <w:tabs>
          <w:tab w:val="center" w:pos="4419"/>
          <w:tab w:val="right" w:pos="8838"/>
        </w:tabs>
        <w:jc w:val="both"/>
        <w:rPr>
          <w:rFonts w:ascii="Arial" w:hAnsi="Arial" w:cs="Arial"/>
        </w:rPr>
      </w:pPr>
    </w:p>
    <w:p w14:paraId="48224768" w14:textId="77777777" w:rsidR="003F4719" w:rsidRPr="00D33399" w:rsidRDefault="003F4719" w:rsidP="00CD2DE9">
      <w:pPr>
        <w:widowControl/>
        <w:tabs>
          <w:tab w:val="center" w:pos="4419"/>
          <w:tab w:val="right" w:pos="8838"/>
        </w:tabs>
        <w:jc w:val="both"/>
        <w:rPr>
          <w:rFonts w:ascii="Arial" w:hAnsi="Arial" w:cs="Arial"/>
        </w:rPr>
      </w:pPr>
      <w:r w:rsidRPr="00D33399">
        <w:rPr>
          <w:rFonts w:ascii="Arial" w:hAnsi="Arial" w:cs="Arial"/>
        </w:rPr>
        <w:t>Conforme estabelecido no Pronunciamento Técnico CPC 25, a estimativa inicial dos custos de descomissionamento referentes à desmontagem e remoção do item e de restauração dos locais nos quais as instalações estão localizadas, deve ser contabilizada como custo do empreendimento.</w:t>
      </w:r>
    </w:p>
    <w:p w14:paraId="661A38F8" w14:textId="77777777" w:rsidR="00C93BD2" w:rsidRPr="00D33399" w:rsidRDefault="00C93BD2" w:rsidP="005144E2">
      <w:pPr>
        <w:widowControl/>
        <w:tabs>
          <w:tab w:val="center" w:pos="4419"/>
          <w:tab w:val="right" w:pos="8838"/>
        </w:tabs>
        <w:jc w:val="both"/>
        <w:rPr>
          <w:rFonts w:ascii="Arial" w:hAnsi="Arial" w:cs="Arial"/>
        </w:rPr>
      </w:pPr>
    </w:p>
    <w:p w14:paraId="17087A48" w14:textId="77777777" w:rsidR="00D36795" w:rsidRPr="00D33399" w:rsidRDefault="00D36795" w:rsidP="005144E2">
      <w:pPr>
        <w:widowControl/>
        <w:tabs>
          <w:tab w:val="center" w:pos="4419"/>
          <w:tab w:val="right" w:pos="8838"/>
        </w:tabs>
        <w:jc w:val="both"/>
        <w:rPr>
          <w:rFonts w:ascii="Arial" w:hAnsi="Arial" w:cs="Arial"/>
          <w:sz w:val="16"/>
          <w:szCs w:val="16"/>
        </w:rPr>
      </w:pPr>
    </w:p>
    <w:p w14:paraId="3B47DD1F" w14:textId="77777777" w:rsidR="003F4719" w:rsidRPr="00D33399" w:rsidRDefault="002E2709" w:rsidP="005144E2">
      <w:pPr>
        <w:widowControl/>
        <w:jc w:val="both"/>
        <w:rPr>
          <w:rFonts w:ascii="Arial" w:hAnsi="Arial" w:cs="Arial"/>
          <w:b/>
        </w:rPr>
      </w:pPr>
      <w:r w:rsidRPr="00D33399">
        <w:rPr>
          <w:rFonts w:ascii="Arial" w:hAnsi="Arial" w:cs="Arial"/>
          <w:b/>
          <w:bCs/>
        </w:rPr>
        <w:t>a.2</w:t>
      </w:r>
      <w:r w:rsidR="003F4719" w:rsidRPr="00D33399">
        <w:rPr>
          <w:rFonts w:ascii="Arial" w:hAnsi="Arial" w:cs="Arial"/>
          <w:b/>
          <w:bCs/>
        </w:rPr>
        <w:t xml:space="preserve">) </w:t>
      </w:r>
      <w:r w:rsidR="0068309E" w:rsidRPr="00D33399">
        <w:rPr>
          <w:rFonts w:ascii="Arial" w:hAnsi="Arial" w:cs="Arial"/>
          <w:b/>
          <w:bCs/>
        </w:rPr>
        <w:t xml:space="preserve">Constituição do Passivo para </w:t>
      </w:r>
      <w:r w:rsidR="003F4719" w:rsidRPr="00D33399">
        <w:rPr>
          <w:rFonts w:ascii="Arial" w:hAnsi="Arial" w:cs="Arial"/>
          <w:b/>
          <w:bCs/>
        </w:rPr>
        <w:t>R</w:t>
      </w:r>
      <w:r w:rsidR="003F4719" w:rsidRPr="00D33399">
        <w:rPr>
          <w:rFonts w:ascii="Arial" w:hAnsi="Arial" w:cs="Arial"/>
          <w:b/>
        </w:rPr>
        <w:t xml:space="preserve">ejeitos de Baixa e Média Atividade e Combustível Nuclear Usado </w:t>
      </w:r>
    </w:p>
    <w:p w14:paraId="4EFAB43F" w14:textId="77777777" w:rsidR="003F4719" w:rsidRPr="00D33399" w:rsidRDefault="003F4719" w:rsidP="005144E2">
      <w:pPr>
        <w:pStyle w:val="PargrafodaLista"/>
        <w:widowControl/>
        <w:tabs>
          <w:tab w:val="center" w:pos="4419"/>
          <w:tab w:val="right" w:pos="8838"/>
        </w:tabs>
        <w:ind w:left="284" w:hanging="284"/>
        <w:jc w:val="both"/>
        <w:rPr>
          <w:rFonts w:ascii="Arial" w:hAnsi="Arial" w:cs="Arial"/>
          <w:b/>
          <w:sz w:val="16"/>
          <w:szCs w:val="16"/>
        </w:rPr>
      </w:pPr>
    </w:p>
    <w:p w14:paraId="02E1A164" w14:textId="59FF8E6D" w:rsidR="003F4719" w:rsidRPr="00D33399" w:rsidRDefault="003F4719" w:rsidP="005144E2">
      <w:pPr>
        <w:pStyle w:val="PargrafodaLista"/>
        <w:widowControl/>
        <w:tabs>
          <w:tab w:val="center" w:pos="4419"/>
          <w:tab w:val="right" w:pos="8838"/>
        </w:tabs>
        <w:ind w:left="0"/>
        <w:jc w:val="both"/>
        <w:rPr>
          <w:rFonts w:ascii="Arial" w:hAnsi="Arial" w:cs="Arial"/>
          <w:bCs/>
        </w:rPr>
      </w:pPr>
      <w:r w:rsidRPr="00D33399">
        <w:rPr>
          <w:rFonts w:ascii="Arial" w:hAnsi="Arial" w:cs="Arial"/>
        </w:rPr>
        <w:t xml:space="preserve">A Diretoria </w:t>
      </w:r>
      <w:r w:rsidR="002636AE" w:rsidRPr="00D33399">
        <w:rPr>
          <w:rFonts w:ascii="Arial" w:hAnsi="Arial" w:cs="Arial"/>
        </w:rPr>
        <w:t>E</w:t>
      </w:r>
      <w:r w:rsidRPr="00D33399">
        <w:rPr>
          <w:rFonts w:ascii="Arial" w:hAnsi="Arial" w:cs="Arial"/>
        </w:rPr>
        <w:t xml:space="preserve">xecutiva da Companhia aprovou, através da </w:t>
      </w:r>
      <w:r w:rsidR="00555CDF" w:rsidRPr="00D33399">
        <w:rPr>
          <w:rFonts w:ascii="Arial" w:hAnsi="Arial" w:cs="Arial"/>
        </w:rPr>
        <w:t>R</w:t>
      </w:r>
      <w:r w:rsidRPr="00D33399">
        <w:rPr>
          <w:rFonts w:ascii="Arial" w:hAnsi="Arial" w:cs="Arial"/>
        </w:rPr>
        <w:t>esolução RDE nº 1247.003/15</w:t>
      </w:r>
      <w:r w:rsidR="004B138A" w:rsidRPr="00D33399">
        <w:rPr>
          <w:rFonts w:ascii="Arial" w:hAnsi="Arial" w:cs="Arial"/>
        </w:rPr>
        <w:t>,</w:t>
      </w:r>
      <w:r w:rsidRPr="00D33399">
        <w:rPr>
          <w:rFonts w:ascii="Arial" w:hAnsi="Arial" w:cs="Arial"/>
        </w:rPr>
        <w:t xml:space="preserve"> de 12</w:t>
      </w:r>
      <w:r w:rsidR="00D36795" w:rsidRPr="00D33399">
        <w:rPr>
          <w:rFonts w:ascii="Arial" w:hAnsi="Arial" w:cs="Arial"/>
        </w:rPr>
        <w:t xml:space="preserve"> de agosto de </w:t>
      </w:r>
      <w:r w:rsidRPr="00D33399">
        <w:rPr>
          <w:rFonts w:ascii="Arial" w:hAnsi="Arial" w:cs="Arial"/>
        </w:rPr>
        <w:t>2015</w:t>
      </w:r>
      <w:r w:rsidRPr="00D33399">
        <w:rPr>
          <w:rFonts w:ascii="Arial" w:hAnsi="Arial" w:cs="Arial"/>
          <w:bCs/>
        </w:rPr>
        <w:t>, o Relatório do Grupo de Trabalho instituído pela GCE 037/10</w:t>
      </w:r>
      <w:r w:rsidR="004B138A" w:rsidRPr="00D33399">
        <w:rPr>
          <w:rFonts w:ascii="Arial" w:hAnsi="Arial" w:cs="Arial"/>
          <w:bCs/>
        </w:rPr>
        <w:t>,</w:t>
      </w:r>
      <w:r w:rsidRPr="00D33399">
        <w:rPr>
          <w:rFonts w:ascii="Arial" w:hAnsi="Arial" w:cs="Arial"/>
          <w:bCs/>
        </w:rPr>
        <w:t xml:space="preserve"> de </w:t>
      </w:r>
      <w:r w:rsidR="008C0E48" w:rsidRPr="00D33399">
        <w:rPr>
          <w:rFonts w:ascii="Arial" w:hAnsi="Arial" w:cs="Arial"/>
          <w:bCs/>
        </w:rPr>
        <w:t>01 de junho de 2010</w:t>
      </w:r>
      <w:r w:rsidRPr="00D33399">
        <w:rPr>
          <w:rFonts w:ascii="Arial" w:hAnsi="Arial" w:cs="Arial"/>
          <w:bCs/>
        </w:rPr>
        <w:t xml:space="preserve">, </w:t>
      </w:r>
      <w:r w:rsidRPr="00D33399">
        <w:rPr>
          <w:rFonts w:ascii="Arial" w:hAnsi="Arial" w:cs="Arial"/>
        </w:rPr>
        <w:t>estendido para 2015, com a revisão d</w:t>
      </w:r>
      <w:r w:rsidRPr="00D33399">
        <w:rPr>
          <w:rFonts w:ascii="Arial" w:hAnsi="Arial" w:cs="Arial"/>
          <w:bCs/>
        </w:rPr>
        <w:t>as estimativas de Custos de Gerenciamento de Rejeitos Radioativos Operacionais e dos Elementos de Combustível Nuclear Usados ao Final da vida útil das Usinas Angra 1 e Angra 2,</w:t>
      </w:r>
      <w:r w:rsidRPr="00D33399">
        <w:rPr>
          <w:rFonts w:ascii="Arial" w:hAnsi="Arial" w:cs="Arial"/>
        </w:rPr>
        <w:t xml:space="preserve"> para a data base julho 2015. Essa atualização atende ao estabelecido pela Comissão Nacional de Energia Nuclear na Resolução CNEN nº 187</w:t>
      </w:r>
      <w:r w:rsidR="004B138A" w:rsidRPr="00D33399">
        <w:rPr>
          <w:rFonts w:ascii="Arial" w:hAnsi="Arial" w:cs="Arial"/>
        </w:rPr>
        <w:t>,</w:t>
      </w:r>
      <w:r w:rsidRPr="00D33399">
        <w:rPr>
          <w:rFonts w:ascii="Arial" w:hAnsi="Arial" w:cs="Arial"/>
        </w:rPr>
        <w:t xml:space="preserve"> de </w:t>
      </w:r>
      <w:r w:rsidR="00D36795" w:rsidRPr="00D33399">
        <w:rPr>
          <w:rFonts w:ascii="Arial" w:hAnsi="Arial" w:cs="Arial"/>
        </w:rPr>
        <w:t xml:space="preserve">15 de maio de </w:t>
      </w:r>
      <w:r w:rsidRPr="00D33399">
        <w:rPr>
          <w:rFonts w:ascii="Arial" w:hAnsi="Arial" w:cs="Arial"/>
        </w:rPr>
        <w:t>2015</w:t>
      </w:r>
      <w:r w:rsidRPr="00D33399">
        <w:rPr>
          <w:rFonts w:ascii="Arial" w:hAnsi="Arial" w:cs="Arial"/>
          <w:bCs/>
        </w:rPr>
        <w:t>.</w:t>
      </w:r>
      <w:r w:rsidR="008076A4" w:rsidRPr="00D33399">
        <w:rPr>
          <w:rFonts w:ascii="Arial" w:hAnsi="Arial" w:cs="Arial"/>
          <w:bCs/>
        </w:rPr>
        <w:t xml:space="preserve"> </w:t>
      </w:r>
    </w:p>
    <w:p w14:paraId="24F93E44" w14:textId="77777777" w:rsidR="001751EB" w:rsidRPr="00D33399" w:rsidRDefault="001751EB" w:rsidP="005144E2">
      <w:pPr>
        <w:pStyle w:val="PargrafodaLista"/>
        <w:widowControl/>
        <w:tabs>
          <w:tab w:val="center" w:pos="4419"/>
          <w:tab w:val="right" w:pos="8838"/>
        </w:tabs>
        <w:ind w:left="0"/>
        <w:jc w:val="both"/>
        <w:rPr>
          <w:rFonts w:ascii="Arial" w:hAnsi="Arial" w:cs="Arial"/>
          <w:bCs/>
        </w:rPr>
      </w:pPr>
    </w:p>
    <w:p w14:paraId="08D66E62" w14:textId="77777777" w:rsidR="003F4719" w:rsidRPr="00D33399" w:rsidRDefault="003F4719" w:rsidP="005144E2">
      <w:pPr>
        <w:widowControl/>
        <w:jc w:val="both"/>
        <w:rPr>
          <w:rFonts w:ascii="Arial" w:hAnsi="Arial" w:cs="Arial"/>
        </w:rPr>
      </w:pPr>
      <w:r w:rsidRPr="00D33399">
        <w:rPr>
          <w:rFonts w:ascii="Arial" w:hAnsi="Arial" w:cs="Arial"/>
        </w:rPr>
        <w:t>As estimativas de custos para gerenciamento, em longo prazo, dos rejeitos operacionais de baixo e médio nível de atividade e dos elementos combustíveis usados foram as seguintes:</w:t>
      </w:r>
    </w:p>
    <w:p w14:paraId="25554825" w14:textId="77777777" w:rsidR="003F4719" w:rsidRPr="00D33399" w:rsidRDefault="003F4719" w:rsidP="005144E2">
      <w:pPr>
        <w:widowControl/>
        <w:jc w:val="both"/>
        <w:rPr>
          <w:rFonts w:ascii="Arial" w:hAnsi="Arial" w:cs="Arial"/>
        </w:rPr>
      </w:pPr>
    </w:p>
    <w:p w14:paraId="1E3C28A6" w14:textId="77777777" w:rsidR="00D2210E" w:rsidRPr="00D2210E" w:rsidRDefault="002E2709" w:rsidP="00D2210E">
      <w:pPr>
        <w:jc w:val="both"/>
        <w:rPr>
          <w:rFonts w:ascii="Arial" w:hAnsi="Arial" w:cs="Arial"/>
        </w:rPr>
      </w:pPr>
      <w:r w:rsidRPr="00AF1B34">
        <w:rPr>
          <w:rFonts w:ascii="Arial" w:hAnsi="Arial" w:cs="Arial"/>
          <w:b/>
        </w:rPr>
        <w:t>i</w:t>
      </w:r>
      <w:r w:rsidR="003F4719" w:rsidRPr="00AF1B34">
        <w:rPr>
          <w:rFonts w:ascii="Arial" w:hAnsi="Arial" w:cs="Arial"/>
          <w:b/>
        </w:rPr>
        <w:t>)</w:t>
      </w:r>
      <w:r w:rsidR="0064522E" w:rsidRPr="00D2210E">
        <w:rPr>
          <w:rFonts w:ascii="Arial" w:hAnsi="Arial" w:cs="Arial"/>
        </w:rPr>
        <w:t xml:space="preserve"> </w:t>
      </w:r>
      <w:r w:rsidR="00D2210E" w:rsidRPr="00D2210E">
        <w:rPr>
          <w:rFonts w:ascii="Arial" w:hAnsi="Arial" w:cs="Arial"/>
        </w:rPr>
        <w:t>Para transporte e disposição final dos rejeitos operacionais de baixa e média atividade, até sua transferência para o Repositório Nacional de Rejeitos Radioativos de Baixo e Médio Nível de Atividade - RBMN, a ser implantado pela CNEN, responsável legal pela guarda final desses rejeitos, será despendido o montante de R$ 54.555 (base julho de 2015).</w:t>
      </w:r>
    </w:p>
    <w:p w14:paraId="285DC64A" w14:textId="1D0C1F01" w:rsidR="001B5672" w:rsidRDefault="001B5672" w:rsidP="005144E2">
      <w:pPr>
        <w:widowControl/>
        <w:jc w:val="both"/>
        <w:rPr>
          <w:rFonts w:ascii="Arial" w:hAnsi="Arial" w:cs="Arial"/>
        </w:rPr>
      </w:pPr>
    </w:p>
    <w:p w14:paraId="4E8AFE11" w14:textId="77777777" w:rsidR="00D2210E" w:rsidRPr="00D33399" w:rsidRDefault="00D2210E" w:rsidP="005144E2">
      <w:pPr>
        <w:widowControl/>
        <w:jc w:val="both"/>
        <w:rPr>
          <w:rFonts w:ascii="Arial" w:hAnsi="Arial" w:cs="Arial"/>
        </w:rPr>
      </w:pPr>
    </w:p>
    <w:p w14:paraId="308CCB2B" w14:textId="77777777" w:rsidR="003F4719" w:rsidRPr="00D33399" w:rsidRDefault="002E2709" w:rsidP="005144E2">
      <w:pPr>
        <w:widowControl/>
        <w:jc w:val="both"/>
        <w:rPr>
          <w:rFonts w:ascii="Arial" w:hAnsi="Arial" w:cs="Arial"/>
        </w:rPr>
      </w:pPr>
      <w:r w:rsidRPr="00D33399">
        <w:rPr>
          <w:rFonts w:ascii="Arial" w:hAnsi="Arial" w:cs="Arial"/>
          <w:b/>
        </w:rPr>
        <w:t>ii</w:t>
      </w:r>
      <w:r w:rsidR="003F4719" w:rsidRPr="00D33399">
        <w:rPr>
          <w:rFonts w:ascii="Arial" w:hAnsi="Arial" w:cs="Arial"/>
          <w:b/>
        </w:rPr>
        <w:t>)</w:t>
      </w:r>
      <w:r w:rsidR="0064522E" w:rsidRPr="00D33399">
        <w:rPr>
          <w:rFonts w:ascii="Arial" w:hAnsi="Arial" w:cs="Arial"/>
          <w:b/>
        </w:rPr>
        <w:t xml:space="preserve"> </w:t>
      </w:r>
      <w:r w:rsidR="003F4719" w:rsidRPr="00D33399">
        <w:rPr>
          <w:rFonts w:ascii="Arial" w:hAnsi="Arial" w:cs="Arial"/>
        </w:rPr>
        <w:t xml:space="preserve">Para armazenagem inicial dos elementos combustíveis, usados até o final da década de 2070, quando se estima ocorrer o término da vida útil de Angra 3 e, portanto, da própria CNAAA, a estimativa está representada pelo valor de </w:t>
      </w:r>
      <w:r w:rsidR="003F4719" w:rsidRPr="00D33399">
        <w:rPr>
          <w:rFonts w:ascii="Arial" w:hAnsi="Arial" w:cs="Arial"/>
          <w:bCs/>
        </w:rPr>
        <w:t>R$ 610</w:t>
      </w:r>
      <w:r w:rsidR="00F81517" w:rsidRPr="00D33399">
        <w:rPr>
          <w:rFonts w:ascii="Arial" w:hAnsi="Arial" w:cs="Arial"/>
          <w:bCs/>
        </w:rPr>
        <w:t>.</w:t>
      </w:r>
      <w:r w:rsidR="003F4719" w:rsidRPr="00D33399">
        <w:rPr>
          <w:rFonts w:ascii="Arial" w:hAnsi="Arial" w:cs="Arial"/>
          <w:bCs/>
        </w:rPr>
        <w:t>12</w:t>
      </w:r>
      <w:r w:rsidR="00286ACA" w:rsidRPr="00D33399">
        <w:rPr>
          <w:rFonts w:ascii="Arial" w:hAnsi="Arial" w:cs="Arial"/>
          <w:bCs/>
        </w:rPr>
        <w:t>7</w:t>
      </w:r>
      <w:r w:rsidR="003F4719" w:rsidRPr="00D33399">
        <w:rPr>
          <w:rFonts w:ascii="Arial" w:hAnsi="Arial" w:cs="Arial"/>
          <w:bCs/>
        </w:rPr>
        <w:t xml:space="preserve"> (base ju</w:t>
      </w:r>
      <w:r w:rsidR="00D36795" w:rsidRPr="00D33399">
        <w:rPr>
          <w:rFonts w:ascii="Arial" w:hAnsi="Arial" w:cs="Arial"/>
          <w:bCs/>
        </w:rPr>
        <w:t xml:space="preserve">lho de </w:t>
      </w:r>
      <w:r w:rsidR="003F4719" w:rsidRPr="00D33399">
        <w:rPr>
          <w:rFonts w:ascii="Arial" w:hAnsi="Arial" w:cs="Arial"/>
          <w:bCs/>
        </w:rPr>
        <w:t>2015)</w:t>
      </w:r>
      <w:r w:rsidR="009A0E26" w:rsidRPr="00D33399">
        <w:rPr>
          <w:rFonts w:ascii="Arial" w:hAnsi="Arial" w:cs="Arial"/>
        </w:rPr>
        <w:t>.</w:t>
      </w:r>
    </w:p>
    <w:p w14:paraId="245AF2A3" w14:textId="77777777" w:rsidR="003F4719" w:rsidRPr="00D33399" w:rsidRDefault="003F4719" w:rsidP="005144E2">
      <w:pPr>
        <w:widowControl/>
        <w:jc w:val="both"/>
        <w:rPr>
          <w:rFonts w:ascii="Arial" w:hAnsi="Arial" w:cs="Arial"/>
        </w:rPr>
      </w:pPr>
    </w:p>
    <w:p w14:paraId="501B0BAA" w14:textId="77777777" w:rsidR="003F4719" w:rsidRPr="00D33399" w:rsidRDefault="003F4719" w:rsidP="005144E2">
      <w:pPr>
        <w:widowControl/>
        <w:jc w:val="both"/>
        <w:rPr>
          <w:rFonts w:ascii="Arial" w:hAnsi="Arial" w:cs="Arial"/>
          <w:bCs/>
        </w:rPr>
      </w:pPr>
      <w:r w:rsidRPr="00D33399">
        <w:rPr>
          <w:rFonts w:ascii="Arial" w:hAnsi="Arial" w:cs="Arial"/>
          <w:bCs/>
        </w:rPr>
        <w:t xml:space="preserve">Nos termos do Pronunciamento Técnico 27 e ICPC 12, do Comitê de Pronunciamentos Contábeis, a ELETRONUCLEAR contabilizou no Ativo Imobilizado, em contrapartida ao Passivo Não Circulante, os valores das estimativas aprovadas. </w:t>
      </w:r>
    </w:p>
    <w:p w14:paraId="389B584B" w14:textId="77777777" w:rsidR="003F4719" w:rsidRPr="00D33399" w:rsidRDefault="003F4719" w:rsidP="005144E2">
      <w:pPr>
        <w:widowControl/>
        <w:tabs>
          <w:tab w:val="center" w:pos="4419"/>
          <w:tab w:val="right" w:pos="8838"/>
        </w:tabs>
        <w:jc w:val="both"/>
        <w:rPr>
          <w:rFonts w:ascii="Arial" w:hAnsi="Arial" w:cs="Arial"/>
          <w:b/>
        </w:rPr>
      </w:pPr>
    </w:p>
    <w:p w14:paraId="3A96FF6D" w14:textId="77777777" w:rsidR="00286ACA" w:rsidRPr="00D33399" w:rsidRDefault="00286ACA" w:rsidP="005144E2">
      <w:pPr>
        <w:widowControl/>
        <w:tabs>
          <w:tab w:val="center" w:pos="4419"/>
          <w:tab w:val="right" w:pos="8838"/>
        </w:tabs>
        <w:jc w:val="both"/>
        <w:rPr>
          <w:rFonts w:ascii="Arial" w:hAnsi="Arial" w:cs="Arial"/>
        </w:rPr>
      </w:pPr>
      <w:r w:rsidRPr="00D33399">
        <w:rPr>
          <w:rFonts w:ascii="Arial" w:hAnsi="Arial" w:cs="Arial"/>
        </w:rPr>
        <w:t xml:space="preserve">O custo total estimado é descontado a valor presente, com base em taxa que represente o custo de capital da Companhia e registrado no Imobilizado, em contrapartida a obrigação para desmobilização de ativos. </w:t>
      </w:r>
    </w:p>
    <w:p w14:paraId="04803001" w14:textId="77777777" w:rsidR="00BE230A" w:rsidRDefault="00BE230A" w:rsidP="005144E2">
      <w:pPr>
        <w:widowControl/>
        <w:tabs>
          <w:tab w:val="center" w:pos="4419"/>
          <w:tab w:val="right" w:pos="8838"/>
        </w:tabs>
        <w:jc w:val="both"/>
        <w:rPr>
          <w:rFonts w:ascii="Arial" w:hAnsi="Arial" w:cs="Arial"/>
          <w:sz w:val="16"/>
          <w:szCs w:val="16"/>
        </w:rPr>
      </w:pPr>
    </w:p>
    <w:p w14:paraId="10F7EB0D" w14:textId="77777777" w:rsidR="00AF1B34" w:rsidRPr="00D33399" w:rsidRDefault="00AF1B34" w:rsidP="005144E2">
      <w:pPr>
        <w:widowControl/>
        <w:tabs>
          <w:tab w:val="center" w:pos="4419"/>
          <w:tab w:val="right" w:pos="8838"/>
        </w:tabs>
        <w:jc w:val="both"/>
        <w:rPr>
          <w:rFonts w:ascii="Arial" w:hAnsi="Arial" w:cs="Arial"/>
          <w:sz w:val="16"/>
          <w:szCs w:val="16"/>
        </w:rPr>
      </w:pPr>
    </w:p>
    <w:p w14:paraId="44BE3CA7" w14:textId="77777777" w:rsidR="00A31570" w:rsidRPr="00D33399" w:rsidRDefault="00E81871" w:rsidP="005144E2">
      <w:pPr>
        <w:widowControl/>
        <w:rPr>
          <w:rFonts w:ascii="Arial" w:hAnsi="Arial" w:cs="Arial"/>
          <w:b/>
        </w:rPr>
      </w:pPr>
      <w:r w:rsidRPr="00D33399">
        <w:rPr>
          <w:rFonts w:ascii="Arial" w:hAnsi="Arial" w:cs="Arial"/>
          <w:b/>
        </w:rPr>
        <w:lastRenderedPageBreak/>
        <w:t>b</w:t>
      </w:r>
      <w:r w:rsidR="00286ACA" w:rsidRPr="00D33399">
        <w:rPr>
          <w:rFonts w:ascii="Arial" w:hAnsi="Arial" w:cs="Arial"/>
          <w:b/>
        </w:rPr>
        <w:t xml:space="preserve">) Ajuste a valor presente do Descomissionamento, </w:t>
      </w:r>
      <w:r w:rsidR="00F81517" w:rsidRPr="00D33399">
        <w:rPr>
          <w:rFonts w:ascii="Arial" w:hAnsi="Arial" w:cs="Arial"/>
          <w:b/>
        </w:rPr>
        <w:t xml:space="preserve">dos </w:t>
      </w:r>
      <w:r w:rsidR="00286ACA" w:rsidRPr="00D33399">
        <w:rPr>
          <w:rFonts w:ascii="Arial" w:hAnsi="Arial" w:cs="Arial"/>
          <w:b/>
        </w:rPr>
        <w:t>Rejeitos</w:t>
      </w:r>
      <w:r w:rsidR="009359C6" w:rsidRPr="00D33399">
        <w:rPr>
          <w:rFonts w:ascii="Arial" w:hAnsi="Arial" w:cs="Arial"/>
          <w:b/>
        </w:rPr>
        <w:t xml:space="preserve"> de Baixa e Média Atividade</w:t>
      </w:r>
      <w:r w:rsidR="00286ACA" w:rsidRPr="00D33399">
        <w:rPr>
          <w:rFonts w:ascii="Arial" w:hAnsi="Arial" w:cs="Arial"/>
          <w:b/>
        </w:rPr>
        <w:t xml:space="preserve"> e Combustível Nuclear Usado</w:t>
      </w:r>
    </w:p>
    <w:p w14:paraId="5129A58A" w14:textId="77777777" w:rsidR="00A31570" w:rsidRPr="00D33399" w:rsidRDefault="00A31570" w:rsidP="005144E2">
      <w:pPr>
        <w:widowControl/>
        <w:rPr>
          <w:rFonts w:ascii="Arial" w:hAnsi="Arial" w:cs="Arial"/>
          <w:b/>
          <w:sz w:val="16"/>
          <w:szCs w:val="16"/>
        </w:rPr>
      </w:pPr>
    </w:p>
    <w:p w14:paraId="45C074ED" w14:textId="77777777" w:rsidR="00A31570" w:rsidRPr="00D33399" w:rsidRDefault="00A31570" w:rsidP="005144E2">
      <w:pPr>
        <w:widowControl/>
        <w:jc w:val="both"/>
        <w:rPr>
          <w:rFonts w:ascii="Arial" w:hAnsi="Arial" w:cs="Arial"/>
          <w:bCs/>
        </w:rPr>
      </w:pPr>
      <w:r w:rsidRPr="00D33399">
        <w:rPr>
          <w:rFonts w:ascii="Arial" w:hAnsi="Arial" w:cs="Arial"/>
          <w:bCs/>
        </w:rPr>
        <w:t xml:space="preserve">No cálculo do ajuste a valor presente do passivo para descomissionamento é considerado o custo total estimado para o descomissionamento, descontado a uma taxa que represente o custo de capital da Companhia, desde o final da vida útil econômica de cada usina até a data do balanço. </w:t>
      </w:r>
    </w:p>
    <w:p w14:paraId="0352811E" w14:textId="77777777" w:rsidR="00B2080D" w:rsidRPr="00D33399" w:rsidRDefault="00B2080D" w:rsidP="005144E2">
      <w:pPr>
        <w:widowControl/>
        <w:jc w:val="both"/>
        <w:rPr>
          <w:rFonts w:ascii="Arial" w:hAnsi="Arial" w:cs="Arial"/>
          <w:bCs/>
        </w:rPr>
      </w:pPr>
    </w:p>
    <w:p w14:paraId="0F300749" w14:textId="77777777" w:rsidR="00A31570" w:rsidRPr="00D33399" w:rsidRDefault="00A31570" w:rsidP="005144E2">
      <w:pPr>
        <w:widowControl/>
        <w:jc w:val="both"/>
        <w:rPr>
          <w:rFonts w:ascii="Arial" w:hAnsi="Arial" w:cs="Arial"/>
          <w:bCs/>
        </w:rPr>
      </w:pPr>
      <w:r w:rsidRPr="00D33399">
        <w:rPr>
          <w:rFonts w:ascii="Arial" w:hAnsi="Arial" w:cs="Arial"/>
          <w:bCs/>
        </w:rPr>
        <w:t xml:space="preserve">O mesmo procedimento é efetuado para os rejeitos de baixa e média atividade e </w:t>
      </w:r>
      <w:r w:rsidR="00F81517" w:rsidRPr="00D33399">
        <w:rPr>
          <w:rFonts w:ascii="Arial" w:hAnsi="Arial" w:cs="Arial"/>
          <w:bCs/>
        </w:rPr>
        <w:t xml:space="preserve">para o </w:t>
      </w:r>
      <w:r w:rsidRPr="00D33399">
        <w:rPr>
          <w:rFonts w:ascii="Arial" w:hAnsi="Arial" w:cs="Arial"/>
          <w:bCs/>
        </w:rPr>
        <w:t>combustível nuclear usado, mas o período para o ajuste a valor presente é o início do comissionamento até a data do balanço.</w:t>
      </w:r>
    </w:p>
    <w:p w14:paraId="40943584" w14:textId="77777777" w:rsidR="00A31570" w:rsidRPr="00D33399" w:rsidRDefault="00A31570" w:rsidP="005144E2">
      <w:pPr>
        <w:widowControl/>
        <w:rPr>
          <w:rFonts w:ascii="Arial" w:hAnsi="Arial" w:cs="Arial"/>
          <w:b/>
        </w:rPr>
      </w:pPr>
    </w:p>
    <w:p w14:paraId="10D5EA10" w14:textId="77777777" w:rsidR="00A31570" w:rsidRPr="00D33399" w:rsidRDefault="00A31570" w:rsidP="005144E2">
      <w:pPr>
        <w:widowControl/>
        <w:jc w:val="both"/>
        <w:rPr>
          <w:rFonts w:ascii="Arial" w:hAnsi="Arial" w:cs="Arial"/>
          <w:bCs/>
        </w:rPr>
      </w:pPr>
      <w:r w:rsidRPr="00D33399">
        <w:rPr>
          <w:rFonts w:ascii="Arial" w:hAnsi="Arial" w:cs="Arial"/>
          <w:bCs/>
        </w:rPr>
        <w:t xml:space="preserve">A taxa de desconto atual aprovada para o sistema Eletrobras é de </w:t>
      </w:r>
      <w:r w:rsidR="003479F4" w:rsidRPr="00D33399">
        <w:rPr>
          <w:rFonts w:ascii="Arial" w:hAnsi="Arial" w:cs="Arial"/>
          <w:bCs/>
        </w:rPr>
        <w:t>4</w:t>
      </w:r>
      <w:r w:rsidR="00A0388A" w:rsidRPr="00D33399">
        <w:rPr>
          <w:rFonts w:ascii="Arial" w:hAnsi="Arial" w:cs="Arial"/>
          <w:bCs/>
        </w:rPr>
        <w:t>,3</w:t>
      </w:r>
      <w:r w:rsidR="007122C7" w:rsidRPr="00D33399">
        <w:rPr>
          <w:rFonts w:ascii="Arial" w:hAnsi="Arial" w:cs="Arial"/>
          <w:bCs/>
        </w:rPr>
        <w:t>6</w:t>
      </w:r>
      <w:r w:rsidR="000E41C8" w:rsidRPr="00D33399">
        <w:rPr>
          <w:rFonts w:ascii="Arial" w:hAnsi="Arial" w:cs="Arial"/>
          <w:bCs/>
        </w:rPr>
        <w:t>%</w:t>
      </w:r>
      <w:r w:rsidRPr="00D33399">
        <w:rPr>
          <w:rFonts w:ascii="Arial" w:hAnsi="Arial" w:cs="Arial"/>
          <w:bCs/>
        </w:rPr>
        <w:t xml:space="preserve"> ao ano</w:t>
      </w:r>
      <w:r w:rsidR="00CD2DE9" w:rsidRPr="00D33399">
        <w:rPr>
          <w:rFonts w:ascii="Arial" w:hAnsi="Arial" w:cs="Arial"/>
          <w:bCs/>
        </w:rPr>
        <w:t>.</w:t>
      </w:r>
      <w:r w:rsidR="00810670" w:rsidRPr="00D33399">
        <w:rPr>
          <w:rFonts w:ascii="Arial" w:hAnsi="Arial" w:cs="Arial"/>
          <w:bCs/>
        </w:rPr>
        <w:t xml:space="preserve"> </w:t>
      </w:r>
    </w:p>
    <w:p w14:paraId="79812ADF" w14:textId="77777777" w:rsidR="00603BF9" w:rsidRPr="00D33399" w:rsidRDefault="00603BF9" w:rsidP="005144E2">
      <w:pPr>
        <w:widowControl/>
        <w:jc w:val="both"/>
        <w:rPr>
          <w:rFonts w:ascii="Arial" w:hAnsi="Arial" w:cs="Arial"/>
          <w:bCs/>
        </w:rPr>
      </w:pPr>
    </w:p>
    <w:p w14:paraId="7F651B0C" w14:textId="6729D8F1" w:rsidR="00885951" w:rsidRPr="00D33399" w:rsidRDefault="00885951" w:rsidP="00885951">
      <w:pPr>
        <w:jc w:val="both"/>
        <w:rPr>
          <w:rFonts w:ascii="Arial" w:hAnsi="Arial" w:cs="Arial"/>
          <w:bCs/>
        </w:rPr>
      </w:pPr>
      <w:r w:rsidRPr="00D33399">
        <w:rPr>
          <w:rFonts w:ascii="Arial" w:hAnsi="Arial" w:cs="Arial"/>
          <w:bCs/>
        </w:rPr>
        <w:t xml:space="preserve">O valor do ajuste a valor presente do </w:t>
      </w:r>
      <w:r w:rsidRPr="00D33399">
        <w:rPr>
          <w:rFonts w:ascii="Arial" w:hAnsi="Arial" w:cs="Arial"/>
        </w:rPr>
        <w:t>descomissionamento, dos rejeitos de baixa e média atividade e combustível nuclear usado,</w:t>
      </w:r>
      <w:r w:rsidRPr="00D33399">
        <w:rPr>
          <w:rFonts w:ascii="Arial" w:hAnsi="Arial" w:cs="Arial"/>
          <w:bCs/>
        </w:rPr>
        <w:t xml:space="preserve"> reconhecido no resultado em 30 de </w:t>
      </w:r>
      <w:r w:rsidR="00981977" w:rsidRPr="00D33399">
        <w:rPr>
          <w:rFonts w:ascii="Arial" w:hAnsi="Arial" w:cs="Arial"/>
          <w:bCs/>
        </w:rPr>
        <w:t>setembro</w:t>
      </w:r>
      <w:r w:rsidRPr="00D33399">
        <w:rPr>
          <w:rFonts w:ascii="Arial" w:hAnsi="Arial" w:cs="Arial"/>
          <w:bCs/>
        </w:rPr>
        <w:t xml:space="preserve"> de 2020, é de R$ </w:t>
      </w:r>
      <w:r w:rsidR="003B75F3" w:rsidRPr="00D33399">
        <w:rPr>
          <w:rFonts w:ascii="Arial" w:hAnsi="Arial" w:cs="Arial"/>
          <w:bCs/>
        </w:rPr>
        <w:t>101.783</w:t>
      </w:r>
      <w:r w:rsidRPr="00D33399">
        <w:rPr>
          <w:rFonts w:ascii="Arial" w:hAnsi="Arial" w:cs="Arial"/>
          <w:bCs/>
        </w:rPr>
        <w:t xml:space="preserve"> (R$ </w:t>
      </w:r>
      <w:r w:rsidR="003B75F3" w:rsidRPr="00D33399">
        <w:rPr>
          <w:rFonts w:ascii="Arial" w:hAnsi="Arial" w:cs="Arial"/>
          <w:bCs/>
        </w:rPr>
        <w:t>114.331</w:t>
      </w:r>
      <w:r w:rsidRPr="00D33399">
        <w:rPr>
          <w:rFonts w:ascii="Arial" w:hAnsi="Arial" w:cs="Arial"/>
          <w:bCs/>
        </w:rPr>
        <w:t xml:space="preserve"> em 30 de</w:t>
      </w:r>
      <w:r w:rsidR="003B75F3" w:rsidRPr="00D33399">
        <w:rPr>
          <w:rFonts w:ascii="Arial" w:hAnsi="Arial" w:cs="Arial"/>
          <w:bCs/>
        </w:rPr>
        <w:t xml:space="preserve"> setembro</w:t>
      </w:r>
      <w:r w:rsidRPr="00D33399">
        <w:rPr>
          <w:rFonts w:ascii="Arial" w:hAnsi="Arial" w:cs="Arial"/>
          <w:bCs/>
        </w:rPr>
        <w:t xml:space="preserve"> de 2019).</w:t>
      </w:r>
    </w:p>
    <w:p w14:paraId="74C4A561" w14:textId="77777777" w:rsidR="00021DF2" w:rsidRPr="00D33399" w:rsidRDefault="00021DF2" w:rsidP="005144E2">
      <w:pPr>
        <w:widowControl/>
        <w:jc w:val="both"/>
        <w:rPr>
          <w:rFonts w:ascii="Arial" w:hAnsi="Arial" w:cs="Arial"/>
          <w:bCs/>
        </w:rPr>
      </w:pPr>
    </w:p>
    <w:p w14:paraId="5C5EE29E" w14:textId="77777777" w:rsidR="003B75F3" w:rsidRPr="00D33399" w:rsidRDefault="003B75F3" w:rsidP="005144E2">
      <w:pPr>
        <w:widowControl/>
        <w:jc w:val="both"/>
        <w:rPr>
          <w:rFonts w:ascii="Arial" w:hAnsi="Arial" w:cs="Arial"/>
          <w:bCs/>
          <w:sz w:val="16"/>
          <w:szCs w:val="16"/>
        </w:rPr>
      </w:pPr>
    </w:p>
    <w:p w14:paraId="3F28C13B" w14:textId="77777777" w:rsidR="003B75F3" w:rsidRPr="00D33399" w:rsidRDefault="003B75F3" w:rsidP="005144E2">
      <w:pPr>
        <w:widowControl/>
        <w:jc w:val="both"/>
        <w:rPr>
          <w:rFonts w:ascii="Arial" w:hAnsi="Arial" w:cs="Arial"/>
          <w:bCs/>
          <w:sz w:val="16"/>
          <w:szCs w:val="16"/>
        </w:rPr>
      </w:pPr>
    </w:p>
    <w:p w14:paraId="1989DB9D" w14:textId="77777777" w:rsidR="003B75F3" w:rsidRPr="00D33399" w:rsidRDefault="003B75F3" w:rsidP="005144E2">
      <w:pPr>
        <w:widowControl/>
        <w:jc w:val="both"/>
        <w:rPr>
          <w:rFonts w:ascii="Arial" w:hAnsi="Arial" w:cs="Arial"/>
          <w:bCs/>
          <w:sz w:val="16"/>
          <w:szCs w:val="16"/>
        </w:rPr>
      </w:pPr>
    </w:p>
    <w:p w14:paraId="58BACE15" w14:textId="77777777" w:rsidR="003B75F3" w:rsidRPr="00D33399" w:rsidRDefault="003B75F3" w:rsidP="005144E2">
      <w:pPr>
        <w:widowControl/>
        <w:jc w:val="both"/>
        <w:rPr>
          <w:rFonts w:ascii="Arial" w:hAnsi="Arial" w:cs="Arial"/>
          <w:bCs/>
          <w:sz w:val="16"/>
          <w:szCs w:val="16"/>
        </w:rPr>
      </w:pPr>
    </w:p>
    <w:p w14:paraId="1180D060" w14:textId="77777777" w:rsidR="003B75F3" w:rsidRPr="00D33399" w:rsidRDefault="003B75F3" w:rsidP="005144E2">
      <w:pPr>
        <w:widowControl/>
        <w:jc w:val="both"/>
        <w:rPr>
          <w:rFonts w:ascii="Arial" w:hAnsi="Arial" w:cs="Arial"/>
          <w:bCs/>
          <w:sz w:val="16"/>
          <w:szCs w:val="16"/>
        </w:rPr>
      </w:pPr>
    </w:p>
    <w:p w14:paraId="15C6B710" w14:textId="77777777" w:rsidR="003B75F3" w:rsidRPr="00D33399" w:rsidRDefault="003B75F3" w:rsidP="005144E2">
      <w:pPr>
        <w:widowControl/>
        <w:jc w:val="both"/>
        <w:rPr>
          <w:rFonts w:ascii="Arial" w:hAnsi="Arial" w:cs="Arial"/>
          <w:bCs/>
          <w:sz w:val="16"/>
          <w:szCs w:val="16"/>
        </w:rPr>
      </w:pPr>
    </w:p>
    <w:p w14:paraId="03699F88" w14:textId="77777777" w:rsidR="003B75F3" w:rsidRPr="00D33399" w:rsidRDefault="003B75F3" w:rsidP="005144E2">
      <w:pPr>
        <w:widowControl/>
        <w:jc w:val="both"/>
        <w:rPr>
          <w:rFonts w:ascii="Arial" w:hAnsi="Arial" w:cs="Arial"/>
          <w:bCs/>
          <w:sz w:val="16"/>
          <w:szCs w:val="16"/>
        </w:rPr>
      </w:pPr>
    </w:p>
    <w:p w14:paraId="0619D929" w14:textId="77777777" w:rsidR="003B75F3" w:rsidRPr="00D33399" w:rsidRDefault="003B75F3" w:rsidP="005144E2">
      <w:pPr>
        <w:widowControl/>
        <w:jc w:val="both"/>
        <w:rPr>
          <w:rFonts w:ascii="Arial" w:hAnsi="Arial" w:cs="Arial"/>
          <w:bCs/>
          <w:sz w:val="16"/>
          <w:szCs w:val="16"/>
        </w:rPr>
      </w:pPr>
    </w:p>
    <w:p w14:paraId="28ACA894" w14:textId="77777777" w:rsidR="003B75F3" w:rsidRPr="00D33399" w:rsidRDefault="003B75F3" w:rsidP="005144E2">
      <w:pPr>
        <w:widowControl/>
        <w:jc w:val="both"/>
        <w:rPr>
          <w:rFonts w:ascii="Arial" w:hAnsi="Arial" w:cs="Arial"/>
          <w:bCs/>
          <w:sz w:val="16"/>
          <w:szCs w:val="16"/>
        </w:rPr>
      </w:pPr>
    </w:p>
    <w:p w14:paraId="02CBEF77" w14:textId="77777777" w:rsidR="003B75F3" w:rsidRPr="00D33399" w:rsidRDefault="003B75F3" w:rsidP="005144E2">
      <w:pPr>
        <w:widowControl/>
        <w:jc w:val="both"/>
        <w:rPr>
          <w:rFonts w:ascii="Arial" w:hAnsi="Arial" w:cs="Arial"/>
          <w:bCs/>
          <w:sz w:val="16"/>
          <w:szCs w:val="16"/>
        </w:rPr>
      </w:pPr>
    </w:p>
    <w:p w14:paraId="64AE5676" w14:textId="77777777" w:rsidR="003B75F3" w:rsidRPr="00D33399" w:rsidRDefault="003B75F3" w:rsidP="005144E2">
      <w:pPr>
        <w:widowControl/>
        <w:jc w:val="both"/>
        <w:rPr>
          <w:rFonts w:ascii="Arial" w:hAnsi="Arial" w:cs="Arial"/>
          <w:bCs/>
          <w:sz w:val="16"/>
          <w:szCs w:val="16"/>
        </w:rPr>
      </w:pPr>
    </w:p>
    <w:p w14:paraId="0F37C97C" w14:textId="77777777" w:rsidR="003B75F3" w:rsidRPr="00D33399" w:rsidRDefault="003B75F3" w:rsidP="005144E2">
      <w:pPr>
        <w:widowControl/>
        <w:jc w:val="both"/>
        <w:rPr>
          <w:rFonts w:ascii="Arial" w:hAnsi="Arial" w:cs="Arial"/>
          <w:bCs/>
          <w:sz w:val="16"/>
          <w:szCs w:val="16"/>
        </w:rPr>
      </w:pPr>
    </w:p>
    <w:p w14:paraId="6A3951A4" w14:textId="77777777" w:rsidR="003B75F3" w:rsidRPr="00D33399" w:rsidRDefault="003B75F3" w:rsidP="005144E2">
      <w:pPr>
        <w:widowControl/>
        <w:jc w:val="both"/>
        <w:rPr>
          <w:rFonts w:ascii="Arial" w:hAnsi="Arial" w:cs="Arial"/>
          <w:bCs/>
          <w:sz w:val="16"/>
          <w:szCs w:val="16"/>
        </w:rPr>
      </w:pPr>
    </w:p>
    <w:p w14:paraId="33FDF83D" w14:textId="77777777" w:rsidR="003B75F3" w:rsidRPr="00D33399" w:rsidRDefault="003B75F3" w:rsidP="005144E2">
      <w:pPr>
        <w:widowControl/>
        <w:jc w:val="both"/>
        <w:rPr>
          <w:rFonts w:ascii="Arial" w:hAnsi="Arial" w:cs="Arial"/>
          <w:bCs/>
          <w:sz w:val="16"/>
          <w:szCs w:val="16"/>
        </w:rPr>
      </w:pPr>
    </w:p>
    <w:p w14:paraId="31291913" w14:textId="77777777" w:rsidR="003B75F3" w:rsidRPr="00D33399" w:rsidRDefault="003B75F3" w:rsidP="005144E2">
      <w:pPr>
        <w:widowControl/>
        <w:jc w:val="both"/>
        <w:rPr>
          <w:rFonts w:ascii="Arial" w:hAnsi="Arial" w:cs="Arial"/>
          <w:bCs/>
          <w:sz w:val="16"/>
          <w:szCs w:val="16"/>
        </w:rPr>
      </w:pPr>
    </w:p>
    <w:p w14:paraId="10B3AA5F" w14:textId="77777777" w:rsidR="003B75F3" w:rsidRPr="00D33399" w:rsidRDefault="003B75F3" w:rsidP="005144E2">
      <w:pPr>
        <w:widowControl/>
        <w:jc w:val="both"/>
        <w:rPr>
          <w:rFonts w:ascii="Arial" w:hAnsi="Arial" w:cs="Arial"/>
          <w:bCs/>
          <w:sz w:val="16"/>
          <w:szCs w:val="16"/>
        </w:rPr>
      </w:pPr>
    </w:p>
    <w:p w14:paraId="579BC864" w14:textId="77777777" w:rsidR="003B75F3" w:rsidRPr="00D33399" w:rsidRDefault="003B75F3" w:rsidP="005144E2">
      <w:pPr>
        <w:widowControl/>
        <w:jc w:val="both"/>
        <w:rPr>
          <w:rFonts w:ascii="Arial" w:hAnsi="Arial" w:cs="Arial"/>
          <w:bCs/>
          <w:sz w:val="16"/>
          <w:szCs w:val="16"/>
        </w:rPr>
      </w:pPr>
    </w:p>
    <w:p w14:paraId="0E6381EB" w14:textId="77777777" w:rsidR="003B75F3" w:rsidRPr="00D33399" w:rsidRDefault="003B75F3" w:rsidP="005144E2">
      <w:pPr>
        <w:widowControl/>
        <w:jc w:val="both"/>
        <w:rPr>
          <w:rFonts w:ascii="Arial" w:hAnsi="Arial" w:cs="Arial"/>
          <w:bCs/>
          <w:sz w:val="16"/>
          <w:szCs w:val="16"/>
        </w:rPr>
      </w:pPr>
    </w:p>
    <w:p w14:paraId="1A7BC2D4" w14:textId="77777777" w:rsidR="003B75F3" w:rsidRPr="00D33399" w:rsidRDefault="003B75F3" w:rsidP="005144E2">
      <w:pPr>
        <w:widowControl/>
        <w:jc w:val="both"/>
        <w:rPr>
          <w:rFonts w:ascii="Arial" w:hAnsi="Arial" w:cs="Arial"/>
          <w:bCs/>
          <w:sz w:val="16"/>
          <w:szCs w:val="16"/>
        </w:rPr>
      </w:pPr>
    </w:p>
    <w:p w14:paraId="18EE0A2C" w14:textId="77777777" w:rsidR="003B75F3" w:rsidRPr="00D33399" w:rsidRDefault="003B75F3" w:rsidP="005144E2">
      <w:pPr>
        <w:widowControl/>
        <w:jc w:val="both"/>
        <w:rPr>
          <w:rFonts w:ascii="Arial" w:hAnsi="Arial" w:cs="Arial"/>
          <w:bCs/>
          <w:sz w:val="16"/>
          <w:szCs w:val="16"/>
        </w:rPr>
      </w:pPr>
    </w:p>
    <w:p w14:paraId="7F08F493" w14:textId="77777777" w:rsidR="003B75F3" w:rsidRPr="00D33399" w:rsidRDefault="003B75F3" w:rsidP="005144E2">
      <w:pPr>
        <w:widowControl/>
        <w:jc w:val="both"/>
        <w:rPr>
          <w:rFonts w:ascii="Arial" w:hAnsi="Arial" w:cs="Arial"/>
          <w:bCs/>
          <w:sz w:val="16"/>
          <w:szCs w:val="16"/>
        </w:rPr>
      </w:pPr>
    </w:p>
    <w:p w14:paraId="159BAD42" w14:textId="77777777" w:rsidR="003B75F3" w:rsidRPr="00D33399" w:rsidRDefault="003B75F3" w:rsidP="005144E2">
      <w:pPr>
        <w:widowControl/>
        <w:jc w:val="both"/>
        <w:rPr>
          <w:rFonts w:ascii="Arial" w:hAnsi="Arial" w:cs="Arial"/>
          <w:bCs/>
          <w:sz w:val="16"/>
          <w:szCs w:val="16"/>
        </w:rPr>
      </w:pPr>
    </w:p>
    <w:p w14:paraId="10526837" w14:textId="77777777" w:rsidR="003B75F3" w:rsidRPr="00D33399" w:rsidRDefault="003B75F3" w:rsidP="005144E2">
      <w:pPr>
        <w:widowControl/>
        <w:jc w:val="both"/>
        <w:rPr>
          <w:rFonts w:ascii="Arial" w:hAnsi="Arial" w:cs="Arial"/>
          <w:bCs/>
          <w:sz w:val="16"/>
          <w:szCs w:val="16"/>
        </w:rPr>
      </w:pPr>
    </w:p>
    <w:p w14:paraId="4474B20A" w14:textId="77777777" w:rsidR="003B75F3" w:rsidRPr="00D33399" w:rsidRDefault="003B75F3" w:rsidP="005144E2">
      <w:pPr>
        <w:widowControl/>
        <w:jc w:val="both"/>
        <w:rPr>
          <w:rFonts w:ascii="Arial" w:hAnsi="Arial" w:cs="Arial"/>
          <w:bCs/>
          <w:sz w:val="16"/>
          <w:szCs w:val="16"/>
        </w:rPr>
      </w:pPr>
    </w:p>
    <w:p w14:paraId="4BDEFBFB" w14:textId="77777777" w:rsidR="003B75F3" w:rsidRPr="00D33399" w:rsidRDefault="003B75F3" w:rsidP="005144E2">
      <w:pPr>
        <w:widowControl/>
        <w:jc w:val="both"/>
        <w:rPr>
          <w:rFonts w:ascii="Arial" w:hAnsi="Arial" w:cs="Arial"/>
          <w:bCs/>
          <w:sz w:val="16"/>
          <w:szCs w:val="16"/>
        </w:rPr>
      </w:pPr>
    </w:p>
    <w:p w14:paraId="44759790" w14:textId="77777777" w:rsidR="003B75F3" w:rsidRPr="00D33399" w:rsidRDefault="003B75F3" w:rsidP="005144E2">
      <w:pPr>
        <w:widowControl/>
        <w:jc w:val="both"/>
        <w:rPr>
          <w:rFonts w:ascii="Arial" w:hAnsi="Arial" w:cs="Arial"/>
          <w:bCs/>
          <w:sz w:val="16"/>
          <w:szCs w:val="16"/>
        </w:rPr>
      </w:pPr>
    </w:p>
    <w:p w14:paraId="6E443ECF" w14:textId="77777777" w:rsidR="003B75F3" w:rsidRPr="00D33399" w:rsidRDefault="003B75F3" w:rsidP="005144E2">
      <w:pPr>
        <w:widowControl/>
        <w:jc w:val="both"/>
        <w:rPr>
          <w:rFonts w:ascii="Arial" w:hAnsi="Arial" w:cs="Arial"/>
          <w:bCs/>
          <w:sz w:val="16"/>
          <w:szCs w:val="16"/>
        </w:rPr>
      </w:pPr>
    </w:p>
    <w:p w14:paraId="4B2A80B0" w14:textId="77777777" w:rsidR="003B75F3" w:rsidRPr="00D33399" w:rsidRDefault="003B75F3" w:rsidP="005144E2">
      <w:pPr>
        <w:widowControl/>
        <w:jc w:val="both"/>
        <w:rPr>
          <w:rFonts w:ascii="Arial" w:hAnsi="Arial" w:cs="Arial"/>
          <w:bCs/>
          <w:sz w:val="16"/>
          <w:szCs w:val="16"/>
        </w:rPr>
      </w:pPr>
    </w:p>
    <w:p w14:paraId="3897B296" w14:textId="77777777" w:rsidR="003B75F3" w:rsidRPr="00D33399" w:rsidRDefault="003B75F3" w:rsidP="005144E2">
      <w:pPr>
        <w:widowControl/>
        <w:jc w:val="both"/>
        <w:rPr>
          <w:rFonts w:ascii="Arial" w:hAnsi="Arial" w:cs="Arial"/>
          <w:bCs/>
          <w:sz w:val="16"/>
          <w:szCs w:val="16"/>
        </w:rPr>
      </w:pPr>
    </w:p>
    <w:p w14:paraId="2EAAE562" w14:textId="77777777" w:rsidR="003B75F3" w:rsidRPr="00D33399" w:rsidRDefault="003B75F3" w:rsidP="005144E2">
      <w:pPr>
        <w:widowControl/>
        <w:jc w:val="both"/>
        <w:rPr>
          <w:rFonts w:ascii="Arial" w:hAnsi="Arial" w:cs="Arial"/>
          <w:bCs/>
          <w:sz w:val="16"/>
          <w:szCs w:val="16"/>
        </w:rPr>
      </w:pPr>
    </w:p>
    <w:p w14:paraId="6D2E9F9D" w14:textId="77777777" w:rsidR="003B75F3" w:rsidRPr="00D33399" w:rsidRDefault="003B75F3" w:rsidP="005144E2">
      <w:pPr>
        <w:widowControl/>
        <w:jc w:val="both"/>
        <w:rPr>
          <w:rFonts w:ascii="Arial" w:hAnsi="Arial" w:cs="Arial"/>
          <w:bCs/>
          <w:sz w:val="16"/>
          <w:szCs w:val="16"/>
        </w:rPr>
      </w:pPr>
    </w:p>
    <w:p w14:paraId="30AE4106" w14:textId="77777777" w:rsidR="003B75F3" w:rsidRPr="00D33399" w:rsidRDefault="003B75F3" w:rsidP="005144E2">
      <w:pPr>
        <w:widowControl/>
        <w:jc w:val="both"/>
        <w:rPr>
          <w:rFonts w:ascii="Arial" w:hAnsi="Arial" w:cs="Arial"/>
          <w:bCs/>
          <w:sz w:val="16"/>
          <w:szCs w:val="16"/>
        </w:rPr>
      </w:pPr>
    </w:p>
    <w:p w14:paraId="280147BE" w14:textId="77777777" w:rsidR="003B75F3" w:rsidRPr="00D33399" w:rsidRDefault="003B75F3" w:rsidP="005144E2">
      <w:pPr>
        <w:widowControl/>
        <w:jc w:val="both"/>
        <w:rPr>
          <w:rFonts w:ascii="Arial" w:hAnsi="Arial" w:cs="Arial"/>
          <w:bCs/>
          <w:sz w:val="16"/>
          <w:szCs w:val="16"/>
        </w:rPr>
      </w:pPr>
    </w:p>
    <w:p w14:paraId="5429FF37" w14:textId="77777777" w:rsidR="003B75F3" w:rsidRPr="00D33399" w:rsidRDefault="003B75F3" w:rsidP="005144E2">
      <w:pPr>
        <w:widowControl/>
        <w:jc w:val="both"/>
        <w:rPr>
          <w:rFonts w:ascii="Arial" w:hAnsi="Arial" w:cs="Arial"/>
          <w:bCs/>
          <w:sz w:val="16"/>
          <w:szCs w:val="16"/>
        </w:rPr>
      </w:pPr>
    </w:p>
    <w:p w14:paraId="6A30CDD9" w14:textId="77777777" w:rsidR="003B75F3" w:rsidRPr="00D33399" w:rsidRDefault="003B75F3" w:rsidP="005144E2">
      <w:pPr>
        <w:widowControl/>
        <w:jc w:val="both"/>
        <w:rPr>
          <w:rFonts w:ascii="Arial" w:hAnsi="Arial" w:cs="Arial"/>
          <w:bCs/>
          <w:sz w:val="16"/>
          <w:szCs w:val="16"/>
        </w:rPr>
      </w:pPr>
    </w:p>
    <w:p w14:paraId="6D55FB1C" w14:textId="77777777" w:rsidR="003B75F3" w:rsidRPr="00D33399" w:rsidRDefault="003B75F3" w:rsidP="005144E2">
      <w:pPr>
        <w:widowControl/>
        <w:jc w:val="both"/>
        <w:rPr>
          <w:rFonts w:ascii="Arial" w:hAnsi="Arial" w:cs="Arial"/>
          <w:bCs/>
          <w:sz w:val="16"/>
          <w:szCs w:val="16"/>
        </w:rPr>
      </w:pPr>
    </w:p>
    <w:p w14:paraId="168F55FD" w14:textId="77777777" w:rsidR="003B75F3" w:rsidRPr="00D33399" w:rsidRDefault="003B75F3" w:rsidP="005144E2">
      <w:pPr>
        <w:widowControl/>
        <w:jc w:val="both"/>
        <w:rPr>
          <w:rFonts w:ascii="Arial" w:hAnsi="Arial" w:cs="Arial"/>
          <w:bCs/>
          <w:sz w:val="16"/>
          <w:szCs w:val="16"/>
        </w:rPr>
      </w:pPr>
    </w:p>
    <w:p w14:paraId="13E28548" w14:textId="77777777" w:rsidR="003B75F3" w:rsidRPr="00D33399" w:rsidRDefault="003B75F3" w:rsidP="005144E2">
      <w:pPr>
        <w:widowControl/>
        <w:jc w:val="both"/>
        <w:rPr>
          <w:rFonts w:ascii="Arial" w:hAnsi="Arial" w:cs="Arial"/>
          <w:bCs/>
          <w:sz w:val="16"/>
          <w:szCs w:val="16"/>
        </w:rPr>
      </w:pPr>
    </w:p>
    <w:p w14:paraId="741FE1BC" w14:textId="77777777" w:rsidR="003B75F3" w:rsidRPr="00D33399" w:rsidRDefault="003B75F3" w:rsidP="005144E2">
      <w:pPr>
        <w:widowControl/>
        <w:jc w:val="both"/>
        <w:rPr>
          <w:rFonts w:ascii="Arial" w:hAnsi="Arial" w:cs="Arial"/>
          <w:bCs/>
          <w:sz w:val="16"/>
          <w:szCs w:val="16"/>
        </w:rPr>
      </w:pPr>
    </w:p>
    <w:p w14:paraId="02350C98" w14:textId="77777777" w:rsidR="00BA75A7" w:rsidRPr="00D33399" w:rsidRDefault="00414059" w:rsidP="005144E2">
      <w:pPr>
        <w:widowControl/>
        <w:tabs>
          <w:tab w:val="center" w:pos="426"/>
          <w:tab w:val="right" w:pos="8838"/>
        </w:tabs>
        <w:jc w:val="both"/>
        <w:rPr>
          <w:rFonts w:ascii="Arial" w:hAnsi="Arial" w:cs="Arial"/>
          <w:b/>
        </w:rPr>
      </w:pPr>
      <w:r w:rsidRPr="00D33399">
        <w:rPr>
          <w:rFonts w:ascii="Arial" w:hAnsi="Arial" w:cs="Arial"/>
          <w:b/>
        </w:rPr>
        <w:lastRenderedPageBreak/>
        <w:t xml:space="preserve">c) </w:t>
      </w:r>
      <w:r w:rsidR="003F4719" w:rsidRPr="00D33399">
        <w:rPr>
          <w:rFonts w:ascii="Arial" w:hAnsi="Arial" w:cs="Arial"/>
          <w:b/>
        </w:rPr>
        <w:t>O quadro abaixo resume a posição dos valores correspondentes ao passivo total de desmobilização de ativos:</w:t>
      </w:r>
    </w:p>
    <w:p w14:paraId="4830D738" w14:textId="77777777" w:rsidR="000738C8" w:rsidRPr="00D33399" w:rsidRDefault="000738C8" w:rsidP="005144E2">
      <w:pPr>
        <w:pStyle w:val="PargrafodaLista"/>
        <w:widowControl/>
        <w:tabs>
          <w:tab w:val="center" w:pos="426"/>
          <w:tab w:val="right" w:pos="8838"/>
        </w:tabs>
        <w:ind w:left="0"/>
        <w:jc w:val="both"/>
        <w:rPr>
          <w:rFonts w:ascii="Arial" w:hAnsi="Arial" w:cs="Arial"/>
          <w:b/>
          <w:sz w:val="16"/>
          <w:szCs w:val="16"/>
        </w:rPr>
      </w:pPr>
    </w:p>
    <w:p w14:paraId="14BD5B70" w14:textId="7A27A0AD" w:rsidR="00BA75A7" w:rsidRPr="00D33399" w:rsidRDefault="00470153" w:rsidP="005144E2">
      <w:pPr>
        <w:pStyle w:val="PargrafodaLista"/>
        <w:widowControl/>
        <w:tabs>
          <w:tab w:val="center" w:pos="426"/>
          <w:tab w:val="right" w:pos="8838"/>
        </w:tabs>
        <w:ind w:left="0"/>
        <w:jc w:val="both"/>
        <w:rPr>
          <w:rFonts w:ascii="Arial" w:hAnsi="Arial" w:cs="Arial"/>
          <w:b/>
        </w:rPr>
      </w:pPr>
      <w:r w:rsidRPr="00D33399">
        <w:rPr>
          <w:noProof/>
        </w:rPr>
        <w:drawing>
          <wp:inline distT="0" distB="0" distL="0" distR="0" wp14:anchorId="23CC66F8" wp14:editId="2841AA1B">
            <wp:extent cx="5724525" cy="5381625"/>
            <wp:effectExtent l="0" t="0" r="9525" b="9525"/>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24525" cy="5381625"/>
                    </a:xfrm>
                    <a:prstGeom prst="rect">
                      <a:avLst/>
                    </a:prstGeom>
                    <a:noFill/>
                    <a:ln>
                      <a:noFill/>
                    </a:ln>
                  </pic:spPr>
                </pic:pic>
              </a:graphicData>
            </a:graphic>
          </wp:inline>
        </w:drawing>
      </w:r>
    </w:p>
    <w:p w14:paraId="2690D241" w14:textId="77777777" w:rsidR="00C069E8" w:rsidRPr="00D33399" w:rsidRDefault="00C069E8" w:rsidP="005144E2">
      <w:pPr>
        <w:pStyle w:val="PargrafodaLista"/>
        <w:widowControl/>
        <w:tabs>
          <w:tab w:val="center" w:pos="426"/>
          <w:tab w:val="right" w:pos="8838"/>
        </w:tabs>
        <w:ind w:left="0"/>
        <w:jc w:val="both"/>
        <w:rPr>
          <w:rFonts w:ascii="Arial" w:hAnsi="Arial" w:cs="Arial"/>
          <w:b/>
        </w:rPr>
      </w:pPr>
    </w:p>
    <w:p w14:paraId="1342C5C1" w14:textId="77777777" w:rsidR="00F16680" w:rsidRPr="00D33399" w:rsidRDefault="00F16680" w:rsidP="005144E2">
      <w:pPr>
        <w:pStyle w:val="PargrafodaLista"/>
        <w:widowControl/>
        <w:tabs>
          <w:tab w:val="center" w:pos="426"/>
          <w:tab w:val="right" w:pos="8838"/>
        </w:tabs>
        <w:ind w:left="0"/>
        <w:jc w:val="both"/>
        <w:rPr>
          <w:rFonts w:ascii="Arial" w:hAnsi="Arial" w:cs="Arial"/>
          <w:b/>
        </w:rPr>
      </w:pPr>
    </w:p>
    <w:p w14:paraId="5C05F011" w14:textId="77777777" w:rsidR="00F16506" w:rsidRPr="00D33399" w:rsidRDefault="00F16506" w:rsidP="005144E2">
      <w:pPr>
        <w:pStyle w:val="PargrafodaLista"/>
        <w:widowControl/>
        <w:tabs>
          <w:tab w:val="center" w:pos="426"/>
          <w:tab w:val="right" w:pos="8838"/>
        </w:tabs>
        <w:ind w:left="0"/>
        <w:jc w:val="both"/>
        <w:rPr>
          <w:rFonts w:ascii="Arial" w:hAnsi="Arial" w:cs="Arial"/>
          <w:b/>
        </w:rPr>
      </w:pPr>
    </w:p>
    <w:p w14:paraId="4A798112" w14:textId="77777777" w:rsidR="00EA757E" w:rsidRPr="00D33399" w:rsidRDefault="00EA757E" w:rsidP="005144E2">
      <w:pPr>
        <w:widowControl/>
        <w:jc w:val="both"/>
        <w:rPr>
          <w:rFonts w:ascii="Arial" w:hAnsi="Arial" w:cs="Arial"/>
          <w:b/>
          <w:sz w:val="26"/>
          <w:szCs w:val="26"/>
        </w:rPr>
      </w:pPr>
      <w:r w:rsidRPr="00D33399">
        <w:rPr>
          <w:rFonts w:ascii="Arial" w:hAnsi="Arial" w:cs="Arial"/>
          <w:b/>
          <w:sz w:val="26"/>
          <w:szCs w:val="26"/>
        </w:rPr>
        <w:t>NOTA 25 – ADIANTAMENTO PARA FUTURO AUMENTO DE CAPITAL - AFAC</w:t>
      </w:r>
    </w:p>
    <w:p w14:paraId="32596688" w14:textId="77777777" w:rsidR="00EA757E" w:rsidRPr="00D33399" w:rsidRDefault="00EA757E" w:rsidP="005144E2">
      <w:pPr>
        <w:widowControl/>
        <w:tabs>
          <w:tab w:val="num" w:pos="360"/>
        </w:tabs>
        <w:jc w:val="both"/>
        <w:rPr>
          <w:rFonts w:ascii="Arial" w:hAnsi="Arial" w:cs="Arial"/>
          <w:b/>
        </w:rPr>
      </w:pPr>
    </w:p>
    <w:p w14:paraId="2ABF44D3" w14:textId="77777777" w:rsidR="001A1541" w:rsidRPr="00D33399" w:rsidRDefault="001A1541" w:rsidP="005144E2">
      <w:pPr>
        <w:widowControl/>
        <w:tabs>
          <w:tab w:val="num" w:pos="360"/>
        </w:tabs>
        <w:jc w:val="both"/>
        <w:rPr>
          <w:rFonts w:ascii="Arial" w:hAnsi="Arial" w:cs="Arial"/>
          <w:b/>
        </w:rPr>
      </w:pPr>
    </w:p>
    <w:p w14:paraId="06C02F31" w14:textId="77777777" w:rsidR="009203FA" w:rsidRPr="00D33399" w:rsidRDefault="009203FA" w:rsidP="005144E2">
      <w:pPr>
        <w:widowControl/>
        <w:tabs>
          <w:tab w:val="num" w:pos="360"/>
        </w:tabs>
        <w:jc w:val="both"/>
        <w:rPr>
          <w:rFonts w:ascii="Arial" w:hAnsi="Arial" w:cs="Arial"/>
        </w:rPr>
      </w:pPr>
      <w:r w:rsidRPr="00D33399">
        <w:rPr>
          <w:rFonts w:ascii="Arial" w:hAnsi="Arial" w:cs="Arial"/>
        </w:rPr>
        <w:t xml:space="preserve">Em </w:t>
      </w:r>
      <w:r w:rsidR="001A1541" w:rsidRPr="00D33399">
        <w:rPr>
          <w:rFonts w:ascii="Arial" w:hAnsi="Arial" w:cs="Arial"/>
        </w:rPr>
        <w:t xml:space="preserve">17 de junho de </w:t>
      </w:r>
      <w:r w:rsidRPr="00D33399">
        <w:rPr>
          <w:rFonts w:ascii="Arial" w:hAnsi="Arial" w:cs="Arial"/>
        </w:rPr>
        <w:t xml:space="preserve">2019, a Eletrobras aprovou, por meio da Resolução nº RES-412/2019 de sua Diretoria Executiva, e pela Deliberação nº DEL-135/2019, em </w:t>
      </w:r>
      <w:r w:rsidR="001A1541" w:rsidRPr="00D33399">
        <w:rPr>
          <w:rFonts w:ascii="Arial" w:hAnsi="Arial" w:cs="Arial"/>
        </w:rPr>
        <w:t xml:space="preserve">27 de junho de </w:t>
      </w:r>
      <w:r w:rsidRPr="00D33399">
        <w:rPr>
          <w:rFonts w:ascii="Arial" w:hAnsi="Arial" w:cs="Arial"/>
        </w:rPr>
        <w:t xml:space="preserve">2019, de seu Conselho de Administração, a concessão de recursos à ELETRONUCLEAR sob a forma de Adiantamento para Futuro Aumento de Capital – AFAC no valor de até R$ 500.000, com recursos destinados ao ressarcimento dos gastos já incluídos e para gerenciamento de obrigações referentes ao Empreendimento de Angra 3. </w:t>
      </w:r>
    </w:p>
    <w:p w14:paraId="2D7965DE" w14:textId="76E802F8" w:rsidR="009203FA" w:rsidRPr="00D33399" w:rsidRDefault="009203FA" w:rsidP="005144E2">
      <w:pPr>
        <w:widowControl/>
        <w:tabs>
          <w:tab w:val="num" w:pos="360"/>
        </w:tabs>
        <w:jc w:val="both"/>
        <w:rPr>
          <w:rFonts w:ascii="Arial" w:hAnsi="Arial" w:cs="Arial"/>
        </w:rPr>
      </w:pPr>
      <w:r w:rsidRPr="00D33399">
        <w:rPr>
          <w:rFonts w:ascii="Arial" w:hAnsi="Arial" w:cs="Arial"/>
        </w:rPr>
        <w:lastRenderedPageBreak/>
        <w:t xml:space="preserve">O valor do </w:t>
      </w:r>
      <w:r w:rsidR="00C133BB" w:rsidRPr="00D33399">
        <w:rPr>
          <w:rFonts w:ascii="Arial" w:hAnsi="Arial" w:cs="Arial"/>
        </w:rPr>
        <w:t>Adiantamento para Futuro Aumento de Capital -</w:t>
      </w:r>
      <w:r w:rsidR="00290341" w:rsidRPr="00D33399">
        <w:rPr>
          <w:rFonts w:ascii="Arial" w:hAnsi="Arial" w:cs="Arial"/>
        </w:rPr>
        <w:t xml:space="preserve"> </w:t>
      </w:r>
      <w:r w:rsidRPr="00D33399">
        <w:rPr>
          <w:rFonts w:ascii="Arial" w:hAnsi="Arial" w:cs="Arial"/>
        </w:rPr>
        <w:t>AFAC será capitalizado, por meio de aumento de capital, após a ELETRONUCLEAR ter cumprido todas as disposições necessárias para a formalização do instrumento. Cabe à ELETRONUCLEAR submeter à Eletrobras, prévia e tempestivamente à Assembleia Geral Extraordinária a ser convocada com a finalidade de aprovar a operação, as condições para o aumento de capital e a concordância da mesma. A ELETRONUCLEAR também deverá obter a manifestação prévia e favorável da Secretaria de Coordenação e Governança das Empresas Estatais</w:t>
      </w:r>
      <w:r w:rsidR="00C133BB" w:rsidRPr="00D33399">
        <w:rPr>
          <w:rFonts w:ascii="Arial" w:hAnsi="Arial" w:cs="Arial"/>
        </w:rPr>
        <w:t xml:space="preserve"> -</w:t>
      </w:r>
      <w:r w:rsidRPr="00D33399">
        <w:rPr>
          <w:rFonts w:ascii="Arial" w:hAnsi="Arial" w:cs="Arial"/>
        </w:rPr>
        <w:t xml:space="preserve">SEST, da Procuradoria Geral da Fazenda Nacional </w:t>
      </w:r>
      <w:r w:rsidR="00C133BB" w:rsidRPr="00D33399">
        <w:rPr>
          <w:rFonts w:ascii="Arial" w:hAnsi="Arial" w:cs="Arial"/>
        </w:rPr>
        <w:t xml:space="preserve">- </w:t>
      </w:r>
      <w:r w:rsidRPr="00D33399">
        <w:rPr>
          <w:rFonts w:ascii="Arial" w:hAnsi="Arial" w:cs="Arial"/>
        </w:rPr>
        <w:t>PGFN e do Ministério da Economia, para realização da Assembleia Geral para aprovação do aumento de capital.</w:t>
      </w:r>
      <w:r w:rsidR="008D450B" w:rsidRPr="00D33399">
        <w:rPr>
          <w:rFonts w:ascii="Arial" w:hAnsi="Arial" w:cs="Arial"/>
        </w:rPr>
        <w:t xml:space="preserve"> Caso o prazo para efetivação do aumento de capital, com a respectiva capitalização, seja superior ao prazo de um ano, haverá atualização do valor pela taxa SELIC.</w:t>
      </w:r>
    </w:p>
    <w:p w14:paraId="2545D15D" w14:textId="77777777" w:rsidR="009203FA" w:rsidRPr="00D33399" w:rsidRDefault="009203FA" w:rsidP="005144E2">
      <w:pPr>
        <w:widowControl/>
        <w:tabs>
          <w:tab w:val="num" w:pos="360"/>
        </w:tabs>
        <w:jc w:val="both"/>
        <w:rPr>
          <w:rFonts w:ascii="Arial" w:hAnsi="Arial" w:cs="Arial"/>
        </w:rPr>
      </w:pPr>
    </w:p>
    <w:p w14:paraId="027D9CDA" w14:textId="77777777" w:rsidR="009203FA" w:rsidRPr="00D33399" w:rsidRDefault="009203FA" w:rsidP="005144E2">
      <w:pPr>
        <w:widowControl/>
        <w:tabs>
          <w:tab w:val="num" w:pos="360"/>
        </w:tabs>
        <w:jc w:val="both"/>
        <w:rPr>
          <w:rFonts w:ascii="Arial" w:hAnsi="Arial" w:cs="Arial"/>
          <w:color w:val="000000" w:themeColor="text1"/>
        </w:rPr>
      </w:pPr>
      <w:r w:rsidRPr="00D33399">
        <w:rPr>
          <w:rFonts w:ascii="Arial" w:hAnsi="Arial" w:cs="Arial"/>
          <w:color w:val="000000" w:themeColor="text1"/>
        </w:rPr>
        <w:t xml:space="preserve">O AFAC foi formalizado por meio do Contrato nº ECF 3381/19, assinado pelas diretorias da ELETRONUCLEAR e da Eletrobras em </w:t>
      </w:r>
      <w:r w:rsidR="001A1541" w:rsidRPr="00D33399">
        <w:rPr>
          <w:rFonts w:ascii="Arial" w:hAnsi="Arial" w:cs="Arial"/>
          <w:color w:val="000000" w:themeColor="text1"/>
        </w:rPr>
        <w:t>31 de julho de 2019</w:t>
      </w:r>
      <w:r w:rsidRPr="00D33399">
        <w:rPr>
          <w:rFonts w:ascii="Arial" w:hAnsi="Arial" w:cs="Arial"/>
          <w:color w:val="000000" w:themeColor="text1"/>
        </w:rPr>
        <w:t>.</w:t>
      </w:r>
    </w:p>
    <w:p w14:paraId="27F71649" w14:textId="77777777" w:rsidR="009203FA" w:rsidRPr="00D33399" w:rsidRDefault="009203FA" w:rsidP="005144E2">
      <w:pPr>
        <w:widowControl/>
        <w:tabs>
          <w:tab w:val="num" w:pos="360"/>
        </w:tabs>
        <w:jc w:val="both"/>
        <w:rPr>
          <w:rFonts w:ascii="Arial" w:hAnsi="Arial" w:cs="Arial"/>
          <w:color w:val="000000" w:themeColor="text1"/>
        </w:rPr>
      </w:pPr>
    </w:p>
    <w:p w14:paraId="7CC1D8AF" w14:textId="77777777" w:rsidR="009203FA" w:rsidRPr="00D33399" w:rsidRDefault="009203FA" w:rsidP="005144E2">
      <w:pPr>
        <w:jc w:val="both"/>
        <w:rPr>
          <w:rFonts w:ascii="Arial" w:hAnsi="Arial" w:cs="Arial"/>
          <w:color w:val="000000" w:themeColor="text1"/>
        </w:rPr>
      </w:pPr>
      <w:r w:rsidRPr="00D33399">
        <w:rPr>
          <w:rFonts w:ascii="Arial" w:hAnsi="Arial" w:cs="Arial"/>
          <w:color w:val="000000" w:themeColor="text1"/>
        </w:rPr>
        <w:t>Em 29</w:t>
      </w:r>
      <w:r w:rsidR="001A1541" w:rsidRPr="00D33399">
        <w:rPr>
          <w:rFonts w:ascii="Arial" w:hAnsi="Arial" w:cs="Arial"/>
          <w:color w:val="000000" w:themeColor="text1"/>
        </w:rPr>
        <w:t xml:space="preserve"> de setembro de </w:t>
      </w:r>
      <w:r w:rsidRPr="00D33399">
        <w:rPr>
          <w:rFonts w:ascii="Arial" w:hAnsi="Arial" w:cs="Arial"/>
          <w:color w:val="000000" w:themeColor="text1"/>
        </w:rPr>
        <w:t>2019, a Eletrobras aprovou, por meio da Deliberação nº DEL-207/2019, de seu Conselho de Administração, consubstanciado pela Resolução nº RES-412/2019, de 17</w:t>
      </w:r>
      <w:r w:rsidR="001A1541" w:rsidRPr="00D33399">
        <w:rPr>
          <w:rFonts w:ascii="Arial" w:hAnsi="Arial" w:cs="Arial"/>
          <w:color w:val="000000" w:themeColor="text1"/>
        </w:rPr>
        <w:t xml:space="preserve"> de junho de </w:t>
      </w:r>
      <w:r w:rsidRPr="00D33399">
        <w:rPr>
          <w:rFonts w:ascii="Arial" w:hAnsi="Arial" w:cs="Arial"/>
          <w:color w:val="000000" w:themeColor="text1"/>
        </w:rPr>
        <w:t>2019, e pela Deliberação nº DEL-135/2019, de 27</w:t>
      </w:r>
      <w:r w:rsidR="001A1541" w:rsidRPr="00D33399">
        <w:rPr>
          <w:rFonts w:ascii="Arial" w:hAnsi="Arial" w:cs="Arial"/>
          <w:color w:val="000000" w:themeColor="text1"/>
        </w:rPr>
        <w:t xml:space="preserve"> de junho de </w:t>
      </w:r>
      <w:r w:rsidRPr="00D33399">
        <w:rPr>
          <w:rFonts w:ascii="Arial" w:hAnsi="Arial" w:cs="Arial"/>
          <w:color w:val="000000" w:themeColor="text1"/>
        </w:rPr>
        <w:t>2019, a concessão de recursos à ELETRONUCLEAR sob a forma de Adiantamento para Futuro Aumento de Capital – AFAC no valor de até R$ 350.000, com recursos destinados ao ressarcimento dos gastos já incluídos e para gerenciamento de obrigações referentes ao Empreendimento de Angra 3. O valor atualizado do AFAC será capitalizado, por meio de aumento de capital, após a ELETRONUCLEAR ter cumprido todas as disposições necessárias para a formalização do instrumento. A formalizado deste AFAC ocorreu por meio do Contrato nº ECF 3384/19, assinado pelas diretorias da ELETRONUCLEAR e da Eletrobras em 05</w:t>
      </w:r>
      <w:r w:rsidR="001A1541" w:rsidRPr="00D33399">
        <w:rPr>
          <w:rFonts w:ascii="Arial" w:hAnsi="Arial" w:cs="Arial"/>
          <w:color w:val="000000" w:themeColor="text1"/>
        </w:rPr>
        <w:t xml:space="preserve"> de dezembro de </w:t>
      </w:r>
      <w:r w:rsidRPr="00D33399">
        <w:rPr>
          <w:rFonts w:ascii="Arial" w:hAnsi="Arial" w:cs="Arial"/>
          <w:color w:val="000000" w:themeColor="text1"/>
        </w:rPr>
        <w:t>2019.</w:t>
      </w:r>
    </w:p>
    <w:p w14:paraId="33A29BC0" w14:textId="77777777" w:rsidR="009203FA" w:rsidRPr="00D33399" w:rsidRDefault="009203FA" w:rsidP="005144E2">
      <w:pPr>
        <w:widowControl/>
        <w:tabs>
          <w:tab w:val="num" w:pos="360"/>
        </w:tabs>
        <w:jc w:val="both"/>
        <w:rPr>
          <w:rFonts w:ascii="Arial" w:hAnsi="Arial" w:cs="Arial"/>
          <w:color w:val="000000" w:themeColor="text1"/>
        </w:rPr>
      </w:pPr>
    </w:p>
    <w:p w14:paraId="2A824F35" w14:textId="783072F2" w:rsidR="00070260" w:rsidRPr="00D33399" w:rsidRDefault="008D450B" w:rsidP="00070260">
      <w:pPr>
        <w:pStyle w:val="PargrafodaLista"/>
        <w:widowControl/>
        <w:tabs>
          <w:tab w:val="center" w:pos="426"/>
          <w:tab w:val="right" w:pos="8838"/>
        </w:tabs>
        <w:ind w:left="0"/>
        <w:jc w:val="both"/>
        <w:rPr>
          <w:rFonts w:ascii="Arial" w:hAnsi="Arial" w:cs="Arial"/>
          <w:b/>
          <w:color w:val="FF0000"/>
        </w:rPr>
      </w:pPr>
      <w:r w:rsidRPr="00D33399">
        <w:rPr>
          <w:rFonts w:ascii="Arial" w:hAnsi="Arial" w:cs="Arial"/>
        </w:rPr>
        <w:t>Ao final do exercício de 2019, a E</w:t>
      </w:r>
      <w:r w:rsidR="00FE79CB" w:rsidRPr="00D33399">
        <w:rPr>
          <w:rFonts w:ascii="Arial" w:hAnsi="Arial" w:cs="Arial"/>
        </w:rPr>
        <w:t>letrobras</w:t>
      </w:r>
      <w:r w:rsidRPr="00D33399">
        <w:rPr>
          <w:rFonts w:ascii="Arial" w:hAnsi="Arial" w:cs="Arial"/>
        </w:rPr>
        <w:t xml:space="preserve"> ainda tinha R$ 150 milhões a liberar do Contrato nº ECF 3384/2019.</w:t>
      </w:r>
      <w:r w:rsidR="00C92837" w:rsidRPr="00D33399">
        <w:rPr>
          <w:rFonts w:ascii="Arial" w:hAnsi="Arial" w:cs="Arial"/>
          <w:b/>
          <w:color w:val="FF0000"/>
        </w:rPr>
        <w:t xml:space="preserve"> </w:t>
      </w:r>
    </w:p>
    <w:p w14:paraId="09D11985" w14:textId="77777777" w:rsidR="00070260" w:rsidRPr="00D33399" w:rsidRDefault="00070260" w:rsidP="00070260">
      <w:pPr>
        <w:pStyle w:val="PargrafodaLista"/>
        <w:widowControl/>
        <w:tabs>
          <w:tab w:val="center" w:pos="426"/>
          <w:tab w:val="right" w:pos="8838"/>
        </w:tabs>
        <w:ind w:left="0"/>
        <w:jc w:val="both"/>
        <w:rPr>
          <w:rFonts w:ascii="Arial" w:hAnsi="Arial" w:cs="Arial"/>
          <w:b/>
          <w:color w:val="FF0000"/>
        </w:rPr>
      </w:pPr>
    </w:p>
    <w:p w14:paraId="35CCBC7D" w14:textId="77777777" w:rsidR="00070260" w:rsidRPr="00D33399" w:rsidRDefault="00070260" w:rsidP="00070260">
      <w:pPr>
        <w:widowControl/>
        <w:tabs>
          <w:tab w:val="num" w:pos="360"/>
        </w:tabs>
        <w:jc w:val="both"/>
        <w:rPr>
          <w:rFonts w:ascii="Arial" w:hAnsi="Arial" w:cs="Arial"/>
          <w:color w:val="000000" w:themeColor="text1"/>
        </w:rPr>
      </w:pPr>
      <w:r w:rsidRPr="00D33399">
        <w:rPr>
          <w:rFonts w:ascii="Arial" w:hAnsi="Arial" w:cs="Arial"/>
          <w:color w:val="000000" w:themeColor="text1"/>
        </w:rPr>
        <w:t>Em 07 de fevereiro de 2020, a Eletrobras efetuou a liberação da segunda parcela, no valor de R$ 88.716, do Contrato nº ECF 3384/19, mediante solicitação de desembolso enviada pela ELETRONUCLEAR.</w:t>
      </w:r>
    </w:p>
    <w:p w14:paraId="0A67D198" w14:textId="77777777" w:rsidR="00070260" w:rsidRPr="00D33399" w:rsidRDefault="00070260" w:rsidP="00070260">
      <w:pPr>
        <w:rPr>
          <w:color w:val="000000" w:themeColor="text1"/>
        </w:rPr>
      </w:pPr>
    </w:p>
    <w:p w14:paraId="4BE060F3" w14:textId="77777777" w:rsidR="00070260" w:rsidRPr="00D33399" w:rsidRDefault="00070260" w:rsidP="00070260">
      <w:pPr>
        <w:widowControl/>
        <w:tabs>
          <w:tab w:val="num" w:pos="360"/>
        </w:tabs>
        <w:jc w:val="both"/>
        <w:rPr>
          <w:rFonts w:ascii="Arial" w:hAnsi="Arial" w:cs="Arial"/>
          <w:color w:val="000000" w:themeColor="text1"/>
        </w:rPr>
      </w:pPr>
      <w:r w:rsidRPr="00D33399">
        <w:rPr>
          <w:rFonts w:ascii="Arial" w:hAnsi="Arial" w:cs="Arial"/>
          <w:color w:val="000000" w:themeColor="text1"/>
        </w:rPr>
        <w:t>Em 18 de março de 2020, a Eletrobras efetuou a liberação da terceira parcela, no valor de R$ 10.000, do Contrato nº ECF 3384/19, mediante solicitação de desembolso enviada pela ELETRONUCLEAR.</w:t>
      </w:r>
    </w:p>
    <w:p w14:paraId="0EF22A54" w14:textId="77777777" w:rsidR="00A77FAC" w:rsidRPr="00D33399" w:rsidRDefault="00A77FAC" w:rsidP="00070260">
      <w:pPr>
        <w:widowControl/>
        <w:tabs>
          <w:tab w:val="num" w:pos="360"/>
        </w:tabs>
        <w:jc w:val="both"/>
        <w:rPr>
          <w:rFonts w:ascii="Arial" w:hAnsi="Arial" w:cs="Arial"/>
          <w:color w:val="000000" w:themeColor="text1"/>
        </w:rPr>
      </w:pPr>
    </w:p>
    <w:p w14:paraId="4A41D34E" w14:textId="77777777" w:rsidR="00A77FAC" w:rsidRPr="00D33399" w:rsidRDefault="00A77FAC" w:rsidP="00A77FAC">
      <w:pPr>
        <w:widowControl/>
        <w:tabs>
          <w:tab w:val="num" w:pos="360"/>
        </w:tabs>
        <w:jc w:val="both"/>
        <w:rPr>
          <w:rFonts w:ascii="Arial" w:hAnsi="Arial" w:cs="Arial"/>
          <w:color w:val="000000" w:themeColor="text1"/>
        </w:rPr>
      </w:pPr>
      <w:r w:rsidRPr="00D33399">
        <w:rPr>
          <w:rFonts w:ascii="Arial" w:hAnsi="Arial" w:cs="Arial"/>
          <w:color w:val="000000" w:themeColor="text1"/>
        </w:rPr>
        <w:t>Em 15 de abril de 2020, a Eletrobras efetuou a liberação da quarta parcela, no valor de R$ 30.000, do Contrato nº ECF 3384/19, mediante solicitação de desembolso enviada pela ELETRONUCLEAR.</w:t>
      </w:r>
    </w:p>
    <w:p w14:paraId="5A5430B9" w14:textId="77777777" w:rsidR="00A77FAC" w:rsidRPr="00D33399" w:rsidRDefault="00A77FAC" w:rsidP="00A77FAC">
      <w:pPr>
        <w:widowControl/>
        <w:tabs>
          <w:tab w:val="num" w:pos="360"/>
        </w:tabs>
        <w:jc w:val="both"/>
        <w:rPr>
          <w:rFonts w:ascii="Arial" w:hAnsi="Arial" w:cs="Arial"/>
          <w:color w:val="000000" w:themeColor="text1"/>
        </w:rPr>
      </w:pPr>
    </w:p>
    <w:p w14:paraId="6ADE1DCB" w14:textId="77777777" w:rsidR="00A77FAC" w:rsidRPr="00D33399" w:rsidRDefault="00A77FAC" w:rsidP="00A77FAC">
      <w:pPr>
        <w:widowControl/>
        <w:tabs>
          <w:tab w:val="num" w:pos="360"/>
        </w:tabs>
        <w:jc w:val="both"/>
        <w:rPr>
          <w:rFonts w:ascii="Arial" w:hAnsi="Arial" w:cs="Arial"/>
          <w:color w:val="000000" w:themeColor="text1"/>
        </w:rPr>
      </w:pPr>
      <w:r w:rsidRPr="00D33399">
        <w:rPr>
          <w:rFonts w:ascii="Arial" w:hAnsi="Arial" w:cs="Arial"/>
          <w:color w:val="000000" w:themeColor="text1"/>
        </w:rPr>
        <w:lastRenderedPageBreak/>
        <w:t>Em 20 de maio de 2020, ocorreu a liberação da última parcela do Contrato nº ECF 3384/19, no montante de R$ 21.284, completando a linha total prevista no referido contrato de AFAC.</w:t>
      </w:r>
    </w:p>
    <w:p w14:paraId="6629E6DC" w14:textId="77777777" w:rsidR="00A77FAC" w:rsidRPr="00D33399" w:rsidRDefault="00A77FAC" w:rsidP="00A77FAC">
      <w:pPr>
        <w:widowControl/>
        <w:tabs>
          <w:tab w:val="num" w:pos="360"/>
        </w:tabs>
        <w:jc w:val="both"/>
        <w:rPr>
          <w:rFonts w:ascii="Arial" w:hAnsi="Arial" w:cs="Arial"/>
          <w:color w:val="000000" w:themeColor="text1"/>
        </w:rPr>
      </w:pPr>
    </w:p>
    <w:p w14:paraId="708A7856" w14:textId="77777777" w:rsidR="00A77FAC" w:rsidRPr="00D33399" w:rsidRDefault="00A77FAC" w:rsidP="00A77FAC">
      <w:pPr>
        <w:widowControl/>
        <w:tabs>
          <w:tab w:val="num" w:pos="360"/>
        </w:tabs>
        <w:jc w:val="both"/>
        <w:rPr>
          <w:rFonts w:ascii="Arial" w:hAnsi="Arial" w:cs="Arial"/>
          <w:color w:val="000000" w:themeColor="text1"/>
        </w:rPr>
      </w:pPr>
      <w:r w:rsidRPr="00D33399">
        <w:rPr>
          <w:rFonts w:ascii="Arial" w:hAnsi="Arial" w:cs="Arial"/>
          <w:color w:val="000000" w:themeColor="text1"/>
        </w:rPr>
        <w:t>Com o objetivo de iniciar o processo de conversão em capital dos Contratos de AFAC nº ECF 3381/19 e nº ECF 3384/19, que a ELETRONUCLEAR possui com a Eletrobras e que totalizam R$ 850.000, a Diretoria Executiva da companhia aprovou, em 15 de maio de 2020, por meio da RDE nº 1516.004/20, a conversão dos referidos valores em capital da ELETRONUCLEAR. O Conselho de Administração referendou a decisão em 19 de maio de 2020, por meio da Deliberação nº DCA 418.007/20.</w:t>
      </w:r>
    </w:p>
    <w:p w14:paraId="0B376319" w14:textId="77777777" w:rsidR="00A77FAC" w:rsidRPr="00D33399" w:rsidRDefault="00A77FAC" w:rsidP="00A77FAC">
      <w:pPr>
        <w:widowControl/>
        <w:tabs>
          <w:tab w:val="num" w:pos="360"/>
        </w:tabs>
        <w:jc w:val="both"/>
        <w:rPr>
          <w:rFonts w:ascii="Arial" w:hAnsi="Arial" w:cs="Arial"/>
          <w:color w:val="000000" w:themeColor="text1"/>
        </w:rPr>
      </w:pPr>
    </w:p>
    <w:p w14:paraId="6F36F4A8" w14:textId="4CF1E2AD" w:rsidR="00A77FAC" w:rsidRPr="00D33399" w:rsidRDefault="00A77FAC" w:rsidP="00A77FAC">
      <w:pPr>
        <w:widowControl/>
        <w:tabs>
          <w:tab w:val="num" w:pos="360"/>
        </w:tabs>
        <w:jc w:val="both"/>
        <w:rPr>
          <w:rFonts w:ascii="Arial" w:hAnsi="Arial" w:cs="Arial"/>
          <w:color w:val="000000" w:themeColor="text1"/>
        </w:rPr>
      </w:pPr>
      <w:r w:rsidRPr="00D33399">
        <w:rPr>
          <w:rFonts w:ascii="Arial" w:hAnsi="Arial" w:cs="Arial"/>
          <w:color w:val="000000" w:themeColor="text1"/>
        </w:rPr>
        <w:t>A Eletrobras também já realizou a aprovação da conversão do valor dos AFAC´s em capital da ELETRONUCLEAR em suas instâncias de governança, por meio da Resolução de sua Diretoria Executiva nº RES-351/2020 de 15 de junho de 2020, que foi ratificada pelo Conselho de Administração da holding, em 25 de junho, por meio da Deliberação nº DEL-106/2020.</w:t>
      </w:r>
    </w:p>
    <w:p w14:paraId="7691D97E" w14:textId="54519E06" w:rsidR="003E5803" w:rsidRPr="00D33399" w:rsidRDefault="003E5803" w:rsidP="00A77FAC">
      <w:pPr>
        <w:widowControl/>
        <w:tabs>
          <w:tab w:val="num" w:pos="360"/>
        </w:tabs>
        <w:jc w:val="both"/>
        <w:rPr>
          <w:rFonts w:ascii="Arial" w:hAnsi="Arial" w:cs="Arial"/>
        </w:rPr>
      </w:pPr>
    </w:p>
    <w:p w14:paraId="6DA60C27" w14:textId="6737DB91" w:rsidR="00FF5B00" w:rsidRPr="00D33399" w:rsidRDefault="00FF5B00" w:rsidP="00FF5B00">
      <w:pPr>
        <w:widowControl/>
        <w:tabs>
          <w:tab w:val="num" w:pos="360"/>
        </w:tabs>
        <w:jc w:val="both"/>
        <w:rPr>
          <w:rFonts w:ascii="Arial" w:hAnsi="Arial" w:cs="Arial"/>
        </w:rPr>
      </w:pPr>
      <w:r w:rsidRPr="00D33399">
        <w:rPr>
          <w:rFonts w:ascii="Arial" w:hAnsi="Arial" w:cs="Arial"/>
        </w:rPr>
        <w:t>Em 17 de Julho de 2020, o Conselho de Administração da Eletrobras aprovou o Plano de Aceleração da Linha Crítica do empreendimento de Angra 3, que prevê o aporte pela holding na ELETRONUCLEAR, por meio de Adiantamentos para Futuro Aumento de Capital – AFAC, de cerca de R$ 1.052.000 no ano de 2020 e de aproximadamente R$ 2.447.000 em 2021, para viabilizar a retomada das obras de construção da Usina de Angra 3. O referido plano de aceleração do empreendimento foi aprovado nas instâncias de governança internas da ELETRONCULEAR pela sua Diretoria Executiva em 15 de maio e pelo seu Conselho de Administração em 19 de maio.</w:t>
      </w:r>
    </w:p>
    <w:p w14:paraId="162D1D72" w14:textId="77777777" w:rsidR="00FF5B00" w:rsidRPr="00D33399" w:rsidRDefault="00FF5B00" w:rsidP="00FF5B00">
      <w:pPr>
        <w:widowControl/>
        <w:tabs>
          <w:tab w:val="num" w:pos="360"/>
        </w:tabs>
        <w:jc w:val="both"/>
        <w:rPr>
          <w:rFonts w:ascii="Arial" w:hAnsi="Arial" w:cs="Arial"/>
        </w:rPr>
      </w:pPr>
    </w:p>
    <w:p w14:paraId="5BCF59D5" w14:textId="64EF2636" w:rsidR="00FF5B00" w:rsidRPr="00D33399" w:rsidRDefault="00FF5B00" w:rsidP="00FF5B00">
      <w:pPr>
        <w:widowControl/>
        <w:tabs>
          <w:tab w:val="num" w:pos="360"/>
        </w:tabs>
        <w:jc w:val="both"/>
        <w:rPr>
          <w:rFonts w:ascii="Arial" w:hAnsi="Arial" w:cs="Arial"/>
        </w:rPr>
      </w:pPr>
      <w:r w:rsidRPr="00D33399">
        <w:rPr>
          <w:rFonts w:ascii="Arial" w:hAnsi="Arial" w:cs="Arial"/>
        </w:rPr>
        <w:t>Em 05 de Agosto de 2020, foi formalizado o Contrato nº ECF 3387/20, assinado pelas diretorias da ELETRONUCLEAR e da Eletrobras, com a previsão de aportes na forma de Adiantamento para Futuro Aumento de Capital – AFAC, previstos no Plano de Aceleração da Linha Crítica de Angra 3 em 2020 e 2021.</w:t>
      </w:r>
    </w:p>
    <w:p w14:paraId="3CB61BCB" w14:textId="77777777" w:rsidR="00FF5B00" w:rsidRPr="00D33399" w:rsidRDefault="00FF5B00" w:rsidP="00FF5B00">
      <w:pPr>
        <w:widowControl/>
        <w:tabs>
          <w:tab w:val="num" w:pos="360"/>
        </w:tabs>
        <w:jc w:val="both"/>
        <w:rPr>
          <w:rFonts w:ascii="Arial" w:hAnsi="Arial" w:cs="Arial"/>
        </w:rPr>
      </w:pPr>
    </w:p>
    <w:p w14:paraId="3155054D" w14:textId="3832C794" w:rsidR="00FF5B00" w:rsidRPr="00D33399" w:rsidRDefault="00FF5B00" w:rsidP="00FF5B00">
      <w:pPr>
        <w:widowControl/>
        <w:tabs>
          <w:tab w:val="num" w:pos="360"/>
        </w:tabs>
        <w:jc w:val="both"/>
        <w:rPr>
          <w:rFonts w:ascii="Arial" w:hAnsi="Arial" w:cs="Arial"/>
        </w:rPr>
      </w:pPr>
      <w:r w:rsidRPr="00D33399">
        <w:rPr>
          <w:rFonts w:ascii="Arial" w:hAnsi="Arial" w:cs="Arial"/>
        </w:rPr>
        <w:t xml:space="preserve">Conforme cláusulas contratuais, assim como os contratos anteriores da mesma natureza, o valor do AFAC será capitalizado, por meio de aumento de capital, após a ELETRONUCLEAR ter cumprido todas as disposições necessárias para a formalização do instrumento. </w:t>
      </w:r>
    </w:p>
    <w:p w14:paraId="25B92A8C" w14:textId="77777777" w:rsidR="00FF5B00" w:rsidRPr="00D33399" w:rsidRDefault="00FF5B00" w:rsidP="00FF5B00">
      <w:pPr>
        <w:widowControl/>
        <w:tabs>
          <w:tab w:val="num" w:pos="360"/>
        </w:tabs>
        <w:jc w:val="both"/>
        <w:rPr>
          <w:rFonts w:ascii="Arial" w:hAnsi="Arial" w:cs="Arial"/>
        </w:rPr>
      </w:pPr>
    </w:p>
    <w:p w14:paraId="4BA212F4" w14:textId="0F1F547B" w:rsidR="00FF5B00" w:rsidRPr="00D33399" w:rsidRDefault="00FF5B00" w:rsidP="00FF5B00">
      <w:pPr>
        <w:widowControl/>
        <w:tabs>
          <w:tab w:val="num" w:pos="360"/>
        </w:tabs>
        <w:jc w:val="both"/>
        <w:rPr>
          <w:rFonts w:ascii="Arial" w:hAnsi="Arial" w:cs="Arial"/>
        </w:rPr>
      </w:pPr>
      <w:r w:rsidRPr="00D33399">
        <w:rPr>
          <w:rFonts w:ascii="Arial" w:hAnsi="Arial" w:cs="Arial"/>
        </w:rPr>
        <w:t>Em 26 de Agosto de 2020, houve a realização da primeira liberação no âmbito do Contrato nº ECF 3387/20 no valor de R$ 371.000.</w:t>
      </w:r>
    </w:p>
    <w:p w14:paraId="63C6DA4A" w14:textId="12011DEE" w:rsidR="00D45420" w:rsidRPr="00D33399" w:rsidRDefault="00D45420" w:rsidP="00D45420">
      <w:pPr>
        <w:tabs>
          <w:tab w:val="num" w:pos="360"/>
        </w:tabs>
        <w:spacing w:before="100" w:beforeAutospacing="1" w:after="100" w:afterAutospacing="1"/>
        <w:jc w:val="both"/>
        <w:rPr>
          <w:color w:val="000000"/>
        </w:rPr>
      </w:pPr>
      <w:r w:rsidRPr="00D33399">
        <w:rPr>
          <w:rFonts w:ascii="Arial" w:hAnsi="Arial" w:cs="Arial"/>
        </w:rPr>
        <w:t>Em 30 de setembro de 2020, foi registrada variação monetária no valor de R$ 11.349, referente à atualização pela Selic da primeira liberação do Contrato de AFAC nº ECF-3381/19, ocorrida em 01 de agosto de 2019, conforme Cláusula contratual que previa atualização do valor concedido pela Selic caso o prazo para efetivação do aumento de capital fosse superior a um ano.</w:t>
      </w:r>
    </w:p>
    <w:p w14:paraId="06F8BDAF" w14:textId="77777777" w:rsidR="00F57768" w:rsidRPr="00D33399" w:rsidRDefault="00F57768" w:rsidP="00070260">
      <w:pPr>
        <w:pStyle w:val="PargrafodaLista"/>
        <w:widowControl/>
        <w:tabs>
          <w:tab w:val="center" w:pos="426"/>
          <w:tab w:val="right" w:pos="8838"/>
        </w:tabs>
        <w:ind w:left="0"/>
        <w:jc w:val="both"/>
        <w:rPr>
          <w:rFonts w:ascii="Arial" w:hAnsi="Arial" w:cs="Arial"/>
          <w:b/>
          <w:sz w:val="26"/>
          <w:szCs w:val="26"/>
        </w:rPr>
      </w:pPr>
      <w:r w:rsidRPr="00D33399">
        <w:rPr>
          <w:rFonts w:ascii="Arial" w:hAnsi="Arial" w:cs="Arial"/>
          <w:b/>
          <w:sz w:val="26"/>
          <w:szCs w:val="26"/>
        </w:rPr>
        <w:lastRenderedPageBreak/>
        <w:t>NOTA 26 – ARRENDAMENTO MERCANTIL</w:t>
      </w:r>
    </w:p>
    <w:p w14:paraId="0F91911C" w14:textId="77777777" w:rsidR="00F57768" w:rsidRPr="00D33399" w:rsidRDefault="00F57768" w:rsidP="005144E2">
      <w:pPr>
        <w:widowControl/>
        <w:jc w:val="both"/>
        <w:rPr>
          <w:rFonts w:ascii="Arial" w:hAnsi="Arial" w:cs="Arial"/>
          <w:b/>
        </w:rPr>
      </w:pPr>
    </w:p>
    <w:p w14:paraId="5E788AEE" w14:textId="77777777" w:rsidR="00F16680" w:rsidRPr="00D33399" w:rsidRDefault="00F16680" w:rsidP="005144E2">
      <w:pPr>
        <w:widowControl/>
        <w:jc w:val="both"/>
        <w:rPr>
          <w:rFonts w:ascii="Arial" w:hAnsi="Arial" w:cs="Arial"/>
          <w:b/>
        </w:rPr>
      </w:pPr>
    </w:p>
    <w:p w14:paraId="5176A94C" w14:textId="77777777" w:rsidR="00F57768" w:rsidRPr="00D33399" w:rsidRDefault="00F57768" w:rsidP="005144E2">
      <w:pPr>
        <w:jc w:val="both"/>
        <w:rPr>
          <w:rFonts w:ascii="Arial" w:hAnsi="Arial" w:cs="Arial"/>
          <w:b/>
          <w:bCs/>
        </w:rPr>
      </w:pPr>
      <w:r w:rsidRPr="00D33399">
        <w:rPr>
          <w:rFonts w:ascii="Arial" w:hAnsi="Arial" w:cs="Arial"/>
          <w:b/>
        </w:rPr>
        <w:t xml:space="preserve">IFRS 16/CPC 06 – </w:t>
      </w:r>
      <w:r w:rsidRPr="00D33399">
        <w:rPr>
          <w:rFonts w:ascii="Arial" w:hAnsi="Arial" w:cs="Arial"/>
          <w:b/>
          <w:i/>
        </w:rPr>
        <w:t>Leases</w:t>
      </w:r>
      <w:r w:rsidRPr="00D33399">
        <w:rPr>
          <w:rFonts w:ascii="Arial" w:hAnsi="Arial" w:cs="Arial"/>
          <w:b/>
        </w:rPr>
        <w:t xml:space="preserve"> (Arrendamentos)</w:t>
      </w:r>
    </w:p>
    <w:p w14:paraId="5049A479" w14:textId="77777777" w:rsidR="00F57768" w:rsidRPr="00D33399" w:rsidRDefault="00F57768" w:rsidP="005144E2">
      <w:pPr>
        <w:adjustRightInd w:val="0"/>
        <w:jc w:val="both"/>
        <w:rPr>
          <w:rFonts w:ascii="Arial" w:hAnsi="Arial" w:cs="Arial"/>
        </w:rPr>
      </w:pPr>
    </w:p>
    <w:p w14:paraId="343783F5" w14:textId="77777777" w:rsidR="00F57768" w:rsidRPr="00D33399" w:rsidRDefault="00D45F8A" w:rsidP="005144E2">
      <w:pPr>
        <w:adjustRightInd w:val="0"/>
        <w:jc w:val="both"/>
        <w:rPr>
          <w:rFonts w:ascii="Arial" w:hAnsi="Arial" w:cs="Arial"/>
        </w:rPr>
      </w:pPr>
      <w:r w:rsidRPr="00D33399">
        <w:rPr>
          <w:rFonts w:ascii="Arial" w:hAnsi="Arial" w:cs="Arial"/>
        </w:rPr>
        <w:t>A adoção inicial do CPC 06(R2)</w:t>
      </w:r>
      <w:r w:rsidR="00F57768" w:rsidRPr="00D33399">
        <w:rPr>
          <w:rFonts w:ascii="Arial" w:hAnsi="Arial" w:cs="Arial"/>
        </w:rPr>
        <w:t>/IFRS 16 foi em 01</w:t>
      </w:r>
      <w:r w:rsidR="009C06F5" w:rsidRPr="00D33399">
        <w:rPr>
          <w:rFonts w:ascii="Arial" w:hAnsi="Arial" w:cs="Arial"/>
        </w:rPr>
        <w:t xml:space="preserve"> de janeiro de 2019</w:t>
      </w:r>
      <w:r w:rsidR="00F57768" w:rsidRPr="00D33399">
        <w:rPr>
          <w:rFonts w:ascii="Arial" w:hAnsi="Arial" w:cs="Arial"/>
        </w:rPr>
        <w:t xml:space="preserve"> numa abordagem retrospectiva modificativa, com uma taxa incremental de 8,82% a.a.</w:t>
      </w:r>
    </w:p>
    <w:p w14:paraId="50CE2B37" w14:textId="77777777" w:rsidR="00F57768" w:rsidRPr="00D33399" w:rsidRDefault="00F57768" w:rsidP="005144E2">
      <w:pPr>
        <w:adjustRightInd w:val="0"/>
        <w:jc w:val="both"/>
        <w:rPr>
          <w:rFonts w:ascii="Arial" w:hAnsi="Arial" w:cs="Arial"/>
        </w:rPr>
      </w:pPr>
    </w:p>
    <w:p w14:paraId="105CB553" w14:textId="77777777" w:rsidR="00F57768" w:rsidRPr="00D33399" w:rsidRDefault="00F57768" w:rsidP="005144E2">
      <w:pPr>
        <w:adjustRightInd w:val="0"/>
        <w:jc w:val="both"/>
        <w:rPr>
          <w:rFonts w:ascii="Arial" w:hAnsi="Arial" w:cs="Arial"/>
        </w:rPr>
      </w:pPr>
      <w:r w:rsidRPr="00D33399">
        <w:rPr>
          <w:rFonts w:ascii="Arial" w:hAnsi="Arial" w:cs="Arial"/>
        </w:rPr>
        <w:t>O quadro abaixo apresenta os saldos contábeis após a adoção da norma:</w:t>
      </w:r>
    </w:p>
    <w:p w14:paraId="5255340C" w14:textId="77777777" w:rsidR="00235D44" w:rsidRPr="00D33399" w:rsidRDefault="00235D44" w:rsidP="005144E2">
      <w:pPr>
        <w:adjustRightInd w:val="0"/>
        <w:jc w:val="both"/>
        <w:rPr>
          <w:rFonts w:ascii="Arial" w:hAnsi="Arial" w:cs="Arial"/>
          <w:sz w:val="16"/>
          <w:szCs w:val="16"/>
        </w:rPr>
      </w:pPr>
    </w:p>
    <w:p w14:paraId="4FA4EA8C" w14:textId="55A77337" w:rsidR="00F57768" w:rsidRPr="00D33399" w:rsidRDefault="00C22E75" w:rsidP="005144E2">
      <w:pPr>
        <w:widowControl/>
        <w:jc w:val="both"/>
        <w:rPr>
          <w:rFonts w:ascii="Arial" w:hAnsi="Arial" w:cs="Arial"/>
          <w:b/>
          <w:sz w:val="16"/>
          <w:szCs w:val="16"/>
        </w:rPr>
      </w:pPr>
      <w:r w:rsidRPr="00C22E75">
        <w:rPr>
          <w:noProof/>
        </w:rPr>
        <w:drawing>
          <wp:inline distT="0" distB="0" distL="0" distR="0" wp14:anchorId="5267E1FF" wp14:editId="4E134E16">
            <wp:extent cx="5591175" cy="2247900"/>
            <wp:effectExtent l="0" t="0" r="9525"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591175" cy="2247900"/>
                    </a:xfrm>
                    <a:prstGeom prst="rect">
                      <a:avLst/>
                    </a:prstGeom>
                    <a:noFill/>
                    <a:ln>
                      <a:noFill/>
                    </a:ln>
                  </pic:spPr>
                </pic:pic>
              </a:graphicData>
            </a:graphic>
          </wp:inline>
        </w:drawing>
      </w:r>
    </w:p>
    <w:p w14:paraId="527FD8FE" w14:textId="56E8BEBB" w:rsidR="00596A76" w:rsidRPr="00D33399" w:rsidRDefault="00596A76" w:rsidP="005144E2">
      <w:pPr>
        <w:widowControl/>
        <w:jc w:val="both"/>
        <w:rPr>
          <w:rFonts w:ascii="Arial" w:hAnsi="Arial" w:cs="Arial"/>
          <w:b/>
        </w:rPr>
      </w:pPr>
    </w:p>
    <w:p w14:paraId="0DB46B7B" w14:textId="77777777" w:rsidR="00596A76" w:rsidRPr="00D33399" w:rsidRDefault="00596A76" w:rsidP="005144E2">
      <w:pPr>
        <w:widowControl/>
        <w:jc w:val="both"/>
        <w:rPr>
          <w:rFonts w:ascii="Arial" w:hAnsi="Arial" w:cs="Arial"/>
          <w:b/>
          <w:sz w:val="16"/>
          <w:szCs w:val="16"/>
        </w:rPr>
      </w:pPr>
    </w:p>
    <w:p w14:paraId="38433AC4" w14:textId="77777777" w:rsidR="00F57768" w:rsidRPr="00A94F76" w:rsidRDefault="00F57768" w:rsidP="005144E2">
      <w:pPr>
        <w:widowControl/>
        <w:jc w:val="both"/>
        <w:rPr>
          <w:rFonts w:ascii="Arial" w:hAnsi="Arial" w:cs="Arial"/>
        </w:rPr>
      </w:pPr>
      <w:r w:rsidRPr="00A94F76">
        <w:rPr>
          <w:rFonts w:ascii="Arial" w:hAnsi="Arial" w:cs="Arial"/>
        </w:rPr>
        <w:t>Movimentação dos ativos e passivo de arrendamento mercantil – IFRS 16</w:t>
      </w:r>
      <w:r w:rsidR="009C06F5" w:rsidRPr="00A94F76">
        <w:rPr>
          <w:rFonts w:ascii="Arial" w:hAnsi="Arial" w:cs="Arial"/>
        </w:rPr>
        <w:t>:</w:t>
      </w:r>
    </w:p>
    <w:p w14:paraId="0632334B" w14:textId="77777777" w:rsidR="00F57768" w:rsidRPr="00D33399" w:rsidRDefault="00F57768" w:rsidP="005144E2">
      <w:pPr>
        <w:widowControl/>
        <w:jc w:val="both"/>
        <w:rPr>
          <w:rFonts w:ascii="Arial" w:hAnsi="Arial" w:cs="Arial"/>
          <w:b/>
          <w:sz w:val="16"/>
          <w:szCs w:val="16"/>
        </w:rPr>
      </w:pPr>
    </w:p>
    <w:p w14:paraId="7CD77204" w14:textId="72F87EB6" w:rsidR="00596A76" w:rsidRPr="00D33399" w:rsidRDefault="00C22E75" w:rsidP="005144E2">
      <w:pPr>
        <w:widowControl/>
        <w:jc w:val="both"/>
        <w:rPr>
          <w:rFonts w:ascii="Arial" w:hAnsi="Arial" w:cs="Arial"/>
          <w:b/>
        </w:rPr>
      </w:pPr>
      <w:r w:rsidRPr="00C22E75">
        <w:rPr>
          <w:noProof/>
        </w:rPr>
        <w:drawing>
          <wp:inline distT="0" distB="0" distL="0" distR="0" wp14:anchorId="58864275" wp14:editId="32AEB23C">
            <wp:extent cx="5934075" cy="1114425"/>
            <wp:effectExtent l="0" t="0" r="9525" b="952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34075" cy="1114425"/>
                    </a:xfrm>
                    <a:prstGeom prst="rect">
                      <a:avLst/>
                    </a:prstGeom>
                    <a:noFill/>
                    <a:ln>
                      <a:noFill/>
                    </a:ln>
                  </pic:spPr>
                </pic:pic>
              </a:graphicData>
            </a:graphic>
          </wp:inline>
        </w:drawing>
      </w:r>
    </w:p>
    <w:p w14:paraId="5C38FB81" w14:textId="77777777" w:rsidR="00235D44" w:rsidRPr="00D33399" w:rsidRDefault="00235D44" w:rsidP="005144E2">
      <w:pPr>
        <w:widowControl/>
        <w:jc w:val="both"/>
        <w:rPr>
          <w:rFonts w:ascii="Arial" w:hAnsi="Arial" w:cs="Arial"/>
          <w:b/>
          <w:sz w:val="16"/>
          <w:szCs w:val="16"/>
        </w:rPr>
      </w:pPr>
    </w:p>
    <w:p w14:paraId="2EE388B8" w14:textId="5535A565" w:rsidR="00F16680" w:rsidRPr="00D33399" w:rsidRDefault="00C22E75" w:rsidP="005144E2">
      <w:pPr>
        <w:pStyle w:val="PargrafodaLista"/>
        <w:widowControl/>
        <w:tabs>
          <w:tab w:val="center" w:pos="426"/>
          <w:tab w:val="right" w:pos="8838"/>
        </w:tabs>
        <w:ind w:left="0"/>
        <w:jc w:val="both"/>
        <w:rPr>
          <w:rFonts w:ascii="Arial" w:hAnsi="Arial" w:cs="Arial"/>
          <w:b/>
        </w:rPr>
      </w:pPr>
      <w:r w:rsidRPr="00C22E75">
        <w:rPr>
          <w:rFonts w:ascii="Arial" w:hAnsi="Arial" w:cs="Arial"/>
          <w:b/>
        </w:rPr>
        <w:t xml:space="preserve"> </w:t>
      </w:r>
      <w:r w:rsidRPr="00C22E75">
        <w:rPr>
          <w:noProof/>
        </w:rPr>
        <w:drawing>
          <wp:inline distT="0" distB="0" distL="0" distR="0" wp14:anchorId="01773347" wp14:editId="1F0C68F9">
            <wp:extent cx="6073140" cy="2083769"/>
            <wp:effectExtent l="0" t="0" r="381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073140" cy="2083769"/>
                    </a:xfrm>
                    <a:prstGeom prst="rect">
                      <a:avLst/>
                    </a:prstGeom>
                    <a:noFill/>
                    <a:ln>
                      <a:noFill/>
                    </a:ln>
                  </pic:spPr>
                </pic:pic>
              </a:graphicData>
            </a:graphic>
          </wp:inline>
        </w:drawing>
      </w:r>
    </w:p>
    <w:p w14:paraId="156EC0B4" w14:textId="061972DA" w:rsidR="0074588C" w:rsidRPr="00D33399" w:rsidRDefault="0074588C" w:rsidP="0074588C">
      <w:pPr>
        <w:widowControl/>
        <w:jc w:val="both"/>
        <w:rPr>
          <w:rFonts w:ascii="Arial" w:hAnsi="Arial" w:cs="Arial"/>
          <w:b/>
          <w:sz w:val="26"/>
          <w:szCs w:val="26"/>
        </w:rPr>
      </w:pPr>
      <w:r w:rsidRPr="00B44FD4">
        <w:rPr>
          <w:rFonts w:ascii="Arial" w:hAnsi="Arial" w:cs="Arial"/>
          <w:b/>
          <w:sz w:val="26"/>
          <w:szCs w:val="26"/>
        </w:rPr>
        <w:lastRenderedPageBreak/>
        <w:t>NOTA 27– RESSARCIMENTO DE CLIENTE</w:t>
      </w:r>
    </w:p>
    <w:p w14:paraId="6A00C53F" w14:textId="77777777" w:rsidR="00794D18" w:rsidRDefault="00794D18" w:rsidP="005144E2">
      <w:pPr>
        <w:pStyle w:val="PargrafodaLista"/>
        <w:widowControl/>
        <w:tabs>
          <w:tab w:val="center" w:pos="426"/>
          <w:tab w:val="right" w:pos="8838"/>
        </w:tabs>
        <w:ind w:left="0"/>
        <w:jc w:val="both"/>
        <w:rPr>
          <w:rFonts w:ascii="Arial" w:hAnsi="Arial" w:cs="Arial"/>
          <w:b/>
        </w:rPr>
      </w:pPr>
    </w:p>
    <w:p w14:paraId="179B7859" w14:textId="77777777" w:rsidR="00A94F76" w:rsidRDefault="00A94F76" w:rsidP="005144E2">
      <w:pPr>
        <w:pStyle w:val="PargrafodaLista"/>
        <w:widowControl/>
        <w:tabs>
          <w:tab w:val="center" w:pos="426"/>
          <w:tab w:val="right" w:pos="8838"/>
        </w:tabs>
        <w:ind w:left="0"/>
        <w:jc w:val="both"/>
        <w:rPr>
          <w:rFonts w:ascii="Arial" w:hAnsi="Arial" w:cs="Arial"/>
          <w:b/>
        </w:rPr>
      </w:pPr>
    </w:p>
    <w:p w14:paraId="4264AD32" w14:textId="77777777" w:rsidR="00A94F76" w:rsidRPr="00D33399" w:rsidRDefault="00A94F76" w:rsidP="005144E2">
      <w:pPr>
        <w:pStyle w:val="PargrafodaLista"/>
        <w:widowControl/>
        <w:tabs>
          <w:tab w:val="center" w:pos="426"/>
          <w:tab w:val="right" w:pos="8838"/>
        </w:tabs>
        <w:ind w:left="0"/>
        <w:jc w:val="both"/>
        <w:rPr>
          <w:rFonts w:ascii="Arial" w:hAnsi="Arial" w:cs="Arial"/>
          <w:b/>
        </w:rPr>
      </w:pPr>
    </w:p>
    <w:p w14:paraId="3E43352C" w14:textId="2C6D16EE" w:rsidR="0074588C" w:rsidRDefault="00B44FD4" w:rsidP="005144E2">
      <w:pPr>
        <w:widowControl/>
        <w:jc w:val="both"/>
        <w:rPr>
          <w:rFonts w:ascii="Arial" w:hAnsi="Arial" w:cs="Arial"/>
          <w:b/>
          <w:sz w:val="26"/>
          <w:szCs w:val="26"/>
        </w:rPr>
      </w:pPr>
      <w:r w:rsidRPr="00B44FD4">
        <w:rPr>
          <w:noProof/>
        </w:rPr>
        <w:drawing>
          <wp:inline distT="0" distB="0" distL="0" distR="0" wp14:anchorId="2B906BFE" wp14:editId="758C8F94">
            <wp:extent cx="5708650" cy="1257300"/>
            <wp:effectExtent l="0" t="0" r="635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08650" cy="1257300"/>
                    </a:xfrm>
                    <a:prstGeom prst="rect">
                      <a:avLst/>
                    </a:prstGeom>
                    <a:noFill/>
                    <a:ln>
                      <a:noFill/>
                    </a:ln>
                  </pic:spPr>
                </pic:pic>
              </a:graphicData>
            </a:graphic>
          </wp:inline>
        </w:drawing>
      </w:r>
    </w:p>
    <w:p w14:paraId="5DCF3D8E" w14:textId="77777777" w:rsidR="0074588C" w:rsidRDefault="0074588C" w:rsidP="005144E2">
      <w:pPr>
        <w:widowControl/>
        <w:jc w:val="both"/>
        <w:rPr>
          <w:rFonts w:ascii="Arial" w:hAnsi="Arial" w:cs="Arial"/>
          <w:b/>
          <w:sz w:val="26"/>
          <w:szCs w:val="26"/>
        </w:rPr>
      </w:pPr>
    </w:p>
    <w:p w14:paraId="705F4497" w14:textId="77777777" w:rsidR="004A65D3" w:rsidRPr="004A65D3" w:rsidRDefault="004A65D3" w:rsidP="00067006">
      <w:pPr>
        <w:numPr>
          <w:ilvl w:val="0"/>
          <w:numId w:val="24"/>
        </w:numPr>
        <w:ind w:left="425" w:hanging="425"/>
        <w:contextualSpacing/>
        <w:jc w:val="both"/>
        <w:rPr>
          <w:rFonts w:ascii="Arial" w:hAnsi="Arial" w:cs="Arial"/>
          <w:lang w:eastAsia="en-GB"/>
        </w:rPr>
      </w:pPr>
      <w:r w:rsidRPr="004A65D3">
        <w:rPr>
          <w:rFonts w:ascii="Arial" w:hAnsi="Arial" w:cs="Arial"/>
          <w:lang w:eastAsia="en-GB"/>
        </w:rPr>
        <w:t>O desvio negativo (ressarcimento) de R$ 361.989, registrado em setembro de 2020, é em decorrência de a energia fornecida ter sido menor que a energia garantida para o período, visto que o tempo de parada de manutenção da Usina de Angra 2 foi superior ao programado para o ano (vide nota 4d e nota 8).  Ele corresponde a quantidade de energia entregue a menor em 2020 valorado ao máximo entre o PLD médio do ano de referência e deverá ser ressarcido a todas concessionárias, permissionárias ou autorizadas de serviço público de distribuição do Sistema Interligado Nacional – SIN, em parcelas duodecimais, a partir de fevereiro de 2021.</w:t>
      </w:r>
    </w:p>
    <w:p w14:paraId="665FE0EA" w14:textId="77777777" w:rsidR="0074588C" w:rsidRDefault="0074588C" w:rsidP="005144E2">
      <w:pPr>
        <w:widowControl/>
        <w:jc w:val="both"/>
        <w:rPr>
          <w:rFonts w:ascii="Arial" w:hAnsi="Arial" w:cs="Arial"/>
          <w:b/>
          <w:sz w:val="26"/>
          <w:szCs w:val="26"/>
        </w:rPr>
      </w:pPr>
    </w:p>
    <w:p w14:paraId="12F6E2D4" w14:textId="77777777" w:rsidR="0074588C" w:rsidRDefault="0074588C" w:rsidP="005144E2">
      <w:pPr>
        <w:widowControl/>
        <w:jc w:val="both"/>
        <w:rPr>
          <w:rFonts w:ascii="Arial" w:hAnsi="Arial" w:cs="Arial"/>
          <w:b/>
          <w:sz w:val="26"/>
          <w:szCs w:val="26"/>
        </w:rPr>
      </w:pPr>
    </w:p>
    <w:p w14:paraId="44B29FCF" w14:textId="77777777" w:rsidR="0074588C" w:rsidRDefault="0074588C" w:rsidP="005144E2">
      <w:pPr>
        <w:widowControl/>
        <w:jc w:val="both"/>
        <w:rPr>
          <w:rFonts w:ascii="Arial" w:hAnsi="Arial" w:cs="Arial"/>
          <w:b/>
          <w:sz w:val="26"/>
          <w:szCs w:val="26"/>
        </w:rPr>
      </w:pPr>
    </w:p>
    <w:p w14:paraId="6F0EF35F" w14:textId="10DAEA2A" w:rsidR="003F4719" w:rsidRPr="00D33399" w:rsidRDefault="003F4719" w:rsidP="005144E2">
      <w:pPr>
        <w:widowControl/>
        <w:jc w:val="both"/>
        <w:rPr>
          <w:rFonts w:ascii="Arial" w:hAnsi="Arial" w:cs="Arial"/>
          <w:b/>
          <w:sz w:val="26"/>
          <w:szCs w:val="26"/>
        </w:rPr>
      </w:pPr>
      <w:r w:rsidRPr="00D33399">
        <w:rPr>
          <w:rFonts w:ascii="Arial" w:hAnsi="Arial" w:cs="Arial"/>
          <w:b/>
          <w:sz w:val="26"/>
          <w:szCs w:val="26"/>
        </w:rPr>
        <w:t xml:space="preserve">NOTA </w:t>
      </w:r>
      <w:r w:rsidR="0090774D" w:rsidRPr="00D33399">
        <w:rPr>
          <w:rFonts w:ascii="Arial" w:hAnsi="Arial" w:cs="Arial"/>
          <w:b/>
          <w:sz w:val="26"/>
          <w:szCs w:val="26"/>
        </w:rPr>
        <w:t>2</w:t>
      </w:r>
      <w:r w:rsidR="0074588C">
        <w:rPr>
          <w:rFonts w:ascii="Arial" w:hAnsi="Arial" w:cs="Arial"/>
          <w:b/>
          <w:sz w:val="26"/>
          <w:szCs w:val="26"/>
        </w:rPr>
        <w:t>8</w:t>
      </w:r>
      <w:r w:rsidRPr="00D33399">
        <w:rPr>
          <w:rFonts w:ascii="Arial" w:hAnsi="Arial" w:cs="Arial"/>
          <w:b/>
          <w:sz w:val="26"/>
          <w:szCs w:val="26"/>
        </w:rPr>
        <w:t>– PATRIMÔNIO LÍQUIDO</w:t>
      </w:r>
    </w:p>
    <w:p w14:paraId="2B9B65BF" w14:textId="77777777" w:rsidR="00C93BD2" w:rsidRPr="00D33399" w:rsidRDefault="00C93BD2" w:rsidP="005144E2">
      <w:pPr>
        <w:keepNext/>
        <w:widowControl/>
        <w:jc w:val="both"/>
        <w:outlineLvl w:val="3"/>
        <w:rPr>
          <w:rFonts w:ascii="Arial" w:hAnsi="Arial" w:cs="Arial"/>
          <w:b/>
        </w:rPr>
      </w:pPr>
    </w:p>
    <w:p w14:paraId="039B08F6" w14:textId="77777777" w:rsidR="00EA6C13" w:rsidRPr="00D33399" w:rsidRDefault="00EA6C13" w:rsidP="005144E2">
      <w:pPr>
        <w:keepNext/>
        <w:widowControl/>
        <w:jc w:val="both"/>
        <w:outlineLvl w:val="3"/>
        <w:rPr>
          <w:rFonts w:ascii="Arial" w:hAnsi="Arial" w:cs="Arial"/>
          <w:b/>
        </w:rPr>
      </w:pPr>
    </w:p>
    <w:p w14:paraId="6DB37E29" w14:textId="77777777" w:rsidR="003F4719" w:rsidRPr="00D33399" w:rsidRDefault="003F4719" w:rsidP="005144E2">
      <w:pPr>
        <w:keepNext/>
        <w:widowControl/>
        <w:jc w:val="both"/>
        <w:outlineLvl w:val="3"/>
        <w:rPr>
          <w:rFonts w:ascii="Arial" w:hAnsi="Arial" w:cs="Arial"/>
          <w:b/>
        </w:rPr>
      </w:pPr>
      <w:r w:rsidRPr="00D33399">
        <w:rPr>
          <w:rFonts w:ascii="Arial" w:hAnsi="Arial" w:cs="Arial"/>
          <w:b/>
        </w:rPr>
        <w:t>Composição acionária</w:t>
      </w:r>
    </w:p>
    <w:p w14:paraId="19FBDEF6" w14:textId="77777777" w:rsidR="002C4F73" w:rsidRPr="00D33399" w:rsidRDefault="003D44F9" w:rsidP="005144E2">
      <w:pPr>
        <w:widowControl/>
        <w:jc w:val="both"/>
        <w:rPr>
          <w:rFonts w:ascii="Arial" w:hAnsi="Arial" w:cs="Arial"/>
        </w:rPr>
      </w:pPr>
      <w:r w:rsidRPr="00D33399">
        <w:rPr>
          <w:rFonts w:ascii="Arial" w:hAnsi="Arial" w:cs="Arial"/>
        </w:rPr>
        <w:object w:dxaOrig="13252" w:dyaOrig="3218" w14:anchorId="3912EF48">
          <v:shape id="_x0000_i1026" type="#_x0000_t75" style="width:499pt;height:123.5pt" o:ole="">
            <v:imagedata r:id="rId60" o:title=""/>
          </v:shape>
          <o:OLEObject Type="Embed" ProgID="Excel.Sheet.8" ShapeID="_x0000_i1026" DrawAspect="Content" ObjectID="_1666527504" r:id="rId61"/>
        </w:object>
      </w:r>
    </w:p>
    <w:p w14:paraId="6EA544C7" w14:textId="77777777" w:rsidR="003F4719" w:rsidRPr="00D33399" w:rsidRDefault="003F4719" w:rsidP="005144E2">
      <w:pPr>
        <w:keepNext/>
        <w:widowControl/>
        <w:jc w:val="both"/>
        <w:outlineLvl w:val="3"/>
        <w:rPr>
          <w:rFonts w:ascii="Arial" w:hAnsi="Arial" w:cs="Arial"/>
        </w:rPr>
      </w:pPr>
      <w:r w:rsidRPr="00D33399">
        <w:rPr>
          <w:rFonts w:ascii="Arial" w:hAnsi="Arial" w:cs="Arial"/>
        </w:rPr>
        <w:lastRenderedPageBreak/>
        <w:t>Todas as ações são nominativas e sem valor nominal, sendo as ordinárias com direito a voto.</w:t>
      </w:r>
    </w:p>
    <w:p w14:paraId="554C7616" w14:textId="77777777" w:rsidR="003F4719" w:rsidRPr="00D33399" w:rsidRDefault="003F4719" w:rsidP="005144E2">
      <w:pPr>
        <w:keepNext/>
        <w:widowControl/>
        <w:jc w:val="both"/>
        <w:outlineLvl w:val="3"/>
        <w:rPr>
          <w:rFonts w:ascii="Arial" w:hAnsi="Arial" w:cs="Arial"/>
        </w:rPr>
      </w:pPr>
    </w:p>
    <w:p w14:paraId="715B0421" w14:textId="77777777" w:rsidR="003F4719" w:rsidRPr="00D33399" w:rsidRDefault="003F4719" w:rsidP="005144E2">
      <w:pPr>
        <w:keepNext/>
        <w:widowControl/>
        <w:jc w:val="both"/>
        <w:outlineLvl w:val="3"/>
        <w:rPr>
          <w:rFonts w:ascii="Arial" w:hAnsi="Arial" w:cs="Arial"/>
        </w:rPr>
      </w:pPr>
      <w:r w:rsidRPr="00D33399">
        <w:rPr>
          <w:rFonts w:ascii="Arial" w:hAnsi="Arial" w:cs="Arial"/>
        </w:rPr>
        <w:t>As ações preferenciais não se podem converter em ações ordinárias e terão as seguintes preferências ou vantagens, de acordo com o Estatuto da Companhia:</w:t>
      </w:r>
    </w:p>
    <w:p w14:paraId="4BBA5388" w14:textId="77777777" w:rsidR="003F4719" w:rsidRPr="00D33399" w:rsidRDefault="003F4719" w:rsidP="005144E2">
      <w:pPr>
        <w:keepNext/>
        <w:widowControl/>
        <w:ind w:left="720"/>
        <w:jc w:val="both"/>
        <w:outlineLvl w:val="3"/>
        <w:rPr>
          <w:rFonts w:ascii="Arial" w:hAnsi="Arial" w:cs="Arial"/>
        </w:rPr>
      </w:pPr>
    </w:p>
    <w:p w14:paraId="462377D3" w14:textId="77777777" w:rsidR="003F4719" w:rsidRPr="00D33399" w:rsidRDefault="00CB1682" w:rsidP="005144E2">
      <w:pPr>
        <w:keepNext/>
        <w:widowControl/>
        <w:numPr>
          <w:ilvl w:val="0"/>
          <w:numId w:val="5"/>
        </w:numPr>
        <w:tabs>
          <w:tab w:val="clear" w:pos="720"/>
        </w:tabs>
        <w:ind w:left="180" w:hanging="180"/>
        <w:jc w:val="both"/>
        <w:outlineLvl w:val="3"/>
        <w:rPr>
          <w:rFonts w:ascii="Arial" w:hAnsi="Arial" w:cs="Arial"/>
        </w:rPr>
      </w:pPr>
      <w:r w:rsidRPr="00D33399">
        <w:rPr>
          <w:rFonts w:ascii="Arial" w:hAnsi="Arial" w:cs="Arial"/>
        </w:rPr>
        <w:t>P</w:t>
      </w:r>
      <w:r w:rsidR="003F4719" w:rsidRPr="00D33399">
        <w:rPr>
          <w:rFonts w:ascii="Arial" w:hAnsi="Arial" w:cs="Arial"/>
        </w:rPr>
        <w:t>rioridade</w:t>
      </w:r>
      <w:r w:rsidR="00EC4CD1" w:rsidRPr="00D33399">
        <w:rPr>
          <w:rFonts w:ascii="Arial" w:hAnsi="Arial" w:cs="Arial"/>
        </w:rPr>
        <w:t xml:space="preserve"> </w:t>
      </w:r>
      <w:r w:rsidR="003F4719" w:rsidRPr="00D33399">
        <w:rPr>
          <w:rFonts w:ascii="Arial" w:hAnsi="Arial" w:cs="Arial"/>
        </w:rPr>
        <w:t>no reembolso do capital, sem direito a prêmio;</w:t>
      </w:r>
    </w:p>
    <w:p w14:paraId="59B8B750" w14:textId="77777777" w:rsidR="003F4719" w:rsidRPr="00D33399" w:rsidRDefault="003F4719" w:rsidP="005144E2">
      <w:pPr>
        <w:keepNext/>
        <w:widowControl/>
        <w:ind w:left="720"/>
        <w:jc w:val="both"/>
        <w:outlineLvl w:val="3"/>
        <w:rPr>
          <w:rFonts w:ascii="Arial" w:hAnsi="Arial" w:cs="Arial"/>
        </w:rPr>
      </w:pPr>
    </w:p>
    <w:p w14:paraId="1E5D53DA" w14:textId="77777777" w:rsidR="003F4719" w:rsidRPr="00D33399" w:rsidRDefault="00CB1682" w:rsidP="005144E2">
      <w:pPr>
        <w:keepNext/>
        <w:widowControl/>
        <w:numPr>
          <w:ilvl w:val="0"/>
          <w:numId w:val="5"/>
        </w:numPr>
        <w:tabs>
          <w:tab w:val="clear" w:pos="720"/>
        </w:tabs>
        <w:ind w:left="180" w:hanging="180"/>
        <w:jc w:val="both"/>
        <w:outlineLvl w:val="3"/>
        <w:rPr>
          <w:rFonts w:ascii="Arial" w:hAnsi="Arial" w:cs="Arial"/>
        </w:rPr>
      </w:pPr>
      <w:r w:rsidRPr="00D33399">
        <w:rPr>
          <w:rFonts w:ascii="Arial" w:hAnsi="Arial" w:cs="Arial"/>
        </w:rPr>
        <w:t xml:space="preserve">Dividendo </w:t>
      </w:r>
      <w:r w:rsidR="003F4719" w:rsidRPr="00D33399">
        <w:rPr>
          <w:rFonts w:ascii="Arial" w:hAnsi="Arial" w:cs="Arial"/>
        </w:rPr>
        <w:t>prioritário, mínimo cumulativo de 10% ao ano, e participação, em igualdade de condições, com as ações ordinárias nos lucros que remanescerem</w:t>
      </w:r>
      <w:r w:rsidR="004B138A" w:rsidRPr="00D33399">
        <w:rPr>
          <w:rFonts w:ascii="Arial" w:hAnsi="Arial" w:cs="Arial"/>
        </w:rPr>
        <w:t>,</w:t>
      </w:r>
      <w:r w:rsidR="003F4719" w:rsidRPr="00D33399">
        <w:rPr>
          <w:rFonts w:ascii="Arial" w:hAnsi="Arial" w:cs="Arial"/>
        </w:rPr>
        <w:t xml:space="preserve"> depois de pago um dividendo de 12% ao ano às ações ordinárias;</w:t>
      </w:r>
    </w:p>
    <w:p w14:paraId="7D669939" w14:textId="77777777" w:rsidR="003F4719" w:rsidRPr="00D33399" w:rsidRDefault="003F4719" w:rsidP="005144E2">
      <w:pPr>
        <w:keepNext/>
        <w:widowControl/>
        <w:ind w:left="720"/>
        <w:jc w:val="both"/>
        <w:outlineLvl w:val="3"/>
        <w:rPr>
          <w:rFonts w:ascii="Arial" w:hAnsi="Arial" w:cs="Arial"/>
        </w:rPr>
      </w:pPr>
    </w:p>
    <w:p w14:paraId="64112766" w14:textId="77777777" w:rsidR="003F4719" w:rsidRPr="00D33399" w:rsidRDefault="00CB1682" w:rsidP="005144E2">
      <w:pPr>
        <w:widowControl/>
        <w:numPr>
          <w:ilvl w:val="0"/>
          <w:numId w:val="4"/>
        </w:numPr>
        <w:tabs>
          <w:tab w:val="clear" w:pos="360"/>
        </w:tabs>
        <w:ind w:left="180" w:hanging="180"/>
        <w:jc w:val="both"/>
        <w:rPr>
          <w:rFonts w:ascii="Arial" w:hAnsi="Arial" w:cs="Arial"/>
        </w:rPr>
      </w:pPr>
      <w:r w:rsidRPr="00D33399">
        <w:rPr>
          <w:rFonts w:ascii="Arial" w:hAnsi="Arial" w:cs="Arial"/>
        </w:rPr>
        <w:t>D</w:t>
      </w:r>
      <w:r w:rsidR="003F4719" w:rsidRPr="00D33399">
        <w:rPr>
          <w:rFonts w:ascii="Arial" w:hAnsi="Arial" w:cs="Arial"/>
        </w:rPr>
        <w:t>ireito</w:t>
      </w:r>
      <w:r w:rsidR="00EC4CD1" w:rsidRPr="00D33399">
        <w:rPr>
          <w:rFonts w:ascii="Arial" w:hAnsi="Arial" w:cs="Arial"/>
        </w:rPr>
        <w:t xml:space="preserve"> </w:t>
      </w:r>
      <w:r w:rsidR="003F4719" w:rsidRPr="00D33399">
        <w:rPr>
          <w:rFonts w:ascii="Arial" w:hAnsi="Arial" w:cs="Arial"/>
        </w:rPr>
        <w:t>a voto nas deliberações das Assembleias Gerais Extraordinárias sobre a alteração do Estatuto.</w:t>
      </w:r>
    </w:p>
    <w:p w14:paraId="01217276" w14:textId="77777777" w:rsidR="00410174" w:rsidRPr="00D33399" w:rsidRDefault="00410174" w:rsidP="005144E2">
      <w:pPr>
        <w:widowControl/>
        <w:jc w:val="both"/>
        <w:rPr>
          <w:rFonts w:ascii="Arial" w:hAnsi="Arial" w:cs="Arial"/>
        </w:rPr>
      </w:pPr>
    </w:p>
    <w:p w14:paraId="7B30DCC0" w14:textId="6E907171" w:rsidR="00BA75A7" w:rsidRDefault="003F4719" w:rsidP="005144E2">
      <w:pPr>
        <w:widowControl/>
        <w:jc w:val="both"/>
        <w:rPr>
          <w:rFonts w:ascii="Arial" w:hAnsi="Arial" w:cs="Arial"/>
        </w:rPr>
      </w:pPr>
      <w:r w:rsidRPr="00D33399">
        <w:rPr>
          <w:rFonts w:ascii="Arial" w:hAnsi="Arial" w:cs="Arial"/>
        </w:rPr>
        <w:t>Também, de acordo com o Estatuto, é assegurado aos acionistas um dividendo mínimo obrigatório anual, calculado na base de 25% do lucro líquido ajustado, nos termos da legislação vigente.</w:t>
      </w:r>
    </w:p>
    <w:p w14:paraId="365CE121" w14:textId="77777777" w:rsidR="00F4204B" w:rsidRDefault="00F4204B" w:rsidP="005144E2">
      <w:pPr>
        <w:widowControl/>
        <w:jc w:val="both"/>
        <w:rPr>
          <w:rFonts w:ascii="Arial" w:hAnsi="Arial" w:cs="Arial"/>
        </w:rPr>
      </w:pPr>
    </w:p>
    <w:p w14:paraId="2B554037" w14:textId="77777777" w:rsidR="00A94F76" w:rsidRDefault="00A94F76" w:rsidP="005144E2">
      <w:pPr>
        <w:widowControl/>
        <w:jc w:val="both"/>
        <w:rPr>
          <w:rFonts w:ascii="Arial" w:hAnsi="Arial" w:cs="Arial"/>
        </w:rPr>
      </w:pPr>
    </w:p>
    <w:p w14:paraId="008D4AC9" w14:textId="77777777" w:rsidR="00A94F76" w:rsidRPr="00D33399" w:rsidRDefault="00A94F76" w:rsidP="005144E2">
      <w:pPr>
        <w:widowControl/>
        <w:jc w:val="both"/>
        <w:rPr>
          <w:rFonts w:ascii="Arial" w:hAnsi="Arial" w:cs="Arial"/>
        </w:rPr>
      </w:pPr>
    </w:p>
    <w:p w14:paraId="5094555C" w14:textId="510D652A" w:rsidR="00BA75A7" w:rsidRPr="00D33399" w:rsidRDefault="003F4719" w:rsidP="005144E2">
      <w:pPr>
        <w:widowControl/>
        <w:jc w:val="both"/>
        <w:rPr>
          <w:rFonts w:ascii="Arial" w:hAnsi="Arial" w:cs="Arial"/>
          <w:b/>
          <w:sz w:val="26"/>
          <w:szCs w:val="26"/>
        </w:rPr>
      </w:pPr>
      <w:r w:rsidRPr="00D33399">
        <w:rPr>
          <w:rFonts w:ascii="Arial" w:hAnsi="Arial" w:cs="Arial"/>
          <w:b/>
          <w:sz w:val="26"/>
          <w:szCs w:val="26"/>
        </w:rPr>
        <w:t>NOTA 2</w:t>
      </w:r>
      <w:r w:rsidR="0074588C">
        <w:rPr>
          <w:rFonts w:ascii="Arial" w:hAnsi="Arial" w:cs="Arial"/>
          <w:b/>
          <w:sz w:val="26"/>
          <w:szCs w:val="26"/>
        </w:rPr>
        <w:t>9</w:t>
      </w:r>
      <w:r w:rsidRPr="00D33399">
        <w:rPr>
          <w:rFonts w:ascii="Arial" w:hAnsi="Arial" w:cs="Arial"/>
          <w:b/>
          <w:sz w:val="26"/>
          <w:szCs w:val="26"/>
        </w:rPr>
        <w:t xml:space="preserve"> – RECEITA OPERACIONAL LÍQUIDA</w:t>
      </w:r>
    </w:p>
    <w:p w14:paraId="659B9318" w14:textId="77777777" w:rsidR="00C93BD2" w:rsidRPr="00D33399" w:rsidRDefault="00C93BD2" w:rsidP="005144E2">
      <w:pPr>
        <w:widowControl/>
        <w:jc w:val="both"/>
        <w:rPr>
          <w:rFonts w:ascii="Arial" w:hAnsi="Arial" w:cs="Arial"/>
          <w:b/>
        </w:rPr>
      </w:pPr>
    </w:p>
    <w:p w14:paraId="7261AAEE" w14:textId="77777777" w:rsidR="004422BA" w:rsidRPr="00D33399" w:rsidRDefault="004422BA" w:rsidP="005144E2">
      <w:pPr>
        <w:widowControl/>
        <w:jc w:val="both"/>
        <w:rPr>
          <w:rFonts w:ascii="Arial" w:hAnsi="Arial" w:cs="Arial"/>
          <w:b/>
        </w:rPr>
      </w:pPr>
    </w:p>
    <w:p w14:paraId="3507C2D5" w14:textId="477ABB77" w:rsidR="006B1A97" w:rsidRPr="00D33399" w:rsidRDefault="00C8135E" w:rsidP="005144E2">
      <w:pPr>
        <w:widowControl/>
        <w:jc w:val="both"/>
        <w:rPr>
          <w:rFonts w:ascii="Arial" w:hAnsi="Arial" w:cs="Arial"/>
          <w:b/>
        </w:rPr>
      </w:pPr>
      <w:r w:rsidRPr="00C8135E">
        <w:rPr>
          <w:noProof/>
        </w:rPr>
        <w:drawing>
          <wp:inline distT="0" distB="0" distL="0" distR="0" wp14:anchorId="753F0487" wp14:editId="2B741776">
            <wp:extent cx="6073140" cy="2626512"/>
            <wp:effectExtent l="0" t="0" r="3810" b="254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073140" cy="2626512"/>
                    </a:xfrm>
                    <a:prstGeom prst="rect">
                      <a:avLst/>
                    </a:prstGeom>
                    <a:noFill/>
                    <a:ln>
                      <a:noFill/>
                    </a:ln>
                  </pic:spPr>
                </pic:pic>
              </a:graphicData>
            </a:graphic>
          </wp:inline>
        </w:drawing>
      </w:r>
    </w:p>
    <w:p w14:paraId="05CA310F" w14:textId="77777777" w:rsidR="001C5CDA" w:rsidRDefault="001C5CDA" w:rsidP="005144E2">
      <w:pPr>
        <w:widowControl/>
        <w:jc w:val="both"/>
        <w:rPr>
          <w:rFonts w:ascii="Arial" w:hAnsi="Arial" w:cs="Arial"/>
          <w:b/>
        </w:rPr>
      </w:pPr>
    </w:p>
    <w:p w14:paraId="4A7691C8" w14:textId="77777777" w:rsidR="00A94F76" w:rsidRDefault="00A94F76" w:rsidP="005144E2">
      <w:pPr>
        <w:widowControl/>
        <w:jc w:val="both"/>
        <w:rPr>
          <w:rFonts w:ascii="Arial" w:hAnsi="Arial" w:cs="Arial"/>
          <w:b/>
        </w:rPr>
      </w:pPr>
    </w:p>
    <w:p w14:paraId="41C38AE2" w14:textId="77777777" w:rsidR="00A94F76" w:rsidRDefault="00A94F76" w:rsidP="005144E2">
      <w:pPr>
        <w:widowControl/>
        <w:jc w:val="both"/>
        <w:rPr>
          <w:rFonts w:ascii="Arial" w:hAnsi="Arial" w:cs="Arial"/>
          <w:b/>
        </w:rPr>
      </w:pPr>
    </w:p>
    <w:p w14:paraId="05B3E928" w14:textId="77777777" w:rsidR="00A94F76" w:rsidRDefault="00A94F76" w:rsidP="005144E2">
      <w:pPr>
        <w:widowControl/>
        <w:jc w:val="both"/>
        <w:rPr>
          <w:rFonts w:ascii="Arial" w:hAnsi="Arial" w:cs="Arial"/>
          <w:b/>
        </w:rPr>
      </w:pPr>
    </w:p>
    <w:p w14:paraId="620449F8" w14:textId="77777777" w:rsidR="00A94F76" w:rsidRDefault="00A94F76" w:rsidP="005144E2">
      <w:pPr>
        <w:widowControl/>
        <w:jc w:val="both"/>
        <w:rPr>
          <w:rFonts w:ascii="Arial" w:hAnsi="Arial" w:cs="Arial"/>
          <w:b/>
        </w:rPr>
      </w:pPr>
    </w:p>
    <w:p w14:paraId="59968FE6" w14:textId="77777777" w:rsidR="00A94F76" w:rsidRPr="00D33399" w:rsidRDefault="00A94F76" w:rsidP="005144E2">
      <w:pPr>
        <w:widowControl/>
        <w:jc w:val="both"/>
        <w:rPr>
          <w:rFonts w:ascii="Arial" w:hAnsi="Arial" w:cs="Arial"/>
          <w:b/>
        </w:rPr>
      </w:pPr>
    </w:p>
    <w:p w14:paraId="38C8D175" w14:textId="77777777" w:rsidR="003F4719" w:rsidRPr="00D33399" w:rsidRDefault="003F4719" w:rsidP="005144E2">
      <w:pPr>
        <w:widowControl/>
        <w:jc w:val="both"/>
        <w:rPr>
          <w:rFonts w:ascii="Arial" w:hAnsi="Arial" w:cs="Arial"/>
          <w:b/>
        </w:rPr>
      </w:pPr>
      <w:r w:rsidRPr="00D33399">
        <w:rPr>
          <w:rFonts w:ascii="Arial" w:hAnsi="Arial" w:cs="Arial"/>
          <w:b/>
        </w:rPr>
        <w:lastRenderedPageBreak/>
        <w:t>- Suprimento de energia elétrica</w:t>
      </w:r>
    </w:p>
    <w:p w14:paraId="0B185A83" w14:textId="77777777" w:rsidR="003F4719" w:rsidRPr="00D33399" w:rsidRDefault="003F4719" w:rsidP="005144E2">
      <w:pPr>
        <w:widowControl/>
        <w:jc w:val="both"/>
        <w:rPr>
          <w:rFonts w:ascii="Arial" w:hAnsi="Arial" w:cs="Arial"/>
          <w:b/>
        </w:rPr>
      </w:pPr>
    </w:p>
    <w:p w14:paraId="11466AAE" w14:textId="07757DE8" w:rsidR="008C4042" w:rsidRPr="00D33399" w:rsidRDefault="008C4042" w:rsidP="008C4042">
      <w:pPr>
        <w:jc w:val="both"/>
        <w:rPr>
          <w:rFonts w:ascii="Arial" w:hAnsi="Arial" w:cs="Arial"/>
        </w:rPr>
      </w:pPr>
      <w:r w:rsidRPr="00D33399">
        <w:rPr>
          <w:rFonts w:ascii="Arial" w:hAnsi="Arial" w:cs="Arial"/>
        </w:rPr>
        <w:t xml:space="preserve">O suprimento líquido de energia elétrica das Usinas Nucleares Angra 1 e 2 de                           </w:t>
      </w:r>
      <w:r w:rsidR="005A0C8D" w:rsidRPr="004D61F9">
        <w:rPr>
          <w:rFonts w:ascii="Arial" w:hAnsi="Arial" w:cs="Arial"/>
        </w:rPr>
        <w:t>9.</w:t>
      </w:r>
      <w:r w:rsidR="004D61F9" w:rsidRPr="004D61F9">
        <w:rPr>
          <w:rFonts w:ascii="Arial" w:hAnsi="Arial" w:cs="Arial"/>
        </w:rPr>
        <w:t>091.613</w:t>
      </w:r>
      <w:r w:rsidRPr="00D33399">
        <w:rPr>
          <w:rFonts w:ascii="Arial" w:hAnsi="Arial" w:cs="Arial"/>
        </w:rPr>
        <w:t xml:space="preserve"> MWh* em </w:t>
      </w:r>
      <w:r w:rsidR="00981977" w:rsidRPr="00D33399">
        <w:rPr>
          <w:rFonts w:ascii="Arial" w:hAnsi="Arial" w:cs="Arial"/>
        </w:rPr>
        <w:t>setembro</w:t>
      </w:r>
      <w:r w:rsidRPr="00D33399">
        <w:rPr>
          <w:rFonts w:ascii="Arial" w:hAnsi="Arial" w:cs="Arial"/>
        </w:rPr>
        <w:t xml:space="preserve"> de 2020 (</w:t>
      </w:r>
      <w:r w:rsidR="005A0C8D" w:rsidRPr="00D33399">
        <w:rPr>
          <w:rFonts w:ascii="Arial" w:hAnsi="Arial" w:cs="Arial"/>
        </w:rPr>
        <w:t>11.075.832</w:t>
      </w:r>
      <w:r w:rsidRPr="00D33399">
        <w:rPr>
          <w:rFonts w:ascii="Arial" w:hAnsi="Arial" w:cs="Arial"/>
        </w:rPr>
        <w:t xml:space="preserve"> MWh* em </w:t>
      </w:r>
      <w:r w:rsidR="005A0C8D" w:rsidRPr="00D33399">
        <w:rPr>
          <w:rFonts w:ascii="Arial" w:hAnsi="Arial" w:cs="Arial"/>
        </w:rPr>
        <w:t xml:space="preserve">setembro </w:t>
      </w:r>
      <w:r w:rsidRPr="00D33399">
        <w:rPr>
          <w:rFonts w:ascii="Arial" w:hAnsi="Arial" w:cs="Arial"/>
        </w:rPr>
        <w:t xml:space="preserve">de 2019), corresponde a uma receita de R$ </w:t>
      </w:r>
      <w:r w:rsidR="005A0C8D" w:rsidRPr="00D33399">
        <w:rPr>
          <w:rFonts w:ascii="Arial" w:hAnsi="Arial" w:cs="Arial"/>
        </w:rPr>
        <w:t>2.</w:t>
      </w:r>
      <w:r w:rsidR="00987DEE">
        <w:rPr>
          <w:rFonts w:ascii="Arial" w:hAnsi="Arial" w:cs="Arial"/>
        </w:rPr>
        <w:t>432.845</w:t>
      </w:r>
      <w:r w:rsidRPr="00D33399">
        <w:rPr>
          <w:rFonts w:ascii="Arial" w:hAnsi="Arial" w:cs="Arial"/>
        </w:rPr>
        <w:t xml:space="preserve"> em 30 de </w:t>
      </w:r>
      <w:r w:rsidR="00981977" w:rsidRPr="00D33399">
        <w:rPr>
          <w:rFonts w:ascii="Arial" w:hAnsi="Arial" w:cs="Arial"/>
        </w:rPr>
        <w:t>setembro</w:t>
      </w:r>
      <w:r w:rsidRPr="00D33399">
        <w:rPr>
          <w:rFonts w:ascii="Arial" w:hAnsi="Arial" w:cs="Arial"/>
        </w:rPr>
        <w:t xml:space="preserve"> de 2020 (R$ </w:t>
      </w:r>
      <w:r w:rsidR="005A0C8D" w:rsidRPr="00D33399">
        <w:rPr>
          <w:rFonts w:ascii="Arial" w:hAnsi="Arial" w:cs="Arial"/>
        </w:rPr>
        <w:t>2.609.499</w:t>
      </w:r>
      <w:r w:rsidRPr="00D33399">
        <w:rPr>
          <w:rFonts w:ascii="Arial" w:hAnsi="Arial" w:cs="Arial"/>
        </w:rPr>
        <w:t xml:space="preserve"> em 30 de </w:t>
      </w:r>
      <w:r w:rsidR="007115C2" w:rsidRPr="00D33399">
        <w:rPr>
          <w:rFonts w:ascii="Arial" w:hAnsi="Arial" w:cs="Arial"/>
        </w:rPr>
        <w:t>setembro</w:t>
      </w:r>
      <w:r w:rsidRPr="00D33399">
        <w:rPr>
          <w:rFonts w:ascii="Arial" w:hAnsi="Arial" w:cs="Arial"/>
        </w:rPr>
        <w:t xml:space="preserve"> de 2019).</w:t>
      </w:r>
    </w:p>
    <w:p w14:paraId="5FE0EEEE" w14:textId="77777777" w:rsidR="008C4042" w:rsidRPr="00D33399" w:rsidRDefault="008C4042" w:rsidP="008C4042">
      <w:pPr>
        <w:jc w:val="both"/>
        <w:rPr>
          <w:rFonts w:ascii="Arial" w:hAnsi="Arial" w:cs="Arial"/>
        </w:rPr>
      </w:pPr>
    </w:p>
    <w:p w14:paraId="64F8B72C" w14:textId="77777777" w:rsidR="00924B99" w:rsidRPr="00D33399" w:rsidRDefault="00924B99" w:rsidP="008C4042">
      <w:pPr>
        <w:jc w:val="both"/>
        <w:rPr>
          <w:rFonts w:ascii="Arial" w:hAnsi="Arial" w:cs="Arial"/>
          <w:sz w:val="16"/>
          <w:szCs w:val="16"/>
        </w:rPr>
      </w:pPr>
    </w:p>
    <w:p w14:paraId="7C963687" w14:textId="77777777" w:rsidR="003F4719" w:rsidRPr="00D33399" w:rsidRDefault="003F4719" w:rsidP="005144E2">
      <w:pPr>
        <w:widowControl/>
        <w:jc w:val="both"/>
        <w:rPr>
          <w:rFonts w:ascii="Arial" w:hAnsi="Arial" w:cs="Arial"/>
          <w:b/>
        </w:rPr>
      </w:pPr>
      <w:r w:rsidRPr="00D33399">
        <w:rPr>
          <w:rFonts w:ascii="Arial" w:hAnsi="Arial" w:cs="Arial"/>
          <w:b/>
        </w:rPr>
        <w:t xml:space="preserve">a) Modalidade de comercialização </w:t>
      </w:r>
    </w:p>
    <w:p w14:paraId="29B6D786" w14:textId="77777777" w:rsidR="003F4719" w:rsidRPr="00D33399" w:rsidRDefault="003F4719" w:rsidP="005144E2">
      <w:pPr>
        <w:widowControl/>
        <w:jc w:val="both"/>
        <w:rPr>
          <w:rFonts w:ascii="Arial" w:hAnsi="Arial" w:cs="Arial"/>
          <w:sz w:val="16"/>
          <w:szCs w:val="16"/>
        </w:rPr>
      </w:pPr>
    </w:p>
    <w:p w14:paraId="6676FA88" w14:textId="77777777" w:rsidR="003F4719" w:rsidRPr="00D33399" w:rsidRDefault="003F4719" w:rsidP="005144E2">
      <w:pPr>
        <w:widowControl/>
        <w:jc w:val="both"/>
        <w:rPr>
          <w:rFonts w:ascii="Arial" w:hAnsi="Arial" w:cs="Arial"/>
        </w:rPr>
      </w:pPr>
      <w:r w:rsidRPr="00D33399">
        <w:rPr>
          <w:rFonts w:ascii="Arial" w:hAnsi="Arial" w:cs="Arial"/>
        </w:rPr>
        <w:t>Com a regulamentação da A</w:t>
      </w:r>
      <w:r w:rsidR="00904EEC" w:rsidRPr="00D33399">
        <w:rPr>
          <w:rFonts w:ascii="Arial" w:hAnsi="Arial" w:cs="Arial"/>
        </w:rPr>
        <w:t>neel</w:t>
      </w:r>
      <w:r w:rsidRPr="00D33399">
        <w:rPr>
          <w:rFonts w:ascii="Arial" w:hAnsi="Arial" w:cs="Arial"/>
        </w:rPr>
        <w:t xml:space="preserve"> para o dispositivo do art.11, da Lei 12.111/2009, mediante as edições em 21 de dezembro de 2012, da Resolução Normativa nº 530, da Resolução Homologatória nº 1.405 e da Resolução Homologatória nº 1.407, a partir de 01 de janeiro de 2013, a rec</w:t>
      </w:r>
      <w:r w:rsidR="00C352DB" w:rsidRPr="00D33399">
        <w:rPr>
          <w:rFonts w:ascii="Arial" w:hAnsi="Arial" w:cs="Arial"/>
        </w:rPr>
        <w:t>eita decorrente da geração das U</w:t>
      </w:r>
      <w:r w:rsidRPr="00D33399">
        <w:rPr>
          <w:rFonts w:ascii="Arial" w:hAnsi="Arial" w:cs="Arial"/>
        </w:rPr>
        <w:t>sinas Angra 1 e 2 passa a ser rateada entre todas as concessionárias, permissionárias ou autorizadas de serviço público de distribuição do Sistema Interligado Nacional – SIN.</w:t>
      </w:r>
    </w:p>
    <w:p w14:paraId="7D761EDA" w14:textId="77777777" w:rsidR="00C93BD2" w:rsidRPr="00D33399" w:rsidRDefault="00C93BD2" w:rsidP="005144E2">
      <w:pPr>
        <w:widowControl/>
        <w:jc w:val="both"/>
        <w:rPr>
          <w:rFonts w:ascii="Arial" w:hAnsi="Arial" w:cs="Arial"/>
          <w:b/>
        </w:rPr>
      </w:pPr>
    </w:p>
    <w:p w14:paraId="01165F58" w14:textId="77777777" w:rsidR="00924B99" w:rsidRPr="00D33399" w:rsidRDefault="00924B99" w:rsidP="005144E2">
      <w:pPr>
        <w:widowControl/>
        <w:jc w:val="both"/>
        <w:rPr>
          <w:rFonts w:ascii="Arial" w:hAnsi="Arial" w:cs="Arial"/>
          <w:b/>
          <w:sz w:val="16"/>
          <w:szCs w:val="16"/>
        </w:rPr>
      </w:pPr>
    </w:p>
    <w:p w14:paraId="378A7D2B" w14:textId="77777777" w:rsidR="003F4719" w:rsidRPr="00D33399" w:rsidRDefault="007D4E95" w:rsidP="005144E2">
      <w:pPr>
        <w:widowControl/>
        <w:jc w:val="both"/>
        <w:rPr>
          <w:rFonts w:ascii="Arial" w:hAnsi="Arial" w:cs="Arial"/>
          <w:b/>
        </w:rPr>
      </w:pPr>
      <w:r w:rsidRPr="00D33399">
        <w:rPr>
          <w:rFonts w:ascii="Arial" w:hAnsi="Arial" w:cs="Arial"/>
          <w:b/>
        </w:rPr>
        <w:t xml:space="preserve">b) </w:t>
      </w:r>
      <w:r w:rsidR="003F4719" w:rsidRPr="00D33399">
        <w:rPr>
          <w:rFonts w:ascii="Arial" w:hAnsi="Arial" w:cs="Arial"/>
          <w:b/>
        </w:rPr>
        <w:t xml:space="preserve">Apuração do </w:t>
      </w:r>
      <w:r w:rsidR="00F81517" w:rsidRPr="00D33399">
        <w:rPr>
          <w:rFonts w:ascii="Arial" w:hAnsi="Arial" w:cs="Arial"/>
          <w:b/>
        </w:rPr>
        <w:t>PIS/</w:t>
      </w:r>
      <w:r w:rsidR="003F4719" w:rsidRPr="00D33399">
        <w:rPr>
          <w:rFonts w:ascii="Arial" w:hAnsi="Arial" w:cs="Arial"/>
          <w:b/>
        </w:rPr>
        <w:t>PASEP e do COFINS</w:t>
      </w:r>
    </w:p>
    <w:p w14:paraId="56F0AAB8" w14:textId="77777777" w:rsidR="003F4719" w:rsidRPr="00D33399" w:rsidRDefault="003F4719" w:rsidP="005144E2">
      <w:pPr>
        <w:widowControl/>
        <w:jc w:val="both"/>
        <w:rPr>
          <w:rFonts w:ascii="Arial" w:hAnsi="Arial" w:cs="Arial"/>
          <w:sz w:val="16"/>
          <w:szCs w:val="16"/>
        </w:rPr>
      </w:pPr>
    </w:p>
    <w:p w14:paraId="25071662" w14:textId="0C3E7A7B" w:rsidR="008641C1" w:rsidRPr="00D33399" w:rsidRDefault="003F4719" w:rsidP="005144E2">
      <w:pPr>
        <w:widowControl/>
        <w:jc w:val="both"/>
        <w:rPr>
          <w:rFonts w:ascii="Arial" w:hAnsi="Arial" w:cs="Arial"/>
        </w:rPr>
      </w:pPr>
      <w:r w:rsidRPr="00D33399">
        <w:rPr>
          <w:rFonts w:ascii="Arial" w:hAnsi="Arial" w:cs="Arial"/>
        </w:rPr>
        <w:t xml:space="preserve">A apuração do </w:t>
      </w:r>
      <w:r w:rsidR="007F436D" w:rsidRPr="00D33399">
        <w:rPr>
          <w:rFonts w:ascii="Arial" w:hAnsi="Arial" w:cs="Arial"/>
        </w:rPr>
        <w:t>PIS/</w:t>
      </w:r>
      <w:r w:rsidRPr="00D33399">
        <w:rPr>
          <w:rFonts w:ascii="Arial" w:hAnsi="Arial" w:cs="Arial"/>
        </w:rPr>
        <w:t>PASEP e COFINS é feita com base no método não cumulativo utilizando a alíquota de 9,25%</w:t>
      </w:r>
      <w:r w:rsidR="0081692F" w:rsidRPr="00D33399">
        <w:rPr>
          <w:rFonts w:ascii="Arial" w:hAnsi="Arial" w:cs="Arial"/>
        </w:rPr>
        <w:t>.</w:t>
      </w:r>
    </w:p>
    <w:p w14:paraId="544AFA34" w14:textId="77777777" w:rsidR="00BD58DC" w:rsidRPr="00D33399" w:rsidRDefault="00BD58DC" w:rsidP="005144E2">
      <w:pPr>
        <w:widowControl/>
        <w:jc w:val="both"/>
        <w:rPr>
          <w:rFonts w:ascii="Arial" w:hAnsi="Arial" w:cs="Arial"/>
        </w:rPr>
      </w:pPr>
    </w:p>
    <w:p w14:paraId="106561A3" w14:textId="77777777" w:rsidR="00BD58DC" w:rsidRPr="00D33399" w:rsidRDefault="00BD58DC" w:rsidP="005144E2">
      <w:pPr>
        <w:widowControl/>
        <w:jc w:val="both"/>
        <w:rPr>
          <w:rFonts w:ascii="Arial" w:hAnsi="Arial" w:cs="Arial"/>
        </w:rPr>
      </w:pPr>
    </w:p>
    <w:p w14:paraId="117A8266" w14:textId="77777777" w:rsidR="00BD58DC" w:rsidRPr="00D33399" w:rsidRDefault="00BD58DC" w:rsidP="005144E2">
      <w:pPr>
        <w:widowControl/>
        <w:jc w:val="both"/>
        <w:rPr>
          <w:rFonts w:ascii="Arial" w:hAnsi="Arial" w:cs="Arial"/>
        </w:rPr>
      </w:pPr>
    </w:p>
    <w:p w14:paraId="07B6A14B" w14:textId="77777777" w:rsidR="00B87234" w:rsidRPr="00D33399" w:rsidRDefault="00B87234" w:rsidP="005144E2">
      <w:pPr>
        <w:widowControl/>
        <w:jc w:val="both"/>
        <w:rPr>
          <w:rFonts w:ascii="Arial" w:hAnsi="Arial" w:cs="Arial"/>
        </w:rPr>
      </w:pPr>
    </w:p>
    <w:p w14:paraId="23E93D0D" w14:textId="77777777" w:rsidR="00BD58DC" w:rsidRPr="00D33399" w:rsidRDefault="00BD58DC" w:rsidP="005144E2">
      <w:pPr>
        <w:widowControl/>
        <w:jc w:val="both"/>
        <w:rPr>
          <w:rFonts w:ascii="Arial" w:hAnsi="Arial" w:cs="Arial"/>
        </w:rPr>
      </w:pPr>
    </w:p>
    <w:p w14:paraId="45D7E5D4" w14:textId="77777777" w:rsidR="00BD58DC" w:rsidRPr="00D33399" w:rsidRDefault="00BD58DC" w:rsidP="005144E2">
      <w:pPr>
        <w:widowControl/>
        <w:jc w:val="both"/>
        <w:rPr>
          <w:rFonts w:ascii="Arial" w:hAnsi="Arial" w:cs="Arial"/>
        </w:rPr>
      </w:pPr>
    </w:p>
    <w:p w14:paraId="5BEAE86F" w14:textId="77777777" w:rsidR="00EF4C1B" w:rsidRDefault="00EF4C1B" w:rsidP="005144E2">
      <w:pPr>
        <w:widowControl/>
        <w:jc w:val="both"/>
        <w:rPr>
          <w:rFonts w:ascii="Arial" w:hAnsi="Arial" w:cs="Arial"/>
        </w:rPr>
      </w:pPr>
    </w:p>
    <w:p w14:paraId="001B5E79" w14:textId="77777777" w:rsidR="00A94F76" w:rsidRDefault="00A94F76" w:rsidP="005144E2">
      <w:pPr>
        <w:widowControl/>
        <w:jc w:val="both"/>
        <w:rPr>
          <w:rFonts w:ascii="Arial" w:hAnsi="Arial" w:cs="Arial"/>
        </w:rPr>
      </w:pPr>
    </w:p>
    <w:p w14:paraId="3503FB5C" w14:textId="77777777" w:rsidR="00A94F76" w:rsidRDefault="00A94F76" w:rsidP="005144E2">
      <w:pPr>
        <w:widowControl/>
        <w:jc w:val="both"/>
        <w:rPr>
          <w:rFonts w:ascii="Arial" w:hAnsi="Arial" w:cs="Arial"/>
        </w:rPr>
      </w:pPr>
    </w:p>
    <w:p w14:paraId="74CEC320" w14:textId="77777777" w:rsidR="00A94F76" w:rsidRDefault="00A94F76" w:rsidP="005144E2">
      <w:pPr>
        <w:widowControl/>
        <w:jc w:val="both"/>
        <w:rPr>
          <w:rFonts w:ascii="Arial" w:hAnsi="Arial" w:cs="Arial"/>
        </w:rPr>
      </w:pPr>
    </w:p>
    <w:p w14:paraId="3B208E86" w14:textId="77777777" w:rsidR="00A94F76" w:rsidRDefault="00A94F76" w:rsidP="005144E2">
      <w:pPr>
        <w:widowControl/>
        <w:jc w:val="both"/>
        <w:rPr>
          <w:rFonts w:ascii="Arial" w:hAnsi="Arial" w:cs="Arial"/>
        </w:rPr>
      </w:pPr>
    </w:p>
    <w:p w14:paraId="6B0873BC" w14:textId="77777777" w:rsidR="00A94F76" w:rsidRDefault="00A94F76" w:rsidP="005144E2">
      <w:pPr>
        <w:widowControl/>
        <w:jc w:val="both"/>
        <w:rPr>
          <w:rFonts w:ascii="Arial" w:hAnsi="Arial" w:cs="Arial"/>
        </w:rPr>
      </w:pPr>
    </w:p>
    <w:p w14:paraId="3E4CD0F5" w14:textId="77777777" w:rsidR="00A94F76" w:rsidRDefault="00A94F76" w:rsidP="005144E2">
      <w:pPr>
        <w:widowControl/>
        <w:jc w:val="both"/>
        <w:rPr>
          <w:rFonts w:ascii="Arial" w:hAnsi="Arial" w:cs="Arial"/>
        </w:rPr>
      </w:pPr>
    </w:p>
    <w:p w14:paraId="23F922F1" w14:textId="77777777" w:rsidR="00A94F76" w:rsidRDefault="00A94F76" w:rsidP="005144E2">
      <w:pPr>
        <w:widowControl/>
        <w:jc w:val="both"/>
        <w:rPr>
          <w:rFonts w:ascii="Arial" w:hAnsi="Arial" w:cs="Arial"/>
        </w:rPr>
      </w:pPr>
    </w:p>
    <w:p w14:paraId="27BE4C85" w14:textId="77777777" w:rsidR="00A94F76" w:rsidRDefault="00A94F76" w:rsidP="005144E2">
      <w:pPr>
        <w:widowControl/>
        <w:jc w:val="both"/>
        <w:rPr>
          <w:rFonts w:ascii="Arial" w:hAnsi="Arial" w:cs="Arial"/>
        </w:rPr>
      </w:pPr>
    </w:p>
    <w:p w14:paraId="4A8A6368" w14:textId="77777777" w:rsidR="00A94F76" w:rsidRDefault="00A94F76" w:rsidP="005144E2">
      <w:pPr>
        <w:widowControl/>
        <w:jc w:val="both"/>
        <w:rPr>
          <w:rFonts w:ascii="Arial" w:hAnsi="Arial" w:cs="Arial"/>
        </w:rPr>
      </w:pPr>
    </w:p>
    <w:p w14:paraId="3A14657F" w14:textId="77777777" w:rsidR="00A94F76" w:rsidRDefault="00A94F76" w:rsidP="005144E2">
      <w:pPr>
        <w:widowControl/>
        <w:jc w:val="both"/>
        <w:rPr>
          <w:rFonts w:ascii="Arial" w:hAnsi="Arial" w:cs="Arial"/>
        </w:rPr>
      </w:pPr>
    </w:p>
    <w:p w14:paraId="3B869560" w14:textId="77777777" w:rsidR="00A94F76" w:rsidRDefault="00A94F76" w:rsidP="005144E2">
      <w:pPr>
        <w:widowControl/>
        <w:jc w:val="both"/>
        <w:rPr>
          <w:rFonts w:ascii="Arial" w:hAnsi="Arial" w:cs="Arial"/>
        </w:rPr>
      </w:pPr>
    </w:p>
    <w:p w14:paraId="351D4E5B" w14:textId="77777777" w:rsidR="00A94F76" w:rsidRDefault="00A94F76" w:rsidP="005144E2">
      <w:pPr>
        <w:widowControl/>
        <w:jc w:val="both"/>
        <w:rPr>
          <w:rFonts w:ascii="Arial" w:hAnsi="Arial" w:cs="Arial"/>
        </w:rPr>
      </w:pPr>
    </w:p>
    <w:p w14:paraId="4053C1AA" w14:textId="77777777" w:rsidR="00A94F76" w:rsidRPr="00D33399" w:rsidRDefault="00A94F76" w:rsidP="005144E2">
      <w:pPr>
        <w:widowControl/>
        <w:jc w:val="both"/>
        <w:rPr>
          <w:rFonts w:ascii="Arial" w:hAnsi="Arial" w:cs="Arial"/>
        </w:rPr>
      </w:pPr>
    </w:p>
    <w:p w14:paraId="0698C226" w14:textId="77777777" w:rsidR="00BD58DC" w:rsidRPr="00D33399" w:rsidRDefault="00BD58DC" w:rsidP="005144E2">
      <w:pPr>
        <w:widowControl/>
        <w:jc w:val="both"/>
        <w:rPr>
          <w:rFonts w:ascii="Arial" w:hAnsi="Arial" w:cs="Arial"/>
        </w:rPr>
      </w:pPr>
    </w:p>
    <w:p w14:paraId="1BF26EA4" w14:textId="558D4EB4" w:rsidR="00C93BD2" w:rsidRDefault="00C93BD2" w:rsidP="005144E2">
      <w:pPr>
        <w:widowControl/>
        <w:jc w:val="both"/>
        <w:rPr>
          <w:rFonts w:ascii="Arial" w:hAnsi="Arial" w:cs="Arial"/>
          <w:i/>
          <w:sz w:val="16"/>
          <w:szCs w:val="16"/>
        </w:rPr>
      </w:pPr>
      <w:r w:rsidRPr="00D33399">
        <w:rPr>
          <w:rFonts w:ascii="Arial" w:hAnsi="Arial" w:cs="Arial"/>
          <w:i/>
          <w:sz w:val="16"/>
          <w:szCs w:val="16"/>
        </w:rPr>
        <w:t xml:space="preserve">*Não </w:t>
      </w:r>
      <w:r w:rsidR="00B61E34" w:rsidRPr="00D33399">
        <w:rPr>
          <w:rFonts w:ascii="Arial" w:hAnsi="Arial" w:cs="Arial"/>
          <w:i/>
          <w:sz w:val="16"/>
          <w:szCs w:val="16"/>
        </w:rPr>
        <w:t>revisado</w:t>
      </w:r>
      <w:r w:rsidRPr="00D33399">
        <w:rPr>
          <w:rFonts w:ascii="Arial" w:hAnsi="Arial" w:cs="Arial"/>
          <w:i/>
          <w:sz w:val="16"/>
          <w:szCs w:val="16"/>
        </w:rPr>
        <w:t xml:space="preserve"> pelo auditor independente</w:t>
      </w:r>
    </w:p>
    <w:p w14:paraId="683970F8" w14:textId="77777777" w:rsidR="00A94F76" w:rsidRDefault="00A94F76" w:rsidP="005144E2">
      <w:pPr>
        <w:widowControl/>
        <w:jc w:val="both"/>
        <w:rPr>
          <w:rFonts w:ascii="Arial" w:hAnsi="Arial" w:cs="Arial"/>
          <w:i/>
          <w:sz w:val="16"/>
          <w:szCs w:val="16"/>
        </w:rPr>
      </w:pPr>
    </w:p>
    <w:p w14:paraId="7EAFCE9B" w14:textId="77777777" w:rsidR="00A94F76" w:rsidRPr="00D33399" w:rsidRDefault="00A94F76" w:rsidP="005144E2">
      <w:pPr>
        <w:widowControl/>
        <w:jc w:val="both"/>
        <w:rPr>
          <w:rFonts w:ascii="Arial" w:hAnsi="Arial" w:cs="Arial"/>
          <w:i/>
          <w:sz w:val="16"/>
          <w:szCs w:val="16"/>
        </w:rPr>
      </w:pPr>
    </w:p>
    <w:p w14:paraId="028367CB" w14:textId="7072A27A" w:rsidR="003F4719" w:rsidRPr="00D33399" w:rsidRDefault="003F4719" w:rsidP="005144E2">
      <w:pPr>
        <w:widowControl/>
        <w:jc w:val="both"/>
        <w:rPr>
          <w:rFonts w:ascii="Arial" w:hAnsi="Arial" w:cs="Arial"/>
          <w:b/>
          <w:sz w:val="26"/>
          <w:szCs w:val="26"/>
        </w:rPr>
      </w:pPr>
      <w:r w:rsidRPr="00D33399">
        <w:rPr>
          <w:rFonts w:ascii="Arial" w:hAnsi="Arial" w:cs="Arial"/>
          <w:b/>
          <w:sz w:val="26"/>
          <w:szCs w:val="26"/>
        </w:rPr>
        <w:lastRenderedPageBreak/>
        <w:t xml:space="preserve">NOTA </w:t>
      </w:r>
      <w:r w:rsidR="0074588C">
        <w:rPr>
          <w:rFonts w:ascii="Arial" w:hAnsi="Arial" w:cs="Arial"/>
          <w:b/>
          <w:sz w:val="26"/>
          <w:szCs w:val="26"/>
        </w:rPr>
        <w:t>30</w:t>
      </w:r>
      <w:r w:rsidRPr="00D33399">
        <w:rPr>
          <w:rFonts w:ascii="Arial" w:hAnsi="Arial" w:cs="Arial"/>
          <w:b/>
          <w:sz w:val="26"/>
          <w:szCs w:val="26"/>
        </w:rPr>
        <w:t xml:space="preserve"> – CUSTO OPERACIONAL</w:t>
      </w:r>
    </w:p>
    <w:p w14:paraId="327CE1D1" w14:textId="77777777" w:rsidR="008641C1" w:rsidRDefault="008641C1" w:rsidP="005144E2">
      <w:pPr>
        <w:widowControl/>
        <w:jc w:val="both"/>
        <w:rPr>
          <w:rFonts w:ascii="Arial" w:hAnsi="Arial" w:cs="Arial"/>
          <w:b/>
        </w:rPr>
      </w:pPr>
    </w:p>
    <w:p w14:paraId="3995FB75" w14:textId="77777777" w:rsidR="00A94F76" w:rsidRPr="00D33399" w:rsidRDefault="00A94F76" w:rsidP="005144E2">
      <w:pPr>
        <w:widowControl/>
        <w:jc w:val="both"/>
        <w:rPr>
          <w:rFonts w:ascii="Arial" w:hAnsi="Arial" w:cs="Arial"/>
          <w:b/>
        </w:rPr>
      </w:pPr>
    </w:p>
    <w:p w14:paraId="1984D094" w14:textId="4810F575" w:rsidR="004422BA" w:rsidRPr="00D33399" w:rsidRDefault="00EA6940" w:rsidP="005144E2">
      <w:pPr>
        <w:widowControl/>
        <w:jc w:val="both"/>
        <w:rPr>
          <w:rFonts w:ascii="Arial" w:hAnsi="Arial" w:cs="Arial"/>
          <w:b/>
        </w:rPr>
      </w:pPr>
      <w:r w:rsidRPr="00EA6940">
        <w:rPr>
          <w:noProof/>
        </w:rPr>
        <w:drawing>
          <wp:inline distT="0" distB="0" distL="0" distR="0" wp14:anchorId="71F0F156" wp14:editId="5D9359A5">
            <wp:extent cx="6073140" cy="3234607"/>
            <wp:effectExtent l="0" t="0" r="3810" b="4445"/>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73140" cy="3234607"/>
                    </a:xfrm>
                    <a:prstGeom prst="rect">
                      <a:avLst/>
                    </a:prstGeom>
                    <a:noFill/>
                    <a:ln>
                      <a:noFill/>
                    </a:ln>
                  </pic:spPr>
                </pic:pic>
              </a:graphicData>
            </a:graphic>
          </wp:inline>
        </w:drawing>
      </w:r>
    </w:p>
    <w:p w14:paraId="5C4AD479" w14:textId="633F1806" w:rsidR="00596A76" w:rsidRPr="00D33399" w:rsidRDefault="00596A76" w:rsidP="005144E2">
      <w:pPr>
        <w:widowControl/>
        <w:jc w:val="both"/>
        <w:rPr>
          <w:rFonts w:ascii="Arial" w:hAnsi="Arial" w:cs="Arial"/>
          <w:b/>
        </w:rPr>
      </w:pPr>
    </w:p>
    <w:p w14:paraId="71851E58" w14:textId="2676609E" w:rsidR="00685746" w:rsidRPr="00D33399" w:rsidRDefault="00685746" w:rsidP="00067006">
      <w:pPr>
        <w:pStyle w:val="PargrafodaLista"/>
        <w:widowControl/>
        <w:numPr>
          <w:ilvl w:val="0"/>
          <w:numId w:val="22"/>
        </w:numPr>
        <w:jc w:val="both"/>
        <w:rPr>
          <w:rFonts w:ascii="Arial" w:hAnsi="Arial" w:cs="Arial"/>
        </w:rPr>
      </w:pPr>
      <w:r w:rsidRPr="00D33399">
        <w:rPr>
          <w:rFonts w:ascii="Arial" w:hAnsi="Arial" w:cs="Arial"/>
        </w:rPr>
        <w:t xml:space="preserve">Custo </w:t>
      </w:r>
      <w:r w:rsidR="00A91FA6" w:rsidRPr="00D33399">
        <w:rPr>
          <w:rFonts w:ascii="Arial" w:hAnsi="Arial" w:cs="Arial"/>
        </w:rPr>
        <w:t>com</w:t>
      </w:r>
      <w:r w:rsidRPr="00D33399">
        <w:rPr>
          <w:rFonts w:ascii="Arial" w:hAnsi="Arial" w:cs="Arial"/>
        </w:rPr>
        <w:t xml:space="preserve"> plano</w:t>
      </w:r>
      <w:r w:rsidR="00A91FA6" w:rsidRPr="00D33399">
        <w:rPr>
          <w:rFonts w:ascii="Arial" w:hAnsi="Arial" w:cs="Arial"/>
        </w:rPr>
        <w:t xml:space="preserve"> médico </w:t>
      </w:r>
      <w:r w:rsidRPr="00D33399">
        <w:rPr>
          <w:rFonts w:ascii="Arial" w:hAnsi="Arial" w:cs="Arial"/>
        </w:rPr>
        <w:t>de incentivo de desligamento</w:t>
      </w:r>
      <w:r w:rsidR="00D47774" w:rsidRPr="00D33399">
        <w:rPr>
          <w:rFonts w:ascii="Arial" w:hAnsi="Arial" w:cs="Arial"/>
        </w:rPr>
        <w:t>.</w:t>
      </w:r>
    </w:p>
    <w:p w14:paraId="1AEA0CCF" w14:textId="77777777" w:rsidR="00685746" w:rsidRPr="00D33399" w:rsidRDefault="00685746" w:rsidP="005144E2">
      <w:pPr>
        <w:pStyle w:val="PargrafodaLista"/>
        <w:rPr>
          <w:rFonts w:ascii="Arial" w:hAnsi="Arial" w:cs="Arial"/>
        </w:rPr>
      </w:pPr>
    </w:p>
    <w:p w14:paraId="1FFA17F9" w14:textId="078DA917" w:rsidR="00685746" w:rsidRPr="00D33399" w:rsidRDefault="00A91FA6" w:rsidP="00067006">
      <w:pPr>
        <w:pStyle w:val="PargrafodaLista"/>
        <w:widowControl/>
        <w:numPr>
          <w:ilvl w:val="0"/>
          <w:numId w:val="22"/>
        </w:numPr>
        <w:ind w:left="426" w:hanging="426"/>
        <w:jc w:val="both"/>
        <w:rPr>
          <w:rFonts w:ascii="Arial" w:hAnsi="Arial" w:cs="Arial"/>
        </w:rPr>
      </w:pPr>
      <w:r w:rsidRPr="00D33399">
        <w:rPr>
          <w:rFonts w:ascii="Arial" w:hAnsi="Arial" w:cs="Arial"/>
        </w:rPr>
        <w:t xml:space="preserve">Custo e </w:t>
      </w:r>
      <w:r w:rsidR="00685746" w:rsidRPr="00D33399">
        <w:rPr>
          <w:rFonts w:ascii="Arial" w:hAnsi="Arial" w:cs="Arial"/>
        </w:rPr>
        <w:t>Provisão</w:t>
      </w:r>
      <w:r w:rsidR="007D7C2C" w:rsidRPr="00D33399">
        <w:rPr>
          <w:rFonts w:ascii="Arial" w:hAnsi="Arial" w:cs="Arial"/>
        </w:rPr>
        <w:t>/Reversão de provisão</w:t>
      </w:r>
      <w:r w:rsidR="00685746" w:rsidRPr="00D33399">
        <w:rPr>
          <w:rFonts w:ascii="Arial" w:hAnsi="Arial" w:cs="Arial"/>
        </w:rPr>
        <w:t xml:space="preserve"> para </w:t>
      </w:r>
      <w:r w:rsidR="0090774D" w:rsidRPr="00D33399">
        <w:rPr>
          <w:rFonts w:ascii="Arial" w:hAnsi="Arial" w:cs="Arial"/>
        </w:rPr>
        <w:t>plan</w:t>
      </w:r>
      <w:r w:rsidRPr="00D33399">
        <w:rPr>
          <w:rFonts w:ascii="Arial" w:hAnsi="Arial" w:cs="Arial"/>
        </w:rPr>
        <w:t>o de incentivo de desligamento.</w:t>
      </w:r>
    </w:p>
    <w:p w14:paraId="4B17F0D0" w14:textId="77777777" w:rsidR="00596A76" w:rsidRPr="00D33399" w:rsidRDefault="00596A76" w:rsidP="00596A76">
      <w:pPr>
        <w:pStyle w:val="PargrafodaLista"/>
        <w:rPr>
          <w:rFonts w:ascii="Arial" w:hAnsi="Arial" w:cs="Arial"/>
        </w:rPr>
      </w:pPr>
    </w:p>
    <w:p w14:paraId="1DCFE1D9" w14:textId="4464D066" w:rsidR="00596A76" w:rsidRDefault="00607C27" w:rsidP="00067006">
      <w:pPr>
        <w:pStyle w:val="PargrafodaLista"/>
        <w:widowControl/>
        <w:numPr>
          <w:ilvl w:val="0"/>
          <w:numId w:val="22"/>
        </w:numPr>
        <w:ind w:left="426" w:hanging="426"/>
        <w:jc w:val="both"/>
        <w:rPr>
          <w:rFonts w:ascii="Arial" w:hAnsi="Arial" w:cs="Arial"/>
        </w:rPr>
      </w:pPr>
      <w:r w:rsidRPr="00D33399">
        <w:rPr>
          <w:rFonts w:ascii="Arial" w:hAnsi="Arial" w:cs="Arial"/>
        </w:rPr>
        <w:t xml:space="preserve">Aumento em 2020 devido aos </w:t>
      </w:r>
      <w:r w:rsidR="00F96D66" w:rsidRPr="00D33399">
        <w:rPr>
          <w:rFonts w:ascii="Arial" w:hAnsi="Arial" w:cs="Arial"/>
        </w:rPr>
        <w:t>mat</w:t>
      </w:r>
      <w:r w:rsidR="00754ABA">
        <w:rPr>
          <w:rFonts w:ascii="Arial" w:hAnsi="Arial" w:cs="Arial"/>
        </w:rPr>
        <w:t>e</w:t>
      </w:r>
      <w:r w:rsidR="00F96D66" w:rsidRPr="00D33399">
        <w:rPr>
          <w:rFonts w:ascii="Arial" w:hAnsi="Arial" w:cs="Arial"/>
        </w:rPr>
        <w:t>ria</w:t>
      </w:r>
      <w:r w:rsidR="00754ABA">
        <w:rPr>
          <w:rFonts w:ascii="Arial" w:hAnsi="Arial" w:cs="Arial"/>
        </w:rPr>
        <w:t>i</w:t>
      </w:r>
      <w:r w:rsidR="00F96D66" w:rsidRPr="00D33399">
        <w:rPr>
          <w:rFonts w:ascii="Arial" w:hAnsi="Arial" w:cs="Arial"/>
        </w:rPr>
        <w:t xml:space="preserve">s e </w:t>
      </w:r>
      <w:r w:rsidRPr="00D33399">
        <w:rPr>
          <w:rFonts w:ascii="Arial" w:hAnsi="Arial" w:cs="Arial"/>
        </w:rPr>
        <w:t>serviços executados durante parada da</w:t>
      </w:r>
      <w:r w:rsidR="00F96D66" w:rsidRPr="00D33399">
        <w:rPr>
          <w:rFonts w:ascii="Arial" w:hAnsi="Arial" w:cs="Arial"/>
        </w:rPr>
        <w:t>s</w:t>
      </w:r>
      <w:r w:rsidRPr="00D33399">
        <w:rPr>
          <w:rFonts w:ascii="Arial" w:hAnsi="Arial" w:cs="Arial"/>
        </w:rPr>
        <w:t xml:space="preserve"> Usina</w:t>
      </w:r>
      <w:r w:rsidR="00F96D66" w:rsidRPr="00D33399">
        <w:rPr>
          <w:rFonts w:ascii="Arial" w:hAnsi="Arial" w:cs="Arial"/>
        </w:rPr>
        <w:t>s</w:t>
      </w:r>
      <w:r w:rsidRPr="00D33399">
        <w:rPr>
          <w:rFonts w:ascii="Arial" w:hAnsi="Arial" w:cs="Arial"/>
        </w:rPr>
        <w:t xml:space="preserve"> Angra 1</w:t>
      </w:r>
      <w:r w:rsidR="00F96D66" w:rsidRPr="00D33399">
        <w:rPr>
          <w:rFonts w:ascii="Arial" w:hAnsi="Arial" w:cs="Arial"/>
        </w:rPr>
        <w:t xml:space="preserve"> e Angra 2</w:t>
      </w:r>
      <w:r w:rsidRPr="00D33399">
        <w:rPr>
          <w:rFonts w:ascii="Arial" w:hAnsi="Arial" w:cs="Arial"/>
        </w:rPr>
        <w:t>.</w:t>
      </w:r>
      <w:r w:rsidR="00596A76" w:rsidRPr="00D33399">
        <w:rPr>
          <w:rFonts w:ascii="Arial" w:hAnsi="Arial" w:cs="Arial"/>
        </w:rPr>
        <w:t xml:space="preserve"> </w:t>
      </w:r>
    </w:p>
    <w:p w14:paraId="0CC6F015" w14:textId="77777777" w:rsidR="00EA6940" w:rsidRPr="00EA6940" w:rsidRDefault="00EA6940" w:rsidP="00EA6940">
      <w:pPr>
        <w:pStyle w:val="PargrafodaLista"/>
        <w:rPr>
          <w:rFonts w:ascii="Arial" w:hAnsi="Arial" w:cs="Arial"/>
        </w:rPr>
      </w:pPr>
    </w:p>
    <w:p w14:paraId="6A9BA81A" w14:textId="786AA4BB" w:rsidR="00EA6940" w:rsidRPr="00D33399" w:rsidRDefault="00EA6940" w:rsidP="00067006">
      <w:pPr>
        <w:pStyle w:val="PargrafodaLista"/>
        <w:widowControl/>
        <w:numPr>
          <w:ilvl w:val="0"/>
          <w:numId w:val="22"/>
        </w:numPr>
        <w:ind w:left="426" w:hanging="426"/>
        <w:jc w:val="both"/>
        <w:rPr>
          <w:rFonts w:ascii="Arial" w:hAnsi="Arial" w:cs="Arial"/>
        </w:rPr>
      </w:pPr>
      <w:r>
        <w:rPr>
          <w:rFonts w:ascii="Arial" w:hAnsi="Arial" w:cs="Arial"/>
        </w:rPr>
        <w:t>Redução do consumo de combustível nuclear em função do tempo de parada da Usina Angra 2 em período superior ao esperado em decorrência da detecção de oxidação em 52 elementos de combustíveis nuclear do ciclo anterior.</w:t>
      </w:r>
    </w:p>
    <w:p w14:paraId="6591B9F9" w14:textId="77777777" w:rsidR="003D6B86" w:rsidRPr="00D33399" w:rsidRDefault="003D6B86" w:rsidP="005144E2">
      <w:pPr>
        <w:pStyle w:val="PargrafodaLista"/>
        <w:rPr>
          <w:rFonts w:ascii="Arial" w:hAnsi="Arial" w:cs="Arial"/>
        </w:rPr>
      </w:pPr>
    </w:p>
    <w:p w14:paraId="538B6F0D" w14:textId="77777777" w:rsidR="004422BA" w:rsidRPr="00D33399" w:rsidRDefault="004422BA" w:rsidP="005144E2">
      <w:pPr>
        <w:pStyle w:val="PargrafodaLista"/>
        <w:rPr>
          <w:rFonts w:ascii="Arial" w:hAnsi="Arial" w:cs="Arial"/>
        </w:rPr>
      </w:pPr>
    </w:p>
    <w:p w14:paraId="27302BA1" w14:textId="77777777" w:rsidR="004422BA" w:rsidRPr="00D33399" w:rsidRDefault="004422BA" w:rsidP="005144E2">
      <w:pPr>
        <w:pStyle w:val="PargrafodaLista"/>
        <w:rPr>
          <w:rFonts w:ascii="Arial" w:hAnsi="Arial" w:cs="Arial"/>
        </w:rPr>
      </w:pPr>
    </w:p>
    <w:p w14:paraId="7E067429" w14:textId="77777777" w:rsidR="004422BA" w:rsidRPr="00D33399" w:rsidRDefault="004422BA" w:rsidP="005144E2">
      <w:pPr>
        <w:pStyle w:val="PargrafodaLista"/>
        <w:rPr>
          <w:rFonts w:ascii="Arial" w:hAnsi="Arial" w:cs="Arial"/>
        </w:rPr>
      </w:pPr>
    </w:p>
    <w:p w14:paraId="58A33D55" w14:textId="77777777" w:rsidR="004422BA" w:rsidRPr="00D33399" w:rsidRDefault="004422BA" w:rsidP="005144E2">
      <w:pPr>
        <w:pStyle w:val="PargrafodaLista"/>
        <w:rPr>
          <w:rFonts w:ascii="Arial" w:hAnsi="Arial" w:cs="Arial"/>
        </w:rPr>
      </w:pPr>
    </w:p>
    <w:p w14:paraId="0974CA36" w14:textId="77777777" w:rsidR="004422BA" w:rsidRPr="00D33399" w:rsidRDefault="004422BA" w:rsidP="005144E2">
      <w:pPr>
        <w:pStyle w:val="PargrafodaLista"/>
        <w:rPr>
          <w:rFonts w:ascii="Arial" w:hAnsi="Arial" w:cs="Arial"/>
        </w:rPr>
      </w:pPr>
    </w:p>
    <w:p w14:paraId="607E3569" w14:textId="77777777" w:rsidR="004422BA" w:rsidRPr="00D33399" w:rsidRDefault="004422BA" w:rsidP="005144E2">
      <w:pPr>
        <w:pStyle w:val="PargrafodaLista"/>
        <w:rPr>
          <w:rFonts w:ascii="Arial" w:hAnsi="Arial" w:cs="Arial"/>
        </w:rPr>
      </w:pPr>
    </w:p>
    <w:p w14:paraId="64D3D509" w14:textId="77777777" w:rsidR="004422BA" w:rsidRPr="00D33399" w:rsidRDefault="004422BA" w:rsidP="005144E2">
      <w:pPr>
        <w:pStyle w:val="PargrafodaLista"/>
        <w:rPr>
          <w:rFonts w:ascii="Arial" w:hAnsi="Arial" w:cs="Arial"/>
        </w:rPr>
      </w:pPr>
    </w:p>
    <w:p w14:paraId="2DA09695" w14:textId="77777777" w:rsidR="004422BA" w:rsidRPr="00D33399" w:rsidRDefault="004422BA" w:rsidP="005144E2">
      <w:pPr>
        <w:pStyle w:val="PargrafodaLista"/>
        <w:rPr>
          <w:rFonts w:ascii="Arial" w:hAnsi="Arial" w:cs="Arial"/>
        </w:rPr>
      </w:pPr>
    </w:p>
    <w:p w14:paraId="04BDA394" w14:textId="77777777" w:rsidR="004422BA" w:rsidRPr="00D33399" w:rsidRDefault="004422BA" w:rsidP="005144E2">
      <w:pPr>
        <w:pStyle w:val="PargrafodaLista"/>
        <w:rPr>
          <w:rFonts w:ascii="Arial" w:hAnsi="Arial" w:cs="Arial"/>
        </w:rPr>
      </w:pPr>
    </w:p>
    <w:p w14:paraId="7A39293F" w14:textId="77777777" w:rsidR="004422BA" w:rsidRPr="00D33399" w:rsidRDefault="004422BA" w:rsidP="005144E2">
      <w:pPr>
        <w:pStyle w:val="PargrafodaLista"/>
        <w:rPr>
          <w:rFonts w:ascii="Arial" w:hAnsi="Arial" w:cs="Arial"/>
        </w:rPr>
      </w:pPr>
    </w:p>
    <w:p w14:paraId="7DF056D6" w14:textId="77777777" w:rsidR="004422BA" w:rsidRPr="00D33399" w:rsidRDefault="004422BA" w:rsidP="005144E2">
      <w:pPr>
        <w:pStyle w:val="PargrafodaLista"/>
        <w:rPr>
          <w:rFonts w:ascii="Arial" w:hAnsi="Arial" w:cs="Arial"/>
        </w:rPr>
      </w:pPr>
    </w:p>
    <w:p w14:paraId="084040D0" w14:textId="77777777" w:rsidR="004422BA" w:rsidRPr="00D33399" w:rsidRDefault="004422BA" w:rsidP="005144E2">
      <w:pPr>
        <w:pStyle w:val="PargrafodaLista"/>
        <w:rPr>
          <w:rFonts w:ascii="Arial" w:hAnsi="Arial" w:cs="Arial"/>
        </w:rPr>
      </w:pPr>
    </w:p>
    <w:p w14:paraId="39175E6F" w14:textId="77F86AA8" w:rsidR="003F4719" w:rsidRPr="00D33399" w:rsidRDefault="003F4719" w:rsidP="005144E2">
      <w:pPr>
        <w:widowControl/>
        <w:jc w:val="both"/>
        <w:rPr>
          <w:rFonts w:ascii="Arial" w:hAnsi="Arial" w:cs="Arial"/>
          <w:b/>
          <w:sz w:val="26"/>
          <w:szCs w:val="26"/>
        </w:rPr>
      </w:pPr>
      <w:r w:rsidRPr="00D33399">
        <w:rPr>
          <w:rFonts w:ascii="Arial" w:hAnsi="Arial" w:cs="Arial"/>
          <w:b/>
          <w:sz w:val="26"/>
          <w:szCs w:val="26"/>
        </w:rPr>
        <w:lastRenderedPageBreak/>
        <w:t xml:space="preserve">NOTA </w:t>
      </w:r>
      <w:r w:rsidR="002002A2" w:rsidRPr="00D33399">
        <w:rPr>
          <w:rFonts w:ascii="Arial" w:hAnsi="Arial" w:cs="Arial"/>
          <w:b/>
          <w:sz w:val="26"/>
          <w:szCs w:val="26"/>
        </w:rPr>
        <w:t>3</w:t>
      </w:r>
      <w:r w:rsidR="0074588C">
        <w:rPr>
          <w:rFonts w:ascii="Arial" w:hAnsi="Arial" w:cs="Arial"/>
          <w:b/>
          <w:sz w:val="26"/>
          <w:szCs w:val="26"/>
        </w:rPr>
        <w:t>1</w:t>
      </w:r>
      <w:r w:rsidRPr="00D33399">
        <w:rPr>
          <w:rFonts w:ascii="Arial" w:hAnsi="Arial" w:cs="Arial"/>
          <w:b/>
          <w:sz w:val="26"/>
          <w:szCs w:val="26"/>
        </w:rPr>
        <w:t xml:space="preserve"> – DESPESAS OPERACIONAIS</w:t>
      </w:r>
    </w:p>
    <w:p w14:paraId="4DA61496" w14:textId="77777777" w:rsidR="003D6B86" w:rsidRPr="00D33399" w:rsidRDefault="003D6B86" w:rsidP="005144E2">
      <w:pPr>
        <w:widowControl/>
        <w:jc w:val="both"/>
        <w:rPr>
          <w:rFonts w:ascii="Arial" w:hAnsi="Arial" w:cs="Arial"/>
          <w:b/>
          <w:sz w:val="26"/>
          <w:szCs w:val="26"/>
        </w:rPr>
      </w:pPr>
    </w:p>
    <w:p w14:paraId="2D48986A" w14:textId="27C17864" w:rsidR="001B01C9" w:rsidRPr="00D33399" w:rsidRDefault="00B21D6F" w:rsidP="005144E2">
      <w:pPr>
        <w:widowControl/>
        <w:jc w:val="both"/>
        <w:rPr>
          <w:rFonts w:ascii="Arial" w:hAnsi="Arial" w:cs="Arial"/>
          <w:b/>
        </w:rPr>
      </w:pPr>
      <w:r w:rsidRPr="00B21D6F">
        <w:rPr>
          <w:rFonts w:ascii="Arial" w:hAnsi="Arial" w:cs="Arial"/>
          <w:b/>
        </w:rPr>
        <w:t xml:space="preserve"> </w:t>
      </w:r>
      <w:r w:rsidRPr="00B21D6F">
        <w:rPr>
          <w:noProof/>
        </w:rPr>
        <w:drawing>
          <wp:inline distT="0" distB="0" distL="0" distR="0" wp14:anchorId="7A8F751A" wp14:editId="0A229D31">
            <wp:extent cx="6073140" cy="4016109"/>
            <wp:effectExtent l="0" t="0" r="3810" b="381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73140" cy="4016109"/>
                    </a:xfrm>
                    <a:prstGeom prst="rect">
                      <a:avLst/>
                    </a:prstGeom>
                    <a:noFill/>
                    <a:ln>
                      <a:noFill/>
                    </a:ln>
                  </pic:spPr>
                </pic:pic>
              </a:graphicData>
            </a:graphic>
          </wp:inline>
        </w:drawing>
      </w:r>
    </w:p>
    <w:p w14:paraId="7E655AC5" w14:textId="2EAE751D" w:rsidR="005E341B" w:rsidRPr="00D33399" w:rsidRDefault="005E341B" w:rsidP="00067006">
      <w:pPr>
        <w:pStyle w:val="PargrafodaLista"/>
        <w:widowControl/>
        <w:numPr>
          <w:ilvl w:val="0"/>
          <w:numId w:val="21"/>
        </w:numPr>
        <w:jc w:val="both"/>
        <w:rPr>
          <w:rFonts w:ascii="Arial" w:hAnsi="Arial" w:cs="Arial"/>
        </w:rPr>
      </w:pPr>
      <w:r w:rsidRPr="00D33399">
        <w:rPr>
          <w:rFonts w:ascii="Arial" w:hAnsi="Arial" w:cs="Arial"/>
        </w:rPr>
        <w:t>Custo e provisão</w:t>
      </w:r>
      <w:r w:rsidR="00A91FA6" w:rsidRPr="00D33399">
        <w:rPr>
          <w:rFonts w:ascii="Arial" w:hAnsi="Arial" w:cs="Arial"/>
        </w:rPr>
        <w:t>/reversão</w:t>
      </w:r>
      <w:r w:rsidRPr="00D33399">
        <w:rPr>
          <w:rFonts w:ascii="Arial" w:hAnsi="Arial" w:cs="Arial"/>
        </w:rPr>
        <w:t xml:space="preserve"> para plano </w:t>
      </w:r>
      <w:r w:rsidR="00A91FA6" w:rsidRPr="00D33399">
        <w:rPr>
          <w:rFonts w:ascii="Arial" w:hAnsi="Arial" w:cs="Arial"/>
        </w:rPr>
        <w:t xml:space="preserve">de saúde </w:t>
      </w:r>
      <w:r w:rsidRPr="00D33399">
        <w:rPr>
          <w:rFonts w:ascii="Arial" w:hAnsi="Arial" w:cs="Arial"/>
        </w:rPr>
        <w:t>de incentivo de desligamento</w:t>
      </w:r>
      <w:r w:rsidR="00D40547" w:rsidRPr="00D33399">
        <w:rPr>
          <w:rFonts w:ascii="Arial" w:hAnsi="Arial" w:cs="Arial"/>
        </w:rPr>
        <w:t xml:space="preserve"> </w:t>
      </w:r>
    </w:p>
    <w:p w14:paraId="3986598D" w14:textId="77777777" w:rsidR="00A91FA6" w:rsidRPr="00D33399" w:rsidRDefault="00A91FA6" w:rsidP="00A91FA6">
      <w:pPr>
        <w:pStyle w:val="PargrafodaLista"/>
        <w:widowControl/>
        <w:ind w:left="502"/>
        <w:jc w:val="both"/>
        <w:rPr>
          <w:rFonts w:ascii="Arial" w:hAnsi="Arial" w:cs="Arial"/>
        </w:rPr>
      </w:pPr>
    </w:p>
    <w:p w14:paraId="3CE10E23" w14:textId="06F8A242" w:rsidR="001B01C9" w:rsidRDefault="005E341B" w:rsidP="00067006">
      <w:pPr>
        <w:pStyle w:val="PargrafodaLista"/>
        <w:widowControl/>
        <w:numPr>
          <w:ilvl w:val="0"/>
          <w:numId w:val="21"/>
        </w:numPr>
        <w:jc w:val="both"/>
        <w:rPr>
          <w:rFonts w:ascii="Arial" w:hAnsi="Arial" w:cs="Arial"/>
        </w:rPr>
      </w:pPr>
      <w:r w:rsidRPr="00D33399">
        <w:rPr>
          <w:rFonts w:ascii="Arial" w:hAnsi="Arial" w:cs="Arial"/>
        </w:rPr>
        <w:t xml:space="preserve">Reversão de provisão para plano de incentivo de desligamento </w:t>
      </w:r>
    </w:p>
    <w:p w14:paraId="0C6914A6" w14:textId="77777777" w:rsidR="00B21D6F" w:rsidRPr="00B21D6F" w:rsidRDefault="00B21D6F" w:rsidP="00B21D6F">
      <w:pPr>
        <w:pStyle w:val="PargrafodaLista"/>
        <w:rPr>
          <w:rFonts w:ascii="Arial" w:hAnsi="Arial" w:cs="Arial"/>
        </w:rPr>
      </w:pPr>
    </w:p>
    <w:p w14:paraId="0B758516" w14:textId="75911DC3" w:rsidR="00B21D6F" w:rsidRPr="00D33399" w:rsidRDefault="00B21D6F" w:rsidP="00067006">
      <w:pPr>
        <w:pStyle w:val="PargrafodaLista"/>
        <w:widowControl/>
        <w:numPr>
          <w:ilvl w:val="0"/>
          <w:numId w:val="21"/>
        </w:numPr>
        <w:jc w:val="both"/>
        <w:rPr>
          <w:rFonts w:ascii="Arial" w:hAnsi="Arial" w:cs="Arial"/>
        </w:rPr>
      </w:pPr>
      <w:r>
        <w:rPr>
          <w:rFonts w:ascii="Arial" w:hAnsi="Arial" w:cs="Arial"/>
        </w:rPr>
        <w:t xml:space="preserve">No 3º trimestre de 2019 houve a </w:t>
      </w:r>
      <w:r w:rsidR="007D0068">
        <w:rPr>
          <w:rFonts w:ascii="Arial" w:hAnsi="Arial" w:cs="Arial"/>
        </w:rPr>
        <w:t>baixa</w:t>
      </w:r>
      <w:r>
        <w:rPr>
          <w:rFonts w:ascii="Arial" w:hAnsi="Arial" w:cs="Arial"/>
        </w:rPr>
        <w:t xml:space="preserve"> de provisão para PLR</w:t>
      </w:r>
    </w:p>
    <w:p w14:paraId="04DAC329" w14:textId="77777777" w:rsidR="00EB261F" w:rsidRPr="00D33399" w:rsidRDefault="00EB261F" w:rsidP="00EB261F">
      <w:pPr>
        <w:pStyle w:val="PargrafodaLista"/>
        <w:rPr>
          <w:rFonts w:ascii="Arial" w:hAnsi="Arial" w:cs="Arial"/>
        </w:rPr>
      </w:pPr>
    </w:p>
    <w:p w14:paraId="6E2E9692" w14:textId="77777777" w:rsidR="00CC29A2" w:rsidRPr="00D33399" w:rsidRDefault="00CC29A2" w:rsidP="005144E2">
      <w:pPr>
        <w:widowControl/>
        <w:rPr>
          <w:rFonts w:ascii="Arial" w:hAnsi="Arial" w:cs="Arial"/>
          <w:b/>
        </w:rPr>
      </w:pPr>
    </w:p>
    <w:p w14:paraId="0C533E34" w14:textId="77777777" w:rsidR="00015E50" w:rsidRPr="00D33399" w:rsidRDefault="00015E50" w:rsidP="005144E2">
      <w:pPr>
        <w:widowControl/>
        <w:rPr>
          <w:rFonts w:ascii="Arial" w:hAnsi="Arial" w:cs="Arial"/>
          <w:b/>
        </w:rPr>
      </w:pPr>
    </w:p>
    <w:p w14:paraId="22242226" w14:textId="77777777" w:rsidR="00C729E4" w:rsidRPr="00D33399" w:rsidRDefault="00C729E4" w:rsidP="005144E2">
      <w:pPr>
        <w:widowControl/>
        <w:rPr>
          <w:rFonts w:ascii="Arial" w:hAnsi="Arial" w:cs="Arial"/>
          <w:b/>
        </w:rPr>
      </w:pPr>
    </w:p>
    <w:p w14:paraId="5F3ED3A9" w14:textId="77777777" w:rsidR="00C729E4" w:rsidRPr="00D33399" w:rsidRDefault="00C729E4" w:rsidP="005144E2">
      <w:pPr>
        <w:widowControl/>
        <w:rPr>
          <w:rFonts w:ascii="Arial" w:hAnsi="Arial" w:cs="Arial"/>
          <w:b/>
        </w:rPr>
      </w:pPr>
    </w:p>
    <w:p w14:paraId="084ADBA8" w14:textId="77777777" w:rsidR="00C729E4" w:rsidRPr="00D33399" w:rsidRDefault="00C729E4" w:rsidP="005144E2">
      <w:pPr>
        <w:widowControl/>
        <w:rPr>
          <w:rFonts w:ascii="Arial" w:hAnsi="Arial" w:cs="Arial"/>
          <w:b/>
        </w:rPr>
      </w:pPr>
    </w:p>
    <w:p w14:paraId="3AD966AB" w14:textId="77777777" w:rsidR="00C729E4" w:rsidRPr="00D33399" w:rsidRDefault="00C729E4" w:rsidP="005144E2">
      <w:pPr>
        <w:widowControl/>
        <w:rPr>
          <w:rFonts w:ascii="Arial" w:hAnsi="Arial" w:cs="Arial"/>
          <w:b/>
        </w:rPr>
      </w:pPr>
    </w:p>
    <w:p w14:paraId="41446F29" w14:textId="77777777" w:rsidR="00C729E4" w:rsidRPr="00D33399" w:rsidRDefault="00C729E4" w:rsidP="005144E2">
      <w:pPr>
        <w:widowControl/>
        <w:rPr>
          <w:rFonts w:ascii="Arial" w:hAnsi="Arial" w:cs="Arial"/>
          <w:b/>
        </w:rPr>
      </w:pPr>
    </w:p>
    <w:p w14:paraId="1478B6B1" w14:textId="77777777" w:rsidR="009017A7" w:rsidRPr="00D33399" w:rsidRDefault="009017A7" w:rsidP="005144E2">
      <w:pPr>
        <w:widowControl/>
        <w:rPr>
          <w:rFonts w:ascii="Arial" w:hAnsi="Arial" w:cs="Arial"/>
          <w:b/>
        </w:rPr>
      </w:pPr>
    </w:p>
    <w:p w14:paraId="7605632A" w14:textId="77777777" w:rsidR="009017A7" w:rsidRPr="00D33399" w:rsidRDefault="009017A7" w:rsidP="005144E2">
      <w:pPr>
        <w:widowControl/>
        <w:rPr>
          <w:rFonts w:ascii="Arial" w:hAnsi="Arial" w:cs="Arial"/>
          <w:b/>
        </w:rPr>
      </w:pPr>
    </w:p>
    <w:p w14:paraId="47BA2B4F" w14:textId="77777777" w:rsidR="009017A7" w:rsidRPr="00D33399" w:rsidRDefault="009017A7" w:rsidP="005144E2">
      <w:pPr>
        <w:widowControl/>
        <w:rPr>
          <w:rFonts w:ascii="Arial" w:hAnsi="Arial" w:cs="Arial"/>
          <w:b/>
        </w:rPr>
      </w:pPr>
    </w:p>
    <w:p w14:paraId="329D28F7" w14:textId="77777777" w:rsidR="00BD58DC" w:rsidRPr="00D33399" w:rsidRDefault="00BD58DC" w:rsidP="005144E2">
      <w:pPr>
        <w:widowControl/>
        <w:rPr>
          <w:rFonts w:ascii="Arial" w:hAnsi="Arial" w:cs="Arial"/>
          <w:b/>
        </w:rPr>
      </w:pPr>
    </w:p>
    <w:p w14:paraId="64F0C58D" w14:textId="77777777" w:rsidR="009F2AEA" w:rsidRPr="00D33399" w:rsidRDefault="009F2AEA" w:rsidP="005144E2">
      <w:pPr>
        <w:widowControl/>
        <w:rPr>
          <w:rFonts w:ascii="Arial" w:hAnsi="Arial" w:cs="Arial"/>
          <w:b/>
        </w:rPr>
      </w:pPr>
    </w:p>
    <w:p w14:paraId="796944D8" w14:textId="77777777" w:rsidR="00C729E4" w:rsidRPr="00D33399" w:rsidRDefault="00C729E4" w:rsidP="005144E2">
      <w:pPr>
        <w:widowControl/>
        <w:rPr>
          <w:rFonts w:ascii="Arial" w:hAnsi="Arial" w:cs="Arial"/>
          <w:b/>
        </w:rPr>
      </w:pPr>
    </w:p>
    <w:p w14:paraId="7085F860" w14:textId="66B66BEA" w:rsidR="003F4719" w:rsidRPr="00D33399" w:rsidRDefault="003F4719" w:rsidP="005144E2">
      <w:pPr>
        <w:keepNext/>
        <w:widowControl/>
        <w:jc w:val="both"/>
        <w:outlineLvl w:val="0"/>
        <w:rPr>
          <w:rFonts w:ascii="Arial" w:hAnsi="Arial" w:cs="Arial"/>
          <w:b/>
          <w:sz w:val="26"/>
          <w:szCs w:val="26"/>
        </w:rPr>
      </w:pPr>
      <w:r w:rsidRPr="00D33399">
        <w:rPr>
          <w:rFonts w:ascii="Arial" w:hAnsi="Arial" w:cs="Arial"/>
          <w:b/>
          <w:sz w:val="26"/>
          <w:szCs w:val="26"/>
        </w:rPr>
        <w:lastRenderedPageBreak/>
        <w:t xml:space="preserve">NOTA </w:t>
      </w:r>
      <w:r w:rsidR="00C24C6D" w:rsidRPr="00D33399">
        <w:rPr>
          <w:rFonts w:ascii="Arial" w:hAnsi="Arial" w:cs="Arial"/>
          <w:b/>
          <w:sz w:val="26"/>
          <w:szCs w:val="26"/>
        </w:rPr>
        <w:t>3</w:t>
      </w:r>
      <w:r w:rsidR="0074588C">
        <w:rPr>
          <w:rFonts w:ascii="Arial" w:hAnsi="Arial" w:cs="Arial"/>
          <w:b/>
          <w:sz w:val="26"/>
          <w:szCs w:val="26"/>
        </w:rPr>
        <w:t>2</w:t>
      </w:r>
      <w:r w:rsidRPr="00D33399">
        <w:rPr>
          <w:rFonts w:ascii="Arial" w:hAnsi="Arial" w:cs="Arial"/>
          <w:b/>
          <w:sz w:val="26"/>
          <w:szCs w:val="26"/>
        </w:rPr>
        <w:t xml:space="preserve"> – RESULTADO FINANCEIRO</w:t>
      </w:r>
    </w:p>
    <w:p w14:paraId="2C45EA2F" w14:textId="77777777" w:rsidR="00B515BB" w:rsidRPr="00D33399" w:rsidRDefault="00B515BB" w:rsidP="005144E2">
      <w:pPr>
        <w:widowControl/>
        <w:rPr>
          <w:rFonts w:ascii="Arial" w:hAnsi="Arial" w:cs="Arial"/>
          <w:b/>
        </w:rPr>
      </w:pPr>
    </w:p>
    <w:p w14:paraId="7AD26070" w14:textId="77777777" w:rsidR="00C729E4" w:rsidRPr="00D33399" w:rsidRDefault="00C729E4" w:rsidP="005144E2">
      <w:pPr>
        <w:widowControl/>
        <w:rPr>
          <w:rFonts w:ascii="Arial" w:hAnsi="Arial" w:cs="Arial"/>
          <w:b/>
        </w:rPr>
      </w:pPr>
    </w:p>
    <w:p w14:paraId="1135D768" w14:textId="7CB10352" w:rsidR="00B515BB" w:rsidRPr="00D33399" w:rsidRDefault="00C35E67" w:rsidP="005144E2">
      <w:pPr>
        <w:widowControl/>
        <w:rPr>
          <w:rFonts w:ascii="Arial" w:hAnsi="Arial" w:cs="Arial"/>
          <w:b/>
        </w:rPr>
      </w:pPr>
      <w:r w:rsidRPr="00C35E67">
        <w:rPr>
          <w:noProof/>
        </w:rPr>
        <w:drawing>
          <wp:inline distT="0" distB="0" distL="0" distR="0" wp14:anchorId="10ED0822" wp14:editId="59AA4B69">
            <wp:extent cx="6073140" cy="3463842"/>
            <wp:effectExtent l="0" t="0" r="3810" b="381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073140" cy="3463842"/>
                    </a:xfrm>
                    <a:prstGeom prst="rect">
                      <a:avLst/>
                    </a:prstGeom>
                    <a:noFill/>
                    <a:ln>
                      <a:noFill/>
                    </a:ln>
                  </pic:spPr>
                </pic:pic>
              </a:graphicData>
            </a:graphic>
          </wp:inline>
        </w:drawing>
      </w:r>
    </w:p>
    <w:p w14:paraId="5447FD3B" w14:textId="77777777" w:rsidR="00CC29A2" w:rsidRPr="00D33399" w:rsidRDefault="00CC29A2" w:rsidP="005144E2">
      <w:pPr>
        <w:widowControl/>
        <w:rPr>
          <w:rFonts w:ascii="Arial" w:hAnsi="Arial" w:cs="Arial"/>
          <w:b/>
        </w:rPr>
      </w:pPr>
    </w:p>
    <w:p w14:paraId="68CAB432" w14:textId="77777777" w:rsidR="00CC29A2" w:rsidRPr="00D33399" w:rsidRDefault="00CC29A2" w:rsidP="005144E2">
      <w:pPr>
        <w:widowControl/>
        <w:rPr>
          <w:rFonts w:ascii="Arial" w:hAnsi="Arial" w:cs="Arial"/>
          <w:b/>
        </w:rPr>
      </w:pPr>
    </w:p>
    <w:p w14:paraId="436FD45B" w14:textId="77777777" w:rsidR="00CC29A2" w:rsidRPr="00D33399" w:rsidRDefault="00CC29A2" w:rsidP="005144E2">
      <w:pPr>
        <w:widowControl/>
        <w:rPr>
          <w:rFonts w:ascii="Arial" w:hAnsi="Arial" w:cs="Arial"/>
          <w:b/>
        </w:rPr>
      </w:pPr>
    </w:p>
    <w:p w14:paraId="34327A01" w14:textId="77777777" w:rsidR="00CC29A2" w:rsidRPr="00D33399" w:rsidRDefault="00CC29A2" w:rsidP="005144E2">
      <w:pPr>
        <w:widowControl/>
        <w:rPr>
          <w:rFonts w:ascii="Arial" w:hAnsi="Arial" w:cs="Arial"/>
          <w:b/>
        </w:rPr>
      </w:pPr>
    </w:p>
    <w:p w14:paraId="0F7F5521" w14:textId="77777777" w:rsidR="00CC29A2" w:rsidRPr="00D33399" w:rsidRDefault="00CC29A2" w:rsidP="005144E2">
      <w:pPr>
        <w:widowControl/>
        <w:rPr>
          <w:rFonts w:ascii="Arial" w:hAnsi="Arial" w:cs="Arial"/>
          <w:b/>
        </w:rPr>
      </w:pPr>
    </w:p>
    <w:p w14:paraId="22E28827" w14:textId="77777777" w:rsidR="00C729E4" w:rsidRPr="00D33399" w:rsidRDefault="00C729E4" w:rsidP="005144E2">
      <w:pPr>
        <w:widowControl/>
        <w:rPr>
          <w:rFonts w:ascii="Arial" w:hAnsi="Arial" w:cs="Arial"/>
          <w:b/>
        </w:rPr>
      </w:pPr>
    </w:p>
    <w:p w14:paraId="678E0972" w14:textId="77777777" w:rsidR="00C729E4" w:rsidRPr="00D33399" w:rsidRDefault="00C729E4" w:rsidP="005144E2">
      <w:pPr>
        <w:widowControl/>
        <w:rPr>
          <w:rFonts w:ascii="Arial" w:hAnsi="Arial" w:cs="Arial"/>
          <w:b/>
        </w:rPr>
      </w:pPr>
    </w:p>
    <w:p w14:paraId="4F0D4CFB" w14:textId="77777777" w:rsidR="00C729E4" w:rsidRPr="00D33399" w:rsidRDefault="00C729E4" w:rsidP="005144E2">
      <w:pPr>
        <w:widowControl/>
        <w:rPr>
          <w:rFonts w:ascii="Arial" w:hAnsi="Arial" w:cs="Arial"/>
          <w:b/>
        </w:rPr>
      </w:pPr>
    </w:p>
    <w:p w14:paraId="4C4F089B" w14:textId="77777777" w:rsidR="00C729E4" w:rsidRPr="00D33399" w:rsidRDefault="00C729E4" w:rsidP="005144E2">
      <w:pPr>
        <w:widowControl/>
        <w:rPr>
          <w:rFonts w:ascii="Arial" w:hAnsi="Arial" w:cs="Arial"/>
          <w:b/>
        </w:rPr>
      </w:pPr>
    </w:p>
    <w:p w14:paraId="0F0A10D5" w14:textId="77777777" w:rsidR="00C729E4" w:rsidRPr="00D33399" w:rsidRDefault="00C729E4" w:rsidP="005144E2">
      <w:pPr>
        <w:widowControl/>
        <w:rPr>
          <w:rFonts w:ascii="Arial" w:hAnsi="Arial" w:cs="Arial"/>
          <w:b/>
        </w:rPr>
      </w:pPr>
    </w:p>
    <w:p w14:paraId="10346BC9" w14:textId="77777777" w:rsidR="00C729E4" w:rsidRPr="00D33399" w:rsidRDefault="00C729E4" w:rsidP="005144E2">
      <w:pPr>
        <w:widowControl/>
        <w:rPr>
          <w:rFonts w:ascii="Arial" w:hAnsi="Arial" w:cs="Arial"/>
          <w:b/>
        </w:rPr>
      </w:pPr>
    </w:p>
    <w:p w14:paraId="4617BE88" w14:textId="77777777" w:rsidR="00C729E4" w:rsidRPr="00D33399" w:rsidRDefault="00C729E4" w:rsidP="005144E2">
      <w:pPr>
        <w:widowControl/>
        <w:rPr>
          <w:rFonts w:ascii="Arial" w:hAnsi="Arial" w:cs="Arial"/>
          <w:b/>
        </w:rPr>
      </w:pPr>
    </w:p>
    <w:p w14:paraId="17F5504F" w14:textId="77777777" w:rsidR="00C729E4" w:rsidRPr="00D33399" w:rsidRDefault="00C729E4" w:rsidP="005144E2">
      <w:pPr>
        <w:widowControl/>
        <w:rPr>
          <w:rFonts w:ascii="Arial" w:hAnsi="Arial" w:cs="Arial"/>
          <w:b/>
        </w:rPr>
      </w:pPr>
    </w:p>
    <w:p w14:paraId="3916A591" w14:textId="77777777" w:rsidR="00C729E4" w:rsidRPr="00D33399" w:rsidRDefault="00C729E4" w:rsidP="005144E2">
      <w:pPr>
        <w:widowControl/>
        <w:rPr>
          <w:rFonts w:ascii="Arial" w:hAnsi="Arial" w:cs="Arial"/>
          <w:b/>
        </w:rPr>
      </w:pPr>
    </w:p>
    <w:p w14:paraId="34DA6E5D" w14:textId="77777777" w:rsidR="00C729E4" w:rsidRPr="00D33399" w:rsidRDefault="00C729E4" w:rsidP="005144E2">
      <w:pPr>
        <w:widowControl/>
        <w:rPr>
          <w:rFonts w:ascii="Arial" w:hAnsi="Arial" w:cs="Arial"/>
          <w:b/>
        </w:rPr>
      </w:pPr>
    </w:p>
    <w:p w14:paraId="45314C4C" w14:textId="77777777" w:rsidR="001A35C7" w:rsidRPr="00D33399" w:rsidRDefault="001A35C7" w:rsidP="005144E2">
      <w:pPr>
        <w:widowControl/>
        <w:rPr>
          <w:rFonts w:ascii="Arial" w:hAnsi="Arial" w:cs="Arial"/>
          <w:b/>
        </w:rPr>
      </w:pPr>
    </w:p>
    <w:p w14:paraId="0F48E07F" w14:textId="77777777" w:rsidR="001A35C7" w:rsidRPr="00D33399" w:rsidRDefault="001A35C7" w:rsidP="005144E2">
      <w:pPr>
        <w:widowControl/>
        <w:rPr>
          <w:rFonts w:ascii="Arial" w:hAnsi="Arial" w:cs="Arial"/>
          <w:b/>
        </w:rPr>
      </w:pPr>
    </w:p>
    <w:p w14:paraId="3AC8B296" w14:textId="77777777" w:rsidR="00C729E4" w:rsidRPr="00D33399" w:rsidRDefault="00C729E4" w:rsidP="005144E2">
      <w:pPr>
        <w:widowControl/>
        <w:rPr>
          <w:rFonts w:ascii="Arial" w:hAnsi="Arial" w:cs="Arial"/>
          <w:b/>
        </w:rPr>
      </w:pPr>
    </w:p>
    <w:p w14:paraId="4078054D" w14:textId="77777777" w:rsidR="00C729E4" w:rsidRPr="00D33399" w:rsidRDefault="00C729E4" w:rsidP="005144E2">
      <w:pPr>
        <w:widowControl/>
        <w:rPr>
          <w:rFonts w:ascii="Arial" w:hAnsi="Arial" w:cs="Arial"/>
          <w:b/>
        </w:rPr>
      </w:pPr>
    </w:p>
    <w:p w14:paraId="57702886" w14:textId="77777777" w:rsidR="00C729E4" w:rsidRPr="00D33399" w:rsidRDefault="00C729E4" w:rsidP="005144E2">
      <w:pPr>
        <w:widowControl/>
        <w:rPr>
          <w:rFonts w:ascii="Arial" w:hAnsi="Arial" w:cs="Arial"/>
          <w:b/>
        </w:rPr>
      </w:pPr>
    </w:p>
    <w:p w14:paraId="04CF7673" w14:textId="77777777" w:rsidR="00C729E4" w:rsidRPr="00D33399" w:rsidRDefault="00C729E4" w:rsidP="005144E2">
      <w:pPr>
        <w:widowControl/>
        <w:rPr>
          <w:rFonts w:ascii="Arial" w:hAnsi="Arial" w:cs="Arial"/>
          <w:b/>
        </w:rPr>
      </w:pPr>
    </w:p>
    <w:p w14:paraId="25FFBE1F" w14:textId="77777777" w:rsidR="00C729E4" w:rsidRPr="00D33399" w:rsidRDefault="00C729E4" w:rsidP="005144E2">
      <w:pPr>
        <w:widowControl/>
        <w:rPr>
          <w:rFonts w:ascii="Arial" w:hAnsi="Arial" w:cs="Arial"/>
          <w:b/>
        </w:rPr>
      </w:pPr>
    </w:p>
    <w:p w14:paraId="40C1743D" w14:textId="79BDC324" w:rsidR="003F4719" w:rsidRPr="00D33399" w:rsidRDefault="003F4719" w:rsidP="005144E2">
      <w:pPr>
        <w:widowControl/>
        <w:rPr>
          <w:rFonts w:ascii="Arial" w:hAnsi="Arial" w:cs="Arial"/>
          <w:b/>
          <w:sz w:val="26"/>
          <w:szCs w:val="26"/>
        </w:rPr>
      </w:pPr>
      <w:r w:rsidRPr="00D33399">
        <w:rPr>
          <w:rFonts w:ascii="Arial" w:hAnsi="Arial" w:cs="Arial"/>
          <w:b/>
          <w:sz w:val="26"/>
          <w:szCs w:val="26"/>
        </w:rPr>
        <w:lastRenderedPageBreak/>
        <w:t>NOTA 3</w:t>
      </w:r>
      <w:r w:rsidR="0074588C">
        <w:rPr>
          <w:rFonts w:ascii="Arial" w:hAnsi="Arial" w:cs="Arial"/>
          <w:b/>
          <w:sz w:val="26"/>
          <w:szCs w:val="26"/>
        </w:rPr>
        <w:t>3</w:t>
      </w:r>
      <w:r w:rsidRPr="00D33399">
        <w:rPr>
          <w:rFonts w:ascii="Arial" w:hAnsi="Arial" w:cs="Arial"/>
          <w:b/>
          <w:sz w:val="26"/>
          <w:szCs w:val="26"/>
        </w:rPr>
        <w:t xml:space="preserve"> – IMPOSTO DE RENDA E CONTRIBUIÇÃO SOCIAL NO RESULTADO</w:t>
      </w:r>
    </w:p>
    <w:p w14:paraId="5895309C" w14:textId="77777777" w:rsidR="00557D1D" w:rsidRPr="00D33399" w:rsidRDefault="00557D1D" w:rsidP="005144E2">
      <w:pPr>
        <w:widowControl/>
        <w:rPr>
          <w:rFonts w:ascii="Arial" w:hAnsi="Arial" w:cs="Arial"/>
          <w:b/>
        </w:rPr>
      </w:pPr>
    </w:p>
    <w:p w14:paraId="0C7C827C" w14:textId="77777777" w:rsidR="00924B99" w:rsidRPr="00D33399" w:rsidRDefault="00924B99" w:rsidP="005144E2">
      <w:pPr>
        <w:widowControl/>
        <w:rPr>
          <w:rFonts w:ascii="Arial" w:hAnsi="Arial" w:cs="Arial"/>
          <w:b/>
        </w:rPr>
      </w:pPr>
    </w:p>
    <w:p w14:paraId="5AA8E78D" w14:textId="3DF1A3E9" w:rsidR="003F4719" w:rsidRPr="00D33399" w:rsidRDefault="003F4719" w:rsidP="005144E2">
      <w:pPr>
        <w:jc w:val="both"/>
        <w:rPr>
          <w:rFonts w:ascii="Arial" w:hAnsi="Arial" w:cs="Arial"/>
        </w:rPr>
      </w:pPr>
      <w:r w:rsidRPr="00D33399">
        <w:rPr>
          <w:rFonts w:ascii="Arial" w:hAnsi="Arial" w:cs="Arial"/>
        </w:rPr>
        <w:t xml:space="preserve">A apuração do imposto de renda e da contribuição social sobre o resultado dos </w:t>
      </w:r>
      <w:r w:rsidR="00204D2E" w:rsidRPr="00D33399">
        <w:rPr>
          <w:rFonts w:ascii="Arial" w:hAnsi="Arial" w:cs="Arial"/>
        </w:rPr>
        <w:t>períodos</w:t>
      </w:r>
      <w:r w:rsidRPr="00D33399">
        <w:rPr>
          <w:rFonts w:ascii="Arial" w:hAnsi="Arial" w:cs="Arial"/>
        </w:rPr>
        <w:t xml:space="preserve"> findos em </w:t>
      </w:r>
      <w:r w:rsidR="00ED42FF" w:rsidRPr="00D33399">
        <w:rPr>
          <w:rFonts w:ascii="Arial" w:hAnsi="Arial" w:cs="Arial"/>
        </w:rPr>
        <w:t>201</w:t>
      </w:r>
      <w:r w:rsidR="00D624B9" w:rsidRPr="00D33399">
        <w:rPr>
          <w:rFonts w:ascii="Arial" w:hAnsi="Arial" w:cs="Arial"/>
        </w:rPr>
        <w:t>9</w:t>
      </w:r>
      <w:r w:rsidR="00ED42FF" w:rsidRPr="00D33399">
        <w:rPr>
          <w:rFonts w:ascii="Arial" w:hAnsi="Arial" w:cs="Arial"/>
        </w:rPr>
        <w:t xml:space="preserve"> e 20</w:t>
      </w:r>
      <w:r w:rsidR="00D624B9" w:rsidRPr="00D33399">
        <w:rPr>
          <w:rFonts w:ascii="Arial" w:hAnsi="Arial" w:cs="Arial"/>
        </w:rPr>
        <w:t>20</w:t>
      </w:r>
      <w:r w:rsidRPr="00D33399">
        <w:rPr>
          <w:rFonts w:ascii="Arial" w:hAnsi="Arial" w:cs="Arial"/>
        </w:rPr>
        <w:t xml:space="preserve"> segue demonstrada: </w:t>
      </w:r>
    </w:p>
    <w:p w14:paraId="1CC7FD24" w14:textId="77777777" w:rsidR="003F4719" w:rsidRPr="00C35E67" w:rsidRDefault="003F4719" w:rsidP="005144E2">
      <w:pPr>
        <w:jc w:val="both"/>
        <w:rPr>
          <w:rFonts w:ascii="Arial" w:hAnsi="Arial" w:cs="Arial"/>
          <w:b/>
          <w:sz w:val="16"/>
          <w:szCs w:val="16"/>
        </w:rPr>
      </w:pPr>
    </w:p>
    <w:p w14:paraId="0F1FC11A" w14:textId="00EF5A63" w:rsidR="00655FBA" w:rsidRPr="00D33399" w:rsidRDefault="00C35E67" w:rsidP="005144E2">
      <w:pPr>
        <w:widowControl/>
        <w:jc w:val="both"/>
        <w:rPr>
          <w:rFonts w:ascii="Arial" w:hAnsi="Arial" w:cs="Arial"/>
          <w:b/>
          <w:sz w:val="26"/>
          <w:szCs w:val="26"/>
        </w:rPr>
      </w:pPr>
      <w:r w:rsidRPr="00C35E67">
        <w:rPr>
          <w:noProof/>
        </w:rPr>
        <w:drawing>
          <wp:inline distT="0" distB="0" distL="0" distR="0" wp14:anchorId="773E1B47" wp14:editId="2C684692">
            <wp:extent cx="6073140" cy="4384919"/>
            <wp:effectExtent l="0" t="0" r="381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073140" cy="4384919"/>
                    </a:xfrm>
                    <a:prstGeom prst="rect">
                      <a:avLst/>
                    </a:prstGeom>
                    <a:noFill/>
                    <a:ln>
                      <a:noFill/>
                    </a:ln>
                  </pic:spPr>
                </pic:pic>
              </a:graphicData>
            </a:graphic>
          </wp:inline>
        </w:drawing>
      </w:r>
    </w:p>
    <w:p w14:paraId="503FB0D3" w14:textId="77777777" w:rsidR="00655FBA" w:rsidRPr="00D33399" w:rsidRDefault="00655FBA" w:rsidP="005144E2">
      <w:pPr>
        <w:widowControl/>
        <w:jc w:val="both"/>
        <w:rPr>
          <w:rFonts w:ascii="Arial" w:hAnsi="Arial" w:cs="Arial"/>
          <w:b/>
          <w:sz w:val="26"/>
          <w:szCs w:val="26"/>
        </w:rPr>
      </w:pPr>
    </w:p>
    <w:p w14:paraId="5CB2596D" w14:textId="77777777" w:rsidR="00655FBA" w:rsidRPr="00D33399" w:rsidRDefault="00655FBA" w:rsidP="005144E2">
      <w:pPr>
        <w:widowControl/>
        <w:jc w:val="both"/>
        <w:rPr>
          <w:rFonts w:ascii="Arial" w:hAnsi="Arial" w:cs="Arial"/>
          <w:b/>
          <w:sz w:val="26"/>
          <w:szCs w:val="26"/>
        </w:rPr>
      </w:pPr>
    </w:p>
    <w:p w14:paraId="50B3D96C" w14:textId="77777777" w:rsidR="005651D3" w:rsidRPr="00D33399" w:rsidRDefault="005651D3" w:rsidP="005144E2">
      <w:pPr>
        <w:widowControl/>
        <w:jc w:val="both"/>
        <w:rPr>
          <w:rFonts w:ascii="Arial" w:hAnsi="Arial" w:cs="Arial"/>
          <w:b/>
          <w:sz w:val="26"/>
          <w:szCs w:val="26"/>
        </w:rPr>
      </w:pPr>
    </w:p>
    <w:p w14:paraId="1EA8D5D5" w14:textId="77777777" w:rsidR="005651D3" w:rsidRPr="00D33399" w:rsidRDefault="005651D3" w:rsidP="005144E2">
      <w:pPr>
        <w:widowControl/>
        <w:jc w:val="both"/>
        <w:rPr>
          <w:rFonts w:ascii="Arial" w:hAnsi="Arial" w:cs="Arial"/>
          <w:b/>
          <w:sz w:val="26"/>
          <w:szCs w:val="26"/>
        </w:rPr>
      </w:pPr>
    </w:p>
    <w:p w14:paraId="4E201ECD" w14:textId="77777777" w:rsidR="005651D3" w:rsidRPr="00D33399" w:rsidRDefault="005651D3" w:rsidP="005144E2">
      <w:pPr>
        <w:widowControl/>
        <w:jc w:val="both"/>
        <w:rPr>
          <w:rFonts w:ascii="Arial" w:hAnsi="Arial" w:cs="Arial"/>
          <w:b/>
          <w:sz w:val="26"/>
          <w:szCs w:val="26"/>
        </w:rPr>
      </w:pPr>
    </w:p>
    <w:p w14:paraId="411D8855" w14:textId="77777777" w:rsidR="00655FBA" w:rsidRPr="00D33399" w:rsidRDefault="00655FBA" w:rsidP="005144E2">
      <w:pPr>
        <w:widowControl/>
        <w:jc w:val="both"/>
        <w:rPr>
          <w:rFonts w:ascii="Arial" w:hAnsi="Arial" w:cs="Arial"/>
          <w:b/>
          <w:sz w:val="26"/>
          <w:szCs w:val="26"/>
        </w:rPr>
      </w:pPr>
    </w:p>
    <w:p w14:paraId="250407A3" w14:textId="77777777" w:rsidR="00655FBA" w:rsidRPr="00D33399" w:rsidRDefault="00655FBA" w:rsidP="005144E2">
      <w:pPr>
        <w:widowControl/>
        <w:jc w:val="both"/>
        <w:rPr>
          <w:rFonts w:ascii="Arial" w:hAnsi="Arial" w:cs="Arial"/>
          <w:b/>
          <w:sz w:val="26"/>
          <w:szCs w:val="26"/>
        </w:rPr>
      </w:pPr>
    </w:p>
    <w:p w14:paraId="5F2D6268" w14:textId="77777777" w:rsidR="00C729E4" w:rsidRPr="00D33399" w:rsidRDefault="00C729E4" w:rsidP="005144E2">
      <w:pPr>
        <w:widowControl/>
        <w:jc w:val="both"/>
        <w:rPr>
          <w:rFonts w:ascii="Arial" w:hAnsi="Arial" w:cs="Arial"/>
          <w:b/>
          <w:sz w:val="26"/>
          <w:szCs w:val="26"/>
        </w:rPr>
      </w:pPr>
    </w:p>
    <w:p w14:paraId="6F7F0854" w14:textId="77777777" w:rsidR="0075486B" w:rsidRDefault="0075486B" w:rsidP="005144E2">
      <w:pPr>
        <w:widowControl/>
        <w:jc w:val="both"/>
        <w:rPr>
          <w:rFonts w:ascii="Arial" w:hAnsi="Arial" w:cs="Arial"/>
          <w:b/>
          <w:sz w:val="26"/>
          <w:szCs w:val="26"/>
        </w:rPr>
      </w:pPr>
    </w:p>
    <w:p w14:paraId="4599632E" w14:textId="77777777" w:rsidR="00C35E67" w:rsidRDefault="00C35E67" w:rsidP="005144E2">
      <w:pPr>
        <w:widowControl/>
        <w:jc w:val="both"/>
        <w:rPr>
          <w:rFonts w:ascii="Arial" w:hAnsi="Arial" w:cs="Arial"/>
          <w:b/>
          <w:sz w:val="26"/>
          <w:szCs w:val="26"/>
        </w:rPr>
      </w:pPr>
    </w:p>
    <w:p w14:paraId="287EBADF" w14:textId="77777777" w:rsidR="00C35E67" w:rsidRDefault="00C35E67" w:rsidP="005144E2">
      <w:pPr>
        <w:widowControl/>
        <w:jc w:val="both"/>
        <w:rPr>
          <w:rFonts w:ascii="Arial" w:hAnsi="Arial" w:cs="Arial"/>
          <w:b/>
          <w:sz w:val="26"/>
          <w:szCs w:val="26"/>
        </w:rPr>
      </w:pPr>
    </w:p>
    <w:p w14:paraId="20D3CAB7" w14:textId="77777777" w:rsidR="00C35E67" w:rsidRDefault="00C35E67" w:rsidP="005144E2">
      <w:pPr>
        <w:widowControl/>
        <w:jc w:val="both"/>
        <w:rPr>
          <w:rFonts w:ascii="Arial" w:hAnsi="Arial" w:cs="Arial"/>
          <w:b/>
          <w:sz w:val="26"/>
          <w:szCs w:val="26"/>
        </w:rPr>
      </w:pPr>
    </w:p>
    <w:p w14:paraId="78148FD1" w14:textId="77777777" w:rsidR="00C35E67" w:rsidRDefault="00C35E67" w:rsidP="005144E2">
      <w:pPr>
        <w:widowControl/>
        <w:jc w:val="both"/>
        <w:rPr>
          <w:rFonts w:ascii="Arial" w:hAnsi="Arial" w:cs="Arial"/>
          <w:b/>
          <w:sz w:val="26"/>
          <w:szCs w:val="26"/>
        </w:rPr>
      </w:pPr>
    </w:p>
    <w:p w14:paraId="47DE2DC0" w14:textId="77777777" w:rsidR="00C35E67" w:rsidRPr="00D33399" w:rsidRDefault="00C35E67" w:rsidP="005144E2">
      <w:pPr>
        <w:widowControl/>
        <w:jc w:val="both"/>
        <w:rPr>
          <w:rFonts w:ascii="Arial" w:hAnsi="Arial" w:cs="Arial"/>
          <w:b/>
          <w:sz w:val="26"/>
          <w:szCs w:val="26"/>
        </w:rPr>
      </w:pPr>
    </w:p>
    <w:p w14:paraId="11C9D920" w14:textId="6C17A4A2" w:rsidR="003F4719" w:rsidRPr="00D33399" w:rsidRDefault="003F4719" w:rsidP="005144E2">
      <w:pPr>
        <w:widowControl/>
        <w:jc w:val="both"/>
        <w:rPr>
          <w:rFonts w:ascii="Arial" w:hAnsi="Arial" w:cs="Arial"/>
          <w:b/>
          <w:sz w:val="26"/>
          <w:szCs w:val="26"/>
        </w:rPr>
      </w:pPr>
      <w:r w:rsidRPr="00D33399">
        <w:rPr>
          <w:rFonts w:ascii="Arial" w:hAnsi="Arial" w:cs="Arial"/>
          <w:b/>
          <w:sz w:val="26"/>
          <w:szCs w:val="26"/>
        </w:rPr>
        <w:lastRenderedPageBreak/>
        <w:t>NOTA 3</w:t>
      </w:r>
      <w:r w:rsidR="0074588C">
        <w:rPr>
          <w:rFonts w:ascii="Arial" w:hAnsi="Arial" w:cs="Arial"/>
          <w:b/>
          <w:sz w:val="26"/>
          <w:szCs w:val="26"/>
        </w:rPr>
        <w:t>4</w:t>
      </w:r>
      <w:r w:rsidRPr="00D33399">
        <w:rPr>
          <w:rFonts w:ascii="Arial" w:hAnsi="Arial" w:cs="Arial"/>
          <w:b/>
          <w:sz w:val="26"/>
          <w:szCs w:val="26"/>
        </w:rPr>
        <w:t xml:space="preserve"> - SALDO E TRANSAÇÕES COM PARTES RELACIONADAS </w:t>
      </w:r>
    </w:p>
    <w:p w14:paraId="7009D7AE" w14:textId="77777777" w:rsidR="00DA3463" w:rsidRPr="00D33399" w:rsidRDefault="00DA3463" w:rsidP="005144E2">
      <w:pPr>
        <w:widowControl/>
        <w:jc w:val="both"/>
        <w:rPr>
          <w:rFonts w:ascii="Arial" w:hAnsi="Arial" w:cs="Arial"/>
          <w:b/>
        </w:rPr>
      </w:pPr>
    </w:p>
    <w:p w14:paraId="193003EB" w14:textId="77777777" w:rsidR="007272D1" w:rsidRPr="00D33399" w:rsidRDefault="007272D1" w:rsidP="005144E2">
      <w:pPr>
        <w:widowControl/>
        <w:jc w:val="both"/>
        <w:rPr>
          <w:rFonts w:ascii="Arial" w:hAnsi="Arial" w:cs="Arial"/>
          <w:b/>
        </w:rPr>
      </w:pPr>
    </w:p>
    <w:p w14:paraId="44A41D54" w14:textId="77777777" w:rsidR="00557D1D" w:rsidRPr="00D33399" w:rsidRDefault="008205E7" w:rsidP="005144E2">
      <w:pPr>
        <w:widowControl/>
        <w:jc w:val="both"/>
        <w:rPr>
          <w:rFonts w:ascii="Arial" w:hAnsi="Arial" w:cs="Arial"/>
        </w:rPr>
      </w:pPr>
      <w:r w:rsidRPr="00D33399">
        <w:rPr>
          <w:rFonts w:ascii="Arial" w:hAnsi="Arial" w:cs="Arial"/>
        </w:rPr>
        <w:t xml:space="preserve">De acordo com o Pronunciamento Técnico CPC 5 – Divulgação sobre Partes </w:t>
      </w:r>
      <w:r w:rsidR="00955A74" w:rsidRPr="00D33399">
        <w:rPr>
          <w:rFonts w:ascii="Arial" w:hAnsi="Arial" w:cs="Arial"/>
        </w:rPr>
        <w:t>R</w:t>
      </w:r>
      <w:r w:rsidRPr="00D33399">
        <w:rPr>
          <w:rFonts w:ascii="Arial" w:hAnsi="Arial" w:cs="Arial"/>
        </w:rPr>
        <w:t xml:space="preserve">elacionadas, enquadram-se nesse conceito a transferência de recursos, serviços ou obrigações entre partes relacionadas, independentemente de haver ou não um valor alocado à transação. </w:t>
      </w:r>
    </w:p>
    <w:p w14:paraId="670607BD" w14:textId="77777777" w:rsidR="008205E7" w:rsidRPr="00D33399" w:rsidRDefault="008205E7" w:rsidP="005144E2">
      <w:pPr>
        <w:widowControl/>
        <w:jc w:val="both"/>
        <w:rPr>
          <w:rFonts w:ascii="Arial" w:hAnsi="Arial" w:cs="Arial"/>
        </w:rPr>
      </w:pPr>
    </w:p>
    <w:p w14:paraId="7840F9DA" w14:textId="184AA08C" w:rsidR="007272D1" w:rsidRPr="00D33399" w:rsidRDefault="00167144" w:rsidP="005144E2">
      <w:pPr>
        <w:widowControl/>
        <w:jc w:val="both"/>
        <w:rPr>
          <w:rFonts w:ascii="Arial" w:hAnsi="Arial" w:cs="Arial"/>
        </w:rPr>
      </w:pPr>
      <w:r w:rsidRPr="00D33399">
        <w:rPr>
          <w:rFonts w:ascii="Arial" w:hAnsi="Arial" w:cs="Arial"/>
        </w:rPr>
        <w:t xml:space="preserve">As transações </w:t>
      </w:r>
      <w:r w:rsidR="003265AC" w:rsidRPr="00D33399">
        <w:rPr>
          <w:rFonts w:ascii="Arial" w:hAnsi="Arial" w:cs="Arial"/>
        </w:rPr>
        <w:t xml:space="preserve">de comercialização de energia </w:t>
      </w:r>
      <w:r w:rsidRPr="00D33399">
        <w:rPr>
          <w:rFonts w:ascii="Arial" w:hAnsi="Arial" w:cs="Arial"/>
        </w:rPr>
        <w:t xml:space="preserve">com partes relacionadas são realizadas de acordo com os padrões e preços </w:t>
      </w:r>
      <w:r w:rsidR="003265AC" w:rsidRPr="00D33399">
        <w:rPr>
          <w:rFonts w:ascii="Arial" w:hAnsi="Arial" w:cs="Arial"/>
        </w:rPr>
        <w:t>estabelecidos pelo órgão regulador</w:t>
      </w:r>
      <w:r w:rsidRPr="00D33399">
        <w:rPr>
          <w:rFonts w:ascii="Arial" w:hAnsi="Arial" w:cs="Arial"/>
        </w:rPr>
        <w:t xml:space="preserve"> ou baseados em contratos próprios do Se</w:t>
      </w:r>
      <w:r w:rsidR="00BC5DFF" w:rsidRPr="00D33399">
        <w:rPr>
          <w:rFonts w:ascii="Arial" w:hAnsi="Arial" w:cs="Arial"/>
        </w:rPr>
        <w:t>tor Elétrico.</w:t>
      </w:r>
    </w:p>
    <w:p w14:paraId="690AFC1C" w14:textId="77777777" w:rsidR="007272D1" w:rsidRPr="00D33399" w:rsidRDefault="007272D1" w:rsidP="005144E2">
      <w:pPr>
        <w:widowControl/>
        <w:jc w:val="both"/>
        <w:rPr>
          <w:rFonts w:ascii="Arial" w:hAnsi="Arial" w:cs="Arial"/>
        </w:rPr>
      </w:pPr>
    </w:p>
    <w:p w14:paraId="296CFB70" w14:textId="77777777" w:rsidR="003F4719" w:rsidRPr="00D33399" w:rsidRDefault="003F4719" w:rsidP="005144E2">
      <w:pPr>
        <w:widowControl/>
        <w:jc w:val="both"/>
        <w:rPr>
          <w:rFonts w:ascii="Arial" w:hAnsi="Arial" w:cs="Arial"/>
        </w:rPr>
      </w:pPr>
      <w:r w:rsidRPr="00D33399">
        <w:rPr>
          <w:rFonts w:ascii="Arial" w:hAnsi="Arial" w:cs="Arial"/>
        </w:rPr>
        <w:t>Segue abaixo, quadro do saldo e transações com as empresas consideradas partes relacionadas:</w:t>
      </w:r>
    </w:p>
    <w:p w14:paraId="54F6C217" w14:textId="77777777" w:rsidR="00A8048D" w:rsidRPr="00D33399" w:rsidRDefault="00A8048D" w:rsidP="005144E2">
      <w:pPr>
        <w:widowControl/>
        <w:jc w:val="both"/>
        <w:rPr>
          <w:rFonts w:ascii="Arial" w:hAnsi="Arial" w:cs="Arial"/>
          <w:noProof/>
          <w:sz w:val="16"/>
          <w:szCs w:val="16"/>
        </w:rPr>
      </w:pPr>
    </w:p>
    <w:p w14:paraId="1980D45C" w14:textId="0EF5BC8B" w:rsidR="00EF385F" w:rsidRPr="00D33399" w:rsidRDefault="007F4852" w:rsidP="005144E2">
      <w:pPr>
        <w:widowControl/>
        <w:jc w:val="both"/>
        <w:rPr>
          <w:rFonts w:ascii="Arial" w:hAnsi="Arial" w:cs="Arial"/>
        </w:rPr>
      </w:pPr>
      <w:r w:rsidRPr="007F4852">
        <w:rPr>
          <w:noProof/>
        </w:rPr>
        <w:drawing>
          <wp:inline distT="0" distB="0" distL="0" distR="0" wp14:anchorId="48A9A8CF" wp14:editId="3AB8B537">
            <wp:extent cx="6073140" cy="4514497"/>
            <wp:effectExtent l="0" t="0" r="3810" b="635"/>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073140" cy="4514497"/>
                    </a:xfrm>
                    <a:prstGeom prst="rect">
                      <a:avLst/>
                    </a:prstGeom>
                    <a:noFill/>
                    <a:ln>
                      <a:noFill/>
                    </a:ln>
                  </pic:spPr>
                </pic:pic>
              </a:graphicData>
            </a:graphic>
          </wp:inline>
        </w:drawing>
      </w:r>
    </w:p>
    <w:p w14:paraId="7E5F8564" w14:textId="77777777" w:rsidR="00FD6978" w:rsidRPr="00D33399" w:rsidRDefault="00FD6978" w:rsidP="005144E2">
      <w:pPr>
        <w:widowControl/>
        <w:jc w:val="both"/>
        <w:rPr>
          <w:rFonts w:ascii="Arial" w:hAnsi="Arial" w:cs="Arial"/>
        </w:rPr>
      </w:pPr>
    </w:p>
    <w:p w14:paraId="318D4178" w14:textId="77777777" w:rsidR="00112D25" w:rsidRPr="00D33399" w:rsidRDefault="00112D25" w:rsidP="00067006">
      <w:pPr>
        <w:pStyle w:val="PargrafodaLista"/>
        <w:widowControl/>
        <w:numPr>
          <w:ilvl w:val="0"/>
          <w:numId w:val="18"/>
        </w:numPr>
        <w:jc w:val="both"/>
        <w:rPr>
          <w:rFonts w:ascii="Arial" w:hAnsi="Arial" w:cs="Arial"/>
        </w:rPr>
      </w:pPr>
      <w:r w:rsidRPr="00D33399">
        <w:rPr>
          <w:rFonts w:ascii="Arial" w:hAnsi="Arial" w:cs="Arial"/>
          <w:b/>
          <w:u w:val="single"/>
        </w:rPr>
        <w:t>Concessionárias e Permissionárias</w:t>
      </w:r>
      <w:r w:rsidRPr="00D33399">
        <w:rPr>
          <w:rFonts w:ascii="Arial" w:hAnsi="Arial" w:cs="Arial"/>
          <w:b/>
        </w:rPr>
        <w:t>:</w:t>
      </w:r>
      <w:r w:rsidR="008A35C0" w:rsidRPr="00D33399">
        <w:rPr>
          <w:rFonts w:ascii="Arial" w:hAnsi="Arial" w:cs="Arial"/>
          <w:b/>
        </w:rPr>
        <w:t xml:space="preserve"> </w:t>
      </w:r>
      <w:r w:rsidR="0001554B" w:rsidRPr="00D33399">
        <w:rPr>
          <w:rFonts w:ascii="Arial" w:hAnsi="Arial" w:cs="Arial"/>
        </w:rPr>
        <w:t>corresponde a valores a receber referente</w:t>
      </w:r>
      <w:r w:rsidR="006F1BF2" w:rsidRPr="00D33399">
        <w:rPr>
          <w:rFonts w:ascii="Arial" w:hAnsi="Arial" w:cs="Arial"/>
        </w:rPr>
        <w:t>s a</w:t>
      </w:r>
      <w:r w:rsidR="0001554B" w:rsidRPr="00D33399">
        <w:rPr>
          <w:rFonts w:ascii="Arial" w:hAnsi="Arial" w:cs="Arial"/>
        </w:rPr>
        <w:t xml:space="preserve"> faturamento vinculado à </w:t>
      </w:r>
      <w:r w:rsidR="00712513" w:rsidRPr="00D33399">
        <w:rPr>
          <w:rFonts w:ascii="Arial" w:hAnsi="Arial" w:cs="Arial"/>
        </w:rPr>
        <w:t>r</w:t>
      </w:r>
      <w:r w:rsidR="0001554B" w:rsidRPr="00D33399">
        <w:rPr>
          <w:rFonts w:ascii="Arial" w:hAnsi="Arial" w:cs="Arial"/>
        </w:rPr>
        <w:t xml:space="preserve">eceita </w:t>
      </w:r>
      <w:r w:rsidR="00712513" w:rsidRPr="00D33399">
        <w:rPr>
          <w:rFonts w:ascii="Arial" w:hAnsi="Arial" w:cs="Arial"/>
        </w:rPr>
        <w:t>a</w:t>
      </w:r>
      <w:r w:rsidR="0001554B" w:rsidRPr="00D33399">
        <w:rPr>
          <w:rFonts w:ascii="Arial" w:hAnsi="Arial" w:cs="Arial"/>
        </w:rPr>
        <w:t xml:space="preserve">nual </w:t>
      </w:r>
      <w:r w:rsidR="00712513" w:rsidRPr="00D33399">
        <w:rPr>
          <w:rFonts w:ascii="Arial" w:hAnsi="Arial" w:cs="Arial"/>
        </w:rPr>
        <w:t>determinada</w:t>
      </w:r>
      <w:r w:rsidR="0001554B" w:rsidRPr="00D33399">
        <w:rPr>
          <w:rFonts w:ascii="Arial" w:hAnsi="Arial" w:cs="Arial"/>
        </w:rPr>
        <w:t>. A tarifa praticada nessas transações entre partes relacionadas é definida em resoluç</w:t>
      </w:r>
      <w:r w:rsidR="00044850" w:rsidRPr="00D33399">
        <w:rPr>
          <w:rFonts w:ascii="Arial" w:hAnsi="Arial" w:cs="Arial"/>
        </w:rPr>
        <w:t>ões da A</w:t>
      </w:r>
      <w:r w:rsidR="00904EEC" w:rsidRPr="00D33399">
        <w:rPr>
          <w:rFonts w:ascii="Arial" w:hAnsi="Arial" w:cs="Arial"/>
        </w:rPr>
        <w:t>neel</w:t>
      </w:r>
      <w:r w:rsidR="0001554B" w:rsidRPr="00D33399">
        <w:rPr>
          <w:rFonts w:ascii="Arial" w:hAnsi="Arial" w:cs="Arial"/>
        </w:rPr>
        <w:t xml:space="preserve"> (</w:t>
      </w:r>
      <w:r w:rsidR="008E6B5F" w:rsidRPr="00D33399">
        <w:rPr>
          <w:rFonts w:ascii="Arial" w:hAnsi="Arial" w:cs="Arial"/>
        </w:rPr>
        <w:t>n</w:t>
      </w:r>
      <w:r w:rsidR="0001554B" w:rsidRPr="00D33399">
        <w:rPr>
          <w:rFonts w:ascii="Arial" w:hAnsi="Arial" w:cs="Arial"/>
        </w:rPr>
        <w:t>ota 6).</w:t>
      </w:r>
    </w:p>
    <w:p w14:paraId="1315610D" w14:textId="77777777" w:rsidR="0001554B" w:rsidRPr="00D33399" w:rsidRDefault="0001554B" w:rsidP="005144E2">
      <w:pPr>
        <w:widowControl/>
        <w:jc w:val="both"/>
        <w:rPr>
          <w:rFonts w:ascii="Arial" w:hAnsi="Arial" w:cs="Arial"/>
        </w:rPr>
      </w:pPr>
    </w:p>
    <w:p w14:paraId="3638FC00" w14:textId="77777777" w:rsidR="0001554B" w:rsidRPr="00D33399" w:rsidRDefault="0001554B" w:rsidP="00067006">
      <w:pPr>
        <w:pStyle w:val="PargrafodaLista"/>
        <w:widowControl/>
        <w:numPr>
          <w:ilvl w:val="0"/>
          <w:numId w:val="18"/>
        </w:numPr>
        <w:jc w:val="both"/>
        <w:rPr>
          <w:rFonts w:ascii="Arial" w:hAnsi="Arial" w:cs="Arial"/>
          <w:b/>
          <w:u w:val="single"/>
        </w:rPr>
      </w:pPr>
      <w:r w:rsidRPr="00D33399">
        <w:rPr>
          <w:rFonts w:ascii="Arial" w:hAnsi="Arial" w:cs="Arial"/>
          <w:b/>
          <w:u w:val="single"/>
        </w:rPr>
        <w:lastRenderedPageBreak/>
        <w:t xml:space="preserve">Fundo </w:t>
      </w:r>
      <w:r w:rsidR="00CE1CA4" w:rsidRPr="00D33399">
        <w:rPr>
          <w:rFonts w:ascii="Arial" w:hAnsi="Arial" w:cs="Arial"/>
          <w:b/>
          <w:u w:val="single"/>
        </w:rPr>
        <w:t>de</w:t>
      </w:r>
      <w:r w:rsidR="008210AD" w:rsidRPr="00D33399">
        <w:rPr>
          <w:rFonts w:ascii="Arial" w:hAnsi="Arial" w:cs="Arial"/>
          <w:b/>
          <w:u w:val="single"/>
        </w:rPr>
        <w:t xml:space="preserve"> </w:t>
      </w:r>
      <w:r w:rsidRPr="00D33399">
        <w:rPr>
          <w:rFonts w:ascii="Arial" w:hAnsi="Arial" w:cs="Arial"/>
          <w:b/>
          <w:u w:val="single"/>
        </w:rPr>
        <w:t>descomissionamento</w:t>
      </w:r>
      <w:r w:rsidR="00BB51F5" w:rsidRPr="00D33399">
        <w:rPr>
          <w:rFonts w:ascii="Arial" w:hAnsi="Arial" w:cs="Arial"/>
          <w:b/>
        </w:rPr>
        <w:t>:</w:t>
      </w:r>
      <w:r w:rsidR="008210AD" w:rsidRPr="00D33399">
        <w:rPr>
          <w:rFonts w:ascii="Arial" w:hAnsi="Arial" w:cs="Arial"/>
          <w:b/>
        </w:rPr>
        <w:t xml:space="preserve"> </w:t>
      </w:r>
      <w:r w:rsidR="00044850" w:rsidRPr="00D33399">
        <w:rPr>
          <w:rFonts w:ascii="Arial" w:hAnsi="Arial" w:cs="Arial"/>
          <w:shd w:val="clear" w:color="auto" w:fill="FFFFFF"/>
        </w:rPr>
        <w:t>o</w:t>
      </w:r>
      <w:r w:rsidR="00CE1CA4" w:rsidRPr="00D33399">
        <w:rPr>
          <w:rFonts w:ascii="Arial" w:hAnsi="Arial" w:cs="Arial"/>
          <w:shd w:val="clear" w:color="auto" w:fill="FFFFFF"/>
        </w:rPr>
        <w:t xml:space="preserve"> fundo de descomissionamento de usinas nucleares se refere à obrigação para desmobilização dos ativos das usinas nucleares, para fazer face aos custos a serem incorridos ao final da vida útil econômica das mesmas (</w:t>
      </w:r>
      <w:r w:rsidR="008E6B5F" w:rsidRPr="00D33399">
        <w:rPr>
          <w:rFonts w:ascii="Arial" w:hAnsi="Arial" w:cs="Arial"/>
          <w:shd w:val="clear" w:color="auto" w:fill="FFFFFF"/>
        </w:rPr>
        <w:t>n</w:t>
      </w:r>
      <w:r w:rsidR="00CE1CA4" w:rsidRPr="00D33399">
        <w:rPr>
          <w:rFonts w:ascii="Arial" w:hAnsi="Arial" w:cs="Arial"/>
          <w:shd w:val="clear" w:color="auto" w:fill="FFFFFF"/>
        </w:rPr>
        <w:t>otas 11 e 2</w:t>
      </w:r>
      <w:r w:rsidR="00911EBA" w:rsidRPr="00D33399">
        <w:rPr>
          <w:rFonts w:ascii="Arial" w:hAnsi="Arial" w:cs="Arial"/>
          <w:shd w:val="clear" w:color="auto" w:fill="FFFFFF"/>
        </w:rPr>
        <w:t>4</w:t>
      </w:r>
      <w:r w:rsidR="00CE1CA4" w:rsidRPr="00D33399">
        <w:rPr>
          <w:rFonts w:ascii="Arial" w:hAnsi="Arial" w:cs="Arial"/>
          <w:shd w:val="clear" w:color="auto" w:fill="FFFFFF"/>
        </w:rPr>
        <w:t>).</w:t>
      </w:r>
    </w:p>
    <w:p w14:paraId="3B9E6039" w14:textId="77777777" w:rsidR="00B61E34" w:rsidRPr="00D33399" w:rsidRDefault="00B61E34" w:rsidP="00B61E34">
      <w:pPr>
        <w:pStyle w:val="PargrafodaLista"/>
        <w:rPr>
          <w:rFonts w:ascii="Arial" w:hAnsi="Arial" w:cs="Arial"/>
          <w:b/>
          <w:u w:val="single"/>
        </w:rPr>
      </w:pPr>
    </w:p>
    <w:p w14:paraId="1B8B2069" w14:textId="4DE9B058" w:rsidR="00B61E34" w:rsidRPr="00D33399" w:rsidRDefault="00442EA6" w:rsidP="00067006">
      <w:pPr>
        <w:pStyle w:val="PargrafodaLista"/>
        <w:widowControl/>
        <w:numPr>
          <w:ilvl w:val="0"/>
          <w:numId w:val="18"/>
        </w:numPr>
        <w:jc w:val="both"/>
        <w:rPr>
          <w:rFonts w:ascii="Arial" w:hAnsi="Arial" w:cs="Arial"/>
          <w:b/>
          <w:u w:val="single"/>
        </w:rPr>
      </w:pPr>
      <w:r w:rsidRPr="00D33399">
        <w:rPr>
          <w:rFonts w:ascii="Arial" w:hAnsi="Arial" w:cs="Arial"/>
          <w:b/>
          <w:u w:val="single"/>
        </w:rPr>
        <w:t>Outra</w:t>
      </w:r>
      <w:r w:rsidR="00B61E34" w:rsidRPr="00D33399">
        <w:rPr>
          <w:rFonts w:ascii="Arial" w:hAnsi="Arial" w:cs="Arial"/>
          <w:b/>
          <w:u w:val="single"/>
        </w:rPr>
        <w:t>s contas a receber</w:t>
      </w:r>
      <w:r w:rsidR="00B61E34" w:rsidRPr="00D33399">
        <w:rPr>
          <w:rFonts w:ascii="Arial" w:hAnsi="Arial" w:cs="Arial"/>
          <w:b/>
        </w:rPr>
        <w:t xml:space="preserve">: </w:t>
      </w:r>
      <w:r w:rsidR="00E90E29" w:rsidRPr="00D33399">
        <w:rPr>
          <w:rFonts w:ascii="Arial" w:hAnsi="Arial" w:cs="Arial"/>
          <w:shd w:val="clear" w:color="auto" w:fill="FFFFFF"/>
        </w:rPr>
        <w:t>o contas a receber junto a Eletrobras está composto por IR sobre o</w:t>
      </w:r>
      <w:r w:rsidR="00B61E34" w:rsidRPr="00D33399">
        <w:rPr>
          <w:rFonts w:ascii="Arial" w:hAnsi="Arial" w:cs="Arial"/>
          <w:shd w:val="clear" w:color="auto" w:fill="FFFFFF"/>
        </w:rPr>
        <w:t xml:space="preserve"> fundo de descomissionamento </w:t>
      </w:r>
      <w:r w:rsidR="00E90E29" w:rsidRPr="00D33399">
        <w:rPr>
          <w:rFonts w:ascii="Arial" w:hAnsi="Arial" w:cs="Arial"/>
          <w:shd w:val="clear" w:color="auto" w:fill="FFFFFF"/>
        </w:rPr>
        <w:t>no montante de R$ 86.845 e cessão de pessoal no montante de R$ 71. E o contas a receber junto a Furnas está composto por IPTU (R$ 1.289), tx. Residencial</w:t>
      </w:r>
      <w:r w:rsidR="005D31CF" w:rsidRPr="00D33399">
        <w:rPr>
          <w:rFonts w:ascii="Arial" w:hAnsi="Arial" w:cs="Arial"/>
          <w:shd w:val="clear" w:color="auto" w:fill="FFFFFF"/>
        </w:rPr>
        <w:t>/ocupação</w:t>
      </w:r>
      <w:r w:rsidR="00E90E29" w:rsidRPr="00D33399">
        <w:rPr>
          <w:rFonts w:ascii="Arial" w:hAnsi="Arial" w:cs="Arial"/>
          <w:shd w:val="clear" w:color="auto" w:fill="FFFFFF"/>
        </w:rPr>
        <w:t xml:space="preserve"> (R$ </w:t>
      </w:r>
      <w:r w:rsidR="005D31CF" w:rsidRPr="00D33399">
        <w:rPr>
          <w:rFonts w:ascii="Arial" w:hAnsi="Arial" w:cs="Arial"/>
          <w:shd w:val="clear" w:color="auto" w:fill="FFFFFF"/>
        </w:rPr>
        <w:t>929</w:t>
      </w:r>
      <w:r w:rsidR="00E90E29" w:rsidRPr="00D33399">
        <w:rPr>
          <w:rFonts w:ascii="Arial" w:hAnsi="Arial" w:cs="Arial"/>
          <w:shd w:val="clear" w:color="auto" w:fill="FFFFFF"/>
        </w:rPr>
        <w:t>)</w:t>
      </w:r>
      <w:r w:rsidR="005D31CF" w:rsidRPr="00D33399">
        <w:rPr>
          <w:rFonts w:ascii="Arial" w:hAnsi="Arial" w:cs="Arial"/>
          <w:shd w:val="clear" w:color="auto" w:fill="FFFFFF"/>
        </w:rPr>
        <w:t>...</w:t>
      </w:r>
    </w:p>
    <w:p w14:paraId="43286264" w14:textId="77777777" w:rsidR="00CE1CA4" w:rsidRPr="00D33399" w:rsidRDefault="00CE1CA4" w:rsidP="005144E2">
      <w:pPr>
        <w:pStyle w:val="PargrafodaLista"/>
        <w:rPr>
          <w:rFonts w:ascii="Arial" w:hAnsi="Arial" w:cs="Arial"/>
          <w:b/>
          <w:u w:val="single"/>
        </w:rPr>
      </w:pPr>
    </w:p>
    <w:p w14:paraId="7F5380B9" w14:textId="77777777" w:rsidR="00CE1CA4" w:rsidRPr="00D33399" w:rsidRDefault="001F0F40" w:rsidP="00067006">
      <w:pPr>
        <w:pStyle w:val="PargrafodaLista"/>
        <w:widowControl/>
        <w:numPr>
          <w:ilvl w:val="0"/>
          <w:numId w:val="18"/>
        </w:numPr>
        <w:jc w:val="both"/>
        <w:rPr>
          <w:rFonts w:ascii="Arial" w:hAnsi="Arial" w:cs="Arial"/>
          <w:b/>
          <w:u w:val="single"/>
        </w:rPr>
      </w:pPr>
      <w:r w:rsidRPr="00D33399">
        <w:rPr>
          <w:rFonts w:ascii="Arial" w:hAnsi="Arial" w:cs="Arial"/>
          <w:b/>
          <w:u w:val="single"/>
        </w:rPr>
        <w:t>Fornecedores</w:t>
      </w:r>
      <w:r w:rsidRPr="00D33399">
        <w:rPr>
          <w:rFonts w:ascii="Arial" w:hAnsi="Arial" w:cs="Arial"/>
          <w:b/>
        </w:rPr>
        <w:t>:</w:t>
      </w:r>
      <w:r w:rsidRPr="00D33399">
        <w:rPr>
          <w:rFonts w:ascii="Arial" w:hAnsi="Arial" w:cs="Arial"/>
        </w:rPr>
        <w:t xml:space="preserve"> refere-se a valores a pagar vinculado</w:t>
      </w:r>
      <w:r w:rsidR="00B55CA3" w:rsidRPr="00D33399">
        <w:rPr>
          <w:rFonts w:ascii="Arial" w:hAnsi="Arial" w:cs="Arial"/>
        </w:rPr>
        <w:t>, principalmente a Uso de Rede de Transmissão.</w:t>
      </w:r>
    </w:p>
    <w:p w14:paraId="417E36B6" w14:textId="77777777" w:rsidR="00BC140E" w:rsidRPr="00D33399" w:rsidRDefault="00BC140E" w:rsidP="005144E2">
      <w:pPr>
        <w:widowControl/>
        <w:jc w:val="both"/>
        <w:rPr>
          <w:rFonts w:ascii="Arial" w:hAnsi="Arial" w:cs="Arial"/>
          <w:b/>
          <w:u w:val="single"/>
        </w:rPr>
      </w:pPr>
    </w:p>
    <w:p w14:paraId="2205C78D" w14:textId="77777777" w:rsidR="00CE1CA4" w:rsidRPr="00D33399" w:rsidRDefault="00CE1CA4" w:rsidP="00067006">
      <w:pPr>
        <w:pStyle w:val="PargrafodaLista"/>
        <w:widowControl/>
        <w:numPr>
          <w:ilvl w:val="0"/>
          <w:numId w:val="18"/>
        </w:numPr>
        <w:jc w:val="both"/>
        <w:rPr>
          <w:rFonts w:ascii="Arial" w:hAnsi="Arial" w:cs="Arial"/>
          <w:b/>
        </w:rPr>
      </w:pPr>
      <w:r w:rsidRPr="00D33399">
        <w:rPr>
          <w:rFonts w:ascii="Arial" w:hAnsi="Arial" w:cs="Arial"/>
          <w:b/>
          <w:u w:val="single"/>
        </w:rPr>
        <w:t>Devolução de Tarifa</w:t>
      </w:r>
      <w:r w:rsidR="003F5F20" w:rsidRPr="00D33399">
        <w:rPr>
          <w:rFonts w:ascii="Arial" w:hAnsi="Arial" w:cs="Arial"/>
          <w:b/>
          <w:u w:val="single"/>
        </w:rPr>
        <w:t xml:space="preserve"> RH 1.406/12</w:t>
      </w:r>
      <w:r w:rsidRPr="00D33399">
        <w:rPr>
          <w:rFonts w:ascii="Arial" w:hAnsi="Arial" w:cs="Arial"/>
          <w:b/>
        </w:rPr>
        <w:t xml:space="preserve">: </w:t>
      </w:r>
      <w:r w:rsidR="002F7722" w:rsidRPr="00D33399">
        <w:rPr>
          <w:rFonts w:ascii="Arial" w:hAnsi="Arial" w:cs="Arial"/>
        </w:rPr>
        <w:t>diferencial verificado, entre 2010 e 2012, entre a variação da tarifa faturada pela ELETRONUCLEAR e a tarifa de referência a ser repassado para Furnas. (Parágrafo 4º do art. 12</w:t>
      </w:r>
      <w:r w:rsidR="006F1BF2" w:rsidRPr="00D33399">
        <w:rPr>
          <w:rFonts w:ascii="Arial" w:hAnsi="Arial" w:cs="Arial"/>
        </w:rPr>
        <w:t>,</w:t>
      </w:r>
      <w:r w:rsidR="002F7722" w:rsidRPr="00D33399">
        <w:rPr>
          <w:rFonts w:ascii="Arial" w:hAnsi="Arial" w:cs="Arial"/>
        </w:rPr>
        <w:t xml:space="preserve"> da Lei 12.111/2009 e no art. 2º da Resolução Homologatória da A</w:t>
      </w:r>
      <w:r w:rsidR="00904EEC" w:rsidRPr="00D33399">
        <w:rPr>
          <w:rFonts w:ascii="Arial" w:hAnsi="Arial" w:cs="Arial"/>
        </w:rPr>
        <w:t>neel</w:t>
      </w:r>
      <w:r w:rsidR="002F7722" w:rsidRPr="00D33399">
        <w:rPr>
          <w:rFonts w:ascii="Arial" w:hAnsi="Arial" w:cs="Arial"/>
        </w:rPr>
        <w:t xml:space="preserve"> nº 1.406</w:t>
      </w:r>
      <w:r w:rsidR="006F1BF2" w:rsidRPr="00D33399">
        <w:rPr>
          <w:rFonts w:ascii="Arial" w:hAnsi="Arial" w:cs="Arial"/>
        </w:rPr>
        <w:t>,</w:t>
      </w:r>
      <w:r w:rsidR="002F7722" w:rsidRPr="00D33399">
        <w:rPr>
          <w:rFonts w:ascii="Arial" w:hAnsi="Arial" w:cs="Arial"/>
        </w:rPr>
        <w:t xml:space="preserve"> de 21</w:t>
      </w:r>
      <w:r w:rsidR="00DA3463" w:rsidRPr="00D33399">
        <w:rPr>
          <w:rFonts w:ascii="Arial" w:hAnsi="Arial" w:cs="Arial"/>
        </w:rPr>
        <w:t xml:space="preserve"> de dezembro de </w:t>
      </w:r>
      <w:r w:rsidR="002F7722" w:rsidRPr="00D33399">
        <w:rPr>
          <w:rFonts w:ascii="Arial" w:hAnsi="Arial" w:cs="Arial"/>
        </w:rPr>
        <w:t>2012</w:t>
      </w:r>
      <w:r w:rsidR="00C30BDA" w:rsidRPr="00D33399">
        <w:rPr>
          <w:rFonts w:ascii="Arial" w:hAnsi="Arial" w:cs="Arial"/>
        </w:rPr>
        <w:t>).</w:t>
      </w:r>
    </w:p>
    <w:p w14:paraId="52C5211F" w14:textId="77777777" w:rsidR="00CE1CA4" w:rsidRPr="00D33399" w:rsidRDefault="00CE1CA4" w:rsidP="005144E2">
      <w:pPr>
        <w:pStyle w:val="PargrafodaLista"/>
        <w:rPr>
          <w:rFonts w:ascii="Arial" w:hAnsi="Arial" w:cs="Arial"/>
          <w:b/>
          <w:u w:val="single"/>
        </w:rPr>
      </w:pPr>
    </w:p>
    <w:p w14:paraId="6F94853D" w14:textId="77777777" w:rsidR="00BB51F5" w:rsidRPr="00D33399" w:rsidRDefault="00CE1CA4" w:rsidP="00067006">
      <w:pPr>
        <w:pStyle w:val="PargrafodaLista"/>
        <w:widowControl/>
        <w:numPr>
          <w:ilvl w:val="0"/>
          <w:numId w:val="18"/>
        </w:numPr>
        <w:jc w:val="both"/>
        <w:rPr>
          <w:rFonts w:ascii="Arial" w:hAnsi="Arial" w:cs="Arial"/>
          <w:b/>
          <w:u w:val="single"/>
        </w:rPr>
      </w:pPr>
      <w:r w:rsidRPr="00D33399">
        <w:rPr>
          <w:rFonts w:ascii="Arial" w:hAnsi="Arial" w:cs="Arial"/>
          <w:b/>
          <w:u w:val="single"/>
        </w:rPr>
        <w:t>Financiamentos captados</w:t>
      </w:r>
      <w:r w:rsidRPr="00D33399">
        <w:rPr>
          <w:rFonts w:ascii="Arial" w:hAnsi="Arial" w:cs="Arial"/>
          <w:b/>
        </w:rPr>
        <w:t>:</w:t>
      </w:r>
      <w:r w:rsidR="008A35C0" w:rsidRPr="00D33399">
        <w:rPr>
          <w:rFonts w:ascii="Arial" w:hAnsi="Arial" w:cs="Arial"/>
          <w:b/>
        </w:rPr>
        <w:t xml:space="preserve"> </w:t>
      </w:r>
      <w:r w:rsidR="00044850" w:rsidRPr="00D33399">
        <w:rPr>
          <w:rFonts w:ascii="Arial" w:hAnsi="Arial" w:cs="Arial"/>
        </w:rPr>
        <w:t xml:space="preserve">a </w:t>
      </w:r>
      <w:r w:rsidR="00684E10" w:rsidRPr="00D33399">
        <w:rPr>
          <w:rFonts w:ascii="Arial" w:hAnsi="Arial" w:cs="Arial"/>
        </w:rPr>
        <w:t>C</w:t>
      </w:r>
      <w:r w:rsidR="008B3208" w:rsidRPr="00D33399">
        <w:rPr>
          <w:rFonts w:ascii="Arial" w:hAnsi="Arial" w:cs="Arial"/>
        </w:rPr>
        <w:t>ompanhia</w:t>
      </w:r>
      <w:r w:rsidR="00044850" w:rsidRPr="00D33399">
        <w:rPr>
          <w:rFonts w:ascii="Arial" w:hAnsi="Arial" w:cs="Arial"/>
        </w:rPr>
        <w:t xml:space="preserve"> possui contratos de financiamentos e empréstimos firmados com a Eletrobras. O detalhamento das operações e taxas de juros são apresentadas na </w:t>
      </w:r>
      <w:r w:rsidR="008E6B5F" w:rsidRPr="00D33399">
        <w:rPr>
          <w:rFonts w:ascii="Arial" w:hAnsi="Arial" w:cs="Arial"/>
        </w:rPr>
        <w:t>n</w:t>
      </w:r>
      <w:r w:rsidR="00044850" w:rsidRPr="00D33399">
        <w:rPr>
          <w:rFonts w:ascii="Arial" w:hAnsi="Arial" w:cs="Arial"/>
        </w:rPr>
        <w:t>ota 17.</w:t>
      </w:r>
    </w:p>
    <w:p w14:paraId="2FC87357" w14:textId="77777777" w:rsidR="00044850" w:rsidRPr="00D33399" w:rsidRDefault="00044850" w:rsidP="005144E2">
      <w:pPr>
        <w:pStyle w:val="PargrafodaLista"/>
        <w:rPr>
          <w:rFonts w:ascii="Arial" w:hAnsi="Arial" w:cs="Arial"/>
          <w:b/>
          <w:u w:val="single"/>
        </w:rPr>
      </w:pPr>
    </w:p>
    <w:p w14:paraId="1F62B8F2" w14:textId="77777777" w:rsidR="0041537D" w:rsidRPr="00D33399" w:rsidRDefault="00BB2537" w:rsidP="00067006">
      <w:pPr>
        <w:pStyle w:val="PargrafodaLista"/>
        <w:widowControl/>
        <w:numPr>
          <w:ilvl w:val="0"/>
          <w:numId w:val="18"/>
        </w:numPr>
        <w:jc w:val="both"/>
        <w:rPr>
          <w:rFonts w:ascii="Arial" w:hAnsi="Arial" w:cs="Arial"/>
          <w:b/>
        </w:rPr>
      </w:pPr>
      <w:r w:rsidRPr="00D33399">
        <w:rPr>
          <w:rFonts w:ascii="Arial" w:hAnsi="Arial" w:cs="Arial"/>
          <w:b/>
          <w:u w:val="single"/>
        </w:rPr>
        <w:t>Encargos Financeiros</w:t>
      </w:r>
      <w:r w:rsidRPr="00D33399">
        <w:rPr>
          <w:rFonts w:ascii="Arial" w:hAnsi="Arial" w:cs="Arial"/>
        </w:rPr>
        <w:t xml:space="preserve">: </w:t>
      </w:r>
      <w:r w:rsidR="004A7757" w:rsidRPr="00D33399">
        <w:rPr>
          <w:rFonts w:ascii="Arial" w:hAnsi="Arial" w:cs="Arial"/>
        </w:rPr>
        <w:t xml:space="preserve">encargos financeiros </w:t>
      </w:r>
      <w:r w:rsidR="00CC2491" w:rsidRPr="00D33399">
        <w:rPr>
          <w:rFonts w:ascii="Arial" w:hAnsi="Arial" w:cs="Arial"/>
        </w:rPr>
        <w:t xml:space="preserve">líquidos </w:t>
      </w:r>
      <w:r w:rsidR="004A7757" w:rsidRPr="00D33399">
        <w:rPr>
          <w:rFonts w:ascii="Arial" w:hAnsi="Arial" w:cs="Arial"/>
        </w:rPr>
        <w:t>apropriados no resultado</w:t>
      </w:r>
      <w:r w:rsidR="004962E5" w:rsidRPr="00D33399">
        <w:rPr>
          <w:rFonts w:ascii="Arial" w:hAnsi="Arial" w:cs="Arial"/>
        </w:rPr>
        <w:t xml:space="preserve"> referente</w:t>
      </w:r>
      <w:r w:rsidR="009824EF" w:rsidRPr="00D33399">
        <w:rPr>
          <w:rFonts w:ascii="Arial" w:hAnsi="Arial" w:cs="Arial"/>
        </w:rPr>
        <w:t>s</w:t>
      </w:r>
      <w:r w:rsidR="004962E5" w:rsidRPr="00D33399">
        <w:rPr>
          <w:rFonts w:ascii="Arial" w:hAnsi="Arial" w:cs="Arial"/>
        </w:rPr>
        <w:t xml:space="preserve"> a financiamentos da Eletrobras</w:t>
      </w:r>
      <w:r w:rsidR="004A7757" w:rsidRPr="00D33399">
        <w:rPr>
          <w:rFonts w:ascii="Arial" w:hAnsi="Arial" w:cs="Arial"/>
        </w:rPr>
        <w:t xml:space="preserve">. </w:t>
      </w:r>
    </w:p>
    <w:p w14:paraId="295DD3AA" w14:textId="77777777" w:rsidR="00A8048D" w:rsidRPr="00D33399" w:rsidRDefault="00A8048D" w:rsidP="00A8048D">
      <w:pPr>
        <w:pStyle w:val="PargrafodaLista"/>
        <w:rPr>
          <w:rFonts w:ascii="Arial" w:hAnsi="Arial" w:cs="Arial"/>
          <w:b/>
        </w:rPr>
      </w:pPr>
    </w:p>
    <w:p w14:paraId="0F8DD9A2" w14:textId="77777777" w:rsidR="003F4719" w:rsidRPr="00D33399" w:rsidRDefault="003F4719" w:rsidP="005144E2">
      <w:pPr>
        <w:widowControl/>
        <w:jc w:val="both"/>
        <w:rPr>
          <w:rFonts w:ascii="Arial" w:hAnsi="Arial" w:cs="Arial"/>
        </w:rPr>
      </w:pPr>
      <w:r w:rsidRPr="00D33399">
        <w:rPr>
          <w:rFonts w:ascii="Arial" w:hAnsi="Arial" w:cs="Arial"/>
        </w:rPr>
        <w:t xml:space="preserve">Como patrocinadora da REAL GRANDEZA – Fundação de Previdência e Assistência Social e do NUCLEOS – Instituto de Seguridade Social, entidades fechadas sem fins lucrativos que tem por finalidade complementar benefícios previdenciários de seus participantes, a ELETRONUCLEAR apresenta os saldos e movimentação de valores que envolvem essas entidades na </w:t>
      </w:r>
      <w:r w:rsidR="008E6B5F" w:rsidRPr="00D33399">
        <w:rPr>
          <w:rFonts w:ascii="Arial" w:hAnsi="Arial" w:cs="Arial"/>
        </w:rPr>
        <w:t>n</w:t>
      </w:r>
      <w:r w:rsidRPr="00D33399">
        <w:rPr>
          <w:rFonts w:ascii="Arial" w:hAnsi="Arial" w:cs="Arial"/>
        </w:rPr>
        <w:t>ota 21.</w:t>
      </w:r>
    </w:p>
    <w:p w14:paraId="063F4A41" w14:textId="5A5ECA5D" w:rsidR="003F4719" w:rsidRPr="00D33399" w:rsidRDefault="005D0370" w:rsidP="005144E2">
      <w:pPr>
        <w:keepNext/>
        <w:widowControl/>
        <w:jc w:val="both"/>
        <w:outlineLvl w:val="0"/>
        <w:rPr>
          <w:rFonts w:ascii="Arial" w:hAnsi="Arial" w:cs="Arial"/>
          <w:b/>
          <w:sz w:val="26"/>
          <w:szCs w:val="26"/>
        </w:rPr>
      </w:pPr>
      <w:r w:rsidRPr="00D33399">
        <w:rPr>
          <w:rFonts w:ascii="Arial" w:hAnsi="Arial" w:cs="Arial"/>
          <w:b/>
          <w:sz w:val="26"/>
          <w:szCs w:val="26"/>
        </w:rPr>
        <w:lastRenderedPageBreak/>
        <w:t>N</w:t>
      </w:r>
      <w:r w:rsidR="003F4719" w:rsidRPr="00D33399">
        <w:rPr>
          <w:rFonts w:ascii="Arial" w:hAnsi="Arial" w:cs="Arial"/>
          <w:b/>
          <w:sz w:val="26"/>
          <w:szCs w:val="26"/>
        </w:rPr>
        <w:t>OTA 3</w:t>
      </w:r>
      <w:r w:rsidR="0074588C">
        <w:rPr>
          <w:rFonts w:ascii="Arial" w:hAnsi="Arial" w:cs="Arial"/>
          <w:b/>
          <w:sz w:val="26"/>
          <w:szCs w:val="26"/>
        </w:rPr>
        <w:t>5</w:t>
      </w:r>
      <w:r w:rsidR="003F4719" w:rsidRPr="00D33399">
        <w:rPr>
          <w:rFonts w:ascii="Arial" w:hAnsi="Arial" w:cs="Arial"/>
          <w:b/>
          <w:sz w:val="26"/>
          <w:szCs w:val="26"/>
        </w:rPr>
        <w:t xml:space="preserve"> - TAXAS REGULAMENTARES</w:t>
      </w:r>
    </w:p>
    <w:p w14:paraId="1E1F8D3A" w14:textId="77777777" w:rsidR="00CD7E31" w:rsidRPr="00D33399" w:rsidRDefault="00CD7E31" w:rsidP="005144E2">
      <w:pPr>
        <w:keepNext/>
        <w:widowControl/>
        <w:jc w:val="both"/>
        <w:outlineLvl w:val="0"/>
        <w:rPr>
          <w:rFonts w:ascii="Arial" w:hAnsi="Arial" w:cs="Arial"/>
          <w:b/>
        </w:rPr>
      </w:pPr>
    </w:p>
    <w:p w14:paraId="235B3BCC" w14:textId="77777777" w:rsidR="00F807B2" w:rsidRPr="00D33399" w:rsidRDefault="00F807B2" w:rsidP="005144E2">
      <w:pPr>
        <w:keepNext/>
        <w:widowControl/>
        <w:jc w:val="both"/>
        <w:outlineLvl w:val="0"/>
        <w:rPr>
          <w:rFonts w:ascii="Arial" w:hAnsi="Arial" w:cs="Arial"/>
          <w:b/>
        </w:rPr>
      </w:pPr>
    </w:p>
    <w:p w14:paraId="3B79BCCB" w14:textId="77777777" w:rsidR="002B2581" w:rsidRPr="00D33399" w:rsidRDefault="002B2581" w:rsidP="005144E2">
      <w:pPr>
        <w:keepNext/>
        <w:widowControl/>
        <w:jc w:val="both"/>
        <w:outlineLvl w:val="0"/>
        <w:rPr>
          <w:rFonts w:ascii="Arial" w:hAnsi="Arial" w:cs="Arial"/>
        </w:rPr>
      </w:pPr>
      <w:r w:rsidRPr="00D33399">
        <w:rPr>
          <w:rFonts w:ascii="Arial" w:hAnsi="Arial" w:cs="Arial"/>
        </w:rPr>
        <w:t>A Companhia incorreu, durante o período, nos seguintes encargos do setor elétrico, apropriados ao resultado:</w:t>
      </w:r>
    </w:p>
    <w:p w14:paraId="484C7F9A" w14:textId="77777777" w:rsidR="005D0370" w:rsidRPr="00D33399" w:rsidRDefault="005D0370" w:rsidP="005144E2">
      <w:pPr>
        <w:keepNext/>
        <w:widowControl/>
        <w:jc w:val="both"/>
        <w:outlineLvl w:val="0"/>
        <w:rPr>
          <w:rFonts w:ascii="Arial" w:hAnsi="Arial" w:cs="Arial"/>
          <w:sz w:val="16"/>
          <w:szCs w:val="16"/>
        </w:rPr>
      </w:pPr>
    </w:p>
    <w:p w14:paraId="39C81834" w14:textId="4C4E3BAB" w:rsidR="00D20A93" w:rsidRPr="00D33399" w:rsidRDefault="006A16FF" w:rsidP="005144E2">
      <w:pPr>
        <w:keepNext/>
        <w:widowControl/>
        <w:jc w:val="both"/>
        <w:outlineLvl w:val="0"/>
        <w:rPr>
          <w:rFonts w:ascii="Arial" w:hAnsi="Arial" w:cs="Arial"/>
        </w:rPr>
      </w:pPr>
      <w:r w:rsidRPr="00D33399">
        <w:rPr>
          <w:noProof/>
        </w:rPr>
        <w:drawing>
          <wp:inline distT="0" distB="0" distL="0" distR="0" wp14:anchorId="42EEE171" wp14:editId="0E0F46C0">
            <wp:extent cx="6073140" cy="2035689"/>
            <wp:effectExtent l="0" t="0" r="3810" b="3175"/>
            <wp:docPr id="90" name="Imagem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073140" cy="2035689"/>
                    </a:xfrm>
                    <a:prstGeom prst="rect">
                      <a:avLst/>
                    </a:prstGeom>
                    <a:noFill/>
                    <a:ln>
                      <a:noFill/>
                    </a:ln>
                  </pic:spPr>
                </pic:pic>
              </a:graphicData>
            </a:graphic>
          </wp:inline>
        </w:drawing>
      </w:r>
    </w:p>
    <w:p w14:paraId="661B8ED7" w14:textId="77777777" w:rsidR="00F807B2" w:rsidRPr="00D33399" w:rsidRDefault="00F807B2" w:rsidP="005144E2">
      <w:pPr>
        <w:widowControl/>
        <w:tabs>
          <w:tab w:val="left" w:pos="180"/>
          <w:tab w:val="left" w:pos="360"/>
        </w:tabs>
        <w:jc w:val="both"/>
        <w:rPr>
          <w:rFonts w:ascii="Arial" w:hAnsi="Arial" w:cs="Arial"/>
          <w:b/>
          <w:sz w:val="26"/>
          <w:szCs w:val="26"/>
        </w:rPr>
      </w:pPr>
    </w:p>
    <w:p w14:paraId="4A43B61B" w14:textId="77777777" w:rsidR="00F807B2" w:rsidRPr="00D33399" w:rsidRDefault="00F807B2" w:rsidP="005144E2">
      <w:pPr>
        <w:widowControl/>
        <w:tabs>
          <w:tab w:val="left" w:pos="180"/>
          <w:tab w:val="left" w:pos="360"/>
        </w:tabs>
        <w:jc w:val="both"/>
        <w:rPr>
          <w:rFonts w:ascii="Arial" w:hAnsi="Arial" w:cs="Arial"/>
          <w:b/>
          <w:sz w:val="26"/>
          <w:szCs w:val="26"/>
        </w:rPr>
      </w:pPr>
    </w:p>
    <w:p w14:paraId="22AE0825" w14:textId="77777777" w:rsidR="00F807B2" w:rsidRPr="00D33399" w:rsidRDefault="00F807B2" w:rsidP="005144E2">
      <w:pPr>
        <w:widowControl/>
        <w:tabs>
          <w:tab w:val="left" w:pos="180"/>
          <w:tab w:val="left" w:pos="360"/>
        </w:tabs>
        <w:jc w:val="both"/>
        <w:rPr>
          <w:rFonts w:ascii="Arial" w:hAnsi="Arial" w:cs="Arial"/>
          <w:b/>
          <w:sz w:val="26"/>
          <w:szCs w:val="26"/>
        </w:rPr>
      </w:pPr>
    </w:p>
    <w:p w14:paraId="313E2B54" w14:textId="7AA2E5A6" w:rsidR="003F4719" w:rsidRPr="00D33399" w:rsidRDefault="003F4719" w:rsidP="005144E2">
      <w:pPr>
        <w:widowControl/>
        <w:tabs>
          <w:tab w:val="left" w:pos="180"/>
          <w:tab w:val="left" w:pos="360"/>
        </w:tabs>
        <w:jc w:val="both"/>
        <w:rPr>
          <w:rFonts w:ascii="Arial" w:hAnsi="Arial" w:cs="Arial"/>
          <w:b/>
          <w:sz w:val="26"/>
          <w:szCs w:val="26"/>
        </w:rPr>
      </w:pPr>
      <w:r w:rsidRPr="00D33399">
        <w:rPr>
          <w:rFonts w:ascii="Arial" w:hAnsi="Arial" w:cs="Arial"/>
          <w:b/>
          <w:sz w:val="26"/>
          <w:szCs w:val="26"/>
        </w:rPr>
        <w:t>NOTA 3</w:t>
      </w:r>
      <w:r w:rsidR="0074588C">
        <w:rPr>
          <w:rFonts w:ascii="Arial" w:hAnsi="Arial" w:cs="Arial"/>
          <w:b/>
          <w:sz w:val="26"/>
          <w:szCs w:val="26"/>
        </w:rPr>
        <w:t>6</w:t>
      </w:r>
      <w:r w:rsidRPr="00D33399">
        <w:rPr>
          <w:rFonts w:ascii="Arial" w:hAnsi="Arial" w:cs="Arial"/>
          <w:b/>
          <w:sz w:val="26"/>
          <w:szCs w:val="26"/>
        </w:rPr>
        <w:t xml:space="preserve"> – SEGUROS</w:t>
      </w:r>
    </w:p>
    <w:p w14:paraId="5D2B1761" w14:textId="477A4292" w:rsidR="00CD7E31" w:rsidRPr="00D33399" w:rsidRDefault="00CD7E31" w:rsidP="005144E2">
      <w:pPr>
        <w:widowControl/>
        <w:jc w:val="both"/>
        <w:rPr>
          <w:rFonts w:ascii="Arial" w:hAnsi="Arial" w:cs="Arial"/>
          <w:bCs/>
        </w:rPr>
      </w:pPr>
    </w:p>
    <w:p w14:paraId="0621CA03" w14:textId="77777777" w:rsidR="00F807B2" w:rsidRPr="00D33399" w:rsidRDefault="00F807B2" w:rsidP="005144E2">
      <w:pPr>
        <w:widowControl/>
        <w:jc w:val="both"/>
        <w:rPr>
          <w:rFonts w:ascii="Arial" w:hAnsi="Arial" w:cs="Arial"/>
          <w:bCs/>
        </w:rPr>
      </w:pPr>
    </w:p>
    <w:p w14:paraId="592CBD8D" w14:textId="77777777" w:rsidR="003F4719" w:rsidRPr="00D33399" w:rsidRDefault="003F4719" w:rsidP="005144E2">
      <w:pPr>
        <w:widowControl/>
        <w:jc w:val="both"/>
        <w:rPr>
          <w:rFonts w:ascii="Arial" w:hAnsi="Arial" w:cs="Arial"/>
        </w:rPr>
      </w:pPr>
      <w:r w:rsidRPr="00D33399">
        <w:rPr>
          <w:rFonts w:ascii="Arial" w:hAnsi="Arial" w:cs="Arial"/>
        </w:rPr>
        <w:t xml:space="preserve">A Companhia mantém uma política de seguros considerada pela administração como suficiente para cobrir eventuais perdas, considerando os principais ativos, bem como a responsabilidade civil inerente a suas atividades. </w:t>
      </w:r>
    </w:p>
    <w:p w14:paraId="2470B7D8" w14:textId="77777777" w:rsidR="003F4719" w:rsidRPr="00D33399" w:rsidRDefault="003F4719" w:rsidP="005144E2">
      <w:pPr>
        <w:widowControl/>
        <w:jc w:val="both"/>
        <w:rPr>
          <w:rFonts w:ascii="Arial" w:hAnsi="Arial" w:cs="Arial"/>
        </w:rPr>
      </w:pPr>
    </w:p>
    <w:p w14:paraId="1349A958" w14:textId="4B45DC43" w:rsidR="003F4719" w:rsidRPr="00D33399" w:rsidRDefault="003F4719" w:rsidP="005144E2">
      <w:pPr>
        <w:widowControl/>
        <w:jc w:val="both"/>
        <w:rPr>
          <w:rFonts w:ascii="Arial" w:hAnsi="Arial" w:cs="Arial"/>
        </w:rPr>
      </w:pPr>
      <w:r w:rsidRPr="00D33399">
        <w:rPr>
          <w:rFonts w:ascii="Arial" w:hAnsi="Arial" w:cs="Arial"/>
        </w:rPr>
        <w:t>Os valores segurados referem-se ao total das apólices vigentes para reembolso em caso de sinistro, representados pela quantidade de moeda de origem convertida para reais, pela respectiva cotação na data das demonstrações financeiras</w:t>
      </w:r>
      <w:r w:rsidR="00F75497" w:rsidRPr="00D33399">
        <w:rPr>
          <w:rFonts w:ascii="Arial" w:hAnsi="Arial" w:cs="Arial"/>
        </w:rPr>
        <w:t xml:space="preserve"> intermediárias</w:t>
      </w:r>
      <w:r w:rsidRPr="00D33399">
        <w:rPr>
          <w:rFonts w:ascii="Arial" w:hAnsi="Arial" w:cs="Arial"/>
        </w:rPr>
        <w:t>.</w:t>
      </w:r>
    </w:p>
    <w:p w14:paraId="0BF26093" w14:textId="77777777" w:rsidR="00875108" w:rsidRPr="00D33399" w:rsidRDefault="00875108" w:rsidP="005144E2">
      <w:pPr>
        <w:widowControl/>
        <w:jc w:val="both"/>
        <w:rPr>
          <w:rFonts w:ascii="Arial" w:hAnsi="Arial" w:cs="Arial"/>
        </w:rPr>
      </w:pPr>
    </w:p>
    <w:p w14:paraId="6C6FA571" w14:textId="5C46DF2E" w:rsidR="003F4719" w:rsidRPr="00D33399" w:rsidRDefault="003F4719" w:rsidP="005144E2">
      <w:pPr>
        <w:jc w:val="both"/>
        <w:rPr>
          <w:rFonts w:ascii="Arial" w:hAnsi="Arial" w:cs="Arial"/>
        </w:rPr>
      </w:pPr>
      <w:r w:rsidRPr="00D33399">
        <w:rPr>
          <w:rFonts w:ascii="Arial" w:hAnsi="Arial" w:cs="Arial"/>
        </w:rPr>
        <w:t>Como prêmio, estão apresentados os valores pagos e a pagar das apólices</w:t>
      </w:r>
      <w:r w:rsidR="006F1BF2" w:rsidRPr="00D33399">
        <w:rPr>
          <w:rFonts w:ascii="Arial" w:hAnsi="Arial" w:cs="Arial"/>
        </w:rPr>
        <w:t>,</w:t>
      </w:r>
      <w:r w:rsidRPr="00D33399">
        <w:rPr>
          <w:rFonts w:ascii="Arial" w:hAnsi="Arial" w:cs="Arial"/>
        </w:rPr>
        <w:t xml:space="preserve"> na moeda de origem, atualizados para equivalente em reais pela respectiva cotação na data das demonstrações financeiras</w:t>
      </w:r>
      <w:r w:rsidR="00F75497" w:rsidRPr="00D33399">
        <w:rPr>
          <w:rFonts w:ascii="Arial" w:hAnsi="Arial" w:cs="Arial"/>
        </w:rPr>
        <w:t xml:space="preserve"> intermediárias</w:t>
      </w:r>
      <w:r w:rsidRPr="00D33399">
        <w:rPr>
          <w:rFonts w:ascii="Arial" w:hAnsi="Arial" w:cs="Arial"/>
        </w:rPr>
        <w:t xml:space="preserve">. </w:t>
      </w:r>
    </w:p>
    <w:p w14:paraId="250AFBB2" w14:textId="77777777" w:rsidR="00E26602" w:rsidRPr="00D33399" w:rsidRDefault="00E26602" w:rsidP="005144E2">
      <w:pPr>
        <w:jc w:val="both"/>
        <w:rPr>
          <w:rFonts w:ascii="Arial" w:hAnsi="Arial" w:cs="Arial"/>
        </w:rPr>
      </w:pPr>
    </w:p>
    <w:p w14:paraId="75AECED4" w14:textId="77777777" w:rsidR="006A16FF" w:rsidRPr="00D33399" w:rsidRDefault="006A16FF" w:rsidP="005144E2">
      <w:pPr>
        <w:jc w:val="both"/>
        <w:rPr>
          <w:rFonts w:ascii="Arial" w:hAnsi="Arial" w:cs="Arial"/>
        </w:rPr>
      </w:pPr>
    </w:p>
    <w:p w14:paraId="4E418111" w14:textId="77777777" w:rsidR="006A16FF" w:rsidRPr="00D33399" w:rsidRDefault="006A16FF" w:rsidP="005144E2">
      <w:pPr>
        <w:jc w:val="both"/>
        <w:rPr>
          <w:rFonts w:ascii="Arial" w:hAnsi="Arial" w:cs="Arial"/>
        </w:rPr>
      </w:pPr>
    </w:p>
    <w:p w14:paraId="4201524D" w14:textId="77777777" w:rsidR="006A16FF" w:rsidRPr="00D33399" w:rsidRDefault="006A16FF" w:rsidP="005144E2">
      <w:pPr>
        <w:jc w:val="both"/>
        <w:rPr>
          <w:rFonts w:ascii="Arial" w:hAnsi="Arial" w:cs="Arial"/>
        </w:rPr>
      </w:pPr>
    </w:p>
    <w:p w14:paraId="47BF27BE" w14:textId="77777777" w:rsidR="006A16FF" w:rsidRPr="00D33399" w:rsidRDefault="006A16FF" w:rsidP="005144E2">
      <w:pPr>
        <w:jc w:val="both"/>
        <w:rPr>
          <w:rFonts w:ascii="Arial" w:hAnsi="Arial" w:cs="Arial"/>
        </w:rPr>
      </w:pPr>
    </w:p>
    <w:p w14:paraId="0B6480B7" w14:textId="77777777" w:rsidR="006A16FF" w:rsidRPr="00D33399" w:rsidRDefault="006A16FF" w:rsidP="005144E2">
      <w:pPr>
        <w:jc w:val="both"/>
        <w:rPr>
          <w:rFonts w:ascii="Arial" w:hAnsi="Arial" w:cs="Arial"/>
        </w:rPr>
      </w:pPr>
    </w:p>
    <w:p w14:paraId="29AA940B" w14:textId="77777777" w:rsidR="006A16FF" w:rsidRPr="00D33399" w:rsidRDefault="006A16FF" w:rsidP="005144E2">
      <w:pPr>
        <w:jc w:val="both"/>
        <w:rPr>
          <w:rFonts w:ascii="Arial" w:hAnsi="Arial" w:cs="Arial"/>
        </w:rPr>
      </w:pPr>
    </w:p>
    <w:p w14:paraId="0FFE403E" w14:textId="77777777" w:rsidR="006A16FF" w:rsidRPr="00D33399" w:rsidRDefault="006A16FF" w:rsidP="005144E2">
      <w:pPr>
        <w:jc w:val="both"/>
        <w:rPr>
          <w:rFonts w:ascii="Arial" w:hAnsi="Arial" w:cs="Arial"/>
        </w:rPr>
      </w:pPr>
    </w:p>
    <w:p w14:paraId="27F340A0" w14:textId="77777777" w:rsidR="006A16FF" w:rsidRPr="00D33399" w:rsidRDefault="006A16FF" w:rsidP="005144E2">
      <w:pPr>
        <w:jc w:val="both"/>
        <w:rPr>
          <w:rFonts w:ascii="Arial" w:hAnsi="Arial" w:cs="Arial"/>
        </w:rPr>
      </w:pPr>
    </w:p>
    <w:p w14:paraId="3A02F325" w14:textId="77777777" w:rsidR="006A16FF" w:rsidRPr="00D33399" w:rsidRDefault="006A16FF" w:rsidP="005144E2">
      <w:pPr>
        <w:jc w:val="both"/>
        <w:rPr>
          <w:rFonts w:ascii="Arial" w:hAnsi="Arial" w:cs="Arial"/>
        </w:rPr>
      </w:pPr>
    </w:p>
    <w:p w14:paraId="122AC92E" w14:textId="436ADD0B" w:rsidR="00BA4762" w:rsidRPr="00D33399" w:rsidRDefault="003F4719" w:rsidP="005144E2">
      <w:pPr>
        <w:widowControl/>
        <w:jc w:val="both"/>
        <w:rPr>
          <w:rFonts w:ascii="Arial" w:hAnsi="Arial" w:cs="Arial"/>
        </w:rPr>
      </w:pPr>
      <w:r w:rsidRPr="00D33399">
        <w:rPr>
          <w:rFonts w:ascii="Arial" w:hAnsi="Arial" w:cs="Arial"/>
        </w:rPr>
        <w:lastRenderedPageBreak/>
        <w:t xml:space="preserve">O montante global segurado, em </w:t>
      </w:r>
      <w:r w:rsidR="00DF1AA9" w:rsidRPr="00D33399">
        <w:rPr>
          <w:rFonts w:ascii="Arial" w:hAnsi="Arial" w:cs="Arial"/>
        </w:rPr>
        <w:t>3</w:t>
      </w:r>
      <w:r w:rsidR="00F9220F" w:rsidRPr="00D33399">
        <w:rPr>
          <w:rFonts w:ascii="Arial" w:hAnsi="Arial" w:cs="Arial"/>
        </w:rPr>
        <w:t xml:space="preserve">0 de </w:t>
      </w:r>
      <w:r w:rsidR="006A16FF" w:rsidRPr="00D33399">
        <w:rPr>
          <w:rFonts w:ascii="Arial" w:hAnsi="Arial" w:cs="Arial"/>
        </w:rPr>
        <w:t>setembro</w:t>
      </w:r>
      <w:r w:rsidR="00626410" w:rsidRPr="00D33399">
        <w:rPr>
          <w:rFonts w:ascii="Arial" w:hAnsi="Arial" w:cs="Arial"/>
        </w:rPr>
        <w:t xml:space="preserve"> de 2020</w:t>
      </w:r>
      <w:r w:rsidRPr="00D33399">
        <w:rPr>
          <w:rFonts w:ascii="Arial" w:hAnsi="Arial" w:cs="Arial"/>
        </w:rPr>
        <w:t>, é de R$</w:t>
      </w:r>
      <w:r w:rsidR="009D722C" w:rsidRPr="00D33399">
        <w:rPr>
          <w:rFonts w:ascii="Arial" w:hAnsi="Arial" w:cs="Arial"/>
        </w:rPr>
        <w:t xml:space="preserve"> </w:t>
      </w:r>
      <w:r w:rsidR="006A16FF" w:rsidRPr="00D33399">
        <w:rPr>
          <w:rFonts w:ascii="Arial" w:hAnsi="Arial" w:cs="Arial"/>
        </w:rPr>
        <w:t>32.078.45</w:t>
      </w:r>
      <w:r w:rsidR="00EF67E5" w:rsidRPr="00D33399">
        <w:rPr>
          <w:rFonts w:ascii="Arial" w:hAnsi="Arial" w:cs="Arial"/>
        </w:rPr>
        <w:t>5</w:t>
      </w:r>
      <w:r w:rsidRPr="00D33399">
        <w:rPr>
          <w:rFonts w:ascii="Arial" w:hAnsi="Arial" w:cs="Arial"/>
        </w:rPr>
        <w:t xml:space="preserve"> e está assim distribuído:</w:t>
      </w:r>
      <w:r w:rsidR="00E74865" w:rsidRPr="00D33399">
        <w:rPr>
          <w:rFonts w:ascii="Arial" w:hAnsi="Arial" w:cs="Arial"/>
        </w:rPr>
        <w:t xml:space="preserve"> </w:t>
      </w:r>
    </w:p>
    <w:p w14:paraId="0E749732" w14:textId="2EB311C5" w:rsidR="0041537D" w:rsidRPr="00D33399" w:rsidRDefault="00B6464A" w:rsidP="005144E2">
      <w:pPr>
        <w:widowControl/>
        <w:rPr>
          <w:rFonts w:ascii="Arial" w:hAnsi="Arial" w:cs="Arial"/>
          <w:sz w:val="16"/>
          <w:szCs w:val="16"/>
        </w:rPr>
      </w:pPr>
      <w:r w:rsidRPr="00B6464A">
        <w:rPr>
          <w:rFonts w:ascii="Arial" w:hAnsi="Arial" w:cs="Arial"/>
          <w:sz w:val="16"/>
          <w:szCs w:val="16"/>
        </w:rPr>
        <w:t xml:space="preserve"> </w:t>
      </w:r>
      <w:r w:rsidRPr="00B6464A">
        <w:rPr>
          <w:noProof/>
        </w:rPr>
        <w:drawing>
          <wp:inline distT="0" distB="0" distL="0" distR="0" wp14:anchorId="402BB204" wp14:editId="77ADB584">
            <wp:extent cx="6073140" cy="2321815"/>
            <wp:effectExtent l="0" t="0" r="3810" b="254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073140" cy="2321815"/>
                    </a:xfrm>
                    <a:prstGeom prst="rect">
                      <a:avLst/>
                    </a:prstGeom>
                    <a:noFill/>
                    <a:ln>
                      <a:noFill/>
                    </a:ln>
                  </pic:spPr>
                </pic:pic>
              </a:graphicData>
            </a:graphic>
          </wp:inline>
        </w:drawing>
      </w:r>
    </w:p>
    <w:p w14:paraId="7FF8BD50" w14:textId="77777777" w:rsidR="00E51343" w:rsidRPr="00D33399" w:rsidRDefault="00E51343" w:rsidP="005144E2">
      <w:pPr>
        <w:widowControl/>
        <w:rPr>
          <w:rFonts w:ascii="Arial" w:hAnsi="Arial" w:cs="Arial"/>
        </w:rPr>
      </w:pPr>
    </w:p>
    <w:p w14:paraId="3ECA5BA7" w14:textId="77777777" w:rsidR="00D8050F" w:rsidRPr="00D33399" w:rsidRDefault="00D8050F" w:rsidP="005144E2">
      <w:pPr>
        <w:widowControl/>
        <w:rPr>
          <w:rFonts w:ascii="Arial" w:hAnsi="Arial" w:cs="Arial"/>
        </w:rPr>
      </w:pPr>
    </w:p>
    <w:p w14:paraId="0ABE4F6C" w14:textId="77777777" w:rsidR="00EF67E5" w:rsidRPr="00D33399" w:rsidRDefault="00EF67E5" w:rsidP="005144E2">
      <w:pPr>
        <w:widowControl/>
        <w:rPr>
          <w:rFonts w:ascii="Arial" w:hAnsi="Arial" w:cs="Arial"/>
        </w:rPr>
      </w:pPr>
    </w:p>
    <w:p w14:paraId="48643572" w14:textId="3F2B3CCE" w:rsidR="003F4719" w:rsidRPr="00D33399" w:rsidRDefault="003F4719" w:rsidP="005144E2">
      <w:pPr>
        <w:widowControl/>
        <w:rPr>
          <w:rFonts w:ascii="Arial" w:hAnsi="Arial" w:cs="Arial"/>
          <w:b/>
          <w:sz w:val="26"/>
          <w:szCs w:val="26"/>
        </w:rPr>
      </w:pPr>
      <w:r w:rsidRPr="00D33399">
        <w:rPr>
          <w:rFonts w:ascii="Arial" w:hAnsi="Arial" w:cs="Arial"/>
          <w:b/>
          <w:sz w:val="26"/>
          <w:szCs w:val="26"/>
        </w:rPr>
        <w:t>NOTA 3</w:t>
      </w:r>
      <w:r w:rsidR="0074588C">
        <w:rPr>
          <w:rFonts w:ascii="Arial" w:hAnsi="Arial" w:cs="Arial"/>
          <w:b/>
          <w:sz w:val="26"/>
          <w:szCs w:val="26"/>
        </w:rPr>
        <w:t>7</w:t>
      </w:r>
      <w:r w:rsidRPr="00D33399">
        <w:rPr>
          <w:rFonts w:ascii="Arial" w:hAnsi="Arial" w:cs="Arial"/>
          <w:b/>
          <w:sz w:val="26"/>
          <w:szCs w:val="26"/>
        </w:rPr>
        <w:t xml:space="preserve"> - REMUNERAÇÃO DOS ADMINISTRADORES E EMPREGADOS</w:t>
      </w:r>
    </w:p>
    <w:p w14:paraId="45F69FFD" w14:textId="77777777" w:rsidR="009543C1" w:rsidRPr="00D33399" w:rsidRDefault="009543C1" w:rsidP="005144E2">
      <w:pPr>
        <w:widowControl/>
        <w:jc w:val="both"/>
        <w:rPr>
          <w:rFonts w:ascii="Arial" w:hAnsi="Arial" w:cs="Arial"/>
          <w:b/>
        </w:rPr>
      </w:pPr>
    </w:p>
    <w:p w14:paraId="1FA6999A" w14:textId="77777777" w:rsidR="00924B99" w:rsidRPr="00D33399" w:rsidRDefault="00924B99" w:rsidP="005144E2">
      <w:pPr>
        <w:widowControl/>
        <w:jc w:val="both"/>
        <w:rPr>
          <w:rFonts w:ascii="Arial" w:hAnsi="Arial" w:cs="Arial"/>
          <w:b/>
        </w:rPr>
      </w:pPr>
    </w:p>
    <w:p w14:paraId="21648674" w14:textId="0A7DC03C" w:rsidR="003F4719" w:rsidRPr="00D33399" w:rsidRDefault="003F4719" w:rsidP="005144E2">
      <w:pPr>
        <w:widowControl/>
        <w:jc w:val="both"/>
        <w:rPr>
          <w:rFonts w:ascii="Arial" w:hAnsi="Arial" w:cs="Arial"/>
        </w:rPr>
      </w:pPr>
      <w:r w:rsidRPr="00D33399">
        <w:rPr>
          <w:rFonts w:ascii="Arial" w:hAnsi="Arial" w:cs="Arial"/>
        </w:rPr>
        <w:t>A maior e a menor remuneração paga</w:t>
      </w:r>
      <w:r w:rsidR="00F5142D" w:rsidRPr="00D33399">
        <w:rPr>
          <w:rFonts w:ascii="Arial" w:hAnsi="Arial" w:cs="Arial"/>
        </w:rPr>
        <w:t>s</w:t>
      </w:r>
      <w:r w:rsidRPr="00D33399">
        <w:rPr>
          <w:rFonts w:ascii="Arial" w:hAnsi="Arial" w:cs="Arial"/>
        </w:rPr>
        <w:t xml:space="preserve"> a empregados, tomando-se por base o mês de</w:t>
      </w:r>
      <w:r w:rsidR="009F30E8" w:rsidRPr="00D33399">
        <w:rPr>
          <w:rFonts w:ascii="Arial" w:hAnsi="Arial" w:cs="Arial"/>
        </w:rPr>
        <w:t xml:space="preserve"> </w:t>
      </w:r>
      <w:r w:rsidR="00731885" w:rsidRPr="00D33399">
        <w:rPr>
          <w:rFonts w:ascii="Arial" w:hAnsi="Arial" w:cs="Arial"/>
        </w:rPr>
        <w:t>setembro</w:t>
      </w:r>
      <w:r w:rsidR="009F30E8" w:rsidRPr="00D33399">
        <w:rPr>
          <w:rFonts w:ascii="Arial" w:hAnsi="Arial" w:cs="Arial"/>
        </w:rPr>
        <w:t xml:space="preserve"> de </w:t>
      </w:r>
      <w:r w:rsidR="0083347C" w:rsidRPr="00D33399">
        <w:rPr>
          <w:rFonts w:ascii="Arial" w:hAnsi="Arial" w:cs="Arial"/>
        </w:rPr>
        <w:t>20</w:t>
      </w:r>
      <w:r w:rsidR="009F30E8" w:rsidRPr="00D33399">
        <w:rPr>
          <w:rFonts w:ascii="Arial" w:hAnsi="Arial" w:cs="Arial"/>
        </w:rPr>
        <w:t>20</w:t>
      </w:r>
      <w:r w:rsidRPr="00D33399">
        <w:rPr>
          <w:rFonts w:ascii="Arial" w:hAnsi="Arial" w:cs="Arial"/>
        </w:rPr>
        <w:t xml:space="preserve">, foram de R$ </w:t>
      </w:r>
      <w:r w:rsidR="0026793D" w:rsidRPr="00D33399">
        <w:rPr>
          <w:rFonts w:ascii="Arial" w:hAnsi="Arial" w:cs="Arial"/>
        </w:rPr>
        <w:t>63</w:t>
      </w:r>
      <w:r w:rsidR="00443041" w:rsidRPr="00D33399">
        <w:rPr>
          <w:rFonts w:ascii="Arial" w:hAnsi="Arial" w:cs="Arial"/>
        </w:rPr>
        <w:t xml:space="preserve"> </w:t>
      </w:r>
      <w:r w:rsidRPr="00D33399">
        <w:rPr>
          <w:rFonts w:ascii="Arial" w:hAnsi="Arial" w:cs="Arial"/>
        </w:rPr>
        <w:t>e R$</w:t>
      </w:r>
      <w:r w:rsidR="00570F32" w:rsidRPr="00D33399">
        <w:rPr>
          <w:rFonts w:ascii="Arial" w:hAnsi="Arial" w:cs="Arial"/>
        </w:rPr>
        <w:t xml:space="preserve"> </w:t>
      </w:r>
      <w:r w:rsidR="0026793D" w:rsidRPr="00D33399">
        <w:rPr>
          <w:rFonts w:ascii="Arial" w:hAnsi="Arial" w:cs="Arial"/>
        </w:rPr>
        <w:t>4</w:t>
      </w:r>
      <w:r w:rsidR="00570F32" w:rsidRPr="00D33399">
        <w:rPr>
          <w:rFonts w:ascii="Arial" w:hAnsi="Arial" w:cs="Arial"/>
        </w:rPr>
        <w:t xml:space="preserve"> </w:t>
      </w:r>
      <w:r w:rsidRPr="00D33399">
        <w:rPr>
          <w:rFonts w:ascii="Arial" w:hAnsi="Arial" w:cs="Arial"/>
        </w:rPr>
        <w:t xml:space="preserve">(R$ </w:t>
      </w:r>
      <w:r w:rsidR="0077763C" w:rsidRPr="00D33399">
        <w:rPr>
          <w:rFonts w:ascii="Arial" w:hAnsi="Arial" w:cs="Arial"/>
        </w:rPr>
        <w:t>6</w:t>
      </w:r>
      <w:r w:rsidR="009F30E8" w:rsidRPr="00D33399">
        <w:rPr>
          <w:rFonts w:ascii="Arial" w:hAnsi="Arial" w:cs="Arial"/>
        </w:rPr>
        <w:t>3</w:t>
      </w:r>
      <w:r w:rsidR="0077763C" w:rsidRPr="00D33399">
        <w:rPr>
          <w:rFonts w:ascii="Arial" w:hAnsi="Arial" w:cs="Arial"/>
        </w:rPr>
        <w:t xml:space="preserve"> </w:t>
      </w:r>
      <w:r w:rsidRPr="00D33399">
        <w:rPr>
          <w:rFonts w:ascii="Arial" w:hAnsi="Arial" w:cs="Arial"/>
        </w:rPr>
        <w:t xml:space="preserve">e R$ </w:t>
      </w:r>
      <w:r w:rsidR="003504EA" w:rsidRPr="00D33399">
        <w:rPr>
          <w:rFonts w:ascii="Arial" w:hAnsi="Arial" w:cs="Arial"/>
        </w:rPr>
        <w:t>4</w:t>
      </w:r>
      <w:r w:rsidR="006F1BF2" w:rsidRPr="00D33399">
        <w:rPr>
          <w:rFonts w:ascii="Arial" w:hAnsi="Arial" w:cs="Arial"/>
        </w:rPr>
        <w:t>,</w:t>
      </w:r>
      <w:r w:rsidRPr="00D33399">
        <w:rPr>
          <w:rFonts w:ascii="Arial" w:hAnsi="Arial" w:cs="Arial"/>
        </w:rPr>
        <w:t xml:space="preserve"> em </w:t>
      </w:r>
      <w:r w:rsidR="007A60D0" w:rsidRPr="00D33399">
        <w:rPr>
          <w:rFonts w:ascii="Arial" w:hAnsi="Arial" w:cs="Arial"/>
        </w:rPr>
        <w:t xml:space="preserve">dezembro de </w:t>
      </w:r>
      <w:r w:rsidR="00D003F4" w:rsidRPr="00D33399">
        <w:rPr>
          <w:rFonts w:ascii="Arial" w:hAnsi="Arial" w:cs="Arial"/>
        </w:rPr>
        <w:t>201</w:t>
      </w:r>
      <w:r w:rsidR="009F30E8" w:rsidRPr="00D33399">
        <w:rPr>
          <w:rFonts w:ascii="Arial" w:hAnsi="Arial" w:cs="Arial"/>
        </w:rPr>
        <w:t>9</w:t>
      </w:r>
      <w:r w:rsidR="003A18DA" w:rsidRPr="00D33399">
        <w:rPr>
          <w:rFonts w:ascii="Arial" w:hAnsi="Arial" w:cs="Arial"/>
        </w:rPr>
        <w:t>)</w:t>
      </w:r>
      <w:r w:rsidRPr="00D33399">
        <w:rPr>
          <w:rFonts w:ascii="Arial" w:hAnsi="Arial" w:cs="Arial"/>
        </w:rPr>
        <w:t xml:space="preserve">, respectivamente, de acordo com a política salarial praticada pela ELETRONUCLEAR. </w:t>
      </w:r>
      <w:r w:rsidR="00663889" w:rsidRPr="00D33399">
        <w:rPr>
          <w:rFonts w:ascii="Arial" w:hAnsi="Arial" w:cs="Arial"/>
        </w:rPr>
        <w:t>O maior e menor honorário atribuídos a dirigentes</w:t>
      </w:r>
      <w:r w:rsidRPr="00D33399">
        <w:rPr>
          <w:rFonts w:ascii="Arial" w:hAnsi="Arial" w:cs="Arial"/>
        </w:rPr>
        <w:t xml:space="preserve">, tomando-se por base o mês de </w:t>
      </w:r>
      <w:r w:rsidR="00731885" w:rsidRPr="00D33399">
        <w:rPr>
          <w:rFonts w:ascii="Arial" w:hAnsi="Arial" w:cs="Arial"/>
        </w:rPr>
        <w:t>setembro de</w:t>
      </w:r>
      <w:r w:rsidR="0092430E" w:rsidRPr="00D33399">
        <w:rPr>
          <w:rFonts w:ascii="Arial" w:hAnsi="Arial" w:cs="Arial"/>
        </w:rPr>
        <w:t xml:space="preserve"> 20</w:t>
      </w:r>
      <w:r w:rsidR="0026793D" w:rsidRPr="00D33399">
        <w:rPr>
          <w:rFonts w:ascii="Arial" w:hAnsi="Arial" w:cs="Arial"/>
        </w:rPr>
        <w:t>20</w:t>
      </w:r>
      <w:r w:rsidRPr="00D33399">
        <w:rPr>
          <w:rFonts w:ascii="Arial" w:hAnsi="Arial" w:cs="Arial"/>
        </w:rPr>
        <w:t xml:space="preserve">, corresponde a R$ </w:t>
      </w:r>
      <w:r w:rsidR="004E196D" w:rsidRPr="00D33399">
        <w:rPr>
          <w:rFonts w:ascii="Arial" w:hAnsi="Arial" w:cs="Arial"/>
        </w:rPr>
        <w:t>4</w:t>
      </w:r>
      <w:r w:rsidR="00DE2564" w:rsidRPr="00D33399">
        <w:rPr>
          <w:rFonts w:ascii="Arial" w:hAnsi="Arial" w:cs="Arial"/>
        </w:rPr>
        <w:t>0</w:t>
      </w:r>
      <w:r w:rsidR="002F270A" w:rsidRPr="00D33399">
        <w:rPr>
          <w:rFonts w:ascii="Arial" w:hAnsi="Arial" w:cs="Arial"/>
        </w:rPr>
        <w:t xml:space="preserve"> </w:t>
      </w:r>
      <w:r w:rsidR="00663889" w:rsidRPr="00D33399">
        <w:rPr>
          <w:rFonts w:ascii="Arial" w:hAnsi="Arial" w:cs="Arial"/>
        </w:rPr>
        <w:t xml:space="preserve">e R$ 4 </w:t>
      </w:r>
      <w:r w:rsidRPr="00D33399">
        <w:rPr>
          <w:rFonts w:ascii="Arial" w:hAnsi="Arial" w:cs="Arial"/>
        </w:rPr>
        <w:t xml:space="preserve">(R$ </w:t>
      </w:r>
      <w:r w:rsidR="003504EA" w:rsidRPr="00D33399">
        <w:rPr>
          <w:rFonts w:ascii="Arial" w:hAnsi="Arial" w:cs="Arial"/>
        </w:rPr>
        <w:t>40</w:t>
      </w:r>
      <w:r w:rsidR="00DA6337" w:rsidRPr="00D33399">
        <w:rPr>
          <w:rFonts w:ascii="Arial" w:hAnsi="Arial" w:cs="Arial"/>
        </w:rPr>
        <w:t xml:space="preserve"> </w:t>
      </w:r>
      <w:r w:rsidR="00663889" w:rsidRPr="00D33399">
        <w:rPr>
          <w:rFonts w:ascii="Arial" w:hAnsi="Arial" w:cs="Arial"/>
        </w:rPr>
        <w:t xml:space="preserve">e R$ 4, </w:t>
      </w:r>
      <w:r w:rsidRPr="00D33399">
        <w:rPr>
          <w:rFonts w:ascii="Arial" w:hAnsi="Arial" w:cs="Arial"/>
        </w:rPr>
        <w:t xml:space="preserve">em </w:t>
      </w:r>
      <w:r w:rsidR="00B4426C" w:rsidRPr="00D33399">
        <w:rPr>
          <w:rFonts w:ascii="Arial" w:hAnsi="Arial" w:cs="Arial"/>
        </w:rPr>
        <w:t>dezembro</w:t>
      </w:r>
      <w:r w:rsidR="0092430E" w:rsidRPr="00D33399">
        <w:rPr>
          <w:rFonts w:ascii="Arial" w:hAnsi="Arial" w:cs="Arial"/>
        </w:rPr>
        <w:t xml:space="preserve"> de 201</w:t>
      </w:r>
      <w:r w:rsidR="00570F32" w:rsidRPr="00D33399">
        <w:rPr>
          <w:rFonts w:ascii="Arial" w:hAnsi="Arial" w:cs="Arial"/>
        </w:rPr>
        <w:t>9</w:t>
      </w:r>
      <w:r w:rsidRPr="00D33399">
        <w:rPr>
          <w:rFonts w:ascii="Arial" w:hAnsi="Arial" w:cs="Arial"/>
        </w:rPr>
        <w:t>).</w:t>
      </w:r>
    </w:p>
    <w:p w14:paraId="2886C5F1" w14:textId="77777777" w:rsidR="006D5FBB" w:rsidRPr="00D33399" w:rsidRDefault="006D5FBB" w:rsidP="005144E2">
      <w:pPr>
        <w:widowControl/>
        <w:jc w:val="both"/>
        <w:rPr>
          <w:rFonts w:ascii="Arial" w:hAnsi="Arial" w:cs="Arial"/>
        </w:rPr>
      </w:pPr>
    </w:p>
    <w:p w14:paraId="5564720F" w14:textId="291BBBB8" w:rsidR="008702D1" w:rsidRPr="00D33399" w:rsidRDefault="008C2EFF" w:rsidP="005144E2">
      <w:pPr>
        <w:widowControl/>
        <w:jc w:val="both"/>
        <w:rPr>
          <w:rFonts w:ascii="Arial" w:hAnsi="Arial" w:cs="Arial"/>
        </w:rPr>
      </w:pPr>
      <w:r w:rsidRPr="00D33399">
        <w:rPr>
          <w:rFonts w:ascii="Arial" w:hAnsi="Arial" w:cs="Arial"/>
        </w:rPr>
        <w:t xml:space="preserve">Nos períodos findos em </w:t>
      </w:r>
      <w:r w:rsidR="00911EBA" w:rsidRPr="00D33399">
        <w:rPr>
          <w:rFonts w:ascii="Arial" w:hAnsi="Arial" w:cs="Arial"/>
        </w:rPr>
        <w:t>3</w:t>
      </w:r>
      <w:r w:rsidR="001F0544" w:rsidRPr="00D33399">
        <w:rPr>
          <w:rFonts w:ascii="Arial" w:hAnsi="Arial" w:cs="Arial"/>
        </w:rPr>
        <w:t>0</w:t>
      </w:r>
      <w:r w:rsidR="00911EBA" w:rsidRPr="00D33399">
        <w:rPr>
          <w:rFonts w:ascii="Arial" w:hAnsi="Arial" w:cs="Arial"/>
        </w:rPr>
        <w:t xml:space="preserve"> de</w:t>
      </w:r>
      <w:r w:rsidR="002206C7" w:rsidRPr="00D33399">
        <w:rPr>
          <w:rFonts w:ascii="Arial" w:hAnsi="Arial" w:cs="Arial"/>
        </w:rPr>
        <w:t xml:space="preserve"> </w:t>
      </w:r>
      <w:r w:rsidR="00731885" w:rsidRPr="00D33399">
        <w:rPr>
          <w:rFonts w:ascii="Arial" w:hAnsi="Arial" w:cs="Arial"/>
        </w:rPr>
        <w:t>setembro</w:t>
      </w:r>
      <w:r w:rsidR="002206C7" w:rsidRPr="00D33399">
        <w:rPr>
          <w:rFonts w:ascii="Arial" w:hAnsi="Arial" w:cs="Arial"/>
        </w:rPr>
        <w:t xml:space="preserve"> de 2020</w:t>
      </w:r>
      <w:r w:rsidR="003F4719" w:rsidRPr="00D33399">
        <w:rPr>
          <w:rFonts w:ascii="Arial" w:hAnsi="Arial" w:cs="Arial"/>
        </w:rPr>
        <w:t>, a Companhia realizou gastos com remuneração, encargos sociais e benefícios da alta administração, conforme apresentado a seguir:</w:t>
      </w:r>
    </w:p>
    <w:p w14:paraId="09789C8B" w14:textId="77777777" w:rsidR="009543C1" w:rsidRPr="00D33399" w:rsidRDefault="009543C1" w:rsidP="005144E2">
      <w:pPr>
        <w:widowControl/>
        <w:jc w:val="both"/>
        <w:rPr>
          <w:rFonts w:ascii="Arial" w:hAnsi="Arial" w:cs="Arial"/>
          <w:sz w:val="16"/>
          <w:szCs w:val="16"/>
        </w:rPr>
      </w:pPr>
    </w:p>
    <w:p w14:paraId="731A33F8" w14:textId="7740E378" w:rsidR="003F1BAF" w:rsidRPr="00D33399" w:rsidRDefault="00D8050F" w:rsidP="005144E2">
      <w:pPr>
        <w:widowControl/>
        <w:jc w:val="both"/>
        <w:rPr>
          <w:rFonts w:ascii="Arial" w:hAnsi="Arial" w:cs="Arial"/>
          <w:b/>
        </w:rPr>
      </w:pPr>
      <w:r w:rsidRPr="00D33399">
        <w:rPr>
          <w:noProof/>
        </w:rPr>
        <w:drawing>
          <wp:inline distT="0" distB="0" distL="0" distR="0" wp14:anchorId="22AB72B3" wp14:editId="3DB3B00C">
            <wp:extent cx="6073140" cy="1121081"/>
            <wp:effectExtent l="0" t="0" r="3810" b="3175"/>
            <wp:docPr id="92" name="Imagem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073140" cy="1121081"/>
                    </a:xfrm>
                    <a:prstGeom prst="rect">
                      <a:avLst/>
                    </a:prstGeom>
                    <a:noFill/>
                    <a:ln>
                      <a:noFill/>
                    </a:ln>
                  </pic:spPr>
                </pic:pic>
              </a:graphicData>
            </a:graphic>
          </wp:inline>
        </w:drawing>
      </w:r>
    </w:p>
    <w:p w14:paraId="4F48A921" w14:textId="77777777" w:rsidR="00B76FF8" w:rsidRPr="00D33399" w:rsidRDefault="00B76FF8" w:rsidP="005144E2">
      <w:pPr>
        <w:widowControl/>
        <w:jc w:val="both"/>
        <w:rPr>
          <w:rFonts w:ascii="Arial" w:hAnsi="Arial" w:cs="Arial"/>
          <w:b/>
        </w:rPr>
      </w:pPr>
    </w:p>
    <w:p w14:paraId="44FAFE34" w14:textId="77777777" w:rsidR="007A1D82" w:rsidRPr="00D33399" w:rsidRDefault="007A1D82" w:rsidP="005144E2">
      <w:pPr>
        <w:widowControl/>
        <w:jc w:val="both"/>
        <w:rPr>
          <w:rFonts w:ascii="Arial" w:hAnsi="Arial" w:cs="Arial"/>
          <w:b/>
        </w:rPr>
      </w:pPr>
    </w:p>
    <w:p w14:paraId="31759454" w14:textId="77777777" w:rsidR="00D8050F" w:rsidRPr="00D33399" w:rsidRDefault="00D8050F" w:rsidP="005144E2">
      <w:pPr>
        <w:widowControl/>
        <w:jc w:val="both"/>
        <w:rPr>
          <w:rFonts w:ascii="Arial" w:hAnsi="Arial" w:cs="Arial"/>
          <w:b/>
        </w:rPr>
      </w:pPr>
    </w:p>
    <w:p w14:paraId="08662D88" w14:textId="77777777" w:rsidR="00D8050F" w:rsidRPr="00D33399" w:rsidRDefault="00D8050F" w:rsidP="005144E2">
      <w:pPr>
        <w:widowControl/>
        <w:jc w:val="both"/>
        <w:rPr>
          <w:rFonts w:ascii="Arial" w:hAnsi="Arial" w:cs="Arial"/>
          <w:b/>
        </w:rPr>
      </w:pPr>
    </w:p>
    <w:p w14:paraId="52ED6B1C" w14:textId="77777777" w:rsidR="00D8050F" w:rsidRPr="00D33399" w:rsidRDefault="00D8050F" w:rsidP="005144E2">
      <w:pPr>
        <w:widowControl/>
        <w:jc w:val="both"/>
        <w:rPr>
          <w:rFonts w:ascii="Arial" w:hAnsi="Arial" w:cs="Arial"/>
          <w:b/>
        </w:rPr>
      </w:pPr>
    </w:p>
    <w:p w14:paraId="7932ED8E" w14:textId="77777777" w:rsidR="00D8050F" w:rsidRPr="00D33399" w:rsidRDefault="00D8050F" w:rsidP="005144E2">
      <w:pPr>
        <w:widowControl/>
        <w:jc w:val="both"/>
        <w:rPr>
          <w:rFonts w:ascii="Arial" w:hAnsi="Arial" w:cs="Arial"/>
          <w:b/>
        </w:rPr>
      </w:pPr>
    </w:p>
    <w:p w14:paraId="31D05F5E" w14:textId="77777777" w:rsidR="00D8050F" w:rsidRPr="00D33399" w:rsidRDefault="00D8050F" w:rsidP="005144E2">
      <w:pPr>
        <w:widowControl/>
        <w:jc w:val="both"/>
        <w:rPr>
          <w:rFonts w:ascii="Arial" w:hAnsi="Arial" w:cs="Arial"/>
          <w:b/>
        </w:rPr>
      </w:pPr>
    </w:p>
    <w:p w14:paraId="108B8735" w14:textId="1DD12E95" w:rsidR="003F4719" w:rsidRPr="00D33399" w:rsidRDefault="003F4719" w:rsidP="005144E2">
      <w:pPr>
        <w:widowControl/>
        <w:jc w:val="both"/>
        <w:outlineLvl w:val="0"/>
        <w:rPr>
          <w:rFonts w:ascii="Arial" w:hAnsi="Arial" w:cs="Arial"/>
          <w:b/>
          <w:sz w:val="26"/>
          <w:szCs w:val="26"/>
        </w:rPr>
      </w:pPr>
      <w:r w:rsidRPr="00D33399">
        <w:rPr>
          <w:rFonts w:ascii="Arial" w:hAnsi="Arial" w:cs="Arial"/>
          <w:b/>
          <w:sz w:val="26"/>
          <w:szCs w:val="26"/>
        </w:rPr>
        <w:lastRenderedPageBreak/>
        <w:t>NOTA 3</w:t>
      </w:r>
      <w:r w:rsidR="0074588C">
        <w:rPr>
          <w:rFonts w:ascii="Arial" w:hAnsi="Arial" w:cs="Arial"/>
          <w:b/>
          <w:sz w:val="26"/>
          <w:szCs w:val="26"/>
        </w:rPr>
        <w:t>8</w:t>
      </w:r>
      <w:r w:rsidRPr="00D33399">
        <w:rPr>
          <w:rFonts w:ascii="Arial" w:hAnsi="Arial" w:cs="Arial"/>
          <w:b/>
          <w:sz w:val="26"/>
          <w:szCs w:val="26"/>
        </w:rPr>
        <w:t xml:space="preserve"> – COMPROMISSOS</w:t>
      </w:r>
    </w:p>
    <w:p w14:paraId="3D9F8EEE" w14:textId="77777777" w:rsidR="0056129C" w:rsidRDefault="0056129C" w:rsidP="005144E2">
      <w:pPr>
        <w:widowControl/>
        <w:jc w:val="both"/>
        <w:rPr>
          <w:rFonts w:ascii="Arial" w:hAnsi="Arial" w:cs="Arial"/>
        </w:rPr>
      </w:pPr>
    </w:p>
    <w:p w14:paraId="5B0CD4C6" w14:textId="77777777" w:rsidR="007F4852" w:rsidRPr="00D33399" w:rsidRDefault="007F4852" w:rsidP="005144E2">
      <w:pPr>
        <w:widowControl/>
        <w:jc w:val="both"/>
        <w:rPr>
          <w:rFonts w:ascii="Arial" w:hAnsi="Arial" w:cs="Arial"/>
        </w:rPr>
      </w:pPr>
    </w:p>
    <w:p w14:paraId="2D3B1A4D" w14:textId="71D268B9" w:rsidR="003F4719" w:rsidRPr="00D33399" w:rsidRDefault="003F4719" w:rsidP="005144E2">
      <w:pPr>
        <w:widowControl/>
        <w:jc w:val="both"/>
        <w:rPr>
          <w:rFonts w:ascii="Arial" w:hAnsi="Arial" w:cs="Arial"/>
        </w:rPr>
      </w:pPr>
      <w:r w:rsidRPr="00D33399">
        <w:rPr>
          <w:rFonts w:ascii="Arial" w:hAnsi="Arial" w:cs="Arial"/>
        </w:rPr>
        <w:t>Além das obrigações registradas no presente balanço, a Companhia possui outros compromissos contratados até a data do balanço, mas ainda não incorridos, e cujas realizações ocorrerão nos próximos exercícios, portanto sem registros patrimoniais em 3</w:t>
      </w:r>
      <w:r w:rsidR="001F0544" w:rsidRPr="00D33399">
        <w:rPr>
          <w:rFonts w:ascii="Arial" w:hAnsi="Arial" w:cs="Arial"/>
        </w:rPr>
        <w:t>0</w:t>
      </w:r>
      <w:r w:rsidRPr="00D33399">
        <w:rPr>
          <w:rFonts w:ascii="Arial" w:hAnsi="Arial" w:cs="Arial"/>
        </w:rPr>
        <w:t xml:space="preserve"> de </w:t>
      </w:r>
      <w:r w:rsidR="00731885" w:rsidRPr="00D33399">
        <w:rPr>
          <w:rFonts w:ascii="Arial" w:hAnsi="Arial" w:cs="Arial"/>
        </w:rPr>
        <w:t>setembro</w:t>
      </w:r>
      <w:r w:rsidR="005519FE" w:rsidRPr="00D33399">
        <w:rPr>
          <w:rFonts w:ascii="Arial" w:hAnsi="Arial" w:cs="Arial"/>
        </w:rPr>
        <w:t xml:space="preserve"> de 2020</w:t>
      </w:r>
      <w:r w:rsidRPr="00D33399">
        <w:rPr>
          <w:rFonts w:ascii="Arial" w:hAnsi="Arial" w:cs="Arial"/>
        </w:rPr>
        <w:t>. Trata-se de contratos e termos de compromissos referentes: à venda de energia elétrica</w:t>
      </w:r>
      <w:r w:rsidR="006F093D" w:rsidRPr="00D33399">
        <w:rPr>
          <w:rFonts w:ascii="Arial" w:hAnsi="Arial" w:cs="Arial"/>
        </w:rPr>
        <w:t>,</w:t>
      </w:r>
      <w:r w:rsidRPr="00D33399">
        <w:rPr>
          <w:rFonts w:ascii="Arial" w:hAnsi="Arial" w:cs="Arial"/>
        </w:rPr>
        <w:t xml:space="preserve"> à aquisição de matéria-prima - combustível nuclear - para produção de energia elétrica</w:t>
      </w:r>
      <w:r w:rsidR="006F093D" w:rsidRPr="00D33399">
        <w:rPr>
          <w:rFonts w:ascii="Arial" w:hAnsi="Arial" w:cs="Arial"/>
        </w:rPr>
        <w:t>,</w:t>
      </w:r>
      <w:r w:rsidRPr="00D33399">
        <w:rPr>
          <w:rFonts w:ascii="Arial" w:hAnsi="Arial" w:cs="Arial"/>
        </w:rPr>
        <w:t xml:space="preserve"> aos compromissos socioambientais vinculados ao empreendimento Angra 3 e </w:t>
      </w:r>
      <w:r w:rsidR="00B77538" w:rsidRPr="00D33399">
        <w:rPr>
          <w:rFonts w:ascii="Arial" w:hAnsi="Arial" w:cs="Arial"/>
        </w:rPr>
        <w:t xml:space="preserve">à </w:t>
      </w:r>
      <w:r w:rsidRPr="00D33399">
        <w:rPr>
          <w:rFonts w:ascii="Arial" w:hAnsi="Arial" w:cs="Arial"/>
        </w:rPr>
        <w:t xml:space="preserve">aquisição de bens e serviços para substituições em seu ativo imobilizado, a saber: </w:t>
      </w:r>
    </w:p>
    <w:p w14:paraId="4F6CCDA5" w14:textId="77777777" w:rsidR="0035253A" w:rsidRPr="00D33399" w:rsidRDefault="0035253A" w:rsidP="005144E2">
      <w:pPr>
        <w:widowControl/>
        <w:jc w:val="both"/>
        <w:rPr>
          <w:rFonts w:ascii="Arial" w:hAnsi="Arial" w:cs="Arial"/>
          <w:b/>
        </w:rPr>
      </w:pPr>
    </w:p>
    <w:p w14:paraId="1C1A0C55" w14:textId="77777777" w:rsidR="0056129C" w:rsidRPr="00D33399" w:rsidRDefault="0056129C" w:rsidP="005144E2">
      <w:pPr>
        <w:widowControl/>
        <w:jc w:val="both"/>
        <w:rPr>
          <w:rFonts w:ascii="Arial" w:hAnsi="Arial" w:cs="Arial"/>
          <w:b/>
          <w:sz w:val="16"/>
          <w:szCs w:val="16"/>
        </w:rPr>
      </w:pPr>
    </w:p>
    <w:p w14:paraId="2E57E71B" w14:textId="45C7A19D" w:rsidR="003F4719" w:rsidRPr="00D33399" w:rsidRDefault="003F4719" w:rsidP="005144E2">
      <w:pPr>
        <w:widowControl/>
        <w:jc w:val="both"/>
        <w:rPr>
          <w:rFonts w:ascii="Arial" w:hAnsi="Arial" w:cs="Arial"/>
          <w:b/>
        </w:rPr>
      </w:pPr>
      <w:r w:rsidRPr="00D33399">
        <w:rPr>
          <w:rFonts w:ascii="Arial" w:hAnsi="Arial" w:cs="Arial"/>
          <w:b/>
        </w:rPr>
        <w:t>3</w:t>
      </w:r>
      <w:r w:rsidR="0074588C">
        <w:rPr>
          <w:rFonts w:ascii="Arial" w:hAnsi="Arial" w:cs="Arial"/>
          <w:b/>
        </w:rPr>
        <w:t>8</w:t>
      </w:r>
      <w:r w:rsidRPr="00D33399">
        <w:rPr>
          <w:rFonts w:ascii="Arial" w:hAnsi="Arial" w:cs="Arial"/>
          <w:b/>
        </w:rPr>
        <w:t>.1 – Venda de energia elétrica</w:t>
      </w:r>
    </w:p>
    <w:p w14:paraId="7D49C28F" w14:textId="77777777" w:rsidR="003F4719" w:rsidRPr="00D33399" w:rsidRDefault="003F4719" w:rsidP="005144E2">
      <w:pPr>
        <w:widowControl/>
        <w:jc w:val="both"/>
        <w:rPr>
          <w:rFonts w:ascii="Arial" w:hAnsi="Arial" w:cs="Arial"/>
          <w:b/>
          <w:sz w:val="16"/>
          <w:szCs w:val="16"/>
        </w:rPr>
      </w:pPr>
    </w:p>
    <w:p w14:paraId="11B9DA4B" w14:textId="77777777" w:rsidR="003F4719" w:rsidRPr="00D33399" w:rsidRDefault="003F4719" w:rsidP="005144E2">
      <w:pPr>
        <w:jc w:val="both"/>
        <w:rPr>
          <w:rFonts w:ascii="Arial" w:hAnsi="Arial" w:cs="Arial"/>
        </w:rPr>
      </w:pPr>
      <w:r w:rsidRPr="00D33399">
        <w:rPr>
          <w:rFonts w:ascii="Arial" w:hAnsi="Arial" w:cs="Arial"/>
        </w:rPr>
        <w:t>Com a regulamentação da A</w:t>
      </w:r>
      <w:r w:rsidR="00904EEC" w:rsidRPr="00D33399">
        <w:rPr>
          <w:rFonts w:ascii="Arial" w:hAnsi="Arial" w:cs="Arial"/>
        </w:rPr>
        <w:t>neel</w:t>
      </w:r>
      <w:r w:rsidRPr="00D33399">
        <w:rPr>
          <w:rFonts w:ascii="Arial" w:hAnsi="Arial" w:cs="Arial"/>
        </w:rPr>
        <w:t xml:space="preserve"> para o dispositivo do art.11, da Lei 12.111/2009 e mediante a edição da Resolução Normativa nº 530, em 21 de dezembro de 2012, toda a receita decorrente da geração das </w:t>
      </w:r>
      <w:r w:rsidR="002636AE" w:rsidRPr="00D33399">
        <w:rPr>
          <w:rFonts w:ascii="Arial" w:hAnsi="Arial" w:cs="Arial"/>
        </w:rPr>
        <w:t>U</w:t>
      </w:r>
      <w:r w:rsidRPr="00D33399">
        <w:rPr>
          <w:rFonts w:ascii="Arial" w:hAnsi="Arial" w:cs="Arial"/>
        </w:rPr>
        <w:t>sinas Angra 1 e 2 será rateada entre todas as concessionárias, permissionárias ou autorizadas de serviço público de distribuição do Sistema Interligado Nacional – SIN, de acordo com as cotas-partes estabelecidas pela A</w:t>
      </w:r>
      <w:r w:rsidR="00904EEC" w:rsidRPr="00D33399">
        <w:rPr>
          <w:rFonts w:ascii="Arial" w:hAnsi="Arial" w:cs="Arial"/>
        </w:rPr>
        <w:t>neel</w:t>
      </w:r>
      <w:r w:rsidR="00827D5B" w:rsidRPr="00D33399">
        <w:rPr>
          <w:rFonts w:ascii="Arial" w:hAnsi="Arial" w:cs="Arial"/>
        </w:rPr>
        <w:t xml:space="preserve"> para o período de 2020 a 2027</w:t>
      </w:r>
      <w:r w:rsidR="00B43FDD" w:rsidRPr="00D33399">
        <w:rPr>
          <w:rFonts w:ascii="Arial" w:hAnsi="Arial" w:cs="Arial"/>
        </w:rPr>
        <w:t xml:space="preserve">. </w:t>
      </w:r>
      <w:r w:rsidRPr="00D33399">
        <w:rPr>
          <w:rFonts w:ascii="Arial" w:hAnsi="Arial" w:cs="Arial"/>
        </w:rPr>
        <w:t>A Resolução Homologatória A</w:t>
      </w:r>
      <w:r w:rsidR="00904EEC" w:rsidRPr="00D33399">
        <w:rPr>
          <w:rFonts w:ascii="Arial" w:hAnsi="Arial" w:cs="Arial"/>
        </w:rPr>
        <w:t>neel</w:t>
      </w:r>
      <w:r w:rsidRPr="00D33399">
        <w:rPr>
          <w:rFonts w:ascii="Arial" w:hAnsi="Arial" w:cs="Arial"/>
        </w:rPr>
        <w:t xml:space="preserve"> nº </w:t>
      </w:r>
      <w:r w:rsidR="00767BE0" w:rsidRPr="00D33399">
        <w:rPr>
          <w:rFonts w:ascii="Arial" w:hAnsi="Arial" w:cs="Arial"/>
        </w:rPr>
        <w:t>2.</w:t>
      </w:r>
      <w:r w:rsidR="00A2435E" w:rsidRPr="00D33399">
        <w:rPr>
          <w:rFonts w:ascii="Arial" w:hAnsi="Arial" w:cs="Arial"/>
        </w:rPr>
        <w:t>661</w:t>
      </w:r>
      <w:r w:rsidR="003566D3" w:rsidRPr="00D33399">
        <w:rPr>
          <w:rFonts w:ascii="Arial" w:hAnsi="Arial" w:cs="Arial"/>
        </w:rPr>
        <w:t>/201</w:t>
      </w:r>
      <w:r w:rsidR="00A2435E" w:rsidRPr="00D33399">
        <w:rPr>
          <w:rFonts w:ascii="Arial" w:hAnsi="Arial" w:cs="Arial"/>
        </w:rPr>
        <w:t>9</w:t>
      </w:r>
      <w:r w:rsidRPr="00D33399">
        <w:rPr>
          <w:rFonts w:ascii="Arial" w:hAnsi="Arial" w:cs="Arial"/>
        </w:rPr>
        <w:t xml:space="preserve"> estabeleceu a receita fixa de R$ </w:t>
      </w:r>
      <w:r w:rsidR="00C17C30" w:rsidRPr="00D33399">
        <w:rPr>
          <w:rFonts w:ascii="Arial" w:hAnsi="Arial" w:cs="Arial"/>
        </w:rPr>
        <w:t>3.</w:t>
      </w:r>
      <w:r w:rsidR="00A2435E" w:rsidRPr="00D33399">
        <w:rPr>
          <w:rFonts w:ascii="Arial" w:hAnsi="Arial" w:cs="Arial"/>
        </w:rPr>
        <w:t>726.446</w:t>
      </w:r>
      <w:r w:rsidR="005519FE" w:rsidRPr="00D33399">
        <w:rPr>
          <w:rFonts w:ascii="Arial" w:hAnsi="Arial" w:cs="Arial"/>
        </w:rPr>
        <w:t xml:space="preserve"> </w:t>
      </w:r>
      <w:r w:rsidRPr="00D33399">
        <w:rPr>
          <w:rFonts w:ascii="Arial" w:hAnsi="Arial" w:cs="Arial"/>
        </w:rPr>
        <w:t>para o ano de 20</w:t>
      </w:r>
      <w:r w:rsidR="00A2435E" w:rsidRPr="00D33399">
        <w:rPr>
          <w:rFonts w:ascii="Arial" w:hAnsi="Arial" w:cs="Arial"/>
        </w:rPr>
        <w:t>20</w:t>
      </w:r>
      <w:r w:rsidRPr="00D33399">
        <w:rPr>
          <w:rFonts w:ascii="Arial" w:hAnsi="Arial" w:cs="Arial"/>
        </w:rPr>
        <w:t xml:space="preserve">, relativa </w:t>
      </w:r>
      <w:r w:rsidR="00B8359D" w:rsidRPr="00D33399">
        <w:rPr>
          <w:rFonts w:ascii="Arial" w:hAnsi="Arial" w:cs="Arial"/>
        </w:rPr>
        <w:t>às Centrais de Geração</w:t>
      </w:r>
      <w:r w:rsidRPr="00D33399">
        <w:rPr>
          <w:rFonts w:ascii="Arial" w:hAnsi="Arial" w:cs="Arial"/>
        </w:rPr>
        <w:t xml:space="preserve"> Angra 1 e 2. </w:t>
      </w:r>
    </w:p>
    <w:p w14:paraId="21F829EB" w14:textId="77777777" w:rsidR="0026150C" w:rsidRPr="00D33399" w:rsidRDefault="0026150C" w:rsidP="005144E2">
      <w:pPr>
        <w:jc w:val="both"/>
        <w:rPr>
          <w:rFonts w:ascii="Arial" w:hAnsi="Arial" w:cs="Arial"/>
        </w:rPr>
      </w:pPr>
    </w:p>
    <w:p w14:paraId="486CD877" w14:textId="77777777" w:rsidR="003F4719" w:rsidRPr="00D33399" w:rsidRDefault="003F4719" w:rsidP="005144E2">
      <w:pPr>
        <w:pStyle w:val="Default0"/>
        <w:spacing w:line="264" w:lineRule="auto"/>
        <w:jc w:val="both"/>
        <w:rPr>
          <w:rFonts w:ascii="Arial" w:hAnsi="Arial" w:cs="Arial"/>
          <w:color w:val="auto"/>
        </w:rPr>
      </w:pPr>
      <w:r w:rsidRPr="00D33399">
        <w:rPr>
          <w:rFonts w:ascii="Arial" w:hAnsi="Arial" w:cs="Arial"/>
          <w:color w:val="auto"/>
        </w:rPr>
        <w:t>Conforme está previsto nos procedimentos estabelecidos pela A</w:t>
      </w:r>
      <w:r w:rsidR="005064DD" w:rsidRPr="00D33399">
        <w:rPr>
          <w:rFonts w:ascii="Arial" w:hAnsi="Arial" w:cs="Arial"/>
          <w:color w:val="auto"/>
        </w:rPr>
        <w:t>neel</w:t>
      </w:r>
      <w:r w:rsidRPr="00D33399">
        <w:rPr>
          <w:rFonts w:ascii="Arial" w:hAnsi="Arial" w:cs="Arial"/>
          <w:color w:val="auto"/>
        </w:rPr>
        <w:t xml:space="preserve">, as atualizações da receita fixa das </w:t>
      </w:r>
      <w:r w:rsidR="002636AE" w:rsidRPr="00D33399">
        <w:rPr>
          <w:rFonts w:ascii="Arial" w:hAnsi="Arial" w:cs="Arial"/>
          <w:color w:val="auto"/>
        </w:rPr>
        <w:t>U</w:t>
      </w:r>
      <w:r w:rsidRPr="00D33399">
        <w:rPr>
          <w:rFonts w:ascii="Arial" w:hAnsi="Arial" w:cs="Arial"/>
          <w:color w:val="auto"/>
        </w:rPr>
        <w:t>sinas Angra 1 e 2 ocorrerão nas seguintes condições:</w:t>
      </w:r>
    </w:p>
    <w:p w14:paraId="12B91AA2" w14:textId="77777777" w:rsidR="00E87487" w:rsidRPr="00D33399" w:rsidRDefault="00E87487" w:rsidP="005144E2">
      <w:pPr>
        <w:pStyle w:val="Default0"/>
        <w:spacing w:line="264" w:lineRule="auto"/>
        <w:jc w:val="both"/>
        <w:rPr>
          <w:rFonts w:ascii="Arial" w:hAnsi="Arial" w:cs="Arial"/>
          <w:color w:val="auto"/>
        </w:rPr>
      </w:pPr>
    </w:p>
    <w:p w14:paraId="623F84AD" w14:textId="77777777" w:rsidR="003F4719" w:rsidRPr="00D33399" w:rsidRDefault="003F4719" w:rsidP="005144E2">
      <w:pPr>
        <w:pStyle w:val="Default0"/>
        <w:numPr>
          <w:ilvl w:val="0"/>
          <w:numId w:val="15"/>
        </w:numPr>
        <w:adjustRightInd/>
        <w:spacing w:line="264" w:lineRule="auto"/>
        <w:jc w:val="both"/>
        <w:rPr>
          <w:rFonts w:ascii="Arial" w:hAnsi="Arial" w:cs="Arial"/>
          <w:color w:val="auto"/>
        </w:rPr>
      </w:pPr>
      <w:r w:rsidRPr="00D33399">
        <w:rPr>
          <w:rFonts w:ascii="Arial" w:hAnsi="Arial" w:cs="Arial"/>
          <w:color w:val="auto"/>
        </w:rPr>
        <w:t>Reajustes tarifários anuais, representados pela atualização infla</w:t>
      </w:r>
      <w:r w:rsidR="00B77538" w:rsidRPr="00D33399">
        <w:rPr>
          <w:rFonts w:ascii="Arial" w:hAnsi="Arial" w:cs="Arial"/>
          <w:color w:val="auto"/>
        </w:rPr>
        <w:t>cionária dos valores do período;</w:t>
      </w:r>
    </w:p>
    <w:p w14:paraId="39D1DA28" w14:textId="77777777" w:rsidR="003F4719" w:rsidRPr="00D33399" w:rsidRDefault="003F4719" w:rsidP="005144E2">
      <w:pPr>
        <w:pStyle w:val="Default0"/>
        <w:numPr>
          <w:ilvl w:val="0"/>
          <w:numId w:val="15"/>
        </w:numPr>
        <w:adjustRightInd/>
        <w:spacing w:line="264" w:lineRule="auto"/>
        <w:jc w:val="both"/>
        <w:rPr>
          <w:rFonts w:ascii="Arial" w:hAnsi="Arial" w:cs="Arial"/>
          <w:color w:val="auto"/>
        </w:rPr>
      </w:pPr>
      <w:r w:rsidRPr="00D33399">
        <w:rPr>
          <w:rFonts w:ascii="Arial" w:hAnsi="Arial" w:cs="Arial"/>
          <w:color w:val="auto"/>
        </w:rPr>
        <w:t xml:space="preserve">Revisões tarifárias </w:t>
      </w:r>
      <w:r w:rsidR="00B77538" w:rsidRPr="00D33399">
        <w:rPr>
          <w:rFonts w:ascii="Arial" w:hAnsi="Arial" w:cs="Arial"/>
          <w:color w:val="auto"/>
        </w:rPr>
        <w:t>a cada intervalo de três anos;</w:t>
      </w:r>
    </w:p>
    <w:p w14:paraId="42AB0D4B" w14:textId="77777777" w:rsidR="003F4719" w:rsidRPr="00D33399" w:rsidRDefault="003F4719" w:rsidP="005144E2">
      <w:pPr>
        <w:pStyle w:val="PargrafodaLista"/>
        <w:widowControl/>
        <w:numPr>
          <w:ilvl w:val="0"/>
          <w:numId w:val="15"/>
        </w:numPr>
        <w:autoSpaceDE w:val="0"/>
        <w:autoSpaceDN w:val="0"/>
        <w:jc w:val="both"/>
        <w:rPr>
          <w:rFonts w:ascii="Arial" w:hAnsi="Arial" w:cs="Arial"/>
        </w:rPr>
      </w:pPr>
      <w:r w:rsidRPr="00D33399">
        <w:rPr>
          <w:rFonts w:ascii="Arial" w:hAnsi="Arial" w:cs="Arial"/>
        </w:rPr>
        <w:t xml:space="preserve">Revisões extraordinárias poderão ser realizadas por solicitação da </w:t>
      </w:r>
      <w:r w:rsidR="00E51010" w:rsidRPr="00D33399">
        <w:rPr>
          <w:rFonts w:ascii="Arial" w:hAnsi="Arial" w:cs="Arial"/>
        </w:rPr>
        <w:t>ELETRONUCLEAR</w:t>
      </w:r>
      <w:r w:rsidRPr="00D33399">
        <w:rPr>
          <w:rFonts w:ascii="Arial" w:hAnsi="Arial" w:cs="Arial"/>
        </w:rPr>
        <w:t xml:space="preserve"> ou por iniciativa da A</w:t>
      </w:r>
      <w:r w:rsidR="00904EEC" w:rsidRPr="00D33399">
        <w:rPr>
          <w:rFonts w:ascii="Arial" w:hAnsi="Arial" w:cs="Arial"/>
        </w:rPr>
        <w:t>neel</w:t>
      </w:r>
      <w:r w:rsidRPr="00D33399">
        <w:rPr>
          <w:rFonts w:ascii="Arial" w:hAnsi="Arial" w:cs="Arial"/>
        </w:rPr>
        <w:t>, para cobertura de custos excepcionais, visando restabelecer o equilíbrio econômico-financeiro dos empreendimentos.</w:t>
      </w:r>
    </w:p>
    <w:p w14:paraId="3729CB24" w14:textId="5D7BDF00" w:rsidR="002D5DE4" w:rsidRPr="00D33399" w:rsidRDefault="002D5DE4" w:rsidP="005144E2">
      <w:pPr>
        <w:widowControl/>
        <w:autoSpaceDE w:val="0"/>
        <w:autoSpaceDN w:val="0"/>
        <w:ind w:left="3"/>
        <w:jc w:val="both"/>
        <w:rPr>
          <w:rFonts w:ascii="Arial" w:hAnsi="Arial" w:cs="Arial"/>
        </w:rPr>
      </w:pPr>
    </w:p>
    <w:p w14:paraId="5962F633" w14:textId="4AAC048E" w:rsidR="00A2435E" w:rsidRPr="00D33399" w:rsidRDefault="00D8050F" w:rsidP="005144E2">
      <w:pPr>
        <w:widowControl/>
        <w:autoSpaceDE w:val="0"/>
        <w:autoSpaceDN w:val="0"/>
        <w:jc w:val="both"/>
        <w:rPr>
          <w:rFonts w:ascii="Arial" w:hAnsi="Arial" w:cs="Arial"/>
          <w:noProof/>
        </w:rPr>
      </w:pPr>
      <w:r w:rsidRPr="00D33399">
        <w:rPr>
          <w:noProof/>
        </w:rPr>
        <w:lastRenderedPageBreak/>
        <w:drawing>
          <wp:inline distT="0" distB="0" distL="0" distR="0" wp14:anchorId="7A618A75" wp14:editId="41A95C89">
            <wp:extent cx="6073140" cy="4063981"/>
            <wp:effectExtent l="0" t="0" r="3810" b="0"/>
            <wp:docPr id="93" name="Imagem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073140" cy="4063981"/>
                    </a:xfrm>
                    <a:prstGeom prst="rect">
                      <a:avLst/>
                    </a:prstGeom>
                    <a:noFill/>
                    <a:ln>
                      <a:noFill/>
                    </a:ln>
                  </pic:spPr>
                </pic:pic>
              </a:graphicData>
            </a:graphic>
          </wp:inline>
        </w:drawing>
      </w:r>
    </w:p>
    <w:p w14:paraId="0C428506" w14:textId="77777777" w:rsidR="007A1D82" w:rsidRPr="00D33399" w:rsidRDefault="007A1D82" w:rsidP="005144E2">
      <w:pPr>
        <w:widowControl/>
        <w:tabs>
          <w:tab w:val="left" w:pos="180"/>
          <w:tab w:val="left" w:pos="360"/>
        </w:tabs>
        <w:jc w:val="both"/>
        <w:rPr>
          <w:rFonts w:ascii="Arial" w:hAnsi="Arial" w:cs="Arial"/>
          <w:b/>
        </w:rPr>
      </w:pPr>
    </w:p>
    <w:p w14:paraId="4693BE15" w14:textId="77777777" w:rsidR="006C1B76" w:rsidRPr="00D33399" w:rsidRDefault="006C1B76" w:rsidP="005144E2">
      <w:pPr>
        <w:widowControl/>
        <w:tabs>
          <w:tab w:val="left" w:pos="180"/>
          <w:tab w:val="left" w:pos="360"/>
        </w:tabs>
        <w:jc w:val="both"/>
        <w:rPr>
          <w:rFonts w:ascii="Arial" w:hAnsi="Arial" w:cs="Arial"/>
          <w:b/>
          <w:sz w:val="16"/>
          <w:szCs w:val="16"/>
        </w:rPr>
      </w:pPr>
    </w:p>
    <w:p w14:paraId="4504CEA6" w14:textId="3513949F" w:rsidR="003F4719" w:rsidRPr="00D33399" w:rsidRDefault="003F4719" w:rsidP="005144E2">
      <w:pPr>
        <w:widowControl/>
        <w:tabs>
          <w:tab w:val="left" w:pos="180"/>
          <w:tab w:val="left" w:pos="360"/>
        </w:tabs>
        <w:jc w:val="both"/>
        <w:rPr>
          <w:rFonts w:ascii="Arial" w:hAnsi="Arial" w:cs="Arial"/>
          <w:b/>
        </w:rPr>
      </w:pPr>
      <w:r w:rsidRPr="00D33399">
        <w:rPr>
          <w:rFonts w:ascii="Arial" w:hAnsi="Arial" w:cs="Arial"/>
          <w:b/>
        </w:rPr>
        <w:t>3</w:t>
      </w:r>
      <w:r w:rsidR="0074588C">
        <w:rPr>
          <w:rFonts w:ascii="Arial" w:hAnsi="Arial" w:cs="Arial"/>
          <w:b/>
        </w:rPr>
        <w:t>8</w:t>
      </w:r>
      <w:r w:rsidRPr="00D33399">
        <w:rPr>
          <w:rFonts w:ascii="Arial" w:hAnsi="Arial" w:cs="Arial"/>
          <w:b/>
        </w:rPr>
        <w:t>.2 – Combustível nuclear</w:t>
      </w:r>
    </w:p>
    <w:p w14:paraId="430C8A95" w14:textId="77777777" w:rsidR="002C452C" w:rsidRPr="00D33399" w:rsidRDefault="002C452C" w:rsidP="005144E2">
      <w:pPr>
        <w:widowControl/>
        <w:tabs>
          <w:tab w:val="left" w:pos="180"/>
          <w:tab w:val="left" w:pos="360"/>
        </w:tabs>
        <w:jc w:val="both"/>
        <w:rPr>
          <w:rFonts w:ascii="Arial" w:hAnsi="Arial" w:cs="Arial"/>
          <w:b/>
          <w:sz w:val="16"/>
          <w:szCs w:val="16"/>
        </w:rPr>
      </w:pPr>
    </w:p>
    <w:p w14:paraId="7E78818B" w14:textId="77777777" w:rsidR="003F4719" w:rsidRPr="00D33399" w:rsidRDefault="003F4719" w:rsidP="005144E2">
      <w:pPr>
        <w:widowControl/>
        <w:tabs>
          <w:tab w:val="center" w:pos="4782"/>
          <w:tab w:val="right" w:pos="9564"/>
        </w:tabs>
        <w:jc w:val="both"/>
        <w:rPr>
          <w:rFonts w:ascii="Arial" w:hAnsi="Arial" w:cs="Arial"/>
        </w:rPr>
      </w:pPr>
      <w:r w:rsidRPr="00D33399">
        <w:rPr>
          <w:rFonts w:ascii="Arial" w:hAnsi="Arial" w:cs="Arial"/>
        </w:rPr>
        <w:t xml:space="preserve">Contratos assinados com a INB - Indústrias Nucleares Brasileiras, para aquisição de matéria-prima para produção de energia elétrica e combustível nuclear para as próximas recargas das </w:t>
      </w:r>
      <w:r w:rsidR="002636AE" w:rsidRPr="00D33399">
        <w:rPr>
          <w:rFonts w:ascii="Arial" w:hAnsi="Arial" w:cs="Arial"/>
        </w:rPr>
        <w:t>U</w:t>
      </w:r>
      <w:r w:rsidRPr="00D33399">
        <w:rPr>
          <w:rFonts w:ascii="Arial" w:hAnsi="Arial" w:cs="Arial"/>
        </w:rPr>
        <w:t xml:space="preserve">sinas Angra 1 e Angra 2, bem como a carga inicial e futuras recargas de Angra 3, conforme </w:t>
      </w:r>
      <w:r w:rsidR="00C17C30" w:rsidRPr="00D33399">
        <w:rPr>
          <w:rFonts w:ascii="Arial" w:hAnsi="Arial" w:cs="Arial"/>
        </w:rPr>
        <w:t>quadro demonstrativo a seguir</w:t>
      </w:r>
      <w:r w:rsidRPr="00D33399">
        <w:rPr>
          <w:rFonts w:ascii="Arial" w:hAnsi="Arial" w:cs="Arial"/>
        </w:rPr>
        <w:t>:</w:t>
      </w:r>
    </w:p>
    <w:p w14:paraId="700EB032" w14:textId="77777777" w:rsidR="001B6E08" w:rsidRPr="00D33399" w:rsidRDefault="001B6E08" w:rsidP="005144E2">
      <w:pPr>
        <w:widowControl/>
        <w:tabs>
          <w:tab w:val="center" w:pos="4782"/>
          <w:tab w:val="right" w:pos="9564"/>
        </w:tabs>
        <w:jc w:val="both"/>
        <w:rPr>
          <w:rFonts w:ascii="Arial" w:hAnsi="Arial" w:cs="Arial"/>
          <w:sz w:val="16"/>
          <w:szCs w:val="16"/>
        </w:rPr>
      </w:pPr>
    </w:p>
    <w:p w14:paraId="7E8A745B" w14:textId="514AF9AC" w:rsidR="005A6310" w:rsidRPr="00D33399" w:rsidRDefault="007C6506" w:rsidP="005144E2">
      <w:pPr>
        <w:widowControl/>
        <w:tabs>
          <w:tab w:val="center" w:pos="4782"/>
          <w:tab w:val="right" w:pos="9564"/>
        </w:tabs>
        <w:jc w:val="both"/>
        <w:rPr>
          <w:rFonts w:ascii="Arial" w:hAnsi="Arial" w:cs="Arial"/>
        </w:rPr>
      </w:pPr>
      <w:r w:rsidRPr="007C6506">
        <w:rPr>
          <w:noProof/>
        </w:rPr>
        <w:drawing>
          <wp:inline distT="0" distB="0" distL="0" distR="0" wp14:anchorId="4640EFBE" wp14:editId="1EFC54B9">
            <wp:extent cx="3619500" cy="2565400"/>
            <wp:effectExtent l="0" t="0" r="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619500" cy="2565400"/>
                    </a:xfrm>
                    <a:prstGeom prst="rect">
                      <a:avLst/>
                    </a:prstGeom>
                    <a:noFill/>
                    <a:ln>
                      <a:noFill/>
                    </a:ln>
                  </pic:spPr>
                </pic:pic>
              </a:graphicData>
            </a:graphic>
          </wp:inline>
        </w:drawing>
      </w:r>
    </w:p>
    <w:p w14:paraId="32A36A4A" w14:textId="77777777" w:rsidR="009F4079" w:rsidRPr="00D33399" w:rsidRDefault="009F4079" w:rsidP="005144E2">
      <w:pPr>
        <w:widowControl/>
        <w:tabs>
          <w:tab w:val="center" w:pos="4782"/>
          <w:tab w:val="right" w:pos="9564"/>
        </w:tabs>
        <w:rPr>
          <w:rFonts w:ascii="Arial" w:hAnsi="Arial" w:cs="Arial"/>
          <w:b/>
        </w:rPr>
      </w:pPr>
    </w:p>
    <w:p w14:paraId="4AB72D6B" w14:textId="2BC2DC0D" w:rsidR="003F4719" w:rsidRPr="00D33399" w:rsidRDefault="003F4719" w:rsidP="005144E2">
      <w:pPr>
        <w:widowControl/>
        <w:tabs>
          <w:tab w:val="center" w:pos="4782"/>
          <w:tab w:val="right" w:pos="9564"/>
        </w:tabs>
        <w:rPr>
          <w:rFonts w:ascii="Arial" w:hAnsi="Arial" w:cs="Arial"/>
          <w:b/>
        </w:rPr>
      </w:pPr>
      <w:r w:rsidRPr="00D33399">
        <w:rPr>
          <w:rFonts w:ascii="Arial" w:hAnsi="Arial" w:cs="Arial"/>
          <w:b/>
        </w:rPr>
        <w:lastRenderedPageBreak/>
        <w:t>3</w:t>
      </w:r>
      <w:r w:rsidR="0074588C">
        <w:rPr>
          <w:rFonts w:ascii="Arial" w:hAnsi="Arial" w:cs="Arial"/>
          <w:b/>
        </w:rPr>
        <w:t>8</w:t>
      </w:r>
      <w:r w:rsidRPr="00D33399">
        <w:rPr>
          <w:rFonts w:ascii="Arial" w:hAnsi="Arial" w:cs="Arial"/>
          <w:b/>
        </w:rPr>
        <w:t>.3 – Compromissos socioambientais</w:t>
      </w:r>
    </w:p>
    <w:p w14:paraId="7056430D" w14:textId="77777777" w:rsidR="003F4719" w:rsidRPr="00D33399" w:rsidRDefault="003F4719" w:rsidP="005144E2">
      <w:pPr>
        <w:widowControl/>
        <w:jc w:val="both"/>
        <w:rPr>
          <w:rFonts w:ascii="Arial" w:hAnsi="Arial" w:cs="Arial"/>
          <w:sz w:val="16"/>
          <w:szCs w:val="16"/>
        </w:rPr>
      </w:pPr>
    </w:p>
    <w:p w14:paraId="38573A1E" w14:textId="77777777" w:rsidR="00D05990" w:rsidRPr="00D33399" w:rsidRDefault="003F4719" w:rsidP="005144E2">
      <w:pPr>
        <w:widowControl/>
        <w:jc w:val="both"/>
        <w:rPr>
          <w:rFonts w:ascii="Arial" w:hAnsi="Arial" w:cs="Arial"/>
        </w:rPr>
      </w:pPr>
      <w:r w:rsidRPr="00D33399">
        <w:rPr>
          <w:rFonts w:ascii="Arial" w:hAnsi="Arial" w:cs="Arial"/>
        </w:rPr>
        <w:t xml:space="preserve">Termos de compromissos assumidos com os Municípios, nos quais a ELETRONUCLEAR se compromete a celebrar convênios específicos de portes socioambientais, vinculados ao empreendimento Angra 3, visando à execução dos programas e projetos em consonância com as condicionantes </w:t>
      </w:r>
      <w:r w:rsidR="00C17C30" w:rsidRPr="00D33399">
        <w:rPr>
          <w:rFonts w:ascii="Arial" w:hAnsi="Arial" w:cs="Arial"/>
        </w:rPr>
        <w:t xml:space="preserve">estabelecidas pelo Instituto Brasileiro do Meio Ambiente e dos Recursos Naturais Renováveis </w:t>
      </w:r>
      <w:r w:rsidR="002426D1" w:rsidRPr="00D33399">
        <w:rPr>
          <w:rFonts w:ascii="Arial" w:hAnsi="Arial" w:cs="Arial"/>
        </w:rPr>
        <w:t>–</w:t>
      </w:r>
      <w:r w:rsidR="00C17C30" w:rsidRPr="00D33399">
        <w:rPr>
          <w:rFonts w:ascii="Arial" w:hAnsi="Arial" w:cs="Arial"/>
        </w:rPr>
        <w:t xml:space="preserve"> I</w:t>
      </w:r>
      <w:r w:rsidR="005064DD" w:rsidRPr="00D33399">
        <w:rPr>
          <w:rFonts w:ascii="Arial" w:hAnsi="Arial" w:cs="Arial"/>
        </w:rPr>
        <w:t>bama</w:t>
      </w:r>
      <w:r w:rsidR="002426D1" w:rsidRPr="00D33399">
        <w:rPr>
          <w:rFonts w:ascii="Arial" w:hAnsi="Arial" w:cs="Arial"/>
        </w:rPr>
        <w:t>,</w:t>
      </w:r>
      <w:r w:rsidR="00C209FF" w:rsidRPr="00D33399">
        <w:rPr>
          <w:rFonts w:ascii="Arial" w:hAnsi="Arial" w:cs="Arial"/>
        </w:rPr>
        <w:t xml:space="preserve"> </w:t>
      </w:r>
      <w:r w:rsidRPr="00D33399">
        <w:rPr>
          <w:rFonts w:ascii="Arial" w:hAnsi="Arial" w:cs="Arial"/>
        </w:rPr>
        <w:t>conforme quadro demonstrativo a seguir:</w:t>
      </w:r>
    </w:p>
    <w:p w14:paraId="14D5AC2D" w14:textId="77777777" w:rsidR="002C452C" w:rsidRPr="00D33399" w:rsidRDefault="002C452C" w:rsidP="005144E2">
      <w:pPr>
        <w:widowControl/>
        <w:jc w:val="both"/>
        <w:rPr>
          <w:rFonts w:ascii="Arial" w:hAnsi="Arial" w:cs="Arial"/>
          <w:sz w:val="16"/>
          <w:szCs w:val="16"/>
        </w:rPr>
      </w:pPr>
    </w:p>
    <w:p w14:paraId="68BB4A06" w14:textId="5F087395" w:rsidR="00A227C7" w:rsidRPr="00D33399" w:rsidRDefault="00B25E86" w:rsidP="005144E2">
      <w:pPr>
        <w:widowControl/>
        <w:jc w:val="both"/>
        <w:rPr>
          <w:rFonts w:ascii="Arial" w:hAnsi="Arial" w:cs="Arial"/>
          <w:noProof/>
        </w:rPr>
      </w:pPr>
      <w:r w:rsidRPr="00D33399">
        <w:rPr>
          <w:noProof/>
        </w:rPr>
        <w:drawing>
          <wp:inline distT="0" distB="0" distL="0" distR="0" wp14:anchorId="5A4F788C" wp14:editId="4A6D52A5">
            <wp:extent cx="3457575" cy="2609850"/>
            <wp:effectExtent l="0" t="0" r="9525" b="0"/>
            <wp:docPr id="95" name="Image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457575" cy="2609850"/>
                    </a:xfrm>
                    <a:prstGeom prst="rect">
                      <a:avLst/>
                    </a:prstGeom>
                    <a:noFill/>
                    <a:ln>
                      <a:noFill/>
                    </a:ln>
                  </pic:spPr>
                </pic:pic>
              </a:graphicData>
            </a:graphic>
          </wp:inline>
        </w:drawing>
      </w:r>
    </w:p>
    <w:p w14:paraId="7413BA71" w14:textId="574FEA7C" w:rsidR="008D0035" w:rsidRPr="007F4852" w:rsidRDefault="008D0035" w:rsidP="005144E2">
      <w:pPr>
        <w:widowControl/>
        <w:ind w:left="360" w:hanging="360"/>
        <w:jc w:val="both"/>
        <w:rPr>
          <w:rFonts w:ascii="Arial" w:hAnsi="Arial" w:cs="Arial"/>
          <w:sz w:val="16"/>
          <w:szCs w:val="16"/>
        </w:rPr>
      </w:pPr>
    </w:p>
    <w:p w14:paraId="33E48154" w14:textId="77777777" w:rsidR="00A73BC4" w:rsidRPr="00D33399" w:rsidRDefault="00A73BC4" w:rsidP="005144E2">
      <w:pPr>
        <w:widowControl/>
        <w:ind w:left="360" w:hanging="360"/>
        <w:jc w:val="both"/>
        <w:rPr>
          <w:rFonts w:ascii="Arial" w:hAnsi="Arial" w:cs="Arial"/>
        </w:rPr>
      </w:pPr>
    </w:p>
    <w:p w14:paraId="60424C27" w14:textId="1144FC16" w:rsidR="003F4719" w:rsidRPr="00D33399" w:rsidRDefault="00983AA5" w:rsidP="005144E2">
      <w:pPr>
        <w:widowControl/>
        <w:tabs>
          <w:tab w:val="left" w:pos="360"/>
        </w:tabs>
        <w:jc w:val="both"/>
        <w:rPr>
          <w:rFonts w:ascii="Arial" w:hAnsi="Arial" w:cs="Arial"/>
          <w:b/>
        </w:rPr>
      </w:pPr>
      <w:r w:rsidRPr="00D33399">
        <w:rPr>
          <w:rFonts w:ascii="Arial" w:hAnsi="Arial" w:cs="Arial"/>
          <w:b/>
        </w:rPr>
        <w:t>3</w:t>
      </w:r>
      <w:r w:rsidR="0074588C">
        <w:rPr>
          <w:rFonts w:ascii="Arial" w:hAnsi="Arial" w:cs="Arial"/>
          <w:b/>
        </w:rPr>
        <w:t>8</w:t>
      </w:r>
      <w:r w:rsidR="003F4719" w:rsidRPr="00D33399">
        <w:rPr>
          <w:rFonts w:ascii="Arial" w:hAnsi="Arial" w:cs="Arial"/>
          <w:b/>
        </w:rPr>
        <w:t>.4 – Aquisições de bens e serviços</w:t>
      </w:r>
    </w:p>
    <w:p w14:paraId="6A706FCC" w14:textId="77777777" w:rsidR="003F4719" w:rsidRPr="00D33399" w:rsidRDefault="003F4719" w:rsidP="005144E2">
      <w:pPr>
        <w:widowControl/>
        <w:jc w:val="both"/>
        <w:rPr>
          <w:rFonts w:ascii="Arial" w:hAnsi="Arial" w:cs="Arial"/>
          <w:sz w:val="16"/>
          <w:szCs w:val="16"/>
        </w:rPr>
      </w:pPr>
    </w:p>
    <w:p w14:paraId="767DDA12" w14:textId="77777777" w:rsidR="003F4719" w:rsidRPr="00D33399" w:rsidRDefault="003F4719" w:rsidP="005144E2">
      <w:pPr>
        <w:widowControl/>
        <w:jc w:val="both"/>
        <w:rPr>
          <w:rFonts w:ascii="Arial" w:hAnsi="Arial" w:cs="Arial"/>
        </w:rPr>
      </w:pPr>
      <w:r w:rsidRPr="00D33399">
        <w:rPr>
          <w:rFonts w:ascii="Arial" w:hAnsi="Arial" w:cs="Arial"/>
        </w:rPr>
        <w:t xml:space="preserve">Contratos assinados com fornecedores diversos para aquisição de bens e serviços das </w:t>
      </w:r>
      <w:r w:rsidR="00025E68" w:rsidRPr="00D33399">
        <w:rPr>
          <w:rFonts w:ascii="Arial" w:hAnsi="Arial" w:cs="Arial"/>
        </w:rPr>
        <w:t>U</w:t>
      </w:r>
      <w:r w:rsidRPr="00D33399">
        <w:rPr>
          <w:rFonts w:ascii="Arial" w:hAnsi="Arial" w:cs="Arial"/>
        </w:rPr>
        <w:t>sinas Angra 1, Angra 2 e Angra 3, necessários à garantia de performance operacional desses ativos</w:t>
      </w:r>
      <w:r w:rsidR="002426D1" w:rsidRPr="00D33399">
        <w:rPr>
          <w:rFonts w:ascii="Arial" w:hAnsi="Arial" w:cs="Arial"/>
        </w:rPr>
        <w:t>,</w:t>
      </w:r>
      <w:r w:rsidRPr="00D33399">
        <w:rPr>
          <w:rFonts w:ascii="Arial" w:hAnsi="Arial" w:cs="Arial"/>
        </w:rPr>
        <w:t xml:space="preserve"> conforme quadro </w:t>
      </w:r>
      <w:r w:rsidR="00C17C30" w:rsidRPr="00D33399">
        <w:rPr>
          <w:rFonts w:ascii="Arial" w:hAnsi="Arial" w:cs="Arial"/>
        </w:rPr>
        <w:t>demonstrativo</w:t>
      </w:r>
      <w:r w:rsidRPr="00D33399">
        <w:rPr>
          <w:rFonts w:ascii="Arial" w:hAnsi="Arial" w:cs="Arial"/>
        </w:rPr>
        <w:t xml:space="preserve"> a seguir:</w:t>
      </w:r>
    </w:p>
    <w:p w14:paraId="5523D322" w14:textId="77777777" w:rsidR="00EF3016" w:rsidRPr="00D33399" w:rsidRDefault="00EF3016" w:rsidP="005144E2">
      <w:pPr>
        <w:widowControl/>
        <w:jc w:val="both"/>
        <w:rPr>
          <w:rFonts w:ascii="Arial" w:hAnsi="Arial" w:cs="Arial"/>
          <w:sz w:val="16"/>
          <w:szCs w:val="16"/>
        </w:rPr>
      </w:pPr>
    </w:p>
    <w:p w14:paraId="5A679D16" w14:textId="1E67302C" w:rsidR="008D0035" w:rsidRPr="00D33399" w:rsidRDefault="00B84F27" w:rsidP="005144E2">
      <w:pPr>
        <w:widowControl/>
        <w:jc w:val="both"/>
        <w:rPr>
          <w:rFonts w:ascii="Arial" w:hAnsi="Arial" w:cs="Arial"/>
        </w:rPr>
      </w:pPr>
      <w:r w:rsidRPr="00D33399">
        <w:rPr>
          <w:noProof/>
        </w:rPr>
        <w:drawing>
          <wp:inline distT="0" distB="0" distL="0" distR="0" wp14:anchorId="48262289" wp14:editId="2225C79A">
            <wp:extent cx="3457575" cy="2609850"/>
            <wp:effectExtent l="0" t="0" r="9525" b="0"/>
            <wp:docPr id="96" name="Imagem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457575" cy="2609850"/>
                    </a:xfrm>
                    <a:prstGeom prst="rect">
                      <a:avLst/>
                    </a:prstGeom>
                    <a:noFill/>
                    <a:ln>
                      <a:noFill/>
                    </a:ln>
                  </pic:spPr>
                </pic:pic>
              </a:graphicData>
            </a:graphic>
          </wp:inline>
        </w:drawing>
      </w:r>
    </w:p>
    <w:p w14:paraId="16B8EFE9" w14:textId="77777777" w:rsidR="002C452C" w:rsidRPr="00D33399" w:rsidRDefault="002C452C" w:rsidP="005144E2">
      <w:pPr>
        <w:widowControl/>
        <w:ind w:left="360" w:hanging="360"/>
        <w:jc w:val="both"/>
        <w:rPr>
          <w:rFonts w:ascii="Arial" w:hAnsi="Arial" w:cs="Arial"/>
          <w:i/>
        </w:rPr>
      </w:pPr>
    </w:p>
    <w:p w14:paraId="5CF0DC7F" w14:textId="77777777" w:rsidR="00170BA8" w:rsidRDefault="00170BA8" w:rsidP="005144E2">
      <w:pPr>
        <w:widowControl/>
        <w:jc w:val="both"/>
        <w:rPr>
          <w:rFonts w:ascii="Arial" w:hAnsi="Arial" w:cs="Arial"/>
          <w:b/>
          <w:sz w:val="26"/>
          <w:szCs w:val="26"/>
        </w:rPr>
      </w:pPr>
    </w:p>
    <w:p w14:paraId="742183A8" w14:textId="7E850B83" w:rsidR="002636AA" w:rsidRPr="00D33399" w:rsidRDefault="007A0988" w:rsidP="005144E2">
      <w:pPr>
        <w:widowControl/>
        <w:jc w:val="both"/>
        <w:rPr>
          <w:rFonts w:ascii="Arial" w:hAnsi="Arial" w:cs="Arial"/>
          <w:b/>
          <w:sz w:val="26"/>
          <w:szCs w:val="26"/>
        </w:rPr>
      </w:pPr>
      <w:r w:rsidRPr="00D33399">
        <w:rPr>
          <w:rFonts w:ascii="Arial" w:hAnsi="Arial" w:cs="Arial"/>
          <w:b/>
          <w:sz w:val="26"/>
          <w:szCs w:val="26"/>
        </w:rPr>
        <w:lastRenderedPageBreak/>
        <w:t>3</w:t>
      </w:r>
      <w:r w:rsidR="0074588C">
        <w:rPr>
          <w:rFonts w:ascii="Arial" w:hAnsi="Arial" w:cs="Arial"/>
          <w:b/>
          <w:sz w:val="26"/>
          <w:szCs w:val="26"/>
        </w:rPr>
        <w:t>9</w:t>
      </w:r>
      <w:r w:rsidRPr="00D33399">
        <w:rPr>
          <w:rFonts w:ascii="Arial" w:hAnsi="Arial" w:cs="Arial"/>
          <w:b/>
          <w:sz w:val="26"/>
          <w:szCs w:val="26"/>
        </w:rPr>
        <w:t xml:space="preserve"> – EVENTOS SUBSEQUENTES</w:t>
      </w:r>
    </w:p>
    <w:p w14:paraId="4CD6D5E4" w14:textId="77777777" w:rsidR="009543C1" w:rsidRPr="00D33399" w:rsidRDefault="009543C1" w:rsidP="005144E2">
      <w:pPr>
        <w:widowControl/>
        <w:tabs>
          <w:tab w:val="left" w:pos="360"/>
        </w:tabs>
        <w:jc w:val="both"/>
        <w:rPr>
          <w:rFonts w:ascii="Arial" w:hAnsi="Arial" w:cs="Arial"/>
          <w:color w:val="212121"/>
        </w:rPr>
      </w:pPr>
    </w:p>
    <w:p w14:paraId="6CA2AD51" w14:textId="1407436F" w:rsidR="00D60C6F" w:rsidRDefault="00D60C6F" w:rsidP="00D60C6F">
      <w:pPr>
        <w:jc w:val="both"/>
        <w:rPr>
          <w:rFonts w:ascii="Arial" w:hAnsi="Arial" w:cs="Arial"/>
        </w:rPr>
      </w:pPr>
      <w:r>
        <w:rPr>
          <w:rFonts w:ascii="Arial" w:hAnsi="Arial" w:cs="Arial"/>
        </w:rPr>
        <w:t xml:space="preserve">Em </w:t>
      </w:r>
      <w:r w:rsidRPr="00D33399">
        <w:rPr>
          <w:rFonts w:ascii="Arial" w:hAnsi="Arial" w:cs="Arial"/>
        </w:rPr>
        <w:t>15 de outubro de 2020</w:t>
      </w:r>
      <w:r>
        <w:rPr>
          <w:rFonts w:ascii="Arial" w:hAnsi="Arial" w:cs="Arial"/>
        </w:rPr>
        <w:t>, por meio da Carta AE/DEENE1 nº 222/2020, o BNDES  autorizou a prorrogação do prazo limite para o cumprimento da obrigação de preenchimento integral da Conta Reserva, conforme previsto nos Parágrafos Primeiro, Terceiro e Quarto, da Cláusula Sétima (Garantia da Operação) do Contrato de Financiamento Mediante Abertura de Crédito nº 10.2.2032.1 (Angra 3), para a data de 15.06.2022, com o valor equivalente à soma das últimas três (3) prestações vencidas de amortização, juros e demais acessórios, com a consequente celebração do Aditivo nº 8 ao Contrato de Financiamento e do Aditivo nº 3 ao Contrato de Cessão Fiduciária, para formalização da mencionada alteração de prazo. Estes termos aditivos contratuais deverão ser celebrados em até 120 dias da data de emissão da Carta AE/DEENE1 nº 222/2020.</w:t>
      </w:r>
    </w:p>
    <w:p w14:paraId="344D3CE1" w14:textId="77777777" w:rsidR="00C34AA8" w:rsidRPr="00170BA8" w:rsidRDefault="00C34AA8" w:rsidP="00C34AA8">
      <w:pPr>
        <w:jc w:val="both"/>
        <w:rPr>
          <w:rFonts w:ascii="Arial" w:hAnsi="Arial" w:cs="Arial"/>
          <w:sz w:val="16"/>
          <w:szCs w:val="16"/>
        </w:rPr>
      </w:pPr>
    </w:p>
    <w:p w14:paraId="0FF825EE" w14:textId="3032FFD8" w:rsidR="00D60C6F" w:rsidRDefault="00D60C6F" w:rsidP="00D60C6F">
      <w:pPr>
        <w:jc w:val="both"/>
        <w:rPr>
          <w:rFonts w:ascii="Arial" w:hAnsi="Arial" w:cs="Arial"/>
        </w:rPr>
      </w:pPr>
      <w:r>
        <w:rPr>
          <w:rFonts w:ascii="Arial" w:hAnsi="Arial" w:cs="Arial"/>
        </w:rPr>
        <w:t xml:space="preserve">Em </w:t>
      </w:r>
      <w:r w:rsidRPr="00D33399">
        <w:rPr>
          <w:rFonts w:ascii="Arial" w:hAnsi="Arial" w:cs="Arial"/>
        </w:rPr>
        <w:t>21 de outubro de 2020</w:t>
      </w:r>
      <w:r>
        <w:rPr>
          <w:rFonts w:ascii="Arial" w:hAnsi="Arial" w:cs="Arial"/>
        </w:rPr>
        <w:t>, foi realizada a 99ª Assembleia Geral Extraordinária da ELETRONUCLEAR, na qual foi deliberada a aprovação do aumento do Capital Social da companhia no valor de R$ 1.885.778, com a emissão de 22.081.709.937 ações, distribuídas entre 17.256.190.448 ações ordinárias com direito a voto e 4.825.519.489 ações preferenciais sem direito a voto, mediante a conversão de créditos de Adiantamentos para Futuro Aumento de Capital - AFAC no valor de R$ 850.000 , assim como a conversão de créditos de contratos de financiamentos no montante de R$ 1.035.778, ambos pertencentes à Centrais Elétricas Eletrobras S.A.- Eletrobras. Foi aprovada ainda a alteração do caput do artigo 8º, do Estatuto Social da ELETRONUCLEAR, compatibilizando-o com este aumento de Capital Social. Neste sentido, e em mesma data, a Companhia registrou as obrigações referente a variação monetária no valor de R$ 273, reminiscente à atualização pela Selic no período de 30 de setembro de 2020 a 21 de outubro de 2020 da primeira liberação do Contrato de AFAC nº ECF-3381/19, ocorrida em 01 de agosto de 2019, em atendimento à cláusula contratual que previa atualização do valor concedido pela Selic, caso o prazo para efetivação do aumento de capital fosse superior a um ano, bem como a variação monetária no montante de R$ 6.261, também relacionada à atualização pela Selic, da segunda liberação do Contrato ECF-3381/19, ocorrida em 11 de outubro de 2019.</w:t>
      </w:r>
    </w:p>
    <w:p w14:paraId="337F2D15" w14:textId="77777777" w:rsidR="00D60C6F" w:rsidRPr="00170BA8" w:rsidRDefault="00D60C6F" w:rsidP="00C34AA8">
      <w:pPr>
        <w:jc w:val="both"/>
        <w:rPr>
          <w:rFonts w:ascii="Arial" w:hAnsi="Arial" w:cs="Arial"/>
          <w:sz w:val="16"/>
          <w:szCs w:val="16"/>
        </w:rPr>
      </w:pPr>
    </w:p>
    <w:p w14:paraId="0EC630F5" w14:textId="3E43A795" w:rsidR="003F0E0B" w:rsidRDefault="003F0E0B" w:rsidP="003F0E0B">
      <w:pPr>
        <w:jc w:val="both"/>
        <w:rPr>
          <w:rFonts w:ascii="Arial" w:hAnsi="Arial" w:cs="Arial"/>
        </w:rPr>
      </w:pPr>
      <w:r>
        <w:rPr>
          <w:rFonts w:ascii="Arial" w:hAnsi="Arial" w:cs="Arial"/>
        </w:rPr>
        <w:t>Em 30 de outubro de 2020, foi emitida a nova apólice de seguro de riscos nucleares, nas modalidades de responsabilidade civil do operador de instalação nuclear e danos materiais (all risk), junto à seguradora FairFax Brasil Seguros Corporativos S.A, em substituição a apólice anterior e cuja vigência se encerrou em 30 de outubro de 2020, conforme mencionado na Nota 35 – Seguros. Esta nova contratação terá sua vigência do dia 30 de outubro de 2020 até 30 de outubro de 2021, sendo os novos valores em risco segurados na importância de R$ 23.062.958, com limite máximo de indenizações na importância de R$ 7.767.688 e novo prêmio equivalente de R$ 31.456. Os valores em risco, os limites máximos de indenizações e o prêmio equivalente são contratados em dólares estadunidenses, sendo os valores referenciados acima expressos em reais ao câmbio da data de 30 de outubro de 2020 ( 1,00 USD = R$ 5,7718). Esta contratação foi efetuada por meio de Pregão Presencial nº DABS.A/PP-001/2020 ocorrido em 15 de outubro de 2020.</w:t>
      </w:r>
    </w:p>
    <w:p w14:paraId="334E3DE3" w14:textId="1C4A6E3C" w:rsidR="003D6B86" w:rsidRPr="00D33399" w:rsidRDefault="00D60C6F" w:rsidP="00170BA8">
      <w:pPr>
        <w:jc w:val="both"/>
        <w:rPr>
          <w:rFonts w:ascii="Arial" w:hAnsi="Arial" w:cs="Arial"/>
        </w:rPr>
      </w:pPr>
      <w:r>
        <w:rPr>
          <w:rFonts w:ascii="Arial" w:hAnsi="Arial" w:cs="Arial"/>
        </w:rPr>
        <w:lastRenderedPageBreak/>
        <w:t>Em 05</w:t>
      </w:r>
      <w:r w:rsidR="003F0E0B">
        <w:rPr>
          <w:rFonts w:ascii="Arial" w:hAnsi="Arial" w:cs="Arial"/>
        </w:rPr>
        <w:t xml:space="preserve"> de novembro de </w:t>
      </w:r>
      <w:r>
        <w:rPr>
          <w:rFonts w:ascii="Arial" w:hAnsi="Arial" w:cs="Arial"/>
        </w:rPr>
        <w:t xml:space="preserve">2020 a Companhia foi notificada sobre a decisão ocorrida nos autos do processo nº 5000859-28.2020.4.02.5111 de ação civil pública movida pelo Ministério Público Federal (MPF) contra a construção da Unidade de Armazenamento Complementar a Seco de Combustível Irradiado (UAS). A Eletronuclear ressalta que a decisão da 1ª Vara Federal de Angra dos Reis não impede a continuidade das obras da UAS, nem paralisa os processos de licenciamento nuclear e ambiental em andamento. Ambos seguem a pleno vapor. A deliberação da Justiça – em caráter liminar, vale ressaltar – apenas proíbe, no presente momento, a movimentação de combustíveis usados de Angra 1 e 2 até a UAS. Quanto a isso, a empresa frisa que, ao contrário do que afirma o MPF, não há nenhuma transferência de material prevista para as próximas semanas. Como já foi mencionado, as obras da unidade ainda estão em progresso, assim como o licenciamento. A previsão é que esse procedimento seja realizado somente em 2021. A </w:t>
      </w:r>
      <w:r w:rsidR="00076442">
        <w:rPr>
          <w:rFonts w:ascii="Arial" w:hAnsi="Arial" w:cs="Arial"/>
        </w:rPr>
        <w:t>C</w:t>
      </w:r>
      <w:r>
        <w:rPr>
          <w:rFonts w:ascii="Arial" w:hAnsi="Arial" w:cs="Arial"/>
        </w:rPr>
        <w:t>ompanhia reitera que a construção da UAS segue à risca todas as normas de licenciamento da Comissão Nacional de Energia Nuclear (Cnen) e do Instituto Brasileiro do Meio Ambiente e dos Recursos Naturais Ren</w:t>
      </w:r>
      <w:r w:rsidR="007D6924">
        <w:rPr>
          <w:rFonts w:ascii="Arial" w:hAnsi="Arial" w:cs="Arial"/>
        </w:rPr>
        <w:t>ováveis (Ibama). Além disso, a c</w:t>
      </w:r>
      <w:r>
        <w:rPr>
          <w:rFonts w:ascii="Arial" w:hAnsi="Arial" w:cs="Arial"/>
        </w:rPr>
        <w:t>ompanhia esclarece que vem sendo acompanhada pelo Instituto Estadual do Ambiente (Inea) e pela prefeitura de Angra dos Reis. A construção da UAS permitirá que esse material seja guardado com toda a segurança até que o governo brasileiro defina seu destino. Ressalta-se que a Companhia está tomando todas as providências jurídicas cabíveis</w:t>
      </w:r>
      <w:r w:rsidR="00170BA8">
        <w:rPr>
          <w:rFonts w:ascii="Arial" w:hAnsi="Arial" w:cs="Arial"/>
        </w:rPr>
        <w:t>.</w:t>
      </w:r>
    </w:p>
    <w:p w14:paraId="3A139720" w14:textId="77777777" w:rsidR="00970145" w:rsidRDefault="00970145" w:rsidP="005144E2">
      <w:pPr>
        <w:widowControl/>
        <w:tabs>
          <w:tab w:val="left" w:pos="360"/>
        </w:tabs>
        <w:jc w:val="both"/>
        <w:rPr>
          <w:rFonts w:ascii="Arial" w:hAnsi="Arial" w:cs="Arial"/>
          <w:color w:val="212121"/>
        </w:rPr>
      </w:pPr>
    </w:p>
    <w:p w14:paraId="764DC142" w14:textId="77777777" w:rsidR="00170BA8" w:rsidRDefault="00170BA8" w:rsidP="005144E2">
      <w:pPr>
        <w:widowControl/>
        <w:tabs>
          <w:tab w:val="left" w:pos="360"/>
        </w:tabs>
        <w:jc w:val="both"/>
        <w:rPr>
          <w:rFonts w:ascii="Arial" w:hAnsi="Arial" w:cs="Arial"/>
          <w:color w:val="212121"/>
        </w:rPr>
      </w:pPr>
    </w:p>
    <w:p w14:paraId="3995136A" w14:textId="67AF7E7D" w:rsidR="00170BA8" w:rsidRDefault="00170BA8" w:rsidP="005144E2">
      <w:pPr>
        <w:widowControl/>
        <w:tabs>
          <w:tab w:val="left" w:pos="360"/>
        </w:tabs>
        <w:jc w:val="both"/>
        <w:rPr>
          <w:rFonts w:ascii="Arial" w:hAnsi="Arial" w:cs="Arial"/>
          <w:color w:val="212121"/>
        </w:rPr>
      </w:pPr>
    </w:p>
    <w:p w14:paraId="529472C7" w14:textId="77777777" w:rsidR="00A445F1" w:rsidRDefault="00A445F1" w:rsidP="005144E2">
      <w:pPr>
        <w:widowControl/>
        <w:tabs>
          <w:tab w:val="left" w:pos="360"/>
        </w:tabs>
        <w:jc w:val="both"/>
        <w:rPr>
          <w:rFonts w:ascii="Arial" w:hAnsi="Arial" w:cs="Arial"/>
          <w:color w:val="212121"/>
        </w:rPr>
      </w:pPr>
    </w:p>
    <w:p w14:paraId="04C246EC" w14:textId="77777777" w:rsidR="00C70F1B" w:rsidRPr="00D33399" w:rsidRDefault="00C70F1B" w:rsidP="005144E2">
      <w:pPr>
        <w:widowControl/>
        <w:tabs>
          <w:tab w:val="left" w:pos="360"/>
        </w:tabs>
        <w:jc w:val="both"/>
        <w:rPr>
          <w:rFonts w:ascii="Arial" w:hAnsi="Arial" w:cs="Arial"/>
          <w:color w:val="212121"/>
        </w:rPr>
      </w:pPr>
    </w:p>
    <w:p w14:paraId="46BCFF8F" w14:textId="77777777" w:rsidR="00942580" w:rsidRPr="00D33399" w:rsidRDefault="00942580" w:rsidP="005144E2">
      <w:pPr>
        <w:jc w:val="both"/>
        <w:rPr>
          <w:rFonts w:ascii="Arial" w:hAnsi="Arial" w:cs="Arial"/>
        </w:rPr>
      </w:pPr>
      <w:r w:rsidRPr="00D33399">
        <w:rPr>
          <w:rFonts w:ascii="Arial" w:hAnsi="Arial" w:cs="Arial"/>
        </w:rPr>
        <w:t>EDVALDO LUÍS RISSO </w:t>
      </w:r>
    </w:p>
    <w:p w14:paraId="5BA4E0AC" w14:textId="77777777" w:rsidR="00970145" w:rsidRPr="00D33399" w:rsidRDefault="00970145" w:rsidP="005144E2">
      <w:pPr>
        <w:jc w:val="both"/>
        <w:rPr>
          <w:rFonts w:ascii="Arial" w:hAnsi="Arial" w:cs="Arial"/>
        </w:rPr>
      </w:pPr>
      <w:r w:rsidRPr="00D33399">
        <w:rPr>
          <w:rFonts w:ascii="Arial" w:hAnsi="Arial" w:cs="Arial"/>
        </w:rPr>
        <w:t xml:space="preserve">Diretor de Administração e Finanças </w:t>
      </w:r>
    </w:p>
    <w:p w14:paraId="5F4C0A83" w14:textId="77777777" w:rsidR="00970145" w:rsidRPr="00D33399" w:rsidRDefault="00970145" w:rsidP="005144E2">
      <w:pPr>
        <w:widowControl/>
        <w:tabs>
          <w:tab w:val="center" w:pos="4782"/>
          <w:tab w:val="right" w:pos="9564"/>
        </w:tabs>
        <w:rPr>
          <w:rFonts w:ascii="Arial" w:hAnsi="Arial" w:cs="Arial"/>
        </w:rPr>
      </w:pPr>
      <w:r w:rsidRPr="00D33399">
        <w:rPr>
          <w:rFonts w:ascii="Arial" w:hAnsi="Arial" w:cs="Arial"/>
        </w:rPr>
        <w:t xml:space="preserve">CPF: </w:t>
      </w:r>
      <w:r w:rsidR="00942580" w:rsidRPr="00D33399">
        <w:rPr>
          <w:rFonts w:ascii="Arial" w:hAnsi="Arial" w:cs="Arial"/>
        </w:rPr>
        <w:t>005.199.978-16</w:t>
      </w:r>
    </w:p>
    <w:p w14:paraId="033C303D" w14:textId="43E04C80" w:rsidR="00970145" w:rsidRDefault="00970145" w:rsidP="005144E2">
      <w:pPr>
        <w:widowControl/>
        <w:tabs>
          <w:tab w:val="center" w:pos="4782"/>
          <w:tab w:val="right" w:pos="9564"/>
        </w:tabs>
        <w:rPr>
          <w:rFonts w:ascii="Arial" w:hAnsi="Arial" w:cs="Arial"/>
        </w:rPr>
      </w:pPr>
    </w:p>
    <w:p w14:paraId="0EE39D13" w14:textId="77777777" w:rsidR="00A445F1" w:rsidRDefault="00A445F1" w:rsidP="005144E2">
      <w:pPr>
        <w:widowControl/>
        <w:tabs>
          <w:tab w:val="center" w:pos="4782"/>
          <w:tab w:val="right" w:pos="9564"/>
        </w:tabs>
        <w:rPr>
          <w:rFonts w:ascii="Arial" w:hAnsi="Arial" w:cs="Arial"/>
        </w:rPr>
      </w:pPr>
    </w:p>
    <w:p w14:paraId="0D3E0972" w14:textId="7CFF5005" w:rsidR="00C70F1B" w:rsidRDefault="00C70F1B" w:rsidP="005144E2">
      <w:pPr>
        <w:widowControl/>
        <w:tabs>
          <w:tab w:val="center" w:pos="4782"/>
          <w:tab w:val="right" w:pos="9564"/>
        </w:tabs>
        <w:rPr>
          <w:rFonts w:ascii="Arial" w:hAnsi="Arial" w:cs="Arial"/>
        </w:rPr>
      </w:pPr>
    </w:p>
    <w:p w14:paraId="69ADC96C" w14:textId="77777777" w:rsidR="00C70F1B" w:rsidRPr="00D33399" w:rsidRDefault="00C70F1B" w:rsidP="005144E2">
      <w:pPr>
        <w:widowControl/>
        <w:tabs>
          <w:tab w:val="center" w:pos="4782"/>
          <w:tab w:val="right" w:pos="9564"/>
        </w:tabs>
        <w:rPr>
          <w:rFonts w:ascii="Arial" w:hAnsi="Arial" w:cs="Arial"/>
        </w:rPr>
      </w:pPr>
    </w:p>
    <w:p w14:paraId="3FF51FAE" w14:textId="77777777" w:rsidR="006C1B76" w:rsidRPr="00D33399" w:rsidRDefault="006C1B76" w:rsidP="005144E2">
      <w:pPr>
        <w:widowControl/>
        <w:tabs>
          <w:tab w:val="center" w:pos="4782"/>
          <w:tab w:val="right" w:pos="9564"/>
        </w:tabs>
        <w:rPr>
          <w:rFonts w:ascii="Arial" w:hAnsi="Arial" w:cs="Arial"/>
        </w:rPr>
      </w:pPr>
    </w:p>
    <w:p w14:paraId="2C253992" w14:textId="77777777" w:rsidR="00970145" w:rsidRPr="00D33399" w:rsidRDefault="00970145" w:rsidP="005144E2">
      <w:pPr>
        <w:widowControl/>
        <w:tabs>
          <w:tab w:val="center" w:pos="4782"/>
          <w:tab w:val="right" w:pos="9564"/>
        </w:tabs>
        <w:rPr>
          <w:rFonts w:ascii="Arial" w:hAnsi="Arial" w:cs="Arial"/>
        </w:rPr>
      </w:pPr>
      <w:bookmarkStart w:id="0" w:name="_GoBack"/>
      <w:bookmarkEnd w:id="0"/>
      <w:r w:rsidRPr="00D33399">
        <w:rPr>
          <w:rFonts w:ascii="Arial" w:hAnsi="Arial" w:cs="Arial"/>
        </w:rPr>
        <w:t>RONALDO NETO ALCÂNTARA</w:t>
      </w:r>
    </w:p>
    <w:p w14:paraId="2B1E5189" w14:textId="77777777" w:rsidR="00970145" w:rsidRPr="00D33399" w:rsidRDefault="00970145" w:rsidP="005144E2">
      <w:pPr>
        <w:widowControl/>
        <w:tabs>
          <w:tab w:val="center" w:pos="4782"/>
          <w:tab w:val="right" w:pos="9564"/>
        </w:tabs>
        <w:rPr>
          <w:rFonts w:ascii="Arial" w:hAnsi="Arial" w:cs="Arial"/>
        </w:rPr>
      </w:pPr>
      <w:r w:rsidRPr="00D33399">
        <w:rPr>
          <w:rFonts w:ascii="Arial" w:hAnsi="Arial" w:cs="Arial"/>
        </w:rPr>
        <w:t>Superintendente Financeiro</w:t>
      </w:r>
    </w:p>
    <w:p w14:paraId="452AC7CA" w14:textId="77777777" w:rsidR="00970145" w:rsidRPr="00D33399" w:rsidRDefault="00970145" w:rsidP="005144E2">
      <w:pPr>
        <w:widowControl/>
        <w:tabs>
          <w:tab w:val="center" w:pos="4782"/>
          <w:tab w:val="right" w:pos="9564"/>
        </w:tabs>
        <w:rPr>
          <w:rFonts w:ascii="Arial" w:hAnsi="Arial" w:cs="Arial"/>
        </w:rPr>
      </w:pPr>
      <w:r w:rsidRPr="00D33399">
        <w:rPr>
          <w:rFonts w:ascii="Arial" w:hAnsi="Arial" w:cs="Arial"/>
        </w:rPr>
        <w:t>CPF: 085.658.417-74 – CRC: RJ – 086615/O-4</w:t>
      </w:r>
    </w:p>
    <w:p w14:paraId="76F2B8DB" w14:textId="77777777" w:rsidR="003D6B86" w:rsidRDefault="003D6B86" w:rsidP="005144E2">
      <w:pPr>
        <w:widowControl/>
        <w:tabs>
          <w:tab w:val="center" w:pos="4782"/>
          <w:tab w:val="right" w:pos="9564"/>
        </w:tabs>
        <w:rPr>
          <w:rFonts w:ascii="Arial" w:hAnsi="Arial" w:cs="Arial"/>
        </w:rPr>
      </w:pPr>
    </w:p>
    <w:p w14:paraId="1FFBEE4D" w14:textId="73A5792A" w:rsidR="00170BA8" w:rsidRDefault="00170BA8" w:rsidP="005144E2">
      <w:pPr>
        <w:widowControl/>
        <w:tabs>
          <w:tab w:val="center" w:pos="4782"/>
          <w:tab w:val="right" w:pos="9564"/>
        </w:tabs>
        <w:rPr>
          <w:rFonts w:ascii="Arial" w:hAnsi="Arial" w:cs="Arial"/>
        </w:rPr>
      </w:pPr>
    </w:p>
    <w:p w14:paraId="2E2642EF" w14:textId="77777777" w:rsidR="00A445F1" w:rsidRDefault="00A445F1" w:rsidP="005144E2">
      <w:pPr>
        <w:widowControl/>
        <w:tabs>
          <w:tab w:val="center" w:pos="4782"/>
          <w:tab w:val="right" w:pos="9564"/>
        </w:tabs>
        <w:rPr>
          <w:rFonts w:ascii="Arial" w:hAnsi="Arial" w:cs="Arial"/>
        </w:rPr>
      </w:pPr>
    </w:p>
    <w:p w14:paraId="5A780684" w14:textId="4EC388C5" w:rsidR="00C70F1B" w:rsidRDefault="00C70F1B" w:rsidP="005144E2">
      <w:pPr>
        <w:widowControl/>
        <w:tabs>
          <w:tab w:val="center" w:pos="4782"/>
          <w:tab w:val="right" w:pos="9564"/>
        </w:tabs>
        <w:rPr>
          <w:rFonts w:ascii="Arial" w:hAnsi="Arial" w:cs="Arial"/>
        </w:rPr>
      </w:pPr>
    </w:p>
    <w:p w14:paraId="3E62D199" w14:textId="77777777" w:rsidR="00C70F1B" w:rsidRDefault="00C70F1B" w:rsidP="005144E2">
      <w:pPr>
        <w:widowControl/>
        <w:tabs>
          <w:tab w:val="center" w:pos="4782"/>
          <w:tab w:val="right" w:pos="9564"/>
        </w:tabs>
        <w:rPr>
          <w:rFonts w:ascii="Arial" w:hAnsi="Arial" w:cs="Arial"/>
        </w:rPr>
      </w:pPr>
    </w:p>
    <w:p w14:paraId="236602F1" w14:textId="77777777" w:rsidR="00970145" w:rsidRPr="00D33399" w:rsidRDefault="00970145" w:rsidP="005144E2">
      <w:pPr>
        <w:widowControl/>
        <w:tabs>
          <w:tab w:val="center" w:pos="4782"/>
          <w:tab w:val="right" w:pos="9564"/>
        </w:tabs>
        <w:rPr>
          <w:rFonts w:ascii="Arial" w:hAnsi="Arial" w:cs="Arial"/>
        </w:rPr>
      </w:pPr>
      <w:r w:rsidRPr="00D33399">
        <w:rPr>
          <w:rFonts w:ascii="Arial" w:hAnsi="Arial" w:cs="Arial"/>
        </w:rPr>
        <w:t>BEATRIZ ALBINO DA SILVA</w:t>
      </w:r>
    </w:p>
    <w:p w14:paraId="640C8E6F" w14:textId="77777777" w:rsidR="00170BA8" w:rsidRDefault="00970145" w:rsidP="00170BA8">
      <w:pPr>
        <w:widowControl/>
        <w:tabs>
          <w:tab w:val="center" w:pos="4782"/>
          <w:tab w:val="right" w:pos="9564"/>
        </w:tabs>
        <w:rPr>
          <w:rFonts w:ascii="Arial" w:hAnsi="Arial" w:cs="Arial"/>
        </w:rPr>
      </w:pPr>
      <w:r w:rsidRPr="00D33399">
        <w:rPr>
          <w:rFonts w:ascii="Arial" w:hAnsi="Arial" w:cs="Arial"/>
        </w:rPr>
        <w:t>Chefe de Departamento de Contabilidade</w:t>
      </w:r>
    </w:p>
    <w:p w14:paraId="57A2CC33" w14:textId="50C133BB" w:rsidR="003A18DA" w:rsidRPr="00904E12" w:rsidRDefault="00970145" w:rsidP="00170BA8">
      <w:pPr>
        <w:widowControl/>
        <w:tabs>
          <w:tab w:val="center" w:pos="4782"/>
          <w:tab w:val="right" w:pos="9564"/>
        </w:tabs>
        <w:rPr>
          <w:rFonts w:ascii="Arial" w:hAnsi="Arial" w:cs="Arial"/>
        </w:rPr>
      </w:pPr>
      <w:r w:rsidRPr="00D33399">
        <w:rPr>
          <w:rFonts w:ascii="Arial" w:hAnsi="Arial" w:cs="Arial"/>
        </w:rPr>
        <w:t>CPF: 090.436.427-54 – CRC: RJ – 098430/O-2</w:t>
      </w:r>
    </w:p>
    <w:sectPr w:rsidR="003A18DA" w:rsidRPr="00904E12" w:rsidSect="00B97C3A">
      <w:headerReference w:type="default" r:id="rId75"/>
      <w:footerReference w:type="even" r:id="rId76"/>
      <w:footerReference w:type="default" r:id="rId77"/>
      <w:footerReference w:type="first" r:id="rId78"/>
      <w:pgSz w:w="11906" w:h="16838" w:code="9"/>
      <w:pgMar w:top="284" w:right="924" w:bottom="0"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8FB5C" w14:textId="77777777" w:rsidR="005F60CA" w:rsidRDefault="005F60CA">
      <w:r>
        <w:separator/>
      </w:r>
    </w:p>
  </w:endnote>
  <w:endnote w:type="continuationSeparator" w:id="0">
    <w:p w14:paraId="6F35BE53" w14:textId="77777777" w:rsidR="005F60CA" w:rsidRDefault="005F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wC_Logo">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84A96" w14:textId="77777777" w:rsidR="006714C1" w:rsidRDefault="006714C1">
    <w:pPr>
      <w:pStyle w:val="Rodap"/>
    </w:pPr>
  </w:p>
  <w:p w14:paraId="63B247F0" w14:textId="77777777" w:rsidR="006714C1" w:rsidRDefault="006714C1" w:rsidP="00C55DAA">
    <w:pPr>
      <w:pStyle w:val="DSLxSty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EAA9" w14:textId="4DDA4376" w:rsidR="006714C1" w:rsidRDefault="006714C1" w:rsidP="00C6723C">
    <w:pPr>
      <w:pStyle w:val="Rodap"/>
      <w:jc w:val="center"/>
      <w:rPr>
        <w:rStyle w:val="Nmerodepgina"/>
        <w:sz w:val="20"/>
        <w:szCs w:val="20"/>
      </w:rPr>
    </w:pPr>
    <w:r w:rsidRPr="00C6723C">
      <w:rPr>
        <w:rStyle w:val="Nmerodepgina"/>
        <w:sz w:val="20"/>
        <w:szCs w:val="20"/>
      </w:rPr>
      <w:fldChar w:fldCharType="begin"/>
    </w:r>
    <w:r w:rsidRPr="00C6723C">
      <w:rPr>
        <w:rStyle w:val="Nmerodepgina"/>
        <w:sz w:val="20"/>
        <w:szCs w:val="20"/>
      </w:rPr>
      <w:instrText xml:space="preserve"> PAGE </w:instrText>
    </w:r>
    <w:r w:rsidRPr="00C6723C">
      <w:rPr>
        <w:rStyle w:val="Nmerodepgina"/>
        <w:sz w:val="20"/>
        <w:szCs w:val="20"/>
      </w:rPr>
      <w:fldChar w:fldCharType="separate"/>
    </w:r>
    <w:r w:rsidR="000E2EC0">
      <w:rPr>
        <w:rStyle w:val="Nmerodepgina"/>
        <w:noProof/>
        <w:sz w:val="20"/>
        <w:szCs w:val="20"/>
      </w:rPr>
      <w:t>78</w:t>
    </w:r>
    <w:r w:rsidRPr="00C6723C">
      <w:rPr>
        <w:rStyle w:val="Nmerodepgina"/>
        <w:sz w:val="20"/>
        <w:szCs w:val="20"/>
      </w:rPr>
      <w:fldChar w:fldCharType="end"/>
    </w:r>
  </w:p>
  <w:p w14:paraId="2AC426B1" w14:textId="77777777" w:rsidR="006714C1" w:rsidRPr="00C6723C" w:rsidRDefault="006714C1" w:rsidP="00C55DAA">
    <w:pPr>
      <w:pStyle w:val="DSLxSty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C773" w14:textId="77777777" w:rsidR="006714C1" w:rsidRDefault="006714C1">
    <w:pPr>
      <w:pStyle w:val="Rodap"/>
    </w:pPr>
  </w:p>
  <w:p w14:paraId="376150A8" w14:textId="77777777" w:rsidR="006714C1" w:rsidRDefault="006714C1" w:rsidP="00C55DAA">
    <w:pPr>
      <w:pStyle w:val="DSLxSty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0005F" w14:textId="77777777" w:rsidR="005F60CA" w:rsidRDefault="005F60CA">
      <w:r>
        <w:separator/>
      </w:r>
    </w:p>
  </w:footnote>
  <w:footnote w:type="continuationSeparator" w:id="0">
    <w:p w14:paraId="1C654C5F" w14:textId="77777777" w:rsidR="005F60CA" w:rsidRDefault="005F60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AB7A4" w14:textId="77777777" w:rsidR="006714C1" w:rsidRDefault="006714C1">
    <w:pPr>
      <w:pStyle w:val="Cabealho"/>
    </w:pPr>
  </w:p>
  <w:p w14:paraId="7A93DD40" w14:textId="77777777" w:rsidR="006714C1" w:rsidRDefault="006714C1">
    <w:pPr>
      <w:pStyle w:val="Cabealho"/>
    </w:pPr>
  </w:p>
  <w:p w14:paraId="159BD5D1" w14:textId="77777777" w:rsidR="006714C1" w:rsidRPr="0033104E" w:rsidRDefault="006714C1">
    <w:pPr>
      <w:pStyle w:val="Cabealho"/>
    </w:pPr>
    <w:r>
      <w:rPr>
        <w:noProof/>
      </w:rPr>
      <w:drawing>
        <wp:anchor distT="0" distB="0" distL="114300" distR="114300" simplePos="0" relativeHeight="251660288" behindDoc="0" locked="0" layoutInCell="1" allowOverlap="1" wp14:anchorId="4A4AD37F" wp14:editId="33A09018">
          <wp:simplePos x="0" y="0"/>
          <wp:positionH relativeFrom="column">
            <wp:posOffset>0</wp:posOffset>
          </wp:positionH>
          <wp:positionV relativeFrom="paragraph">
            <wp:posOffset>-107950</wp:posOffset>
          </wp:positionV>
          <wp:extent cx="3440430" cy="859155"/>
          <wp:effectExtent l="0" t="0" r="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0430" cy="859155"/>
                  </a:xfrm>
                  <a:prstGeom prst="rect">
                    <a:avLst/>
                  </a:prstGeom>
                  <a:noFill/>
                </pic:spPr>
              </pic:pic>
            </a:graphicData>
          </a:graphic>
        </wp:anchor>
      </w:drawing>
    </w:r>
  </w:p>
  <w:p w14:paraId="16666641" w14:textId="77777777" w:rsidR="006714C1" w:rsidRDefault="006714C1">
    <w:pPr>
      <w:pStyle w:val="Cabealho"/>
    </w:pPr>
  </w:p>
  <w:p w14:paraId="716D8F59" w14:textId="77777777" w:rsidR="006714C1" w:rsidRDefault="006714C1" w:rsidP="00F679A9">
    <w:pPr>
      <w:pStyle w:val="Cabealho"/>
      <w:tabs>
        <w:tab w:val="clear" w:pos="4513"/>
        <w:tab w:val="clear" w:pos="9026"/>
        <w:tab w:val="left" w:pos="3390"/>
      </w:tabs>
    </w:pPr>
    <w:r>
      <w:tab/>
    </w:r>
  </w:p>
  <w:p w14:paraId="13212AF7" w14:textId="77777777" w:rsidR="006714C1" w:rsidRDefault="006714C1">
    <w:pPr>
      <w:pStyle w:val="Cabealho"/>
    </w:pPr>
  </w:p>
  <w:p w14:paraId="7A7A1347" w14:textId="77777777" w:rsidR="006714C1" w:rsidRDefault="006714C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19C3480"/>
    <w:lvl w:ilvl="0">
      <w:start w:val="1"/>
      <w:numFmt w:val="bullet"/>
      <w:pStyle w:val="Marcador"/>
      <w:lvlText w:val=""/>
      <w:lvlJc w:val="left"/>
      <w:pPr>
        <w:tabs>
          <w:tab w:val="num" w:pos="360"/>
        </w:tabs>
        <w:ind w:left="360" w:hanging="360"/>
      </w:pPr>
      <w:rPr>
        <w:rFonts w:ascii="Symbol" w:hAnsi="Symbol" w:hint="default"/>
      </w:rPr>
    </w:lvl>
  </w:abstractNum>
  <w:abstractNum w:abstractNumId="1" w15:restartNumberingAfterBreak="0">
    <w:nsid w:val="01A12EB1"/>
    <w:multiLevelType w:val="hybridMultilevel"/>
    <w:tmpl w:val="B26A3BE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64F2670"/>
    <w:multiLevelType w:val="hybridMultilevel"/>
    <w:tmpl w:val="0F1AAFE6"/>
    <w:lvl w:ilvl="0" w:tplc="04160017">
      <w:start w:val="2"/>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84408E"/>
    <w:multiLevelType w:val="multilevel"/>
    <w:tmpl w:val="CF020DFA"/>
    <w:name w:val="PwCListNumbers1"/>
    <w:styleLink w:val="PwCListNumbers1"/>
    <w:lvl w:ilvl="0">
      <w:start w:val="1"/>
      <w:numFmt w:val="decimal"/>
      <w:pStyle w:val="Numerada"/>
      <w:lvlText w:val="%1."/>
      <w:lvlJc w:val="left"/>
      <w:pPr>
        <w:tabs>
          <w:tab w:val="num" w:pos="397"/>
        </w:tabs>
        <w:ind w:left="397" w:hanging="397"/>
      </w:pPr>
      <w:rPr>
        <w:rFonts w:cs="Times New Roman" w:hint="default"/>
      </w:rPr>
    </w:lvl>
    <w:lvl w:ilvl="1">
      <w:start w:val="1"/>
      <w:numFmt w:val="lowerLetter"/>
      <w:pStyle w:val="Numerada2"/>
      <w:lvlText w:val="%2."/>
      <w:lvlJc w:val="left"/>
      <w:pPr>
        <w:tabs>
          <w:tab w:val="num" w:pos="794"/>
        </w:tabs>
        <w:ind w:left="794" w:hanging="397"/>
      </w:pPr>
      <w:rPr>
        <w:rFonts w:cs="Times New Roman" w:hint="default"/>
      </w:rPr>
    </w:lvl>
    <w:lvl w:ilvl="2">
      <w:start w:val="1"/>
      <w:numFmt w:val="lowerRoman"/>
      <w:pStyle w:val="Numerada3"/>
      <w:lvlText w:val="%3."/>
      <w:lvlJc w:val="left"/>
      <w:pPr>
        <w:tabs>
          <w:tab w:val="num" w:pos="1191"/>
        </w:tabs>
        <w:ind w:left="1191" w:hanging="397"/>
      </w:pPr>
      <w:rPr>
        <w:rFonts w:cs="Times New Roman" w:hint="default"/>
      </w:rPr>
    </w:lvl>
    <w:lvl w:ilvl="3">
      <w:start w:val="1"/>
      <w:numFmt w:val="decimal"/>
      <w:pStyle w:val="Numerada4"/>
      <w:lvlText w:val="%4."/>
      <w:lvlJc w:val="left"/>
      <w:pPr>
        <w:tabs>
          <w:tab w:val="num" w:pos="1588"/>
        </w:tabs>
        <w:ind w:left="1588" w:hanging="397"/>
      </w:pPr>
      <w:rPr>
        <w:rFonts w:cs="Times New Roman" w:hint="default"/>
      </w:rPr>
    </w:lvl>
    <w:lvl w:ilvl="4">
      <w:start w:val="1"/>
      <w:numFmt w:val="lowerLetter"/>
      <w:pStyle w:val="Numerada5"/>
      <w:lvlText w:val="%5."/>
      <w:lvlJc w:val="left"/>
      <w:pPr>
        <w:tabs>
          <w:tab w:val="num" w:pos="1985"/>
        </w:tabs>
        <w:ind w:left="1985" w:hanging="397"/>
      </w:pPr>
      <w:rPr>
        <w:rFonts w:cs="Times New Roman" w:hint="default"/>
      </w:rPr>
    </w:lvl>
    <w:lvl w:ilvl="5">
      <w:start w:val="1"/>
      <w:numFmt w:val="lowerRoman"/>
      <w:lvlText w:val="%6."/>
      <w:lvlJc w:val="left"/>
      <w:pPr>
        <w:tabs>
          <w:tab w:val="num" w:pos="2381"/>
        </w:tabs>
        <w:ind w:left="2382" w:hanging="397"/>
      </w:pPr>
      <w:rPr>
        <w:rFonts w:cs="Times New Roman" w:hint="default"/>
      </w:rPr>
    </w:lvl>
    <w:lvl w:ilvl="6">
      <w:start w:val="1"/>
      <w:numFmt w:val="decimal"/>
      <w:lvlText w:val="%7."/>
      <w:lvlJc w:val="left"/>
      <w:pPr>
        <w:tabs>
          <w:tab w:val="num" w:pos="2778"/>
        </w:tabs>
        <w:ind w:left="2779" w:hanging="397"/>
      </w:pPr>
      <w:rPr>
        <w:rFonts w:cs="Times New Roman" w:hint="default"/>
      </w:rPr>
    </w:lvl>
    <w:lvl w:ilvl="7">
      <w:start w:val="1"/>
      <w:numFmt w:val="lowerLetter"/>
      <w:lvlText w:val="%8."/>
      <w:lvlJc w:val="left"/>
      <w:pPr>
        <w:tabs>
          <w:tab w:val="num" w:pos="3175"/>
        </w:tabs>
        <w:ind w:left="3176" w:hanging="397"/>
      </w:pPr>
      <w:rPr>
        <w:rFonts w:cs="Times New Roman" w:hint="default"/>
      </w:rPr>
    </w:lvl>
    <w:lvl w:ilvl="8">
      <w:start w:val="1"/>
      <w:numFmt w:val="lowerRoman"/>
      <w:lvlText w:val="%9."/>
      <w:lvlJc w:val="left"/>
      <w:pPr>
        <w:tabs>
          <w:tab w:val="num" w:pos="3572"/>
        </w:tabs>
        <w:ind w:left="3573" w:hanging="397"/>
      </w:pPr>
      <w:rPr>
        <w:rFonts w:cs="Times New Roman" w:hint="default"/>
      </w:rPr>
    </w:lvl>
  </w:abstractNum>
  <w:abstractNum w:abstractNumId="4" w15:restartNumberingAfterBreak="0">
    <w:nsid w:val="0B0F68C0"/>
    <w:multiLevelType w:val="hybridMultilevel"/>
    <w:tmpl w:val="A0263C78"/>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start w:val="1"/>
      <w:numFmt w:val="bullet"/>
      <w:lvlText w:val=""/>
      <w:lvlJc w:val="left"/>
      <w:pPr>
        <w:ind w:left="1803" w:hanging="360"/>
      </w:pPr>
      <w:rPr>
        <w:rFonts w:ascii="Wingdings" w:hAnsi="Wingdings" w:hint="default"/>
      </w:rPr>
    </w:lvl>
    <w:lvl w:ilvl="3" w:tplc="04160001">
      <w:start w:val="1"/>
      <w:numFmt w:val="bullet"/>
      <w:lvlText w:val=""/>
      <w:lvlJc w:val="left"/>
      <w:pPr>
        <w:ind w:left="2523" w:hanging="360"/>
      </w:pPr>
      <w:rPr>
        <w:rFonts w:ascii="Symbol" w:hAnsi="Symbol" w:hint="default"/>
      </w:rPr>
    </w:lvl>
    <w:lvl w:ilvl="4" w:tplc="04160003">
      <w:start w:val="1"/>
      <w:numFmt w:val="bullet"/>
      <w:lvlText w:val="o"/>
      <w:lvlJc w:val="left"/>
      <w:pPr>
        <w:ind w:left="3243" w:hanging="360"/>
      </w:pPr>
      <w:rPr>
        <w:rFonts w:ascii="Courier New" w:hAnsi="Courier New" w:cs="Courier New" w:hint="default"/>
      </w:rPr>
    </w:lvl>
    <w:lvl w:ilvl="5" w:tplc="04160005">
      <w:start w:val="1"/>
      <w:numFmt w:val="bullet"/>
      <w:lvlText w:val=""/>
      <w:lvlJc w:val="left"/>
      <w:pPr>
        <w:ind w:left="3963" w:hanging="360"/>
      </w:pPr>
      <w:rPr>
        <w:rFonts w:ascii="Wingdings" w:hAnsi="Wingdings" w:hint="default"/>
      </w:rPr>
    </w:lvl>
    <w:lvl w:ilvl="6" w:tplc="04160001">
      <w:start w:val="1"/>
      <w:numFmt w:val="bullet"/>
      <w:lvlText w:val=""/>
      <w:lvlJc w:val="left"/>
      <w:pPr>
        <w:ind w:left="4683" w:hanging="360"/>
      </w:pPr>
      <w:rPr>
        <w:rFonts w:ascii="Symbol" w:hAnsi="Symbol" w:hint="default"/>
      </w:rPr>
    </w:lvl>
    <w:lvl w:ilvl="7" w:tplc="04160003">
      <w:start w:val="1"/>
      <w:numFmt w:val="bullet"/>
      <w:lvlText w:val="o"/>
      <w:lvlJc w:val="left"/>
      <w:pPr>
        <w:ind w:left="5403" w:hanging="360"/>
      </w:pPr>
      <w:rPr>
        <w:rFonts w:ascii="Courier New" w:hAnsi="Courier New" w:cs="Courier New" w:hint="default"/>
      </w:rPr>
    </w:lvl>
    <w:lvl w:ilvl="8" w:tplc="04160005">
      <w:start w:val="1"/>
      <w:numFmt w:val="bullet"/>
      <w:lvlText w:val=""/>
      <w:lvlJc w:val="left"/>
      <w:pPr>
        <w:ind w:left="6123" w:hanging="360"/>
      </w:pPr>
      <w:rPr>
        <w:rFonts w:ascii="Wingdings" w:hAnsi="Wingdings" w:hint="default"/>
      </w:rPr>
    </w:lvl>
  </w:abstractNum>
  <w:abstractNum w:abstractNumId="5" w15:restartNumberingAfterBreak="0">
    <w:nsid w:val="1029172C"/>
    <w:multiLevelType w:val="hybridMultilevel"/>
    <w:tmpl w:val="5950B7D0"/>
    <w:lvl w:ilvl="0" w:tplc="4106E062">
      <w:start w:val="1"/>
      <w:numFmt w:val="lowerLetter"/>
      <w:lvlText w:val="%1)"/>
      <w:lvlJc w:val="left"/>
      <w:pPr>
        <w:ind w:left="502"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111621CD"/>
    <w:multiLevelType w:val="hybridMultilevel"/>
    <w:tmpl w:val="0BD67D7A"/>
    <w:lvl w:ilvl="0" w:tplc="E7BCDD94">
      <w:start w:val="1"/>
      <w:numFmt w:val="lowerLetter"/>
      <w:lvlText w:val="%1)"/>
      <w:lvlJc w:val="left"/>
      <w:pPr>
        <w:ind w:left="1211" w:hanging="360"/>
      </w:pPr>
      <w:rPr>
        <w:rFonts w:hint="default"/>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12EF1D05"/>
    <w:multiLevelType w:val="multilevel"/>
    <w:tmpl w:val="A892789E"/>
    <w:styleLink w:val="EstiloCommarcadoresSymbolsmboloAzulesquerda063cm"/>
    <w:lvl w:ilvl="0">
      <w:start w:val="1"/>
      <w:numFmt w:val="bullet"/>
      <w:lvlText w:val=""/>
      <w:lvlJc w:val="left"/>
      <w:pPr>
        <w:tabs>
          <w:tab w:val="num" w:pos="720"/>
        </w:tabs>
        <w:ind w:left="720" w:hanging="360"/>
      </w:pPr>
      <w:rPr>
        <w:rFonts w:ascii="Symbol" w:hAnsi="Symbol"/>
        <w:color w:val="1F497D"/>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613D8B"/>
    <w:multiLevelType w:val="hybridMultilevel"/>
    <w:tmpl w:val="6FE2C450"/>
    <w:lvl w:ilvl="0" w:tplc="6CB8629C">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19C725D"/>
    <w:multiLevelType w:val="hybridMultilevel"/>
    <w:tmpl w:val="414A42BA"/>
    <w:lvl w:ilvl="0" w:tplc="48BCB266">
      <w:start w:val="1"/>
      <w:numFmt w:val="lowerLetter"/>
      <w:lvlText w:val="%1)"/>
      <w:lvlJc w:val="left"/>
      <w:pPr>
        <w:ind w:left="502"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1B17D7E"/>
    <w:multiLevelType w:val="hybridMultilevel"/>
    <w:tmpl w:val="ECF294D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2DC61AB"/>
    <w:multiLevelType w:val="hybridMultilevel"/>
    <w:tmpl w:val="C9348A7C"/>
    <w:lvl w:ilvl="0" w:tplc="8D52F16E">
      <w:start w:val="1"/>
      <w:numFmt w:val="lowerLetter"/>
      <w:lvlText w:val="%1)"/>
      <w:lvlJc w:val="left"/>
      <w:pPr>
        <w:ind w:left="502" w:hanging="36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36731C37"/>
    <w:multiLevelType w:val="hybridMultilevel"/>
    <w:tmpl w:val="67FCCB96"/>
    <w:lvl w:ilvl="0" w:tplc="29088B16">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BE87206"/>
    <w:multiLevelType w:val="singleLevel"/>
    <w:tmpl w:val="7D9EB328"/>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3BFC7F74"/>
    <w:multiLevelType w:val="hybridMultilevel"/>
    <w:tmpl w:val="90CEA2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2D81665"/>
    <w:multiLevelType w:val="hybridMultilevel"/>
    <w:tmpl w:val="96C0CDEC"/>
    <w:lvl w:ilvl="0" w:tplc="70DC2526">
      <w:start w:val="1"/>
      <w:numFmt w:val="lowerLetter"/>
      <w:lvlText w:val="%1)"/>
      <w:lvlJc w:val="left"/>
      <w:pPr>
        <w:ind w:left="1565" w:hanging="360"/>
      </w:pPr>
      <w:rPr>
        <w:rFonts w:hint="default"/>
        <w:sz w:val="24"/>
        <w:szCs w:val="24"/>
      </w:rPr>
    </w:lvl>
    <w:lvl w:ilvl="1" w:tplc="04160019" w:tentative="1">
      <w:start w:val="1"/>
      <w:numFmt w:val="lowerLetter"/>
      <w:lvlText w:val="%2."/>
      <w:lvlJc w:val="left"/>
      <w:pPr>
        <w:ind w:left="2285" w:hanging="360"/>
      </w:pPr>
    </w:lvl>
    <w:lvl w:ilvl="2" w:tplc="0416001B" w:tentative="1">
      <w:start w:val="1"/>
      <w:numFmt w:val="lowerRoman"/>
      <w:lvlText w:val="%3."/>
      <w:lvlJc w:val="right"/>
      <w:pPr>
        <w:ind w:left="3005" w:hanging="180"/>
      </w:pPr>
    </w:lvl>
    <w:lvl w:ilvl="3" w:tplc="0416000F" w:tentative="1">
      <w:start w:val="1"/>
      <w:numFmt w:val="decimal"/>
      <w:lvlText w:val="%4."/>
      <w:lvlJc w:val="left"/>
      <w:pPr>
        <w:ind w:left="3725" w:hanging="360"/>
      </w:pPr>
    </w:lvl>
    <w:lvl w:ilvl="4" w:tplc="04160019" w:tentative="1">
      <w:start w:val="1"/>
      <w:numFmt w:val="lowerLetter"/>
      <w:lvlText w:val="%5."/>
      <w:lvlJc w:val="left"/>
      <w:pPr>
        <w:ind w:left="4445" w:hanging="360"/>
      </w:pPr>
    </w:lvl>
    <w:lvl w:ilvl="5" w:tplc="0416001B" w:tentative="1">
      <w:start w:val="1"/>
      <w:numFmt w:val="lowerRoman"/>
      <w:lvlText w:val="%6."/>
      <w:lvlJc w:val="right"/>
      <w:pPr>
        <w:ind w:left="5165" w:hanging="180"/>
      </w:pPr>
    </w:lvl>
    <w:lvl w:ilvl="6" w:tplc="0416000F" w:tentative="1">
      <w:start w:val="1"/>
      <w:numFmt w:val="decimal"/>
      <w:lvlText w:val="%7."/>
      <w:lvlJc w:val="left"/>
      <w:pPr>
        <w:ind w:left="5885" w:hanging="360"/>
      </w:pPr>
    </w:lvl>
    <w:lvl w:ilvl="7" w:tplc="04160019" w:tentative="1">
      <w:start w:val="1"/>
      <w:numFmt w:val="lowerLetter"/>
      <w:lvlText w:val="%8."/>
      <w:lvlJc w:val="left"/>
      <w:pPr>
        <w:ind w:left="6605" w:hanging="360"/>
      </w:pPr>
    </w:lvl>
    <w:lvl w:ilvl="8" w:tplc="0416001B" w:tentative="1">
      <w:start w:val="1"/>
      <w:numFmt w:val="lowerRoman"/>
      <w:lvlText w:val="%9."/>
      <w:lvlJc w:val="right"/>
      <w:pPr>
        <w:ind w:left="7325" w:hanging="180"/>
      </w:pPr>
    </w:lvl>
  </w:abstractNum>
  <w:abstractNum w:abstractNumId="16" w15:restartNumberingAfterBreak="0">
    <w:nsid w:val="43850B21"/>
    <w:multiLevelType w:val="hybridMultilevel"/>
    <w:tmpl w:val="4EB4DAEA"/>
    <w:lvl w:ilvl="0" w:tplc="E7BCDD94">
      <w:start w:val="1"/>
      <w:numFmt w:val="lowerLetter"/>
      <w:lvlText w:val="%1)"/>
      <w:lvlJc w:val="left"/>
      <w:pPr>
        <w:ind w:left="36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9B7B39"/>
    <w:multiLevelType w:val="hybridMultilevel"/>
    <w:tmpl w:val="0BD67D7A"/>
    <w:lvl w:ilvl="0" w:tplc="E7BCDD94">
      <w:start w:val="1"/>
      <w:numFmt w:val="lowerLetter"/>
      <w:lvlText w:val="%1)"/>
      <w:lvlJc w:val="left"/>
      <w:pPr>
        <w:ind w:left="1211" w:hanging="360"/>
      </w:pPr>
      <w:rPr>
        <w:rFonts w:hint="default"/>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8" w15:restartNumberingAfterBreak="0">
    <w:nsid w:val="52110D96"/>
    <w:multiLevelType w:val="hybridMultilevel"/>
    <w:tmpl w:val="FBBABA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3262B03"/>
    <w:multiLevelType w:val="hybridMultilevel"/>
    <w:tmpl w:val="D7660110"/>
    <w:lvl w:ilvl="0" w:tplc="04160017">
      <w:start w:val="2"/>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58DB08D5"/>
    <w:multiLevelType w:val="singleLevel"/>
    <w:tmpl w:val="62524A7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F156352"/>
    <w:multiLevelType w:val="hybridMultilevel"/>
    <w:tmpl w:val="8C54FCC4"/>
    <w:lvl w:ilvl="0" w:tplc="04160017">
      <w:start w:val="6"/>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F485D1C"/>
    <w:multiLevelType w:val="hybridMultilevel"/>
    <w:tmpl w:val="5210C50A"/>
    <w:lvl w:ilvl="0" w:tplc="04160001">
      <w:start w:val="1"/>
      <w:numFmt w:val="bullet"/>
      <w:lvlText w:val=""/>
      <w:lvlJc w:val="left"/>
      <w:pPr>
        <w:tabs>
          <w:tab w:val="num" w:pos="720"/>
        </w:tabs>
        <w:ind w:left="720" w:hanging="360"/>
      </w:pPr>
      <w:rPr>
        <w:rFonts w:ascii="Symbol" w:hAnsi="Symbol" w:hint="default"/>
      </w:rPr>
    </w:lvl>
    <w:lvl w:ilvl="1" w:tplc="BA7CD348">
      <w:numFmt w:val="bullet"/>
      <w:lvlText w:val="·"/>
      <w:lvlJc w:val="left"/>
      <w:pPr>
        <w:ind w:left="1755" w:hanging="675"/>
      </w:pPr>
      <w:rPr>
        <w:rFonts w:ascii="Arial" w:eastAsia="Times New Roman" w:hAnsi="Arial" w:cs="Aria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591CA9"/>
    <w:multiLevelType w:val="multilevel"/>
    <w:tmpl w:val="B790A32C"/>
    <w:name w:val="PwCListBullets1"/>
    <w:styleLink w:val="PwCListBullets1"/>
    <w:lvl w:ilvl="0">
      <w:start w:val="1"/>
      <w:numFmt w:val="bullet"/>
      <w:pStyle w:val="Commarcadores"/>
      <w:lvlText w:val=""/>
      <w:lvlJc w:val="left"/>
      <w:pPr>
        <w:tabs>
          <w:tab w:val="num" w:pos="397"/>
        </w:tabs>
        <w:ind w:left="397" w:hanging="397"/>
      </w:pPr>
      <w:rPr>
        <w:rFonts w:ascii="Symbol" w:hAnsi="Symbol" w:hint="default"/>
      </w:rPr>
    </w:lvl>
    <w:lvl w:ilvl="1">
      <w:start w:val="1"/>
      <w:numFmt w:val="bullet"/>
      <w:pStyle w:val="Commarcadores2"/>
      <w:lvlText w:val=""/>
      <w:lvlJc w:val="left"/>
      <w:pPr>
        <w:tabs>
          <w:tab w:val="num" w:pos="794"/>
        </w:tabs>
        <w:ind w:left="794" w:hanging="397"/>
      </w:pPr>
      <w:rPr>
        <w:rFonts w:ascii="Symbol" w:hAnsi="Symbol" w:hint="default"/>
      </w:rPr>
    </w:lvl>
    <w:lvl w:ilvl="2">
      <w:start w:val="1"/>
      <w:numFmt w:val="bullet"/>
      <w:pStyle w:val="Commarcadores3"/>
      <w:lvlText w:val=""/>
      <w:lvlJc w:val="left"/>
      <w:pPr>
        <w:tabs>
          <w:tab w:val="num" w:pos="1191"/>
        </w:tabs>
        <w:ind w:left="1191" w:hanging="397"/>
      </w:pPr>
      <w:rPr>
        <w:rFonts w:ascii="Symbol" w:hAnsi="Symbol" w:hint="default"/>
      </w:rPr>
    </w:lvl>
    <w:lvl w:ilvl="3">
      <w:start w:val="1"/>
      <w:numFmt w:val="bullet"/>
      <w:pStyle w:val="Commarcadores4"/>
      <w:lvlText w:val=""/>
      <w:lvlJc w:val="left"/>
      <w:pPr>
        <w:tabs>
          <w:tab w:val="num" w:pos="1588"/>
        </w:tabs>
        <w:ind w:left="1588" w:hanging="397"/>
      </w:pPr>
      <w:rPr>
        <w:rFonts w:ascii="Symbol" w:hAnsi="Symbol" w:hint="default"/>
      </w:rPr>
    </w:lvl>
    <w:lvl w:ilvl="4">
      <w:start w:val="1"/>
      <w:numFmt w:val="bullet"/>
      <w:pStyle w:val="Commarcadores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24" w15:restartNumberingAfterBreak="0">
    <w:nsid w:val="7E1D76B8"/>
    <w:multiLevelType w:val="hybridMultilevel"/>
    <w:tmpl w:val="63A066E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
  </w:num>
  <w:num w:numId="4">
    <w:abstractNumId w:val="20"/>
  </w:num>
  <w:num w:numId="5">
    <w:abstractNumId w:val="22"/>
  </w:num>
  <w:num w:numId="6">
    <w:abstractNumId w:val="7"/>
  </w:num>
  <w:num w:numId="7">
    <w:abstractNumId w:val="21"/>
  </w:num>
  <w:num w:numId="8">
    <w:abstractNumId w:val="16"/>
  </w:num>
  <w:num w:numId="9">
    <w:abstractNumId w:val="17"/>
  </w:num>
  <w:num w:numId="10">
    <w:abstractNumId w:val="14"/>
  </w:num>
  <w:num w:numId="11">
    <w:abstractNumId w:val="13"/>
  </w:num>
  <w:num w:numId="12">
    <w:abstractNumId w:val="10"/>
  </w:num>
  <w:num w:numId="13">
    <w:abstractNumId w:val="19"/>
  </w:num>
  <w:num w:numId="14">
    <w:abstractNumId w:val="12"/>
  </w:num>
  <w:num w:numId="15">
    <w:abstractNumId w:val="4"/>
  </w:num>
  <w:num w:numId="16">
    <w:abstractNumId w:val="2"/>
  </w:num>
  <w:num w:numId="17">
    <w:abstractNumId w:val="5"/>
  </w:num>
  <w:num w:numId="18">
    <w:abstractNumId w:val="24"/>
  </w:num>
  <w:num w:numId="19">
    <w:abstractNumId w:val="1"/>
  </w:num>
  <w:num w:numId="20">
    <w:abstractNumId w:val="11"/>
  </w:num>
  <w:num w:numId="21">
    <w:abstractNumId w:val="9"/>
  </w:num>
  <w:num w:numId="22">
    <w:abstractNumId w:val="8"/>
  </w:num>
  <w:num w:numId="23">
    <w:abstractNumId w:val="15"/>
  </w:num>
  <w:num w:numId="24">
    <w:abstractNumId w:val="6"/>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1F"/>
    <w:rsid w:val="0000038B"/>
    <w:rsid w:val="000005BF"/>
    <w:rsid w:val="000007FC"/>
    <w:rsid w:val="0000106D"/>
    <w:rsid w:val="00001398"/>
    <w:rsid w:val="00001934"/>
    <w:rsid w:val="00001CB9"/>
    <w:rsid w:val="0000200C"/>
    <w:rsid w:val="00002958"/>
    <w:rsid w:val="00002E01"/>
    <w:rsid w:val="00002ED2"/>
    <w:rsid w:val="000032CE"/>
    <w:rsid w:val="000032F5"/>
    <w:rsid w:val="00003341"/>
    <w:rsid w:val="0000337E"/>
    <w:rsid w:val="000035C3"/>
    <w:rsid w:val="00003648"/>
    <w:rsid w:val="00003C0F"/>
    <w:rsid w:val="00003FA3"/>
    <w:rsid w:val="00004091"/>
    <w:rsid w:val="0000444E"/>
    <w:rsid w:val="00004949"/>
    <w:rsid w:val="00004EAA"/>
    <w:rsid w:val="00004EF9"/>
    <w:rsid w:val="00004F5D"/>
    <w:rsid w:val="000056D9"/>
    <w:rsid w:val="000057F5"/>
    <w:rsid w:val="00006019"/>
    <w:rsid w:val="000063A0"/>
    <w:rsid w:val="00006743"/>
    <w:rsid w:val="00006BF9"/>
    <w:rsid w:val="00006D47"/>
    <w:rsid w:val="00006D84"/>
    <w:rsid w:val="000070E3"/>
    <w:rsid w:val="00007111"/>
    <w:rsid w:val="00007382"/>
    <w:rsid w:val="0000744F"/>
    <w:rsid w:val="0000758B"/>
    <w:rsid w:val="00007709"/>
    <w:rsid w:val="000078AC"/>
    <w:rsid w:val="00010198"/>
    <w:rsid w:val="00010390"/>
    <w:rsid w:val="00010463"/>
    <w:rsid w:val="0001072E"/>
    <w:rsid w:val="00010734"/>
    <w:rsid w:val="00010890"/>
    <w:rsid w:val="00010CB8"/>
    <w:rsid w:val="00010DAF"/>
    <w:rsid w:val="00011150"/>
    <w:rsid w:val="000116E0"/>
    <w:rsid w:val="000117F9"/>
    <w:rsid w:val="00012721"/>
    <w:rsid w:val="00012943"/>
    <w:rsid w:val="00012CEF"/>
    <w:rsid w:val="00013110"/>
    <w:rsid w:val="000136BD"/>
    <w:rsid w:val="000137E5"/>
    <w:rsid w:val="00013971"/>
    <w:rsid w:val="00013CD1"/>
    <w:rsid w:val="00013E29"/>
    <w:rsid w:val="000140F7"/>
    <w:rsid w:val="0001444D"/>
    <w:rsid w:val="00014678"/>
    <w:rsid w:val="000146C6"/>
    <w:rsid w:val="00014BBF"/>
    <w:rsid w:val="00014CB2"/>
    <w:rsid w:val="000154FF"/>
    <w:rsid w:val="0001554B"/>
    <w:rsid w:val="00015779"/>
    <w:rsid w:val="00015C89"/>
    <w:rsid w:val="00015C9A"/>
    <w:rsid w:val="00015E50"/>
    <w:rsid w:val="0001602E"/>
    <w:rsid w:val="000160BA"/>
    <w:rsid w:val="00016118"/>
    <w:rsid w:val="0001613E"/>
    <w:rsid w:val="000167BA"/>
    <w:rsid w:val="00016AC6"/>
    <w:rsid w:val="00016C75"/>
    <w:rsid w:val="00016CA9"/>
    <w:rsid w:val="00016D85"/>
    <w:rsid w:val="00016F0C"/>
    <w:rsid w:val="0001752C"/>
    <w:rsid w:val="00017974"/>
    <w:rsid w:val="00017FC2"/>
    <w:rsid w:val="000200DC"/>
    <w:rsid w:val="000207E0"/>
    <w:rsid w:val="00020A34"/>
    <w:rsid w:val="00020A62"/>
    <w:rsid w:val="00020B0B"/>
    <w:rsid w:val="00020D42"/>
    <w:rsid w:val="00020D63"/>
    <w:rsid w:val="00021142"/>
    <w:rsid w:val="000213E3"/>
    <w:rsid w:val="0002142B"/>
    <w:rsid w:val="00021630"/>
    <w:rsid w:val="00021D6A"/>
    <w:rsid w:val="00021DF2"/>
    <w:rsid w:val="00021E38"/>
    <w:rsid w:val="00021E87"/>
    <w:rsid w:val="00022145"/>
    <w:rsid w:val="0002246C"/>
    <w:rsid w:val="00022490"/>
    <w:rsid w:val="00022AC9"/>
    <w:rsid w:val="00022B28"/>
    <w:rsid w:val="00022E29"/>
    <w:rsid w:val="00023071"/>
    <w:rsid w:val="00023093"/>
    <w:rsid w:val="0002321A"/>
    <w:rsid w:val="0002328A"/>
    <w:rsid w:val="0002352F"/>
    <w:rsid w:val="0002361E"/>
    <w:rsid w:val="00023620"/>
    <w:rsid w:val="000236C9"/>
    <w:rsid w:val="000238E9"/>
    <w:rsid w:val="00023CA0"/>
    <w:rsid w:val="00023E2A"/>
    <w:rsid w:val="00023F57"/>
    <w:rsid w:val="000244E3"/>
    <w:rsid w:val="0002467E"/>
    <w:rsid w:val="000247B6"/>
    <w:rsid w:val="0002484A"/>
    <w:rsid w:val="00024B94"/>
    <w:rsid w:val="00024BE8"/>
    <w:rsid w:val="00024C1A"/>
    <w:rsid w:val="00024D21"/>
    <w:rsid w:val="00025169"/>
    <w:rsid w:val="000254D2"/>
    <w:rsid w:val="00025633"/>
    <w:rsid w:val="00025E68"/>
    <w:rsid w:val="00025F13"/>
    <w:rsid w:val="00025F45"/>
    <w:rsid w:val="00025F9D"/>
    <w:rsid w:val="00026777"/>
    <w:rsid w:val="00026BD1"/>
    <w:rsid w:val="00026C0A"/>
    <w:rsid w:val="00026E1C"/>
    <w:rsid w:val="00026F2F"/>
    <w:rsid w:val="00027056"/>
    <w:rsid w:val="00027073"/>
    <w:rsid w:val="0002711B"/>
    <w:rsid w:val="0002719F"/>
    <w:rsid w:val="00027205"/>
    <w:rsid w:val="00027743"/>
    <w:rsid w:val="00027EF9"/>
    <w:rsid w:val="00027F42"/>
    <w:rsid w:val="00027FEA"/>
    <w:rsid w:val="0003026D"/>
    <w:rsid w:val="000302EA"/>
    <w:rsid w:val="0003031D"/>
    <w:rsid w:val="000303E1"/>
    <w:rsid w:val="00030502"/>
    <w:rsid w:val="00030572"/>
    <w:rsid w:val="00030668"/>
    <w:rsid w:val="00030C7B"/>
    <w:rsid w:val="00030EB6"/>
    <w:rsid w:val="000310C8"/>
    <w:rsid w:val="0003116E"/>
    <w:rsid w:val="00031B84"/>
    <w:rsid w:val="00031C2C"/>
    <w:rsid w:val="00031F31"/>
    <w:rsid w:val="000321B1"/>
    <w:rsid w:val="00032340"/>
    <w:rsid w:val="0003242A"/>
    <w:rsid w:val="00032882"/>
    <w:rsid w:val="000329BB"/>
    <w:rsid w:val="00032D19"/>
    <w:rsid w:val="00032DC0"/>
    <w:rsid w:val="00032DD4"/>
    <w:rsid w:val="0003321E"/>
    <w:rsid w:val="00033398"/>
    <w:rsid w:val="00033864"/>
    <w:rsid w:val="00033B3F"/>
    <w:rsid w:val="00033E97"/>
    <w:rsid w:val="000345FE"/>
    <w:rsid w:val="00034896"/>
    <w:rsid w:val="00034AD7"/>
    <w:rsid w:val="00034C1F"/>
    <w:rsid w:val="0003579E"/>
    <w:rsid w:val="000359DB"/>
    <w:rsid w:val="00036470"/>
    <w:rsid w:val="0003657D"/>
    <w:rsid w:val="0003691F"/>
    <w:rsid w:val="00036997"/>
    <w:rsid w:val="00036BD4"/>
    <w:rsid w:val="00036FC7"/>
    <w:rsid w:val="000371CF"/>
    <w:rsid w:val="000372A9"/>
    <w:rsid w:val="0003763B"/>
    <w:rsid w:val="00037A76"/>
    <w:rsid w:val="00037BA2"/>
    <w:rsid w:val="000404A8"/>
    <w:rsid w:val="0004051D"/>
    <w:rsid w:val="0004058C"/>
    <w:rsid w:val="00040953"/>
    <w:rsid w:val="00040B47"/>
    <w:rsid w:val="00040C30"/>
    <w:rsid w:val="00040F69"/>
    <w:rsid w:val="000410D2"/>
    <w:rsid w:val="0004137E"/>
    <w:rsid w:val="00041398"/>
    <w:rsid w:val="000414C9"/>
    <w:rsid w:val="00041D9B"/>
    <w:rsid w:val="00041F1A"/>
    <w:rsid w:val="00041FC3"/>
    <w:rsid w:val="00041FE1"/>
    <w:rsid w:val="000420F1"/>
    <w:rsid w:val="00042405"/>
    <w:rsid w:val="000426F0"/>
    <w:rsid w:val="000427B2"/>
    <w:rsid w:val="00042911"/>
    <w:rsid w:val="00042A17"/>
    <w:rsid w:val="00042B7D"/>
    <w:rsid w:val="00043692"/>
    <w:rsid w:val="000438C2"/>
    <w:rsid w:val="00043B1C"/>
    <w:rsid w:val="00043E2F"/>
    <w:rsid w:val="00044029"/>
    <w:rsid w:val="000442A6"/>
    <w:rsid w:val="000446E1"/>
    <w:rsid w:val="00044839"/>
    <w:rsid w:val="00044850"/>
    <w:rsid w:val="00044F64"/>
    <w:rsid w:val="00044FEF"/>
    <w:rsid w:val="0004515B"/>
    <w:rsid w:val="000453A9"/>
    <w:rsid w:val="000457B7"/>
    <w:rsid w:val="00045931"/>
    <w:rsid w:val="00045B5E"/>
    <w:rsid w:val="00046167"/>
    <w:rsid w:val="000465A6"/>
    <w:rsid w:val="000468E1"/>
    <w:rsid w:val="00046A7B"/>
    <w:rsid w:val="00046C05"/>
    <w:rsid w:val="00046C3D"/>
    <w:rsid w:val="00046DF1"/>
    <w:rsid w:val="00046FB2"/>
    <w:rsid w:val="00047758"/>
    <w:rsid w:val="000477FB"/>
    <w:rsid w:val="0004781A"/>
    <w:rsid w:val="00047ABE"/>
    <w:rsid w:val="00047B13"/>
    <w:rsid w:val="00047E0A"/>
    <w:rsid w:val="00047F28"/>
    <w:rsid w:val="00050E3A"/>
    <w:rsid w:val="00050F8E"/>
    <w:rsid w:val="00051174"/>
    <w:rsid w:val="0005146A"/>
    <w:rsid w:val="000527BC"/>
    <w:rsid w:val="0005285E"/>
    <w:rsid w:val="0005295D"/>
    <w:rsid w:val="00052B16"/>
    <w:rsid w:val="00052DC9"/>
    <w:rsid w:val="0005322C"/>
    <w:rsid w:val="0005345B"/>
    <w:rsid w:val="00053906"/>
    <w:rsid w:val="00053A19"/>
    <w:rsid w:val="00053D5E"/>
    <w:rsid w:val="0005442A"/>
    <w:rsid w:val="0005473D"/>
    <w:rsid w:val="00054A5C"/>
    <w:rsid w:val="00054AA6"/>
    <w:rsid w:val="00054C20"/>
    <w:rsid w:val="00054EB0"/>
    <w:rsid w:val="00054FCA"/>
    <w:rsid w:val="00055377"/>
    <w:rsid w:val="00055380"/>
    <w:rsid w:val="00055463"/>
    <w:rsid w:val="00055ABA"/>
    <w:rsid w:val="00056215"/>
    <w:rsid w:val="00056323"/>
    <w:rsid w:val="000564BD"/>
    <w:rsid w:val="00056615"/>
    <w:rsid w:val="00056621"/>
    <w:rsid w:val="0005675A"/>
    <w:rsid w:val="00056840"/>
    <w:rsid w:val="000568DA"/>
    <w:rsid w:val="00056B03"/>
    <w:rsid w:val="00056B09"/>
    <w:rsid w:val="00056C2A"/>
    <w:rsid w:val="0005705D"/>
    <w:rsid w:val="000572BA"/>
    <w:rsid w:val="000572C3"/>
    <w:rsid w:val="000576C7"/>
    <w:rsid w:val="00057730"/>
    <w:rsid w:val="00057A7F"/>
    <w:rsid w:val="00057EE9"/>
    <w:rsid w:val="00060EAB"/>
    <w:rsid w:val="0006127F"/>
    <w:rsid w:val="0006187C"/>
    <w:rsid w:val="00061A8B"/>
    <w:rsid w:val="00061D8A"/>
    <w:rsid w:val="00061DB1"/>
    <w:rsid w:val="000620B8"/>
    <w:rsid w:val="00062268"/>
    <w:rsid w:val="000622F5"/>
    <w:rsid w:val="0006258B"/>
    <w:rsid w:val="000627C3"/>
    <w:rsid w:val="00062A22"/>
    <w:rsid w:val="000631AA"/>
    <w:rsid w:val="000636C6"/>
    <w:rsid w:val="00063E1E"/>
    <w:rsid w:val="00064290"/>
    <w:rsid w:val="00064E30"/>
    <w:rsid w:val="00064F40"/>
    <w:rsid w:val="00064F4C"/>
    <w:rsid w:val="00065048"/>
    <w:rsid w:val="000651A0"/>
    <w:rsid w:val="0006525A"/>
    <w:rsid w:val="000653BD"/>
    <w:rsid w:val="00065EE8"/>
    <w:rsid w:val="0006603C"/>
    <w:rsid w:val="00066040"/>
    <w:rsid w:val="00066183"/>
    <w:rsid w:val="0006650C"/>
    <w:rsid w:val="00066D17"/>
    <w:rsid w:val="00066DE2"/>
    <w:rsid w:val="00067006"/>
    <w:rsid w:val="0006712F"/>
    <w:rsid w:val="000671E1"/>
    <w:rsid w:val="000672D0"/>
    <w:rsid w:val="0006786C"/>
    <w:rsid w:val="000678F1"/>
    <w:rsid w:val="00067ABE"/>
    <w:rsid w:val="00067DAF"/>
    <w:rsid w:val="00070260"/>
    <w:rsid w:val="00071371"/>
    <w:rsid w:val="000713B8"/>
    <w:rsid w:val="000714CA"/>
    <w:rsid w:val="00071624"/>
    <w:rsid w:val="00071A33"/>
    <w:rsid w:val="0007278F"/>
    <w:rsid w:val="000728FA"/>
    <w:rsid w:val="00072CC0"/>
    <w:rsid w:val="00072DE9"/>
    <w:rsid w:val="00072E60"/>
    <w:rsid w:val="00072E9D"/>
    <w:rsid w:val="000731A5"/>
    <w:rsid w:val="000732D2"/>
    <w:rsid w:val="000732FB"/>
    <w:rsid w:val="000738C8"/>
    <w:rsid w:val="000738D1"/>
    <w:rsid w:val="000739AB"/>
    <w:rsid w:val="00073E14"/>
    <w:rsid w:val="00074008"/>
    <w:rsid w:val="00074377"/>
    <w:rsid w:val="00074477"/>
    <w:rsid w:val="00074982"/>
    <w:rsid w:val="00074B53"/>
    <w:rsid w:val="00074C63"/>
    <w:rsid w:val="000757F9"/>
    <w:rsid w:val="000758BA"/>
    <w:rsid w:val="0007595B"/>
    <w:rsid w:val="00075B33"/>
    <w:rsid w:val="00075DC6"/>
    <w:rsid w:val="000761DD"/>
    <w:rsid w:val="000761E5"/>
    <w:rsid w:val="00076442"/>
    <w:rsid w:val="000767AF"/>
    <w:rsid w:val="000768AC"/>
    <w:rsid w:val="000768EE"/>
    <w:rsid w:val="00076A15"/>
    <w:rsid w:val="00076CD0"/>
    <w:rsid w:val="00076D64"/>
    <w:rsid w:val="000770A5"/>
    <w:rsid w:val="000772FB"/>
    <w:rsid w:val="000776CA"/>
    <w:rsid w:val="00077ADF"/>
    <w:rsid w:val="00077C3B"/>
    <w:rsid w:val="00080609"/>
    <w:rsid w:val="00080679"/>
    <w:rsid w:val="00080D02"/>
    <w:rsid w:val="00080EE1"/>
    <w:rsid w:val="000815B4"/>
    <w:rsid w:val="000816D2"/>
    <w:rsid w:val="000819DE"/>
    <w:rsid w:val="00081AD5"/>
    <w:rsid w:val="0008233A"/>
    <w:rsid w:val="00082382"/>
    <w:rsid w:val="000823E7"/>
    <w:rsid w:val="0008252E"/>
    <w:rsid w:val="000825F7"/>
    <w:rsid w:val="00082759"/>
    <w:rsid w:val="0008275E"/>
    <w:rsid w:val="00082CBF"/>
    <w:rsid w:val="00082D80"/>
    <w:rsid w:val="00082DEB"/>
    <w:rsid w:val="00082F6F"/>
    <w:rsid w:val="00082F77"/>
    <w:rsid w:val="000830D9"/>
    <w:rsid w:val="000835B1"/>
    <w:rsid w:val="0008392D"/>
    <w:rsid w:val="00083A01"/>
    <w:rsid w:val="00084F3C"/>
    <w:rsid w:val="00084FA4"/>
    <w:rsid w:val="00085289"/>
    <w:rsid w:val="0008538F"/>
    <w:rsid w:val="00085438"/>
    <w:rsid w:val="0008560C"/>
    <w:rsid w:val="00085628"/>
    <w:rsid w:val="00085B58"/>
    <w:rsid w:val="00085D72"/>
    <w:rsid w:val="00085E8D"/>
    <w:rsid w:val="00085F88"/>
    <w:rsid w:val="00085FED"/>
    <w:rsid w:val="00086342"/>
    <w:rsid w:val="00086717"/>
    <w:rsid w:val="00086900"/>
    <w:rsid w:val="00086D6F"/>
    <w:rsid w:val="00086E5F"/>
    <w:rsid w:val="000872C7"/>
    <w:rsid w:val="000877AF"/>
    <w:rsid w:val="000877D6"/>
    <w:rsid w:val="00087864"/>
    <w:rsid w:val="000879A5"/>
    <w:rsid w:val="00087D56"/>
    <w:rsid w:val="00087F84"/>
    <w:rsid w:val="0009000D"/>
    <w:rsid w:val="000900CB"/>
    <w:rsid w:val="000905F3"/>
    <w:rsid w:val="00090622"/>
    <w:rsid w:val="00091085"/>
    <w:rsid w:val="000910DB"/>
    <w:rsid w:val="000911D0"/>
    <w:rsid w:val="000911EA"/>
    <w:rsid w:val="0009145C"/>
    <w:rsid w:val="000916EA"/>
    <w:rsid w:val="00091A69"/>
    <w:rsid w:val="00091B3D"/>
    <w:rsid w:val="00091DED"/>
    <w:rsid w:val="000925B5"/>
    <w:rsid w:val="00092F5C"/>
    <w:rsid w:val="000930ED"/>
    <w:rsid w:val="00093453"/>
    <w:rsid w:val="0009346C"/>
    <w:rsid w:val="0009358B"/>
    <w:rsid w:val="000935E8"/>
    <w:rsid w:val="000937B0"/>
    <w:rsid w:val="0009381B"/>
    <w:rsid w:val="00093A86"/>
    <w:rsid w:val="00093A97"/>
    <w:rsid w:val="00093FC8"/>
    <w:rsid w:val="0009403C"/>
    <w:rsid w:val="000940E3"/>
    <w:rsid w:val="0009423D"/>
    <w:rsid w:val="000945B3"/>
    <w:rsid w:val="00094A91"/>
    <w:rsid w:val="00095217"/>
    <w:rsid w:val="00095301"/>
    <w:rsid w:val="000953F7"/>
    <w:rsid w:val="00095439"/>
    <w:rsid w:val="000954BC"/>
    <w:rsid w:val="00095D65"/>
    <w:rsid w:val="00095E2F"/>
    <w:rsid w:val="0009626E"/>
    <w:rsid w:val="00096464"/>
    <w:rsid w:val="00096853"/>
    <w:rsid w:val="00096BB7"/>
    <w:rsid w:val="00097058"/>
    <w:rsid w:val="0009712B"/>
    <w:rsid w:val="00097250"/>
    <w:rsid w:val="00097911"/>
    <w:rsid w:val="0009797E"/>
    <w:rsid w:val="00097A3B"/>
    <w:rsid w:val="000A058F"/>
    <w:rsid w:val="000A0766"/>
    <w:rsid w:val="000A0E2F"/>
    <w:rsid w:val="000A0FCD"/>
    <w:rsid w:val="000A1128"/>
    <w:rsid w:val="000A11B5"/>
    <w:rsid w:val="000A11E1"/>
    <w:rsid w:val="000A1528"/>
    <w:rsid w:val="000A2073"/>
    <w:rsid w:val="000A266F"/>
    <w:rsid w:val="000A2775"/>
    <w:rsid w:val="000A27E7"/>
    <w:rsid w:val="000A2979"/>
    <w:rsid w:val="000A29CF"/>
    <w:rsid w:val="000A30DC"/>
    <w:rsid w:val="000A3206"/>
    <w:rsid w:val="000A3404"/>
    <w:rsid w:val="000A3504"/>
    <w:rsid w:val="000A3523"/>
    <w:rsid w:val="000A37FD"/>
    <w:rsid w:val="000A3DE0"/>
    <w:rsid w:val="000A4127"/>
    <w:rsid w:val="000A4128"/>
    <w:rsid w:val="000A480A"/>
    <w:rsid w:val="000A4B6D"/>
    <w:rsid w:val="000A4E33"/>
    <w:rsid w:val="000A4E7A"/>
    <w:rsid w:val="000A5027"/>
    <w:rsid w:val="000A5242"/>
    <w:rsid w:val="000A54C0"/>
    <w:rsid w:val="000A581A"/>
    <w:rsid w:val="000A5944"/>
    <w:rsid w:val="000A5A97"/>
    <w:rsid w:val="000A5E4A"/>
    <w:rsid w:val="000A640F"/>
    <w:rsid w:val="000A6687"/>
    <w:rsid w:val="000A6C04"/>
    <w:rsid w:val="000A6C05"/>
    <w:rsid w:val="000A6CA3"/>
    <w:rsid w:val="000A70AB"/>
    <w:rsid w:val="000A715D"/>
    <w:rsid w:val="000A7294"/>
    <w:rsid w:val="000A7321"/>
    <w:rsid w:val="000A7522"/>
    <w:rsid w:val="000A757F"/>
    <w:rsid w:val="000A7700"/>
    <w:rsid w:val="000A7823"/>
    <w:rsid w:val="000A78C5"/>
    <w:rsid w:val="000A7DBE"/>
    <w:rsid w:val="000A7DD4"/>
    <w:rsid w:val="000A7E32"/>
    <w:rsid w:val="000B0A16"/>
    <w:rsid w:val="000B0C2F"/>
    <w:rsid w:val="000B0E85"/>
    <w:rsid w:val="000B1296"/>
    <w:rsid w:val="000B136E"/>
    <w:rsid w:val="000B14E5"/>
    <w:rsid w:val="000B15D6"/>
    <w:rsid w:val="000B1AF5"/>
    <w:rsid w:val="000B1ECA"/>
    <w:rsid w:val="000B25BA"/>
    <w:rsid w:val="000B2B3D"/>
    <w:rsid w:val="000B31A8"/>
    <w:rsid w:val="000B332E"/>
    <w:rsid w:val="000B35BF"/>
    <w:rsid w:val="000B3ADB"/>
    <w:rsid w:val="000B3B1B"/>
    <w:rsid w:val="000B3E1B"/>
    <w:rsid w:val="000B3E91"/>
    <w:rsid w:val="000B4539"/>
    <w:rsid w:val="000B4618"/>
    <w:rsid w:val="000B463F"/>
    <w:rsid w:val="000B4680"/>
    <w:rsid w:val="000B47D9"/>
    <w:rsid w:val="000B4BB7"/>
    <w:rsid w:val="000B4DFD"/>
    <w:rsid w:val="000B4E4A"/>
    <w:rsid w:val="000B4E8F"/>
    <w:rsid w:val="000B4F0A"/>
    <w:rsid w:val="000B53AF"/>
    <w:rsid w:val="000B580E"/>
    <w:rsid w:val="000B593F"/>
    <w:rsid w:val="000B5DE4"/>
    <w:rsid w:val="000B6218"/>
    <w:rsid w:val="000B6905"/>
    <w:rsid w:val="000B6AD3"/>
    <w:rsid w:val="000B6E36"/>
    <w:rsid w:val="000B6EBB"/>
    <w:rsid w:val="000B7122"/>
    <w:rsid w:val="000B7387"/>
    <w:rsid w:val="000B789F"/>
    <w:rsid w:val="000B7A08"/>
    <w:rsid w:val="000B7B0A"/>
    <w:rsid w:val="000B7CB5"/>
    <w:rsid w:val="000B7EFA"/>
    <w:rsid w:val="000C00F3"/>
    <w:rsid w:val="000C0134"/>
    <w:rsid w:val="000C066E"/>
    <w:rsid w:val="000C0728"/>
    <w:rsid w:val="000C0B17"/>
    <w:rsid w:val="000C1203"/>
    <w:rsid w:val="000C1346"/>
    <w:rsid w:val="000C151B"/>
    <w:rsid w:val="000C160A"/>
    <w:rsid w:val="000C17CB"/>
    <w:rsid w:val="000C183A"/>
    <w:rsid w:val="000C1CF9"/>
    <w:rsid w:val="000C1D9B"/>
    <w:rsid w:val="000C1E4B"/>
    <w:rsid w:val="000C2316"/>
    <w:rsid w:val="000C2747"/>
    <w:rsid w:val="000C2820"/>
    <w:rsid w:val="000C28F3"/>
    <w:rsid w:val="000C2CEE"/>
    <w:rsid w:val="000C2D97"/>
    <w:rsid w:val="000C3353"/>
    <w:rsid w:val="000C38DD"/>
    <w:rsid w:val="000C39CC"/>
    <w:rsid w:val="000C3B91"/>
    <w:rsid w:val="000C3D56"/>
    <w:rsid w:val="000C3EC5"/>
    <w:rsid w:val="000C3FF3"/>
    <w:rsid w:val="000C43DC"/>
    <w:rsid w:val="000C46A9"/>
    <w:rsid w:val="000C49E0"/>
    <w:rsid w:val="000C4A33"/>
    <w:rsid w:val="000C4C7F"/>
    <w:rsid w:val="000C4EB2"/>
    <w:rsid w:val="000C5799"/>
    <w:rsid w:val="000C57D7"/>
    <w:rsid w:val="000C58FA"/>
    <w:rsid w:val="000C5986"/>
    <w:rsid w:val="000C5BA2"/>
    <w:rsid w:val="000C5E78"/>
    <w:rsid w:val="000C611C"/>
    <w:rsid w:val="000C63FD"/>
    <w:rsid w:val="000C66BD"/>
    <w:rsid w:val="000C6951"/>
    <w:rsid w:val="000C6952"/>
    <w:rsid w:val="000C6A68"/>
    <w:rsid w:val="000C7423"/>
    <w:rsid w:val="000C7653"/>
    <w:rsid w:val="000C7900"/>
    <w:rsid w:val="000C7959"/>
    <w:rsid w:val="000C7DE8"/>
    <w:rsid w:val="000D00A2"/>
    <w:rsid w:val="000D0448"/>
    <w:rsid w:val="000D0844"/>
    <w:rsid w:val="000D0DED"/>
    <w:rsid w:val="000D1004"/>
    <w:rsid w:val="000D1192"/>
    <w:rsid w:val="000D11D3"/>
    <w:rsid w:val="000D1257"/>
    <w:rsid w:val="000D12FB"/>
    <w:rsid w:val="000D1873"/>
    <w:rsid w:val="000D1A78"/>
    <w:rsid w:val="000D1AE8"/>
    <w:rsid w:val="000D1CE2"/>
    <w:rsid w:val="000D1D4C"/>
    <w:rsid w:val="000D2036"/>
    <w:rsid w:val="000D206C"/>
    <w:rsid w:val="000D225D"/>
    <w:rsid w:val="000D23E0"/>
    <w:rsid w:val="000D28A8"/>
    <w:rsid w:val="000D3421"/>
    <w:rsid w:val="000D3622"/>
    <w:rsid w:val="000D38EF"/>
    <w:rsid w:val="000D390A"/>
    <w:rsid w:val="000D3A17"/>
    <w:rsid w:val="000D3B00"/>
    <w:rsid w:val="000D3D07"/>
    <w:rsid w:val="000D3DB8"/>
    <w:rsid w:val="000D3DD3"/>
    <w:rsid w:val="000D4283"/>
    <w:rsid w:val="000D442C"/>
    <w:rsid w:val="000D4979"/>
    <w:rsid w:val="000D4BDB"/>
    <w:rsid w:val="000D5054"/>
    <w:rsid w:val="000D5191"/>
    <w:rsid w:val="000D53FC"/>
    <w:rsid w:val="000D56B4"/>
    <w:rsid w:val="000D5834"/>
    <w:rsid w:val="000D5BC0"/>
    <w:rsid w:val="000D5DC4"/>
    <w:rsid w:val="000D5FB3"/>
    <w:rsid w:val="000D6474"/>
    <w:rsid w:val="000D648B"/>
    <w:rsid w:val="000D6531"/>
    <w:rsid w:val="000D6894"/>
    <w:rsid w:val="000D6976"/>
    <w:rsid w:val="000D6FFB"/>
    <w:rsid w:val="000D78BD"/>
    <w:rsid w:val="000D7D34"/>
    <w:rsid w:val="000D7E83"/>
    <w:rsid w:val="000E02FE"/>
    <w:rsid w:val="000E047F"/>
    <w:rsid w:val="000E04C9"/>
    <w:rsid w:val="000E068B"/>
    <w:rsid w:val="000E0CB2"/>
    <w:rsid w:val="000E15BE"/>
    <w:rsid w:val="000E16B7"/>
    <w:rsid w:val="000E189E"/>
    <w:rsid w:val="000E193D"/>
    <w:rsid w:val="000E2E79"/>
    <w:rsid w:val="000E2EC0"/>
    <w:rsid w:val="000E3043"/>
    <w:rsid w:val="000E307D"/>
    <w:rsid w:val="000E31C6"/>
    <w:rsid w:val="000E3A42"/>
    <w:rsid w:val="000E3BC3"/>
    <w:rsid w:val="000E3E4E"/>
    <w:rsid w:val="000E4096"/>
    <w:rsid w:val="000E41C8"/>
    <w:rsid w:val="000E43DF"/>
    <w:rsid w:val="000E43EB"/>
    <w:rsid w:val="000E4758"/>
    <w:rsid w:val="000E4C1E"/>
    <w:rsid w:val="000E4F17"/>
    <w:rsid w:val="000E5260"/>
    <w:rsid w:val="000E5B74"/>
    <w:rsid w:val="000E5C7C"/>
    <w:rsid w:val="000E5DFC"/>
    <w:rsid w:val="000E5ECB"/>
    <w:rsid w:val="000E61DB"/>
    <w:rsid w:val="000E640D"/>
    <w:rsid w:val="000E65CD"/>
    <w:rsid w:val="000E6CDB"/>
    <w:rsid w:val="000E6FEE"/>
    <w:rsid w:val="000E70A3"/>
    <w:rsid w:val="000E721E"/>
    <w:rsid w:val="000E7835"/>
    <w:rsid w:val="000E7955"/>
    <w:rsid w:val="000E7972"/>
    <w:rsid w:val="000E7B0A"/>
    <w:rsid w:val="000E7B55"/>
    <w:rsid w:val="000E7C72"/>
    <w:rsid w:val="000E7E99"/>
    <w:rsid w:val="000F0047"/>
    <w:rsid w:val="000F015B"/>
    <w:rsid w:val="000F080A"/>
    <w:rsid w:val="000F09CA"/>
    <w:rsid w:val="000F0A79"/>
    <w:rsid w:val="000F0CE4"/>
    <w:rsid w:val="000F0D0E"/>
    <w:rsid w:val="000F0DF4"/>
    <w:rsid w:val="000F0E72"/>
    <w:rsid w:val="000F1008"/>
    <w:rsid w:val="000F12A4"/>
    <w:rsid w:val="000F136E"/>
    <w:rsid w:val="000F1571"/>
    <w:rsid w:val="000F161D"/>
    <w:rsid w:val="000F16C5"/>
    <w:rsid w:val="000F18FB"/>
    <w:rsid w:val="000F1CC5"/>
    <w:rsid w:val="000F2026"/>
    <w:rsid w:val="000F23C9"/>
    <w:rsid w:val="000F27C1"/>
    <w:rsid w:val="000F2C65"/>
    <w:rsid w:val="000F358B"/>
    <w:rsid w:val="000F368E"/>
    <w:rsid w:val="000F38E1"/>
    <w:rsid w:val="000F3BBB"/>
    <w:rsid w:val="000F3C52"/>
    <w:rsid w:val="000F3CDF"/>
    <w:rsid w:val="000F4043"/>
    <w:rsid w:val="000F414F"/>
    <w:rsid w:val="000F46A0"/>
    <w:rsid w:val="000F46D6"/>
    <w:rsid w:val="000F476B"/>
    <w:rsid w:val="000F484F"/>
    <w:rsid w:val="000F4BC4"/>
    <w:rsid w:val="000F4DDB"/>
    <w:rsid w:val="000F4ED9"/>
    <w:rsid w:val="000F4F4B"/>
    <w:rsid w:val="000F4FF0"/>
    <w:rsid w:val="000F5533"/>
    <w:rsid w:val="000F5755"/>
    <w:rsid w:val="000F5A6F"/>
    <w:rsid w:val="000F5B2C"/>
    <w:rsid w:val="000F5C15"/>
    <w:rsid w:val="000F5CED"/>
    <w:rsid w:val="000F5E41"/>
    <w:rsid w:val="000F5F45"/>
    <w:rsid w:val="000F627B"/>
    <w:rsid w:val="000F62D0"/>
    <w:rsid w:val="000F6335"/>
    <w:rsid w:val="000F659A"/>
    <w:rsid w:val="000F66B4"/>
    <w:rsid w:val="000F6937"/>
    <w:rsid w:val="000F6A36"/>
    <w:rsid w:val="000F6AFA"/>
    <w:rsid w:val="000F6F07"/>
    <w:rsid w:val="000F6F1C"/>
    <w:rsid w:val="000F7181"/>
    <w:rsid w:val="000F7A98"/>
    <w:rsid w:val="000F7FDC"/>
    <w:rsid w:val="0010011D"/>
    <w:rsid w:val="00100153"/>
    <w:rsid w:val="001002C4"/>
    <w:rsid w:val="001004D0"/>
    <w:rsid w:val="001004D2"/>
    <w:rsid w:val="001009D6"/>
    <w:rsid w:val="00101010"/>
    <w:rsid w:val="00101622"/>
    <w:rsid w:val="00101820"/>
    <w:rsid w:val="00101D4F"/>
    <w:rsid w:val="001022F2"/>
    <w:rsid w:val="00102379"/>
    <w:rsid w:val="001027E4"/>
    <w:rsid w:val="00102A8C"/>
    <w:rsid w:val="00102AF8"/>
    <w:rsid w:val="00102E22"/>
    <w:rsid w:val="00102EA4"/>
    <w:rsid w:val="00102F4B"/>
    <w:rsid w:val="00103037"/>
    <w:rsid w:val="001035B8"/>
    <w:rsid w:val="001035C6"/>
    <w:rsid w:val="001039F7"/>
    <w:rsid w:val="00103A03"/>
    <w:rsid w:val="00103BEA"/>
    <w:rsid w:val="00103C69"/>
    <w:rsid w:val="001042BA"/>
    <w:rsid w:val="00104344"/>
    <w:rsid w:val="001044F1"/>
    <w:rsid w:val="00104A1C"/>
    <w:rsid w:val="00104A8B"/>
    <w:rsid w:val="00104A95"/>
    <w:rsid w:val="00104E31"/>
    <w:rsid w:val="00104F6F"/>
    <w:rsid w:val="001050DD"/>
    <w:rsid w:val="0010513A"/>
    <w:rsid w:val="001054A9"/>
    <w:rsid w:val="00105505"/>
    <w:rsid w:val="001057B9"/>
    <w:rsid w:val="00105857"/>
    <w:rsid w:val="001058B4"/>
    <w:rsid w:val="00105B1A"/>
    <w:rsid w:val="00105FE3"/>
    <w:rsid w:val="0010613A"/>
    <w:rsid w:val="001061A3"/>
    <w:rsid w:val="001063C4"/>
    <w:rsid w:val="00106F4A"/>
    <w:rsid w:val="001070DF"/>
    <w:rsid w:val="00107127"/>
    <w:rsid w:val="001071BD"/>
    <w:rsid w:val="001072EC"/>
    <w:rsid w:val="001078A1"/>
    <w:rsid w:val="00107E32"/>
    <w:rsid w:val="00107E8C"/>
    <w:rsid w:val="00107F22"/>
    <w:rsid w:val="00107FEA"/>
    <w:rsid w:val="001108D1"/>
    <w:rsid w:val="0011091A"/>
    <w:rsid w:val="001116F1"/>
    <w:rsid w:val="00111B7C"/>
    <w:rsid w:val="0011247C"/>
    <w:rsid w:val="00112706"/>
    <w:rsid w:val="00112967"/>
    <w:rsid w:val="00112A05"/>
    <w:rsid w:val="00112D25"/>
    <w:rsid w:val="00112F69"/>
    <w:rsid w:val="0011300F"/>
    <w:rsid w:val="001130CD"/>
    <w:rsid w:val="00113237"/>
    <w:rsid w:val="001132C7"/>
    <w:rsid w:val="00113CD5"/>
    <w:rsid w:val="00113F46"/>
    <w:rsid w:val="00113FAF"/>
    <w:rsid w:val="001142E5"/>
    <w:rsid w:val="00114701"/>
    <w:rsid w:val="00114ADF"/>
    <w:rsid w:val="00114BF4"/>
    <w:rsid w:val="00115112"/>
    <w:rsid w:val="00115582"/>
    <w:rsid w:val="0011564E"/>
    <w:rsid w:val="00115956"/>
    <w:rsid w:val="00115EB3"/>
    <w:rsid w:val="00116358"/>
    <w:rsid w:val="001165F5"/>
    <w:rsid w:val="00116884"/>
    <w:rsid w:val="001168D2"/>
    <w:rsid w:val="00116A1A"/>
    <w:rsid w:val="00116B34"/>
    <w:rsid w:val="00116C3A"/>
    <w:rsid w:val="00116D11"/>
    <w:rsid w:val="001171CF"/>
    <w:rsid w:val="0011730E"/>
    <w:rsid w:val="0011761D"/>
    <w:rsid w:val="00120213"/>
    <w:rsid w:val="001202F4"/>
    <w:rsid w:val="00120374"/>
    <w:rsid w:val="00120579"/>
    <w:rsid w:val="0012068F"/>
    <w:rsid w:val="001206E4"/>
    <w:rsid w:val="001208D5"/>
    <w:rsid w:val="0012092A"/>
    <w:rsid w:val="00120A22"/>
    <w:rsid w:val="00120A5C"/>
    <w:rsid w:val="00120F8F"/>
    <w:rsid w:val="001210C1"/>
    <w:rsid w:val="0012111F"/>
    <w:rsid w:val="00121219"/>
    <w:rsid w:val="0012129C"/>
    <w:rsid w:val="001212ED"/>
    <w:rsid w:val="0012195F"/>
    <w:rsid w:val="001219AE"/>
    <w:rsid w:val="00121B10"/>
    <w:rsid w:val="00121B93"/>
    <w:rsid w:val="00122103"/>
    <w:rsid w:val="00122387"/>
    <w:rsid w:val="00122711"/>
    <w:rsid w:val="001228B0"/>
    <w:rsid w:val="00122957"/>
    <w:rsid w:val="001229A4"/>
    <w:rsid w:val="00122A39"/>
    <w:rsid w:val="00122DBE"/>
    <w:rsid w:val="00122FB0"/>
    <w:rsid w:val="0012334C"/>
    <w:rsid w:val="001234FA"/>
    <w:rsid w:val="00123551"/>
    <w:rsid w:val="0012377A"/>
    <w:rsid w:val="00123832"/>
    <w:rsid w:val="0012390F"/>
    <w:rsid w:val="00123D28"/>
    <w:rsid w:val="00123E29"/>
    <w:rsid w:val="00123EF5"/>
    <w:rsid w:val="0012401B"/>
    <w:rsid w:val="0012447D"/>
    <w:rsid w:val="0012460D"/>
    <w:rsid w:val="00124808"/>
    <w:rsid w:val="00124914"/>
    <w:rsid w:val="00124C33"/>
    <w:rsid w:val="00124C77"/>
    <w:rsid w:val="0012520A"/>
    <w:rsid w:val="001252E6"/>
    <w:rsid w:val="00125539"/>
    <w:rsid w:val="0012586C"/>
    <w:rsid w:val="00125D78"/>
    <w:rsid w:val="001260A9"/>
    <w:rsid w:val="001261AB"/>
    <w:rsid w:val="0012679A"/>
    <w:rsid w:val="0012695D"/>
    <w:rsid w:val="001269D0"/>
    <w:rsid w:val="00126B7D"/>
    <w:rsid w:val="00126C24"/>
    <w:rsid w:val="00126F04"/>
    <w:rsid w:val="00126F4F"/>
    <w:rsid w:val="001274E6"/>
    <w:rsid w:val="00127697"/>
    <w:rsid w:val="001277B7"/>
    <w:rsid w:val="00130045"/>
    <w:rsid w:val="001304E0"/>
    <w:rsid w:val="00130F3F"/>
    <w:rsid w:val="001312AD"/>
    <w:rsid w:val="001315FB"/>
    <w:rsid w:val="00131AA7"/>
    <w:rsid w:val="00131B78"/>
    <w:rsid w:val="00132178"/>
    <w:rsid w:val="00132377"/>
    <w:rsid w:val="0013283E"/>
    <w:rsid w:val="00132DB1"/>
    <w:rsid w:val="00132EEA"/>
    <w:rsid w:val="001331A3"/>
    <w:rsid w:val="0013331E"/>
    <w:rsid w:val="00133585"/>
    <w:rsid w:val="00133AAB"/>
    <w:rsid w:val="00133BBD"/>
    <w:rsid w:val="00133C2F"/>
    <w:rsid w:val="00134515"/>
    <w:rsid w:val="00134926"/>
    <w:rsid w:val="00134B17"/>
    <w:rsid w:val="00134EB0"/>
    <w:rsid w:val="00135177"/>
    <w:rsid w:val="001354F6"/>
    <w:rsid w:val="001356E3"/>
    <w:rsid w:val="00135B88"/>
    <w:rsid w:val="00135FCF"/>
    <w:rsid w:val="00135FEB"/>
    <w:rsid w:val="00136684"/>
    <w:rsid w:val="00136A12"/>
    <w:rsid w:val="00136A2A"/>
    <w:rsid w:val="00136AE7"/>
    <w:rsid w:val="00136C5E"/>
    <w:rsid w:val="00137098"/>
    <w:rsid w:val="001373E1"/>
    <w:rsid w:val="0013768F"/>
    <w:rsid w:val="00137B00"/>
    <w:rsid w:val="00137B44"/>
    <w:rsid w:val="00137BC8"/>
    <w:rsid w:val="00137C6E"/>
    <w:rsid w:val="001400D5"/>
    <w:rsid w:val="001400E3"/>
    <w:rsid w:val="00140159"/>
    <w:rsid w:val="00140567"/>
    <w:rsid w:val="00140861"/>
    <w:rsid w:val="001409D7"/>
    <w:rsid w:val="00140A06"/>
    <w:rsid w:val="00140B96"/>
    <w:rsid w:val="00140CF3"/>
    <w:rsid w:val="00141122"/>
    <w:rsid w:val="001412B5"/>
    <w:rsid w:val="001412D8"/>
    <w:rsid w:val="00141485"/>
    <w:rsid w:val="0014152F"/>
    <w:rsid w:val="0014169E"/>
    <w:rsid w:val="001416AA"/>
    <w:rsid w:val="001417F7"/>
    <w:rsid w:val="0014205C"/>
    <w:rsid w:val="0014236F"/>
    <w:rsid w:val="001425AA"/>
    <w:rsid w:val="0014264F"/>
    <w:rsid w:val="00142D93"/>
    <w:rsid w:val="00142E8A"/>
    <w:rsid w:val="00142F43"/>
    <w:rsid w:val="00143095"/>
    <w:rsid w:val="001431F4"/>
    <w:rsid w:val="0014358D"/>
    <w:rsid w:val="0014368D"/>
    <w:rsid w:val="00143C9B"/>
    <w:rsid w:val="00143EE9"/>
    <w:rsid w:val="00144111"/>
    <w:rsid w:val="00144147"/>
    <w:rsid w:val="00144294"/>
    <w:rsid w:val="0014473B"/>
    <w:rsid w:val="00144A46"/>
    <w:rsid w:val="00144F4C"/>
    <w:rsid w:val="00145A76"/>
    <w:rsid w:val="0014642F"/>
    <w:rsid w:val="00146555"/>
    <w:rsid w:val="00146675"/>
    <w:rsid w:val="00146ABF"/>
    <w:rsid w:val="00146BC1"/>
    <w:rsid w:val="00146CA0"/>
    <w:rsid w:val="00146D49"/>
    <w:rsid w:val="00146FAE"/>
    <w:rsid w:val="00146FCE"/>
    <w:rsid w:val="001472B6"/>
    <w:rsid w:val="00147302"/>
    <w:rsid w:val="00147B24"/>
    <w:rsid w:val="00147F29"/>
    <w:rsid w:val="00150208"/>
    <w:rsid w:val="00150292"/>
    <w:rsid w:val="001504AD"/>
    <w:rsid w:val="001508FF"/>
    <w:rsid w:val="0015097C"/>
    <w:rsid w:val="00150D10"/>
    <w:rsid w:val="001510E9"/>
    <w:rsid w:val="00151108"/>
    <w:rsid w:val="00151BCB"/>
    <w:rsid w:val="00151CD8"/>
    <w:rsid w:val="00151F7F"/>
    <w:rsid w:val="00152373"/>
    <w:rsid w:val="001527A6"/>
    <w:rsid w:val="00152829"/>
    <w:rsid w:val="001528D3"/>
    <w:rsid w:val="00152E88"/>
    <w:rsid w:val="00153167"/>
    <w:rsid w:val="0015321C"/>
    <w:rsid w:val="00153801"/>
    <w:rsid w:val="001539F6"/>
    <w:rsid w:val="0015404F"/>
    <w:rsid w:val="00154B12"/>
    <w:rsid w:val="00154D22"/>
    <w:rsid w:val="00155124"/>
    <w:rsid w:val="00155383"/>
    <w:rsid w:val="0015552F"/>
    <w:rsid w:val="0015640C"/>
    <w:rsid w:val="001566C9"/>
    <w:rsid w:val="0015684B"/>
    <w:rsid w:val="00156946"/>
    <w:rsid w:val="00156CD2"/>
    <w:rsid w:val="00156EAA"/>
    <w:rsid w:val="00156FC5"/>
    <w:rsid w:val="001573EF"/>
    <w:rsid w:val="00157635"/>
    <w:rsid w:val="00157759"/>
    <w:rsid w:val="001579C3"/>
    <w:rsid w:val="00157F97"/>
    <w:rsid w:val="00160145"/>
    <w:rsid w:val="001601DA"/>
    <w:rsid w:val="0016024B"/>
    <w:rsid w:val="001603FF"/>
    <w:rsid w:val="0016041A"/>
    <w:rsid w:val="00160948"/>
    <w:rsid w:val="001609C4"/>
    <w:rsid w:val="00160B0F"/>
    <w:rsid w:val="00160BCC"/>
    <w:rsid w:val="00160C87"/>
    <w:rsid w:val="00160FD9"/>
    <w:rsid w:val="001613C0"/>
    <w:rsid w:val="00161497"/>
    <w:rsid w:val="00161791"/>
    <w:rsid w:val="00161885"/>
    <w:rsid w:val="0016189F"/>
    <w:rsid w:val="00161921"/>
    <w:rsid w:val="00161BB0"/>
    <w:rsid w:val="00161C85"/>
    <w:rsid w:val="00161E3F"/>
    <w:rsid w:val="00161F18"/>
    <w:rsid w:val="00162190"/>
    <w:rsid w:val="0016254D"/>
    <w:rsid w:val="00162654"/>
    <w:rsid w:val="00162969"/>
    <w:rsid w:val="0016313A"/>
    <w:rsid w:val="0016323D"/>
    <w:rsid w:val="00163347"/>
    <w:rsid w:val="0016346B"/>
    <w:rsid w:val="001637BC"/>
    <w:rsid w:val="00163C80"/>
    <w:rsid w:val="00163EB5"/>
    <w:rsid w:val="00163EF3"/>
    <w:rsid w:val="001641AE"/>
    <w:rsid w:val="001643B0"/>
    <w:rsid w:val="001643FF"/>
    <w:rsid w:val="001647D7"/>
    <w:rsid w:val="00164A7A"/>
    <w:rsid w:val="00164BA7"/>
    <w:rsid w:val="00164CEF"/>
    <w:rsid w:val="00165044"/>
    <w:rsid w:val="00165122"/>
    <w:rsid w:val="00165A6B"/>
    <w:rsid w:val="00165D90"/>
    <w:rsid w:val="001663CE"/>
    <w:rsid w:val="001664FE"/>
    <w:rsid w:val="00166CFE"/>
    <w:rsid w:val="00167144"/>
    <w:rsid w:val="00167A0A"/>
    <w:rsid w:val="001700E6"/>
    <w:rsid w:val="00170137"/>
    <w:rsid w:val="001703FD"/>
    <w:rsid w:val="00170419"/>
    <w:rsid w:val="001704B9"/>
    <w:rsid w:val="00170932"/>
    <w:rsid w:val="00170AB6"/>
    <w:rsid w:val="00170B54"/>
    <w:rsid w:val="00170BA8"/>
    <w:rsid w:val="00170C4B"/>
    <w:rsid w:val="00170DAE"/>
    <w:rsid w:val="00170DC3"/>
    <w:rsid w:val="00170FB7"/>
    <w:rsid w:val="00171531"/>
    <w:rsid w:val="00171536"/>
    <w:rsid w:val="00171E82"/>
    <w:rsid w:val="001720FC"/>
    <w:rsid w:val="0017211F"/>
    <w:rsid w:val="0017218C"/>
    <w:rsid w:val="0017269C"/>
    <w:rsid w:val="00172770"/>
    <w:rsid w:val="0017282D"/>
    <w:rsid w:val="001728F9"/>
    <w:rsid w:val="00173031"/>
    <w:rsid w:val="0017341F"/>
    <w:rsid w:val="00173540"/>
    <w:rsid w:val="0017356B"/>
    <w:rsid w:val="001739E7"/>
    <w:rsid w:val="00173C79"/>
    <w:rsid w:val="00173DF2"/>
    <w:rsid w:val="00173E1C"/>
    <w:rsid w:val="0017431A"/>
    <w:rsid w:val="00174602"/>
    <w:rsid w:val="00174665"/>
    <w:rsid w:val="00174866"/>
    <w:rsid w:val="00174C78"/>
    <w:rsid w:val="00174E1E"/>
    <w:rsid w:val="00174F99"/>
    <w:rsid w:val="0017515C"/>
    <w:rsid w:val="001751EB"/>
    <w:rsid w:val="00175395"/>
    <w:rsid w:val="00175858"/>
    <w:rsid w:val="001758B7"/>
    <w:rsid w:val="00175AAA"/>
    <w:rsid w:val="00175FCE"/>
    <w:rsid w:val="0017614A"/>
    <w:rsid w:val="0017620F"/>
    <w:rsid w:val="0017685C"/>
    <w:rsid w:val="00176916"/>
    <w:rsid w:val="00176948"/>
    <w:rsid w:val="00176F05"/>
    <w:rsid w:val="00177281"/>
    <w:rsid w:val="00177891"/>
    <w:rsid w:val="00177E12"/>
    <w:rsid w:val="00177E22"/>
    <w:rsid w:val="0018061E"/>
    <w:rsid w:val="00180943"/>
    <w:rsid w:val="00180996"/>
    <w:rsid w:val="00180A5B"/>
    <w:rsid w:val="00180B58"/>
    <w:rsid w:val="00180FB5"/>
    <w:rsid w:val="00181034"/>
    <w:rsid w:val="00181181"/>
    <w:rsid w:val="0018134F"/>
    <w:rsid w:val="00181B10"/>
    <w:rsid w:val="00181CA8"/>
    <w:rsid w:val="001828C2"/>
    <w:rsid w:val="00182910"/>
    <w:rsid w:val="00182F5B"/>
    <w:rsid w:val="0018326C"/>
    <w:rsid w:val="0018351C"/>
    <w:rsid w:val="001835E7"/>
    <w:rsid w:val="00183813"/>
    <w:rsid w:val="00183887"/>
    <w:rsid w:val="001838D2"/>
    <w:rsid w:val="00183921"/>
    <w:rsid w:val="001839D3"/>
    <w:rsid w:val="00183A56"/>
    <w:rsid w:val="00183DCD"/>
    <w:rsid w:val="00183F26"/>
    <w:rsid w:val="001841DD"/>
    <w:rsid w:val="0018423B"/>
    <w:rsid w:val="001842AC"/>
    <w:rsid w:val="00184578"/>
    <w:rsid w:val="001846B9"/>
    <w:rsid w:val="00184966"/>
    <w:rsid w:val="00184CBF"/>
    <w:rsid w:val="00184DD9"/>
    <w:rsid w:val="0018549E"/>
    <w:rsid w:val="001854B1"/>
    <w:rsid w:val="001857DB"/>
    <w:rsid w:val="00185D63"/>
    <w:rsid w:val="00185DB2"/>
    <w:rsid w:val="001862AF"/>
    <w:rsid w:val="001866BF"/>
    <w:rsid w:val="00186760"/>
    <w:rsid w:val="0018690D"/>
    <w:rsid w:val="00186AAA"/>
    <w:rsid w:val="00186AC1"/>
    <w:rsid w:val="00186FDB"/>
    <w:rsid w:val="001870DD"/>
    <w:rsid w:val="00187167"/>
    <w:rsid w:val="00187815"/>
    <w:rsid w:val="00187B67"/>
    <w:rsid w:val="00187BA2"/>
    <w:rsid w:val="00190295"/>
    <w:rsid w:val="001905F7"/>
    <w:rsid w:val="00190787"/>
    <w:rsid w:val="0019085C"/>
    <w:rsid w:val="00190A5F"/>
    <w:rsid w:val="00190C58"/>
    <w:rsid w:val="00190CA0"/>
    <w:rsid w:val="00190D52"/>
    <w:rsid w:val="00190F26"/>
    <w:rsid w:val="001912BA"/>
    <w:rsid w:val="001912F5"/>
    <w:rsid w:val="00191526"/>
    <w:rsid w:val="0019225F"/>
    <w:rsid w:val="00192428"/>
    <w:rsid w:val="001924B2"/>
    <w:rsid w:val="001925CE"/>
    <w:rsid w:val="00192FDF"/>
    <w:rsid w:val="0019339B"/>
    <w:rsid w:val="001933B3"/>
    <w:rsid w:val="0019377D"/>
    <w:rsid w:val="001939C2"/>
    <w:rsid w:val="00193B5C"/>
    <w:rsid w:val="00194339"/>
    <w:rsid w:val="001945C0"/>
    <w:rsid w:val="001948AA"/>
    <w:rsid w:val="00194A45"/>
    <w:rsid w:val="00194B08"/>
    <w:rsid w:val="00194BD8"/>
    <w:rsid w:val="00194E8A"/>
    <w:rsid w:val="00195278"/>
    <w:rsid w:val="001956FE"/>
    <w:rsid w:val="001959A1"/>
    <w:rsid w:val="00195BED"/>
    <w:rsid w:val="00195EFC"/>
    <w:rsid w:val="00196121"/>
    <w:rsid w:val="00196323"/>
    <w:rsid w:val="001963B0"/>
    <w:rsid w:val="00196551"/>
    <w:rsid w:val="001966B3"/>
    <w:rsid w:val="00196734"/>
    <w:rsid w:val="0019675C"/>
    <w:rsid w:val="0019682B"/>
    <w:rsid w:val="00196859"/>
    <w:rsid w:val="001968EF"/>
    <w:rsid w:val="00196A95"/>
    <w:rsid w:val="00196E3E"/>
    <w:rsid w:val="00196FE9"/>
    <w:rsid w:val="00197030"/>
    <w:rsid w:val="0019716A"/>
    <w:rsid w:val="001971B9"/>
    <w:rsid w:val="00197205"/>
    <w:rsid w:val="001973B7"/>
    <w:rsid w:val="0019757C"/>
    <w:rsid w:val="00197592"/>
    <w:rsid w:val="001977B1"/>
    <w:rsid w:val="001977B5"/>
    <w:rsid w:val="00197A5D"/>
    <w:rsid w:val="00197FB9"/>
    <w:rsid w:val="001A0032"/>
    <w:rsid w:val="001A00F6"/>
    <w:rsid w:val="001A0100"/>
    <w:rsid w:val="001A038C"/>
    <w:rsid w:val="001A0497"/>
    <w:rsid w:val="001A06F6"/>
    <w:rsid w:val="001A0A50"/>
    <w:rsid w:val="001A0B7C"/>
    <w:rsid w:val="001A120C"/>
    <w:rsid w:val="001A125F"/>
    <w:rsid w:val="001A1541"/>
    <w:rsid w:val="001A1567"/>
    <w:rsid w:val="001A199C"/>
    <w:rsid w:val="001A1CE4"/>
    <w:rsid w:val="001A1D9D"/>
    <w:rsid w:val="001A248B"/>
    <w:rsid w:val="001A25EC"/>
    <w:rsid w:val="001A2634"/>
    <w:rsid w:val="001A2879"/>
    <w:rsid w:val="001A2DFC"/>
    <w:rsid w:val="001A3253"/>
    <w:rsid w:val="001A32C2"/>
    <w:rsid w:val="001A35C7"/>
    <w:rsid w:val="001A3808"/>
    <w:rsid w:val="001A380B"/>
    <w:rsid w:val="001A3B2F"/>
    <w:rsid w:val="001A3EB1"/>
    <w:rsid w:val="001A3EDE"/>
    <w:rsid w:val="001A42B9"/>
    <w:rsid w:val="001A42F2"/>
    <w:rsid w:val="001A44E5"/>
    <w:rsid w:val="001A4759"/>
    <w:rsid w:val="001A4806"/>
    <w:rsid w:val="001A4BAF"/>
    <w:rsid w:val="001A4E76"/>
    <w:rsid w:val="001A50AC"/>
    <w:rsid w:val="001A5101"/>
    <w:rsid w:val="001A538E"/>
    <w:rsid w:val="001A54EA"/>
    <w:rsid w:val="001A5A90"/>
    <w:rsid w:val="001A63EF"/>
    <w:rsid w:val="001A6772"/>
    <w:rsid w:val="001A68DE"/>
    <w:rsid w:val="001A6A41"/>
    <w:rsid w:val="001A74F8"/>
    <w:rsid w:val="001A772A"/>
    <w:rsid w:val="001A77B0"/>
    <w:rsid w:val="001A78BC"/>
    <w:rsid w:val="001A793A"/>
    <w:rsid w:val="001A7C65"/>
    <w:rsid w:val="001A7E6E"/>
    <w:rsid w:val="001B01C9"/>
    <w:rsid w:val="001B0812"/>
    <w:rsid w:val="001B0916"/>
    <w:rsid w:val="001B0B7B"/>
    <w:rsid w:val="001B0B8B"/>
    <w:rsid w:val="001B0D6F"/>
    <w:rsid w:val="001B0DE9"/>
    <w:rsid w:val="001B115A"/>
    <w:rsid w:val="001B116A"/>
    <w:rsid w:val="001B1E40"/>
    <w:rsid w:val="001B2015"/>
    <w:rsid w:val="001B256D"/>
    <w:rsid w:val="001B29BC"/>
    <w:rsid w:val="001B2D84"/>
    <w:rsid w:val="001B314B"/>
    <w:rsid w:val="001B3848"/>
    <w:rsid w:val="001B4489"/>
    <w:rsid w:val="001B457E"/>
    <w:rsid w:val="001B4875"/>
    <w:rsid w:val="001B504A"/>
    <w:rsid w:val="001B51FB"/>
    <w:rsid w:val="001B5672"/>
    <w:rsid w:val="001B5AED"/>
    <w:rsid w:val="001B5C93"/>
    <w:rsid w:val="001B5E14"/>
    <w:rsid w:val="001B61FC"/>
    <w:rsid w:val="001B642B"/>
    <w:rsid w:val="001B646E"/>
    <w:rsid w:val="001B6AF3"/>
    <w:rsid w:val="001B6DC3"/>
    <w:rsid w:val="001B6E08"/>
    <w:rsid w:val="001B742F"/>
    <w:rsid w:val="001B7562"/>
    <w:rsid w:val="001B7B5A"/>
    <w:rsid w:val="001B7BED"/>
    <w:rsid w:val="001B7F9E"/>
    <w:rsid w:val="001C0324"/>
    <w:rsid w:val="001C05A0"/>
    <w:rsid w:val="001C0917"/>
    <w:rsid w:val="001C0DF7"/>
    <w:rsid w:val="001C1281"/>
    <w:rsid w:val="001C14C7"/>
    <w:rsid w:val="001C1579"/>
    <w:rsid w:val="001C1654"/>
    <w:rsid w:val="001C19A0"/>
    <w:rsid w:val="001C1F4A"/>
    <w:rsid w:val="001C2001"/>
    <w:rsid w:val="001C2321"/>
    <w:rsid w:val="001C31C0"/>
    <w:rsid w:val="001C35E9"/>
    <w:rsid w:val="001C3A35"/>
    <w:rsid w:val="001C3A84"/>
    <w:rsid w:val="001C3B59"/>
    <w:rsid w:val="001C3FEF"/>
    <w:rsid w:val="001C404B"/>
    <w:rsid w:val="001C413C"/>
    <w:rsid w:val="001C41BB"/>
    <w:rsid w:val="001C450C"/>
    <w:rsid w:val="001C48A9"/>
    <w:rsid w:val="001C4C2F"/>
    <w:rsid w:val="001C4EBB"/>
    <w:rsid w:val="001C55D0"/>
    <w:rsid w:val="001C591F"/>
    <w:rsid w:val="001C5C2C"/>
    <w:rsid w:val="001C5CA7"/>
    <w:rsid w:val="001C5CDA"/>
    <w:rsid w:val="001C6354"/>
    <w:rsid w:val="001C649D"/>
    <w:rsid w:val="001C694A"/>
    <w:rsid w:val="001C6AC7"/>
    <w:rsid w:val="001C6B95"/>
    <w:rsid w:val="001C737F"/>
    <w:rsid w:val="001C741A"/>
    <w:rsid w:val="001C79D9"/>
    <w:rsid w:val="001C7A15"/>
    <w:rsid w:val="001C7AAC"/>
    <w:rsid w:val="001C7B06"/>
    <w:rsid w:val="001C7B76"/>
    <w:rsid w:val="001C7E02"/>
    <w:rsid w:val="001C7EC1"/>
    <w:rsid w:val="001D005C"/>
    <w:rsid w:val="001D018B"/>
    <w:rsid w:val="001D029F"/>
    <w:rsid w:val="001D0469"/>
    <w:rsid w:val="001D0581"/>
    <w:rsid w:val="001D0773"/>
    <w:rsid w:val="001D0F4A"/>
    <w:rsid w:val="001D0F74"/>
    <w:rsid w:val="001D0F7D"/>
    <w:rsid w:val="001D0FEA"/>
    <w:rsid w:val="001D1096"/>
    <w:rsid w:val="001D120F"/>
    <w:rsid w:val="001D136A"/>
    <w:rsid w:val="001D141A"/>
    <w:rsid w:val="001D1594"/>
    <w:rsid w:val="001D19E9"/>
    <w:rsid w:val="001D1A03"/>
    <w:rsid w:val="001D1F02"/>
    <w:rsid w:val="001D223E"/>
    <w:rsid w:val="001D266C"/>
    <w:rsid w:val="001D273F"/>
    <w:rsid w:val="001D287B"/>
    <w:rsid w:val="001D2CEC"/>
    <w:rsid w:val="001D2D16"/>
    <w:rsid w:val="001D2F3F"/>
    <w:rsid w:val="001D3830"/>
    <w:rsid w:val="001D3907"/>
    <w:rsid w:val="001D3CCB"/>
    <w:rsid w:val="001D3E12"/>
    <w:rsid w:val="001D3E9C"/>
    <w:rsid w:val="001D4068"/>
    <w:rsid w:val="001D422E"/>
    <w:rsid w:val="001D43D6"/>
    <w:rsid w:val="001D44F6"/>
    <w:rsid w:val="001D47CE"/>
    <w:rsid w:val="001D497B"/>
    <w:rsid w:val="001D49E3"/>
    <w:rsid w:val="001D4F50"/>
    <w:rsid w:val="001D5443"/>
    <w:rsid w:val="001D554F"/>
    <w:rsid w:val="001D57EE"/>
    <w:rsid w:val="001D5ED2"/>
    <w:rsid w:val="001D6188"/>
    <w:rsid w:val="001D62DD"/>
    <w:rsid w:val="001D6533"/>
    <w:rsid w:val="001D69E8"/>
    <w:rsid w:val="001D6D94"/>
    <w:rsid w:val="001D7513"/>
    <w:rsid w:val="001D7715"/>
    <w:rsid w:val="001D793D"/>
    <w:rsid w:val="001D7949"/>
    <w:rsid w:val="001E06A2"/>
    <w:rsid w:val="001E097A"/>
    <w:rsid w:val="001E105A"/>
    <w:rsid w:val="001E1207"/>
    <w:rsid w:val="001E1883"/>
    <w:rsid w:val="001E20E4"/>
    <w:rsid w:val="001E212B"/>
    <w:rsid w:val="001E24FC"/>
    <w:rsid w:val="001E2509"/>
    <w:rsid w:val="001E2874"/>
    <w:rsid w:val="001E28E7"/>
    <w:rsid w:val="001E2905"/>
    <w:rsid w:val="001E2FA2"/>
    <w:rsid w:val="001E304F"/>
    <w:rsid w:val="001E328E"/>
    <w:rsid w:val="001E347A"/>
    <w:rsid w:val="001E353C"/>
    <w:rsid w:val="001E360A"/>
    <w:rsid w:val="001E3A05"/>
    <w:rsid w:val="001E402F"/>
    <w:rsid w:val="001E432A"/>
    <w:rsid w:val="001E433C"/>
    <w:rsid w:val="001E460D"/>
    <w:rsid w:val="001E4A6A"/>
    <w:rsid w:val="001E4BA2"/>
    <w:rsid w:val="001E4FA6"/>
    <w:rsid w:val="001E514B"/>
    <w:rsid w:val="001E51F2"/>
    <w:rsid w:val="001E52E7"/>
    <w:rsid w:val="001E5505"/>
    <w:rsid w:val="001E563A"/>
    <w:rsid w:val="001E5687"/>
    <w:rsid w:val="001E57AA"/>
    <w:rsid w:val="001E58F1"/>
    <w:rsid w:val="001E5DCE"/>
    <w:rsid w:val="001E60B7"/>
    <w:rsid w:val="001E70C4"/>
    <w:rsid w:val="001E713C"/>
    <w:rsid w:val="001E7436"/>
    <w:rsid w:val="001E7AD6"/>
    <w:rsid w:val="001E7AFF"/>
    <w:rsid w:val="001E7BEB"/>
    <w:rsid w:val="001E7C23"/>
    <w:rsid w:val="001E7F06"/>
    <w:rsid w:val="001F010E"/>
    <w:rsid w:val="001F0400"/>
    <w:rsid w:val="001F0526"/>
    <w:rsid w:val="001F0544"/>
    <w:rsid w:val="001F0BC7"/>
    <w:rsid w:val="001F0C2E"/>
    <w:rsid w:val="001F0DAF"/>
    <w:rsid w:val="001F0F40"/>
    <w:rsid w:val="001F1961"/>
    <w:rsid w:val="001F1A89"/>
    <w:rsid w:val="001F1AB2"/>
    <w:rsid w:val="001F1B6F"/>
    <w:rsid w:val="001F1E64"/>
    <w:rsid w:val="001F1F3B"/>
    <w:rsid w:val="001F2180"/>
    <w:rsid w:val="001F2948"/>
    <w:rsid w:val="001F2A98"/>
    <w:rsid w:val="001F2C2F"/>
    <w:rsid w:val="001F2C87"/>
    <w:rsid w:val="001F3012"/>
    <w:rsid w:val="001F3153"/>
    <w:rsid w:val="001F34EC"/>
    <w:rsid w:val="001F3662"/>
    <w:rsid w:val="001F3665"/>
    <w:rsid w:val="001F398F"/>
    <w:rsid w:val="001F3AF0"/>
    <w:rsid w:val="001F3D25"/>
    <w:rsid w:val="001F3F50"/>
    <w:rsid w:val="001F40A2"/>
    <w:rsid w:val="001F41F7"/>
    <w:rsid w:val="001F46D3"/>
    <w:rsid w:val="001F4F38"/>
    <w:rsid w:val="001F4FDC"/>
    <w:rsid w:val="001F537B"/>
    <w:rsid w:val="001F549E"/>
    <w:rsid w:val="001F59FE"/>
    <w:rsid w:val="001F5A37"/>
    <w:rsid w:val="001F5E38"/>
    <w:rsid w:val="001F5F8B"/>
    <w:rsid w:val="001F5F94"/>
    <w:rsid w:val="001F5FE3"/>
    <w:rsid w:val="001F664F"/>
    <w:rsid w:val="001F6952"/>
    <w:rsid w:val="001F69EB"/>
    <w:rsid w:val="001F6B08"/>
    <w:rsid w:val="001F6D6A"/>
    <w:rsid w:val="001F71E9"/>
    <w:rsid w:val="001F7B74"/>
    <w:rsid w:val="001F7C3B"/>
    <w:rsid w:val="001F7E39"/>
    <w:rsid w:val="001F7E9D"/>
    <w:rsid w:val="0020016F"/>
    <w:rsid w:val="002002A2"/>
    <w:rsid w:val="0020059A"/>
    <w:rsid w:val="0020102F"/>
    <w:rsid w:val="00201796"/>
    <w:rsid w:val="00201BD4"/>
    <w:rsid w:val="00202143"/>
    <w:rsid w:val="0020229B"/>
    <w:rsid w:val="00202482"/>
    <w:rsid w:val="002027B6"/>
    <w:rsid w:val="00202838"/>
    <w:rsid w:val="002028DF"/>
    <w:rsid w:val="0020290F"/>
    <w:rsid w:val="00202975"/>
    <w:rsid w:val="00202E72"/>
    <w:rsid w:val="00202F0B"/>
    <w:rsid w:val="00202F2A"/>
    <w:rsid w:val="00203016"/>
    <w:rsid w:val="002030D9"/>
    <w:rsid w:val="00203557"/>
    <w:rsid w:val="00203575"/>
    <w:rsid w:val="00203773"/>
    <w:rsid w:val="00203A13"/>
    <w:rsid w:val="00203C71"/>
    <w:rsid w:val="00203D73"/>
    <w:rsid w:val="00204729"/>
    <w:rsid w:val="00204778"/>
    <w:rsid w:val="0020479A"/>
    <w:rsid w:val="00204A59"/>
    <w:rsid w:val="00204D2E"/>
    <w:rsid w:val="00205064"/>
    <w:rsid w:val="00205066"/>
    <w:rsid w:val="0020523C"/>
    <w:rsid w:val="002053CC"/>
    <w:rsid w:val="002058B0"/>
    <w:rsid w:val="00205F4A"/>
    <w:rsid w:val="00205F6D"/>
    <w:rsid w:val="00206388"/>
    <w:rsid w:val="002065A4"/>
    <w:rsid w:val="002067AF"/>
    <w:rsid w:val="00206B65"/>
    <w:rsid w:val="00207583"/>
    <w:rsid w:val="0020775E"/>
    <w:rsid w:val="002078EC"/>
    <w:rsid w:val="002079F2"/>
    <w:rsid w:val="00207A50"/>
    <w:rsid w:val="00207CEF"/>
    <w:rsid w:val="00210240"/>
    <w:rsid w:val="002104A5"/>
    <w:rsid w:val="002104C9"/>
    <w:rsid w:val="002104CF"/>
    <w:rsid w:val="00210A5D"/>
    <w:rsid w:val="00210BCE"/>
    <w:rsid w:val="00210E80"/>
    <w:rsid w:val="002113B0"/>
    <w:rsid w:val="002116C2"/>
    <w:rsid w:val="0021196C"/>
    <w:rsid w:val="00211BBD"/>
    <w:rsid w:val="00211C80"/>
    <w:rsid w:val="00211F1A"/>
    <w:rsid w:val="00211F1B"/>
    <w:rsid w:val="0021215C"/>
    <w:rsid w:val="002128A7"/>
    <w:rsid w:val="0021293F"/>
    <w:rsid w:val="00212A9F"/>
    <w:rsid w:val="00212B91"/>
    <w:rsid w:val="00212ED4"/>
    <w:rsid w:val="0021321E"/>
    <w:rsid w:val="00213C86"/>
    <w:rsid w:val="00213DA8"/>
    <w:rsid w:val="00213DBF"/>
    <w:rsid w:val="002142DB"/>
    <w:rsid w:val="002143B7"/>
    <w:rsid w:val="00214413"/>
    <w:rsid w:val="00214460"/>
    <w:rsid w:val="00214A86"/>
    <w:rsid w:val="00214B3B"/>
    <w:rsid w:val="00215246"/>
    <w:rsid w:val="002158A5"/>
    <w:rsid w:val="002158B0"/>
    <w:rsid w:val="00215C71"/>
    <w:rsid w:val="002163A3"/>
    <w:rsid w:val="00216775"/>
    <w:rsid w:val="00216B05"/>
    <w:rsid w:val="00216CB4"/>
    <w:rsid w:val="00217479"/>
    <w:rsid w:val="00217909"/>
    <w:rsid w:val="00217A75"/>
    <w:rsid w:val="002206C7"/>
    <w:rsid w:val="0022084D"/>
    <w:rsid w:val="00220F9F"/>
    <w:rsid w:val="0022107B"/>
    <w:rsid w:val="002212CA"/>
    <w:rsid w:val="002214E6"/>
    <w:rsid w:val="002215D2"/>
    <w:rsid w:val="00221A5C"/>
    <w:rsid w:val="00221CD5"/>
    <w:rsid w:val="00221F32"/>
    <w:rsid w:val="00221F3C"/>
    <w:rsid w:val="002222DB"/>
    <w:rsid w:val="0022274A"/>
    <w:rsid w:val="00222BB2"/>
    <w:rsid w:val="00222E29"/>
    <w:rsid w:val="002230E3"/>
    <w:rsid w:val="0022341F"/>
    <w:rsid w:val="0022363E"/>
    <w:rsid w:val="002236BC"/>
    <w:rsid w:val="002238FB"/>
    <w:rsid w:val="0022397B"/>
    <w:rsid w:val="00223C5F"/>
    <w:rsid w:val="00223DCA"/>
    <w:rsid w:val="00224114"/>
    <w:rsid w:val="0022433F"/>
    <w:rsid w:val="0022464D"/>
    <w:rsid w:val="00224902"/>
    <w:rsid w:val="00224AC7"/>
    <w:rsid w:val="00224C77"/>
    <w:rsid w:val="00224C9D"/>
    <w:rsid w:val="00224F33"/>
    <w:rsid w:val="002259AB"/>
    <w:rsid w:val="002260F9"/>
    <w:rsid w:val="002262EB"/>
    <w:rsid w:val="002267C8"/>
    <w:rsid w:val="002268EB"/>
    <w:rsid w:val="00227628"/>
    <w:rsid w:val="00227BF9"/>
    <w:rsid w:val="00227E58"/>
    <w:rsid w:val="00227F0F"/>
    <w:rsid w:val="00230059"/>
    <w:rsid w:val="00230078"/>
    <w:rsid w:val="0023045D"/>
    <w:rsid w:val="00230664"/>
    <w:rsid w:val="00230825"/>
    <w:rsid w:val="00230CE4"/>
    <w:rsid w:val="00230FFE"/>
    <w:rsid w:val="00231295"/>
    <w:rsid w:val="002312D5"/>
    <w:rsid w:val="0023280D"/>
    <w:rsid w:val="002328D0"/>
    <w:rsid w:val="00232B32"/>
    <w:rsid w:val="00232F97"/>
    <w:rsid w:val="0023312D"/>
    <w:rsid w:val="00233504"/>
    <w:rsid w:val="002337BF"/>
    <w:rsid w:val="00233855"/>
    <w:rsid w:val="00233B84"/>
    <w:rsid w:val="00233B89"/>
    <w:rsid w:val="00233EC8"/>
    <w:rsid w:val="00234A1E"/>
    <w:rsid w:val="00234ABD"/>
    <w:rsid w:val="00234B88"/>
    <w:rsid w:val="00234D7B"/>
    <w:rsid w:val="00235441"/>
    <w:rsid w:val="00235512"/>
    <w:rsid w:val="0023551B"/>
    <w:rsid w:val="00235926"/>
    <w:rsid w:val="00235C9E"/>
    <w:rsid w:val="00235D44"/>
    <w:rsid w:val="00236BDE"/>
    <w:rsid w:val="00236C9B"/>
    <w:rsid w:val="00236D80"/>
    <w:rsid w:val="002372AF"/>
    <w:rsid w:val="00237703"/>
    <w:rsid w:val="002401A0"/>
    <w:rsid w:val="002402F2"/>
    <w:rsid w:val="002406E9"/>
    <w:rsid w:val="00240889"/>
    <w:rsid w:val="002408EC"/>
    <w:rsid w:val="0024096D"/>
    <w:rsid w:val="00240A46"/>
    <w:rsid w:val="002414B3"/>
    <w:rsid w:val="002414F5"/>
    <w:rsid w:val="00241BB4"/>
    <w:rsid w:val="00242012"/>
    <w:rsid w:val="00242066"/>
    <w:rsid w:val="00242396"/>
    <w:rsid w:val="002426D1"/>
    <w:rsid w:val="00242942"/>
    <w:rsid w:val="002429B1"/>
    <w:rsid w:val="00242BBF"/>
    <w:rsid w:val="00242BFA"/>
    <w:rsid w:val="002430D6"/>
    <w:rsid w:val="00243482"/>
    <w:rsid w:val="002435E5"/>
    <w:rsid w:val="00243E6F"/>
    <w:rsid w:val="00243EAB"/>
    <w:rsid w:val="00244074"/>
    <w:rsid w:val="002441F9"/>
    <w:rsid w:val="00244540"/>
    <w:rsid w:val="0024473A"/>
    <w:rsid w:val="00244A3B"/>
    <w:rsid w:val="00244DB4"/>
    <w:rsid w:val="00244DB6"/>
    <w:rsid w:val="00245002"/>
    <w:rsid w:val="00245239"/>
    <w:rsid w:val="00245487"/>
    <w:rsid w:val="0024593F"/>
    <w:rsid w:val="002459D6"/>
    <w:rsid w:val="00245ABB"/>
    <w:rsid w:val="00246502"/>
    <w:rsid w:val="00246A73"/>
    <w:rsid w:val="00246BF8"/>
    <w:rsid w:val="002472C9"/>
    <w:rsid w:val="002473F9"/>
    <w:rsid w:val="00247738"/>
    <w:rsid w:val="00247860"/>
    <w:rsid w:val="00247C2E"/>
    <w:rsid w:val="00247DB1"/>
    <w:rsid w:val="00247DC4"/>
    <w:rsid w:val="00247FED"/>
    <w:rsid w:val="0025002D"/>
    <w:rsid w:val="0025022F"/>
    <w:rsid w:val="002507C1"/>
    <w:rsid w:val="00251638"/>
    <w:rsid w:val="00251881"/>
    <w:rsid w:val="00251942"/>
    <w:rsid w:val="002519AE"/>
    <w:rsid w:val="00251A41"/>
    <w:rsid w:val="00251CC3"/>
    <w:rsid w:val="0025284C"/>
    <w:rsid w:val="00252855"/>
    <w:rsid w:val="00252A78"/>
    <w:rsid w:val="00252B7A"/>
    <w:rsid w:val="00252EF6"/>
    <w:rsid w:val="002533B7"/>
    <w:rsid w:val="00253465"/>
    <w:rsid w:val="00253AF8"/>
    <w:rsid w:val="00253C24"/>
    <w:rsid w:val="00253C29"/>
    <w:rsid w:val="00253E1B"/>
    <w:rsid w:val="00253E47"/>
    <w:rsid w:val="002540DD"/>
    <w:rsid w:val="00254C70"/>
    <w:rsid w:val="00254E0E"/>
    <w:rsid w:val="00254EE8"/>
    <w:rsid w:val="0025515A"/>
    <w:rsid w:val="00255438"/>
    <w:rsid w:val="00255442"/>
    <w:rsid w:val="00255870"/>
    <w:rsid w:val="00255B7C"/>
    <w:rsid w:val="00255B8D"/>
    <w:rsid w:val="00255E28"/>
    <w:rsid w:val="00255EF6"/>
    <w:rsid w:val="00255FF5"/>
    <w:rsid w:val="00256533"/>
    <w:rsid w:val="00256FC1"/>
    <w:rsid w:val="00257227"/>
    <w:rsid w:val="0025741D"/>
    <w:rsid w:val="00257658"/>
    <w:rsid w:val="002577C6"/>
    <w:rsid w:val="0025799F"/>
    <w:rsid w:val="00257BBB"/>
    <w:rsid w:val="00257BE0"/>
    <w:rsid w:val="0026014A"/>
    <w:rsid w:val="00260616"/>
    <w:rsid w:val="00260650"/>
    <w:rsid w:val="00260AC4"/>
    <w:rsid w:val="00260CD4"/>
    <w:rsid w:val="002613A1"/>
    <w:rsid w:val="00261484"/>
    <w:rsid w:val="0026150C"/>
    <w:rsid w:val="0026191A"/>
    <w:rsid w:val="00261945"/>
    <w:rsid w:val="00261A64"/>
    <w:rsid w:val="00261AA6"/>
    <w:rsid w:val="00261E53"/>
    <w:rsid w:val="00261EA4"/>
    <w:rsid w:val="0026281F"/>
    <w:rsid w:val="00262C02"/>
    <w:rsid w:val="00262C10"/>
    <w:rsid w:val="00262D98"/>
    <w:rsid w:val="00262ECE"/>
    <w:rsid w:val="002631FA"/>
    <w:rsid w:val="00263212"/>
    <w:rsid w:val="00263311"/>
    <w:rsid w:val="002636AA"/>
    <w:rsid w:val="002636AE"/>
    <w:rsid w:val="002639C1"/>
    <w:rsid w:val="00263C42"/>
    <w:rsid w:val="00263CBF"/>
    <w:rsid w:val="0026432C"/>
    <w:rsid w:val="00264514"/>
    <w:rsid w:val="00264A7E"/>
    <w:rsid w:val="00264D3E"/>
    <w:rsid w:val="002650EA"/>
    <w:rsid w:val="002650ED"/>
    <w:rsid w:val="002658C5"/>
    <w:rsid w:val="00265970"/>
    <w:rsid w:val="00265AC4"/>
    <w:rsid w:val="002660E2"/>
    <w:rsid w:val="002664D4"/>
    <w:rsid w:val="002667EA"/>
    <w:rsid w:val="002668DA"/>
    <w:rsid w:val="00266D27"/>
    <w:rsid w:val="00267372"/>
    <w:rsid w:val="00267632"/>
    <w:rsid w:val="00267698"/>
    <w:rsid w:val="0026793D"/>
    <w:rsid w:val="00267A4B"/>
    <w:rsid w:val="00267A92"/>
    <w:rsid w:val="00267DE6"/>
    <w:rsid w:val="0027018B"/>
    <w:rsid w:val="00270478"/>
    <w:rsid w:val="0027085F"/>
    <w:rsid w:val="00270A22"/>
    <w:rsid w:val="00270A56"/>
    <w:rsid w:val="00270CE3"/>
    <w:rsid w:val="00270D96"/>
    <w:rsid w:val="0027133B"/>
    <w:rsid w:val="002716F0"/>
    <w:rsid w:val="00271803"/>
    <w:rsid w:val="00271DB0"/>
    <w:rsid w:val="00272087"/>
    <w:rsid w:val="002723AF"/>
    <w:rsid w:val="0027250E"/>
    <w:rsid w:val="002728EA"/>
    <w:rsid w:val="002728F0"/>
    <w:rsid w:val="00272924"/>
    <w:rsid w:val="002729C6"/>
    <w:rsid w:val="00273275"/>
    <w:rsid w:val="0027327E"/>
    <w:rsid w:val="00273A18"/>
    <w:rsid w:val="00273BF6"/>
    <w:rsid w:val="00273E47"/>
    <w:rsid w:val="002746F7"/>
    <w:rsid w:val="00274867"/>
    <w:rsid w:val="00274AC4"/>
    <w:rsid w:val="00274B99"/>
    <w:rsid w:val="00275241"/>
    <w:rsid w:val="0027538A"/>
    <w:rsid w:val="00275C67"/>
    <w:rsid w:val="00275D4E"/>
    <w:rsid w:val="00275DD7"/>
    <w:rsid w:val="00275F4F"/>
    <w:rsid w:val="0027644B"/>
    <w:rsid w:val="0027651F"/>
    <w:rsid w:val="00276856"/>
    <w:rsid w:val="00276980"/>
    <w:rsid w:val="00276D58"/>
    <w:rsid w:val="00277565"/>
    <w:rsid w:val="00277777"/>
    <w:rsid w:val="002778D9"/>
    <w:rsid w:val="00277928"/>
    <w:rsid w:val="00277A58"/>
    <w:rsid w:val="00277BA3"/>
    <w:rsid w:val="00280195"/>
    <w:rsid w:val="00280542"/>
    <w:rsid w:val="002806AB"/>
    <w:rsid w:val="00280DD5"/>
    <w:rsid w:val="00281088"/>
    <w:rsid w:val="00281094"/>
    <w:rsid w:val="00281221"/>
    <w:rsid w:val="002812F1"/>
    <w:rsid w:val="002818CA"/>
    <w:rsid w:val="00281B4B"/>
    <w:rsid w:val="00281B5F"/>
    <w:rsid w:val="00281C77"/>
    <w:rsid w:val="00281CB1"/>
    <w:rsid w:val="00281CE0"/>
    <w:rsid w:val="00281D22"/>
    <w:rsid w:val="00281D9C"/>
    <w:rsid w:val="00282043"/>
    <w:rsid w:val="00282217"/>
    <w:rsid w:val="002822FF"/>
    <w:rsid w:val="00282344"/>
    <w:rsid w:val="002823D6"/>
    <w:rsid w:val="002824B2"/>
    <w:rsid w:val="002824B5"/>
    <w:rsid w:val="002825B9"/>
    <w:rsid w:val="00282E56"/>
    <w:rsid w:val="00283075"/>
    <w:rsid w:val="00283239"/>
    <w:rsid w:val="00283A7D"/>
    <w:rsid w:val="00283CA0"/>
    <w:rsid w:val="00283DD5"/>
    <w:rsid w:val="00283F7B"/>
    <w:rsid w:val="00283FD1"/>
    <w:rsid w:val="002840DC"/>
    <w:rsid w:val="002847C2"/>
    <w:rsid w:val="00284DB2"/>
    <w:rsid w:val="00285147"/>
    <w:rsid w:val="00285990"/>
    <w:rsid w:val="00286077"/>
    <w:rsid w:val="002860A4"/>
    <w:rsid w:val="00286487"/>
    <w:rsid w:val="00286728"/>
    <w:rsid w:val="002869BB"/>
    <w:rsid w:val="00286ACA"/>
    <w:rsid w:val="00286C65"/>
    <w:rsid w:val="00286CCD"/>
    <w:rsid w:val="0028707C"/>
    <w:rsid w:val="0028752C"/>
    <w:rsid w:val="00287578"/>
    <w:rsid w:val="002875E9"/>
    <w:rsid w:val="00287786"/>
    <w:rsid w:val="002877F0"/>
    <w:rsid w:val="0028782F"/>
    <w:rsid w:val="00287A94"/>
    <w:rsid w:val="00287AFF"/>
    <w:rsid w:val="00287E23"/>
    <w:rsid w:val="00287F32"/>
    <w:rsid w:val="00287F6A"/>
    <w:rsid w:val="0029003D"/>
    <w:rsid w:val="00290341"/>
    <w:rsid w:val="00290C6D"/>
    <w:rsid w:val="0029107E"/>
    <w:rsid w:val="00291152"/>
    <w:rsid w:val="0029119D"/>
    <w:rsid w:val="002911EA"/>
    <w:rsid w:val="002915DE"/>
    <w:rsid w:val="002915F3"/>
    <w:rsid w:val="002916B3"/>
    <w:rsid w:val="0029185C"/>
    <w:rsid w:val="002918F8"/>
    <w:rsid w:val="002919A5"/>
    <w:rsid w:val="00291E36"/>
    <w:rsid w:val="00291EC7"/>
    <w:rsid w:val="00292083"/>
    <w:rsid w:val="0029238D"/>
    <w:rsid w:val="0029265C"/>
    <w:rsid w:val="0029289F"/>
    <w:rsid w:val="002928C9"/>
    <w:rsid w:val="00292A13"/>
    <w:rsid w:val="00292B78"/>
    <w:rsid w:val="00292EFD"/>
    <w:rsid w:val="0029326A"/>
    <w:rsid w:val="00293286"/>
    <w:rsid w:val="00293898"/>
    <w:rsid w:val="00293C23"/>
    <w:rsid w:val="00294148"/>
    <w:rsid w:val="002945AD"/>
    <w:rsid w:val="00294790"/>
    <w:rsid w:val="002948F3"/>
    <w:rsid w:val="00294996"/>
    <w:rsid w:val="00294A24"/>
    <w:rsid w:val="00294E27"/>
    <w:rsid w:val="00295547"/>
    <w:rsid w:val="002955DF"/>
    <w:rsid w:val="00295783"/>
    <w:rsid w:val="00295894"/>
    <w:rsid w:val="002962BC"/>
    <w:rsid w:val="002962C2"/>
    <w:rsid w:val="00296690"/>
    <w:rsid w:val="00296803"/>
    <w:rsid w:val="00296996"/>
    <w:rsid w:val="002969AD"/>
    <w:rsid w:val="00297151"/>
    <w:rsid w:val="00297342"/>
    <w:rsid w:val="00297754"/>
    <w:rsid w:val="00297D3F"/>
    <w:rsid w:val="002A0121"/>
    <w:rsid w:val="002A0168"/>
    <w:rsid w:val="002A03A2"/>
    <w:rsid w:val="002A0468"/>
    <w:rsid w:val="002A0565"/>
    <w:rsid w:val="002A088F"/>
    <w:rsid w:val="002A0BEE"/>
    <w:rsid w:val="002A0C64"/>
    <w:rsid w:val="002A0E90"/>
    <w:rsid w:val="002A1030"/>
    <w:rsid w:val="002A1213"/>
    <w:rsid w:val="002A12EB"/>
    <w:rsid w:val="002A14C6"/>
    <w:rsid w:val="002A1949"/>
    <w:rsid w:val="002A19F5"/>
    <w:rsid w:val="002A1B53"/>
    <w:rsid w:val="002A1FD5"/>
    <w:rsid w:val="002A2090"/>
    <w:rsid w:val="002A212F"/>
    <w:rsid w:val="002A2274"/>
    <w:rsid w:val="002A238E"/>
    <w:rsid w:val="002A24CB"/>
    <w:rsid w:val="002A25E8"/>
    <w:rsid w:val="002A2656"/>
    <w:rsid w:val="002A2976"/>
    <w:rsid w:val="002A2C62"/>
    <w:rsid w:val="002A2D2D"/>
    <w:rsid w:val="002A2EC1"/>
    <w:rsid w:val="002A2F42"/>
    <w:rsid w:val="002A3087"/>
    <w:rsid w:val="002A30C5"/>
    <w:rsid w:val="002A3344"/>
    <w:rsid w:val="002A3580"/>
    <w:rsid w:val="002A37DB"/>
    <w:rsid w:val="002A3CAC"/>
    <w:rsid w:val="002A3FF2"/>
    <w:rsid w:val="002A476D"/>
    <w:rsid w:val="002A4D85"/>
    <w:rsid w:val="002A4E81"/>
    <w:rsid w:val="002A4EBE"/>
    <w:rsid w:val="002A50A5"/>
    <w:rsid w:val="002A517F"/>
    <w:rsid w:val="002A52CD"/>
    <w:rsid w:val="002A58A3"/>
    <w:rsid w:val="002A58CB"/>
    <w:rsid w:val="002A5A8D"/>
    <w:rsid w:val="002A5A8E"/>
    <w:rsid w:val="002A5D5B"/>
    <w:rsid w:val="002A64F6"/>
    <w:rsid w:val="002A6643"/>
    <w:rsid w:val="002A6900"/>
    <w:rsid w:val="002A6A20"/>
    <w:rsid w:val="002A6B80"/>
    <w:rsid w:val="002A6BF5"/>
    <w:rsid w:val="002A7158"/>
    <w:rsid w:val="002A71FA"/>
    <w:rsid w:val="002A728D"/>
    <w:rsid w:val="002A7477"/>
    <w:rsid w:val="002A7669"/>
    <w:rsid w:val="002A76B6"/>
    <w:rsid w:val="002A7B6C"/>
    <w:rsid w:val="002B0254"/>
    <w:rsid w:val="002B0618"/>
    <w:rsid w:val="002B0906"/>
    <w:rsid w:val="002B108A"/>
    <w:rsid w:val="002B11C0"/>
    <w:rsid w:val="002B131B"/>
    <w:rsid w:val="002B1391"/>
    <w:rsid w:val="002B1985"/>
    <w:rsid w:val="002B1B66"/>
    <w:rsid w:val="002B1BDF"/>
    <w:rsid w:val="002B1EA5"/>
    <w:rsid w:val="002B1FD9"/>
    <w:rsid w:val="002B2147"/>
    <w:rsid w:val="002B2224"/>
    <w:rsid w:val="002B2336"/>
    <w:rsid w:val="002B2581"/>
    <w:rsid w:val="002B2680"/>
    <w:rsid w:val="002B26F1"/>
    <w:rsid w:val="002B27A8"/>
    <w:rsid w:val="002B27FF"/>
    <w:rsid w:val="002B29BE"/>
    <w:rsid w:val="002B2AF0"/>
    <w:rsid w:val="002B2C0C"/>
    <w:rsid w:val="002B2C5B"/>
    <w:rsid w:val="002B2D8D"/>
    <w:rsid w:val="002B35B6"/>
    <w:rsid w:val="002B382B"/>
    <w:rsid w:val="002B3A39"/>
    <w:rsid w:val="002B3F87"/>
    <w:rsid w:val="002B42ED"/>
    <w:rsid w:val="002B4426"/>
    <w:rsid w:val="002B44FD"/>
    <w:rsid w:val="002B4C79"/>
    <w:rsid w:val="002B4D80"/>
    <w:rsid w:val="002B4F84"/>
    <w:rsid w:val="002B54AD"/>
    <w:rsid w:val="002B55D6"/>
    <w:rsid w:val="002B56C9"/>
    <w:rsid w:val="002B58C7"/>
    <w:rsid w:val="002B5AED"/>
    <w:rsid w:val="002B5DF1"/>
    <w:rsid w:val="002B5F81"/>
    <w:rsid w:val="002B62BE"/>
    <w:rsid w:val="002B62FE"/>
    <w:rsid w:val="002B63E7"/>
    <w:rsid w:val="002B6581"/>
    <w:rsid w:val="002B6AA2"/>
    <w:rsid w:val="002B6C06"/>
    <w:rsid w:val="002B6F56"/>
    <w:rsid w:val="002B7103"/>
    <w:rsid w:val="002B7A04"/>
    <w:rsid w:val="002B7A8D"/>
    <w:rsid w:val="002B7BC0"/>
    <w:rsid w:val="002B7F2E"/>
    <w:rsid w:val="002C0002"/>
    <w:rsid w:val="002C0005"/>
    <w:rsid w:val="002C03FC"/>
    <w:rsid w:val="002C0416"/>
    <w:rsid w:val="002C0548"/>
    <w:rsid w:val="002C06A6"/>
    <w:rsid w:val="002C081D"/>
    <w:rsid w:val="002C08F6"/>
    <w:rsid w:val="002C0A91"/>
    <w:rsid w:val="002C0DA8"/>
    <w:rsid w:val="002C0F7F"/>
    <w:rsid w:val="002C10DC"/>
    <w:rsid w:val="002C119B"/>
    <w:rsid w:val="002C1616"/>
    <w:rsid w:val="002C161D"/>
    <w:rsid w:val="002C177B"/>
    <w:rsid w:val="002C188C"/>
    <w:rsid w:val="002C1A3C"/>
    <w:rsid w:val="002C2846"/>
    <w:rsid w:val="002C2C18"/>
    <w:rsid w:val="002C3023"/>
    <w:rsid w:val="002C364D"/>
    <w:rsid w:val="002C37AB"/>
    <w:rsid w:val="002C3852"/>
    <w:rsid w:val="002C3857"/>
    <w:rsid w:val="002C3ABC"/>
    <w:rsid w:val="002C3B37"/>
    <w:rsid w:val="002C3D4C"/>
    <w:rsid w:val="002C444F"/>
    <w:rsid w:val="002C452C"/>
    <w:rsid w:val="002C4554"/>
    <w:rsid w:val="002C460A"/>
    <w:rsid w:val="002C472D"/>
    <w:rsid w:val="002C4F73"/>
    <w:rsid w:val="002C538D"/>
    <w:rsid w:val="002C547A"/>
    <w:rsid w:val="002C569F"/>
    <w:rsid w:val="002C5A2C"/>
    <w:rsid w:val="002C5F95"/>
    <w:rsid w:val="002C63DE"/>
    <w:rsid w:val="002C6662"/>
    <w:rsid w:val="002C6711"/>
    <w:rsid w:val="002C6784"/>
    <w:rsid w:val="002C6C68"/>
    <w:rsid w:val="002C6D59"/>
    <w:rsid w:val="002C6E8C"/>
    <w:rsid w:val="002C75F6"/>
    <w:rsid w:val="002C7736"/>
    <w:rsid w:val="002C782E"/>
    <w:rsid w:val="002C7AC6"/>
    <w:rsid w:val="002C7C6A"/>
    <w:rsid w:val="002D03FA"/>
    <w:rsid w:val="002D0769"/>
    <w:rsid w:val="002D0924"/>
    <w:rsid w:val="002D0BBF"/>
    <w:rsid w:val="002D0BDD"/>
    <w:rsid w:val="002D0EF2"/>
    <w:rsid w:val="002D146A"/>
    <w:rsid w:val="002D1C03"/>
    <w:rsid w:val="002D22EF"/>
    <w:rsid w:val="002D24D0"/>
    <w:rsid w:val="002D2544"/>
    <w:rsid w:val="002D2D8A"/>
    <w:rsid w:val="002D32F2"/>
    <w:rsid w:val="002D35BD"/>
    <w:rsid w:val="002D3684"/>
    <w:rsid w:val="002D3A78"/>
    <w:rsid w:val="002D3BAE"/>
    <w:rsid w:val="002D3EA9"/>
    <w:rsid w:val="002D3F75"/>
    <w:rsid w:val="002D4148"/>
    <w:rsid w:val="002D4276"/>
    <w:rsid w:val="002D4383"/>
    <w:rsid w:val="002D46F7"/>
    <w:rsid w:val="002D4A81"/>
    <w:rsid w:val="002D4B09"/>
    <w:rsid w:val="002D4B30"/>
    <w:rsid w:val="002D4D11"/>
    <w:rsid w:val="002D4D98"/>
    <w:rsid w:val="002D5722"/>
    <w:rsid w:val="002D582C"/>
    <w:rsid w:val="002D5B2A"/>
    <w:rsid w:val="002D5D54"/>
    <w:rsid w:val="002D5D7B"/>
    <w:rsid w:val="002D5D8F"/>
    <w:rsid w:val="002D5DB7"/>
    <w:rsid w:val="002D5DE4"/>
    <w:rsid w:val="002D62D0"/>
    <w:rsid w:val="002D6751"/>
    <w:rsid w:val="002D67E2"/>
    <w:rsid w:val="002D708B"/>
    <w:rsid w:val="002D7224"/>
    <w:rsid w:val="002D72B4"/>
    <w:rsid w:val="002D771D"/>
    <w:rsid w:val="002D7783"/>
    <w:rsid w:val="002D7C98"/>
    <w:rsid w:val="002E05FB"/>
    <w:rsid w:val="002E0711"/>
    <w:rsid w:val="002E077C"/>
    <w:rsid w:val="002E0D36"/>
    <w:rsid w:val="002E10AC"/>
    <w:rsid w:val="002E1483"/>
    <w:rsid w:val="002E14CC"/>
    <w:rsid w:val="002E1819"/>
    <w:rsid w:val="002E19B9"/>
    <w:rsid w:val="002E1CEF"/>
    <w:rsid w:val="002E22C8"/>
    <w:rsid w:val="002E2448"/>
    <w:rsid w:val="002E267B"/>
    <w:rsid w:val="002E2709"/>
    <w:rsid w:val="002E3127"/>
    <w:rsid w:val="002E370A"/>
    <w:rsid w:val="002E39AC"/>
    <w:rsid w:val="002E3C98"/>
    <w:rsid w:val="002E3E0F"/>
    <w:rsid w:val="002E3F1E"/>
    <w:rsid w:val="002E43C5"/>
    <w:rsid w:val="002E491F"/>
    <w:rsid w:val="002E4DC5"/>
    <w:rsid w:val="002E4FA3"/>
    <w:rsid w:val="002E5007"/>
    <w:rsid w:val="002E5737"/>
    <w:rsid w:val="002E5769"/>
    <w:rsid w:val="002E59DA"/>
    <w:rsid w:val="002E5B22"/>
    <w:rsid w:val="002E5FED"/>
    <w:rsid w:val="002E63A5"/>
    <w:rsid w:val="002E6571"/>
    <w:rsid w:val="002E6766"/>
    <w:rsid w:val="002E6961"/>
    <w:rsid w:val="002E6C85"/>
    <w:rsid w:val="002E6F53"/>
    <w:rsid w:val="002E722C"/>
    <w:rsid w:val="002E7358"/>
    <w:rsid w:val="002E74D5"/>
    <w:rsid w:val="002E79B2"/>
    <w:rsid w:val="002F0280"/>
    <w:rsid w:val="002F02C4"/>
    <w:rsid w:val="002F044B"/>
    <w:rsid w:val="002F070D"/>
    <w:rsid w:val="002F0B00"/>
    <w:rsid w:val="002F0D50"/>
    <w:rsid w:val="002F0DAE"/>
    <w:rsid w:val="002F100B"/>
    <w:rsid w:val="002F17B3"/>
    <w:rsid w:val="002F19CC"/>
    <w:rsid w:val="002F2121"/>
    <w:rsid w:val="002F22FA"/>
    <w:rsid w:val="002F26E6"/>
    <w:rsid w:val="002F270A"/>
    <w:rsid w:val="002F281E"/>
    <w:rsid w:val="002F29D0"/>
    <w:rsid w:val="002F2A74"/>
    <w:rsid w:val="002F2B68"/>
    <w:rsid w:val="002F301B"/>
    <w:rsid w:val="002F32CC"/>
    <w:rsid w:val="002F344B"/>
    <w:rsid w:val="002F353D"/>
    <w:rsid w:val="002F3C7B"/>
    <w:rsid w:val="002F3FDD"/>
    <w:rsid w:val="002F4005"/>
    <w:rsid w:val="002F40B4"/>
    <w:rsid w:val="002F42F3"/>
    <w:rsid w:val="002F45E6"/>
    <w:rsid w:val="002F47BD"/>
    <w:rsid w:val="002F4808"/>
    <w:rsid w:val="002F4BC3"/>
    <w:rsid w:val="002F53B9"/>
    <w:rsid w:val="002F55A1"/>
    <w:rsid w:val="002F632E"/>
    <w:rsid w:val="002F63A2"/>
    <w:rsid w:val="002F650E"/>
    <w:rsid w:val="002F6BEA"/>
    <w:rsid w:val="002F6EAF"/>
    <w:rsid w:val="002F7199"/>
    <w:rsid w:val="002F72D5"/>
    <w:rsid w:val="002F7366"/>
    <w:rsid w:val="002F7722"/>
    <w:rsid w:val="002F7EC8"/>
    <w:rsid w:val="0030006C"/>
    <w:rsid w:val="003001BB"/>
    <w:rsid w:val="003001EE"/>
    <w:rsid w:val="0030067D"/>
    <w:rsid w:val="00300731"/>
    <w:rsid w:val="0030092A"/>
    <w:rsid w:val="0030093A"/>
    <w:rsid w:val="003009A8"/>
    <w:rsid w:val="0030154C"/>
    <w:rsid w:val="003016E5"/>
    <w:rsid w:val="00301727"/>
    <w:rsid w:val="00301760"/>
    <w:rsid w:val="003017D5"/>
    <w:rsid w:val="00301AB9"/>
    <w:rsid w:val="00301CC7"/>
    <w:rsid w:val="003020CE"/>
    <w:rsid w:val="00302187"/>
    <w:rsid w:val="003022EC"/>
    <w:rsid w:val="0030258C"/>
    <w:rsid w:val="00302D08"/>
    <w:rsid w:val="003035D2"/>
    <w:rsid w:val="0030368B"/>
    <w:rsid w:val="0030390F"/>
    <w:rsid w:val="00303AA0"/>
    <w:rsid w:val="00303CD1"/>
    <w:rsid w:val="00304101"/>
    <w:rsid w:val="00304161"/>
    <w:rsid w:val="0030478A"/>
    <w:rsid w:val="00304EF2"/>
    <w:rsid w:val="003050D7"/>
    <w:rsid w:val="003050E3"/>
    <w:rsid w:val="003052D0"/>
    <w:rsid w:val="0030565B"/>
    <w:rsid w:val="00305692"/>
    <w:rsid w:val="00305A76"/>
    <w:rsid w:val="00305BE5"/>
    <w:rsid w:val="00305E91"/>
    <w:rsid w:val="00306098"/>
    <w:rsid w:val="0030673D"/>
    <w:rsid w:val="003067BE"/>
    <w:rsid w:val="003067DB"/>
    <w:rsid w:val="00306998"/>
    <w:rsid w:val="00306A66"/>
    <w:rsid w:val="00306BF0"/>
    <w:rsid w:val="00306EA2"/>
    <w:rsid w:val="003072D2"/>
    <w:rsid w:val="00307362"/>
    <w:rsid w:val="0030751D"/>
    <w:rsid w:val="00307900"/>
    <w:rsid w:val="00307C3C"/>
    <w:rsid w:val="00307CCF"/>
    <w:rsid w:val="00310042"/>
    <w:rsid w:val="00310182"/>
    <w:rsid w:val="003103E9"/>
    <w:rsid w:val="00310919"/>
    <w:rsid w:val="00310AC8"/>
    <w:rsid w:val="00311563"/>
    <w:rsid w:val="0031167B"/>
    <w:rsid w:val="003116E7"/>
    <w:rsid w:val="00311792"/>
    <w:rsid w:val="00311854"/>
    <w:rsid w:val="00311952"/>
    <w:rsid w:val="00311B43"/>
    <w:rsid w:val="00311C5C"/>
    <w:rsid w:val="00312266"/>
    <w:rsid w:val="00312281"/>
    <w:rsid w:val="00312542"/>
    <w:rsid w:val="003125AC"/>
    <w:rsid w:val="00312902"/>
    <w:rsid w:val="003131A7"/>
    <w:rsid w:val="0031321F"/>
    <w:rsid w:val="00313459"/>
    <w:rsid w:val="00313472"/>
    <w:rsid w:val="00313476"/>
    <w:rsid w:val="003136FC"/>
    <w:rsid w:val="003138EF"/>
    <w:rsid w:val="00313A2E"/>
    <w:rsid w:val="00313F07"/>
    <w:rsid w:val="0031457F"/>
    <w:rsid w:val="003145B2"/>
    <w:rsid w:val="00314BC7"/>
    <w:rsid w:val="00314CAF"/>
    <w:rsid w:val="003150ED"/>
    <w:rsid w:val="00315303"/>
    <w:rsid w:val="0031565A"/>
    <w:rsid w:val="00315784"/>
    <w:rsid w:val="00315A0C"/>
    <w:rsid w:val="00315A3D"/>
    <w:rsid w:val="00315DF0"/>
    <w:rsid w:val="00315E91"/>
    <w:rsid w:val="00315F7B"/>
    <w:rsid w:val="00316211"/>
    <w:rsid w:val="003167BA"/>
    <w:rsid w:val="003168DF"/>
    <w:rsid w:val="00317047"/>
    <w:rsid w:val="003172AE"/>
    <w:rsid w:val="003172E2"/>
    <w:rsid w:val="00317480"/>
    <w:rsid w:val="00317B3C"/>
    <w:rsid w:val="00317C44"/>
    <w:rsid w:val="00317ED1"/>
    <w:rsid w:val="00320172"/>
    <w:rsid w:val="003206BA"/>
    <w:rsid w:val="00320756"/>
    <w:rsid w:val="00320F71"/>
    <w:rsid w:val="0032123A"/>
    <w:rsid w:val="00321355"/>
    <w:rsid w:val="00321671"/>
    <w:rsid w:val="0032187C"/>
    <w:rsid w:val="00321BE7"/>
    <w:rsid w:val="00321BF6"/>
    <w:rsid w:val="003226D8"/>
    <w:rsid w:val="0032275A"/>
    <w:rsid w:val="00322BA4"/>
    <w:rsid w:val="00322CB9"/>
    <w:rsid w:val="00322D41"/>
    <w:rsid w:val="00323250"/>
    <w:rsid w:val="003235C2"/>
    <w:rsid w:val="00323793"/>
    <w:rsid w:val="00323C19"/>
    <w:rsid w:val="00323D86"/>
    <w:rsid w:val="00324065"/>
    <w:rsid w:val="0032418D"/>
    <w:rsid w:val="0032439A"/>
    <w:rsid w:val="00324510"/>
    <w:rsid w:val="0032494B"/>
    <w:rsid w:val="0032502A"/>
    <w:rsid w:val="003256FA"/>
    <w:rsid w:val="0032571F"/>
    <w:rsid w:val="00325A12"/>
    <w:rsid w:val="003265AC"/>
    <w:rsid w:val="00326792"/>
    <w:rsid w:val="003268CC"/>
    <w:rsid w:val="00326B92"/>
    <w:rsid w:val="00326D83"/>
    <w:rsid w:val="00326EFA"/>
    <w:rsid w:val="0032749E"/>
    <w:rsid w:val="00327679"/>
    <w:rsid w:val="00327B43"/>
    <w:rsid w:val="00330762"/>
    <w:rsid w:val="00330819"/>
    <w:rsid w:val="00330821"/>
    <w:rsid w:val="00330858"/>
    <w:rsid w:val="003309F5"/>
    <w:rsid w:val="00330B51"/>
    <w:rsid w:val="00330B62"/>
    <w:rsid w:val="00330C16"/>
    <w:rsid w:val="00330F88"/>
    <w:rsid w:val="0033104E"/>
    <w:rsid w:val="00331409"/>
    <w:rsid w:val="00331586"/>
    <w:rsid w:val="00331832"/>
    <w:rsid w:val="00331CB0"/>
    <w:rsid w:val="00331F1C"/>
    <w:rsid w:val="0033206D"/>
    <w:rsid w:val="003321E8"/>
    <w:rsid w:val="00332271"/>
    <w:rsid w:val="0033243B"/>
    <w:rsid w:val="003324D2"/>
    <w:rsid w:val="0033287C"/>
    <w:rsid w:val="00332EC4"/>
    <w:rsid w:val="003334D3"/>
    <w:rsid w:val="00333563"/>
    <w:rsid w:val="0033378D"/>
    <w:rsid w:val="00333A6A"/>
    <w:rsid w:val="00333B6E"/>
    <w:rsid w:val="00333E4E"/>
    <w:rsid w:val="00333EEB"/>
    <w:rsid w:val="00334283"/>
    <w:rsid w:val="00334718"/>
    <w:rsid w:val="003347D9"/>
    <w:rsid w:val="00334B07"/>
    <w:rsid w:val="00334BBD"/>
    <w:rsid w:val="00334C4A"/>
    <w:rsid w:val="00334C4D"/>
    <w:rsid w:val="003351D9"/>
    <w:rsid w:val="00335417"/>
    <w:rsid w:val="00335686"/>
    <w:rsid w:val="00335738"/>
    <w:rsid w:val="003359B7"/>
    <w:rsid w:val="00335C2D"/>
    <w:rsid w:val="00335FE3"/>
    <w:rsid w:val="003360DE"/>
    <w:rsid w:val="00336416"/>
    <w:rsid w:val="00336662"/>
    <w:rsid w:val="0033667C"/>
    <w:rsid w:val="00336885"/>
    <w:rsid w:val="00336CCB"/>
    <w:rsid w:val="00337E35"/>
    <w:rsid w:val="003402A4"/>
    <w:rsid w:val="00340303"/>
    <w:rsid w:val="0034069C"/>
    <w:rsid w:val="00340EA0"/>
    <w:rsid w:val="00341846"/>
    <w:rsid w:val="00341894"/>
    <w:rsid w:val="00342305"/>
    <w:rsid w:val="003424FE"/>
    <w:rsid w:val="003425CD"/>
    <w:rsid w:val="00342737"/>
    <w:rsid w:val="003427E6"/>
    <w:rsid w:val="00342A4F"/>
    <w:rsid w:val="00342C0E"/>
    <w:rsid w:val="00342CC2"/>
    <w:rsid w:val="00343042"/>
    <w:rsid w:val="00343090"/>
    <w:rsid w:val="0034328B"/>
    <w:rsid w:val="00343821"/>
    <w:rsid w:val="00343994"/>
    <w:rsid w:val="00343E99"/>
    <w:rsid w:val="00344009"/>
    <w:rsid w:val="00344CBB"/>
    <w:rsid w:val="00344F66"/>
    <w:rsid w:val="00344F71"/>
    <w:rsid w:val="00345187"/>
    <w:rsid w:val="00345DAE"/>
    <w:rsid w:val="003460D6"/>
    <w:rsid w:val="0034610F"/>
    <w:rsid w:val="003463CE"/>
    <w:rsid w:val="00346416"/>
    <w:rsid w:val="00346AC2"/>
    <w:rsid w:val="00346B38"/>
    <w:rsid w:val="00346EBF"/>
    <w:rsid w:val="00346ECE"/>
    <w:rsid w:val="00347692"/>
    <w:rsid w:val="00347923"/>
    <w:rsid w:val="003479F4"/>
    <w:rsid w:val="00347AB3"/>
    <w:rsid w:val="00347EE1"/>
    <w:rsid w:val="003501A6"/>
    <w:rsid w:val="00350320"/>
    <w:rsid w:val="003504EA"/>
    <w:rsid w:val="00350561"/>
    <w:rsid w:val="00350BD5"/>
    <w:rsid w:val="00350C29"/>
    <w:rsid w:val="00350E57"/>
    <w:rsid w:val="00350F0A"/>
    <w:rsid w:val="00350F93"/>
    <w:rsid w:val="003517DA"/>
    <w:rsid w:val="00351B73"/>
    <w:rsid w:val="00351E16"/>
    <w:rsid w:val="003521D4"/>
    <w:rsid w:val="0035225C"/>
    <w:rsid w:val="00352297"/>
    <w:rsid w:val="0035253A"/>
    <w:rsid w:val="0035254B"/>
    <w:rsid w:val="00352D45"/>
    <w:rsid w:val="00352D6E"/>
    <w:rsid w:val="00353025"/>
    <w:rsid w:val="00353050"/>
    <w:rsid w:val="00353063"/>
    <w:rsid w:val="00353164"/>
    <w:rsid w:val="0035344B"/>
    <w:rsid w:val="003534B2"/>
    <w:rsid w:val="00353514"/>
    <w:rsid w:val="0035354C"/>
    <w:rsid w:val="00353869"/>
    <w:rsid w:val="003538B9"/>
    <w:rsid w:val="00353B93"/>
    <w:rsid w:val="00353C4B"/>
    <w:rsid w:val="00353D4B"/>
    <w:rsid w:val="00353F26"/>
    <w:rsid w:val="00353F85"/>
    <w:rsid w:val="003546B2"/>
    <w:rsid w:val="00354771"/>
    <w:rsid w:val="003547E2"/>
    <w:rsid w:val="00354D5C"/>
    <w:rsid w:val="00355484"/>
    <w:rsid w:val="00355B6B"/>
    <w:rsid w:val="00355EB4"/>
    <w:rsid w:val="00355F07"/>
    <w:rsid w:val="003566D3"/>
    <w:rsid w:val="00356C93"/>
    <w:rsid w:val="0035711F"/>
    <w:rsid w:val="003575EF"/>
    <w:rsid w:val="003576DB"/>
    <w:rsid w:val="00357E15"/>
    <w:rsid w:val="00360584"/>
    <w:rsid w:val="00360A0B"/>
    <w:rsid w:val="00360DFD"/>
    <w:rsid w:val="00361036"/>
    <w:rsid w:val="00361156"/>
    <w:rsid w:val="00361808"/>
    <w:rsid w:val="00361BF1"/>
    <w:rsid w:val="00361BFF"/>
    <w:rsid w:val="003624A3"/>
    <w:rsid w:val="003627EB"/>
    <w:rsid w:val="00362813"/>
    <w:rsid w:val="00362B10"/>
    <w:rsid w:val="00362C79"/>
    <w:rsid w:val="0036317D"/>
    <w:rsid w:val="00363833"/>
    <w:rsid w:val="003638E4"/>
    <w:rsid w:val="003639C0"/>
    <w:rsid w:val="00363A5B"/>
    <w:rsid w:val="00363ABA"/>
    <w:rsid w:val="00363ADF"/>
    <w:rsid w:val="00364308"/>
    <w:rsid w:val="003643DA"/>
    <w:rsid w:val="003649AD"/>
    <w:rsid w:val="00364C39"/>
    <w:rsid w:val="00364C6B"/>
    <w:rsid w:val="00364C7F"/>
    <w:rsid w:val="00364CA5"/>
    <w:rsid w:val="00364D89"/>
    <w:rsid w:val="00364F2D"/>
    <w:rsid w:val="00365C8F"/>
    <w:rsid w:val="00365DBB"/>
    <w:rsid w:val="00365E93"/>
    <w:rsid w:val="003660F4"/>
    <w:rsid w:val="003661F5"/>
    <w:rsid w:val="003661FE"/>
    <w:rsid w:val="0036620F"/>
    <w:rsid w:val="00366316"/>
    <w:rsid w:val="003664C4"/>
    <w:rsid w:val="003664FF"/>
    <w:rsid w:val="0036654B"/>
    <w:rsid w:val="0036687B"/>
    <w:rsid w:val="00366A8A"/>
    <w:rsid w:val="00366D4C"/>
    <w:rsid w:val="003676C9"/>
    <w:rsid w:val="00367EC6"/>
    <w:rsid w:val="00370303"/>
    <w:rsid w:val="0037033F"/>
    <w:rsid w:val="00370347"/>
    <w:rsid w:val="003706CD"/>
    <w:rsid w:val="0037076D"/>
    <w:rsid w:val="003709A6"/>
    <w:rsid w:val="00370AF8"/>
    <w:rsid w:val="00370FEF"/>
    <w:rsid w:val="00371411"/>
    <w:rsid w:val="00371802"/>
    <w:rsid w:val="00371829"/>
    <w:rsid w:val="00371848"/>
    <w:rsid w:val="00371FAC"/>
    <w:rsid w:val="00372429"/>
    <w:rsid w:val="00372559"/>
    <w:rsid w:val="00372A0E"/>
    <w:rsid w:val="00373561"/>
    <w:rsid w:val="003735E0"/>
    <w:rsid w:val="0037365C"/>
    <w:rsid w:val="003736EE"/>
    <w:rsid w:val="00373C28"/>
    <w:rsid w:val="00373D1F"/>
    <w:rsid w:val="00373DC4"/>
    <w:rsid w:val="00373FBD"/>
    <w:rsid w:val="00374009"/>
    <w:rsid w:val="00374480"/>
    <w:rsid w:val="003744BE"/>
    <w:rsid w:val="003744CA"/>
    <w:rsid w:val="00374966"/>
    <w:rsid w:val="00374C15"/>
    <w:rsid w:val="00374E89"/>
    <w:rsid w:val="00375078"/>
    <w:rsid w:val="00375610"/>
    <w:rsid w:val="00375833"/>
    <w:rsid w:val="0037589F"/>
    <w:rsid w:val="00375B0D"/>
    <w:rsid w:val="00375CE0"/>
    <w:rsid w:val="00375D6D"/>
    <w:rsid w:val="00375FED"/>
    <w:rsid w:val="00376241"/>
    <w:rsid w:val="0037642E"/>
    <w:rsid w:val="0037647E"/>
    <w:rsid w:val="00376527"/>
    <w:rsid w:val="003765C4"/>
    <w:rsid w:val="00376601"/>
    <w:rsid w:val="00376965"/>
    <w:rsid w:val="00376ACC"/>
    <w:rsid w:val="00376CB1"/>
    <w:rsid w:val="00377AC5"/>
    <w:rsid w:val="00380400"/>
    <w:rsid w:val="00380476"/>
    <w:rsid w:val="00380625"/>
    <w:rsid w:val="003806FD"/>
    <w:rsid w:val="00380DFD"/>
    <w:rsid w:val="0038188B"/>
    <w:rsid w:val="00381D3E"/>
    <w:rsid w:val="003823E2"/>
    <w:rsid w:val="0038285A"/>
    <w:rsid w:val="00382A8A"/>
    <w:rsid w:val="00382BEE"/>
    <w:rsid w:val="00382CCD"/>
    <w:rsid w:val="0038311F"/>
    <w:rsid w:val="00383123"/>
    <w:rsid w:val="00383171"/>
    <w:rsid w:val="00383229"/>
    <w:rsid w:val="0038335A"/>
    <w:rsid w:val="003833E9"/>
    <w:rsid w:val="0038370B"/>
    <w:rsid w:val="00383724"/>
    <w:rsid w:val="00383981"/>
    <w:rsid w:val="00383A20"/>
    <w:rsid w:val="00383D76"/>
    <w:rsid w:val="00384211"/>
    <w:rsid w:val="00384A27"/>
    <w:rsid w:val="00384C1A"/>
    <w:rsid w:val="00384D57"/>
    <w:rsid w:val="00385C46"/>
    <w:rsid w:val="00385D26"/>
    <w:rsid w:val="00385FDE"/>
    <w:rsid w:val="003866DF"/>
    <w:rsid w:val="00386CB8"/>
    <w:rsid w:val="00386E0D"/>
    <w:rsid w:val="00386E2A"/>
    <w:rsid w:val="00386E2F"/>
    <w:rsid w:val="00386FC4"/>
    <w:rsid w:val="00387505"/>
    <w:rsid w:val="00387529"/>
    <w:rsid w:val="0038764F"/>
    <w:rsid w:val="00387A49"/>
    <w:rsid w:val="00387F09"/>
    <w:rsid w:val="00387FB4"/>
    <w:rsid w:val="0039023C"/>
    <w:rsid w:val="0039029A"/>
    <w:rsid w:val="003908C2"/>
    <w:rsid w:val="00390F1A"/>
    <w:rsid w:val="0039137C"/>
    <w:rsid w:val="00391642"/>
    <w:rsid w:val="00391656"/>
    <w:rsid w:val="00391816"/>
    <w:rsid w:val="00391903"/>
    <w:rsid w:val="00391C5E"/>
    <w:rsid w:val="00391C8B"/>
    <w:rsid w:val="00391CBC"/>
    <w:rsid w:val="00391F6D"/>
    <w:rsid w:val="0039207C"/>
    <w:rsid w:val="00392225"/>
    <w:rsid w:val="003924CF"/>
    <w:rsid w:val="00392606"/>
    <w:rsid w:val="003929CD"/>
    <w:rsid w:val="003938CD"/>
    <w:rsid w:val="0039391D"/>
    <w:rsid w:val="00393BF4"/>
    <w:rsid w:val="00393C36"/>
    <w:rsid w:val="00393D23"/>
    <w:rsid w:val="00393DDC"/>
    <w:rsid w:val="003946F3"/>
    <w:rsid w:val="00394864"/>
    <w:rsid w:val="003952BC"/>
    <w:rsid w:val="00395757"/>
    <w:rsid w:val="00395D74"/>
    <w:rsid w:val="00396273"/>
    <w:rsid w:val="003967F9"/>
    <w:rsid w:val="00396865"/>
    <w:rsid w:val="003968F0"/>
    <w:rsid w:val="0039693A"/>
    <w:rsid w:val="00396D5B"/>
    <w:rsid w:val="00396E4B"/>
    <w:rsid w:val="0039796B"/>
    <w:rsid w:val="00397F9F"/>
    <w:rsid w:val="003A00BC"/>
    <w:rsid w:val="003A0508"/>
    <w:rsid w:val="003A07D5"/>
    <w:rsid w:val="003A094A"/>
    <w:rsid w:val="003A0E96"/>
    <w:rsid w:val="003A0F4D"/>
    <w:rsid w:val="003A1126"/>
    <w:rsid w:val="003A18DA"/>
    <w:rsid w:val="003A1DDB"/>
    <w:rsid w:val="003A1EDB"/>
    <w:rsid w:val="003A200C"/>
    <w:rsid w:val="003A2148"/>
    <w:rsid w:val="003A228E"/>
    <w:rsid w:val="003A256A"/>
    <w:rsid w:val="003A25DF"/>
    <w:rsid w:val="003A26BC"/>
    <w:rsid w:val="003A29F5"/>
    <w:rsid w:val="003A2AEA"/>
    <w:rsid w:val="003A2D3D"/>
    <w:rsid w:val="003A3190"/>
    <w:rsid w:val="003A32B9"/>
    <w:rsid w:val="003A3377"/>
    <w:rsid w:val="003A350F"/>
    <w:rsid w:val="003A3C3A"/>
    <w:rsid w:val="003A3E80"/>
    <w:rsid w:val="003A4002"/>
    <w:rsid w:val="003A4502"/>
    <w:rsid w:val="003A465B"/>
    <w:rsid w:val="003A4839"/>
    <w:rsid w:val="003A4850"/>
    <w:rsid w:val="003A4B1A"/>
    <w:rsid w:val="003A4CF8"/>
    <w:rsid w:val="003A4DB3"/>
    <w:rsid w:val="003A4EF3"/>
    <w:rsid w:val="003A50A9"/>
    <w:rsid w:val="003A53CD"/>
    <w:rsid w:val="003A5470"/>
    <w:rsid w:val="003A5C13"/>
    <w:rsid w:val="003A5EC5"/>
    <w:rsid w:val="003A6405"/>
    <w:rsid w:val="003A6680"/>
    <w:rsid w:val="003A7438"/>
    <w:rsid w:val="003A76F7"/>
    <w:rsid w:val="003A780C"/>
    <w:rsid w:val="003A78BD"/>
    <w:rsid w:val="003A7B43"/>
    <w:rsid w:val="003A7B63"/>
    <w:rsid w:val="003A7CD4"/>
    <w:rsid w:val="003A7F1D"/>
    <w:rsid w:val="003A7FA6"/>
    <w:rsid w:val="003B01A0"/>
    <w:rsid w:val="003B029A"/>
    <w:rsid w:val="003B02B1"/>
    <w:rsid w:val="003B05E7"/>
    <w:rsid w:val="003B0A8A"/>
    <w:rsid w:val="003B0BE1"/>
    <w:rsid w:val="003B0DCC"/>
    <w:rsid w:val="003B1546"/>
    <w:rsid w:val="003B1832"/>
    <w:rsid w:val="003B1833"/>
    <w:rsid w:val="003B1A02"/>
    <w:rsid w:val="003B1B4F"/>
    <w:rsid w:val="003B1C1D"/>
    <w:rsid w:val="003B1D8A"/>
    <w:rsid w:val="003B1FB9"/>
    <w:rsid w:val="003B20AB"/>
    <w:rsid w:val="003B22A8"/>
    <w:rsid w:val="003B2D3C"/>
    <w:rsid w:val="003B317B"/>
    <w:rsid w:val="003B3409"/>
    <w:rsid w:val="003B35CD"/>
    <w:rsid w:val="003B3792"/>
    <w:rsid w:val="003B3BB2"/>
    <w:rsid w:val="003B3C00"/>
    <w:rsid w:val="003B3F76"/>
    <w:rsid w:val="003B4124"/>
    <w:rsid w:val="003B48D6"/>
    <w:rsid w:val="003B4A1E"/>
    <w:rsid w:val="003B4F41"/>
    <w:rsid w:val="003B50B1"/>
    <w:rsid w:val="003B51F4"/>
    <w:rsid w:val="003B55E3"/>
    <w:rsid w:val="003B5E35"/>
    <w:rsid w:val="003B6217"/>
    <w:rsid w:val="003B639F"/>
    <w:rsid w:val="003B68D1"/>
    <w:rsid w:val="003B6AAB"/>
    <w:rsid w:val="003B6E06"/>
    <w:rsid w:val="003B6E88"/>
    <w:rsid w:val="003B7177"/>
    <w:rsid w:val="003B734F"/>
    <w:rsid w:val="003B746A"/>
    <w:rsid w:val="003B75F3"/>
    <w:rsid w:val="003B7733"/>
    <w:rsid w:val="003B77BE"/>
    <w:rsid w:val="003C0190"/>
    <w:rsid w:val="003C04EA"/>
    <w:rsid w:val="003C0548"/>
    <w:rsid w:val="003C0D86"/>
    <w:rsid w:val="003C0DB6"/>
    <w:rsid w:val="003C1282"/>
    <w:rsid w:val="003C1547"/>
    <w:rsid w:val="003C185B"/>
    <w:rsid w:val="003C1E60"/>
    <w:rsid w:val="003C1FE0"/>
    <w:rsid w:val="003C2076"/>
    <w:rsid w:val="003C232C"/>
    <w:rsid w:val="003C2472"/>
    <w:rsid w:val="003C2651"/>
    <w:rsid w:val="003C2BE0"/>
    <w:rsid w:val="003C2CFB"/>
    <w:rsid w:val="003C2D55"/>
    <w:rsid w:val="003C2E3F"/>
    <w:rsid w:val="003C344F"/>
    <w:rsid w:val="003C363C"/>
    <w:rsid w:val="003C3A7A"/>
    <w:rsid w:val="003C3B09"/>
    <w:rsid w:val="003C3FB7"/>
    <w:rsid w:val="003C448C"/>
    <w:rsid w:val="003C4539"/>
    <w:rsid w:val="003C4599"/>
    <w:rsid w:val="003C46A7"/>
    <w:rsid w:val="003C4785"/>
    <w:rsid w:val="003C4883"/>
    <w:rsid w:val="003C49A2"/>
    <w:rsid w:val="003C4B2A"/>
    <w:rsid w:val="003C4F3B"/>
    <w:rsid w:val="003C516E"/>
    <w:rsid w:val="003C52A5"/>
    <w:rsid w:val="003C52F2"/>
    <w:rsid w:val="003C5316"/>
    <w:rsid w:val="003C549A"/>
    <w:rsid w:val="003C5A0F"/>
    <w:rsid w:val="003C5CB7"/>
    <w:rsid w:val="003C6608"/>
    <w:rsid w:val="003C6BF2"/>
    <w:rsid w:val="003C6DE7"/>
    <w:rsid w:val="003C7358"/>
    <w:rsid w:val="003C74F9"/>
    <w:rsid w:val="003C76B2"/>
    <w:rsid w:val="003C7E07"/>
    <w:rsid w:val="003D01CD"/>
    <w:rsid w:val="003D060A"/>
    <w:rsid w:val="003D0977"/>
    <w:rsid w:val="003D09D6"/>
    <w:rsid w:val="003D0E66"/>
    <w:rsid w:val="003D0EB9"/>
    <w:rsid w:val="003D12A5"/>
    <w:rsid w:val="003D143E"/>
    <w:rsid w:val="003D14AF"/>
    <w:rsid w:val="003D15E9"/>
    <w:rsid w:val="003D19EC"/>
    <w:rsid w:val="003D19EF"/>
    <w:rsid w:val="003D1A18"/>
    <w:rsid w:val="003D1B4E"/>
    <w:rsid w:val="003D1DF5"/>
    <w:rsid w:val="003D1E0C"/>
    <w:rsid w:val="003D264F"/>
    <w:rsid w:val="003D28C6"/>
    <w:rsid w:val="003D2BC2"/>
    <w:rsid w:val="003D2D83"/>
    <w:rsid w:val="003D2E6D"/>
    <w:rsid w:val="003D302B"/>
    <w:rsid w:val="003D37FA"/>
    <w:rsid w:val="003D3A90"/>
    <w:rsid w:val="003D3C63"/>
    <w:rsid w:val="003D3F18"/>
    <w:rsid w:val="003D3F7A"/>
    <w:rsid w:val="003D442E"/>
    <w:rsid w:val="003D44F9"/>
    <w:rsid w:val="003D491F"/>
    <w:rsid w:val="003D4C96"/>
    <w:rsid w:val="003D5132"/>
    <w:rsid w:val="003D548B"/>
    <w:rsid w:val="003D54EA"/>
    <w:rsid w:val="003D55DB"/>
    <w:rsid w:val="003D5961"/>
    <w:rsid w:val="003D59A4"/>
    <w:rsid w:val="003D5A41"/>
    <w:rsid w:val="003D5A9D"/>
    <w:rsid w:val="003D5BD2"/>
    <w:rsid w:val="003D6343"/>
    <w:rsid w:val="003D6464"/>
    <w:rsid w:val="003D6B86"/>
    <w:rsid w:val="003D6DAE"/>
    <w:rsid w:val="003D6E67"/>
    <w:rsid w:val="003D71AC"/>
    <w:rsid w:val="003E0299"/>
    <w:rsid w:val="003E02F0"/>
    <w:rsid w:val="003E0E72"/>
    <w:rsid w:val="003E12C9"/>
    <w:rsid w:val="003E152E"/>
    <w:rsid w:val="003E1FE9"/>
    <w:rsid w:val="003E20D7"/>
    <w:rsid w:val="003E2547"/>
    <w:rsid w:val="003E28B1"/>
    <w:rsid w:val="003E3070"/>
    <w:rsid w:val="003E330F"/>
    <w:rsid w:val="003E3AA1"/>
    <w:rsid w:val="003E3FC8"/>
    <w:rsid w:val="003E40A9"/>
    <w:rsid w:val="003E42F0"/>
    <w:rsid w:val="003E445D"/>
    <w:rsid w:val="003E4662"/>
    <w:rsid w:val="003E488D"/>
    <w:rsid w:val="003E4B4C"/>
    <w:rsid w:val="003E4C67"/>
    <w:rsid w:val="003E51B8"/>
    <w:rsid w:val="003E5254"/>
    <w:rsid w:val="003E5762"/>
    <w:rsid w:val="003E5803"/>
    <w:rsid w:val="003E5881"/>
    <w:rsid w:val="003E5E11"/>
    <w:rsid w:val="003E5EFC"/>
    <w:rsid w:val="003E6664"/>
    <w:rsid w:val="003E6881"/>
    <w:rsid w:val="003E6DB0"/>
    <w:rsid w:val="003E6E71"/>
    <w:rsid w:val="003E7288"/>
    <w:rsid w:val="003E7364"/>
    <w:rsid w:val="003E7EC3"/>
    <w:rsid w:val="003F01EE"/>
    <w:rsid w:val="003F0718"/>
    <w:rsid w:val="003F084A"/>
    <w:rsid w:val="003F087B"/>
    <w:rsid w:val="003F0E0B"/>
    <w:rsid w:val="003F0ECF"/>
    <w:rsid w:val="003F0F84"/>
    <w:rsid w:val="003F11DC"/>
    <w:rsid w:val="003F12D5"/>
    <w:rsid w:val="003F14E9"/>
    <w:rsid w:val="003F1647"/>
    <w:rsid w:val="003F180E"/>
    <w:rsid w:val="003F1B8D"/>
    <w:rsid w:val="003F1BAF"/>
    <w:rsid w:val="003F1CE5"/>
    <w:rsid w:val="003F1F27"/>
    <w:rsid w:val="003F2337"/>
    <w:rsid w:val="003F240C"/>
    <w:rsid w:val="003F2601"/>
    <w:rsid w:val="003F26A3"/>
    <w:rsid w:val="003F2B31"/>
    <w:rsid w:val="003F2B7F"/>
    <w:rsid w:val="003F2C80"/>
    <w:rsid w:val="003F319D"/>
    <w:rsid w:val="003F3497"/>
    <w:rsid w:val="003F353D"/>
    <w:rsid w:val="003F385B"/>
    <w:rsid w:val="003F39E0"/>
    <w:rsid w:val="003F3C21"/>
    <w:rsid w:val="003F3FAD"/>
    <w:rsid w:val="003F41A0"/>
    <w:rsid w:val="003F4719"/>
    <w:rsid w:val="003F4F0C"/>
    <w:rsid w:val="003F4FEF"/>
    <w:rsid w:val="003F57CE"/>
    <w:rsid w:val="003F5A47"/>
    <w:rsid w:val="003F5AEE"/>
    <w:rsid w:val="003F5C2B"/>
    <w:rsid w:val="003F5D20"/>
    <w:rsid w:val="003F5E0D"/>
    <w:rsid w:val="003F5F20"/>
    <w:rsid w:val="003F6159"/>
    <w:rsid w:val="003F621D"/>
    <w:rsid w:val="003F653F"/>
    <w:rsid w:val="003F6A87"/>
    <w:rsid w:val="003F6B98"/>
    <w:rsid w:val="003F6BC2"/>
    <w:rsid w:val="003F6D0A"/>
    <w:rsid w:val="003F6E11"/>
    <w:rsid w:val="003F6F46"/>
    <w:rsid w:val="003F6F98"/>
    <w:rsid w:val="003F6FFF"/>
    <w:rsid w:val="003F741E"/>
    <w:rsid w:val="003F7570"/>
    <w:rsid w:val="003F785E"/>
    <w:rsid w:val="003F7AA5"/>
    <w:rsid w:val="003F7ACF"/>
    <w:rsid w:val="003F7C28"/>
    <w:rsid w:val="003F7EBB"/>
    <w:rsid w:val="003F7EDF"/>
    <w:rsid w:val="003F7F2D"/>
    <w:rsid w:val="00400099"/>
    <w:rsid w:val="004002FF"/>
    <w:rsid w:val="004005A5"/>
    <w:rsid w:val="004005AD"/>
    <w:rsid w:val="00400767"/>
    <w:rsid w:val="004009E2"/>
    <w:rsid w:val="00400A2B"/>
    <w:rsid w:val="004012BA"/>
    <w:rsid w:val="0040137D"/>
    <w:rsid w:val="00401710"/>
    <w:rsid w:val="00401A2E"/>
    <w:rsid w:val="00401DC9"/>
    <w:rsid w:val="004025A7"/>
    <w:rsid w:val="0040282D"/>
    <w:rsid w:val="004028A8"/>
    <w:rsid w:val="00402932"/>
    <w:rsid w:val="00402941"/>
    <w:rsid w:val="00402EA2"/>
    <w:rsid w:val="00402FF0"/>
    <w:rsid w:val="00403049"/>
    <w:rsid w:val="00403074"/>
    <w:rsid w:val="0040310E"/>
    <w:rsid w:val="004036A4"/>
    <w:rsid w:val="00403A7F"/>
    <w:rsid w:val="004042BE"/>
    <w:rsid w:val="00404311"/>
    <w:rsid w:val="004047F1"/>
    <w:rsid w:val="00404859"/>
    <w:rsid w:val="004049E2"/>
    <w:rsid w:val="00404C00"/>
    <w:rsid w:val="00404C6A"/>
    <w:rsid w:val="004052F8"/>
    <w:rsid w:val="00405377"/>
    <w:rsid w:val="0040542F"/>
    <w:rsid w:val="0040567E"/>
    <w:rsid w:val="00405B14"/>
    <w:rsid w:val="00405B5E"/>
    <w:rsid w:val="00405D3F"/>
    <w:rsid w:val="00405EC8"/>
    <w:rsid w:val="00405F21"/>
    <w:rsid w:val="00405FB4"/>
    <w:rsid w:val="00406127"/>
    <w:rsid w:val="00406190"/>
    <w:rsid w:val="0040666F"/>
    <w:rsid w:val="00406772"/>
    <w:rsid w:val="00406D5E"/>
    <w:rsid w:val="00406F76"/>
    <w:rsid w:val="0040724E"/>
    <w:rsid w:val="004072BA"/>
    <w:rsid w:val="00407A2F"/>
    <w:rsid w:val="00407DCB"/>
    <w:rsid w:val="00407FE9"/>
    <w:rsid w:val="00410174"/>
    <w:rsid w:val="00410805"/>
    <w:rsid w:val="00410D56"/>
    <w:rsid w:val="0041106F"/>
    <w:rsid w:val="004113B7"/>
    <w:rsid w:val="004119E6"/>
    <w:rsid w:val="00411A7D"/>
    <w:rsid w:val="00411BC8"/>
    <w:rsid w:val="00411DCE"/>
    <w:rsid w:val="00412004"/>
    <w:rsid w:val="0041206F"/>
    <w:rsid w:val="00412128"/>
    <w:rsid w:val="0041244C"/>
    <w:rsid w:val="004125D3"/>
    <w:rsid w:val="004126C4"/>
    <w:rsid w:val="00412908"/>
    <w:rsid w:val="0041298E"/>
    <w:rsid w:val="00412C01"/>
    <w:rsid w:val="00412C33"/>
    <w:rsid w:val="00412D92"/>
    <w:rsid w:val="00412E70"/>
    <w:rsid w:val="004138A4"/>
    <w:rsid w:val="00413E12"/>
    <w:rsid w:val="00413E44"/>
    <w:rsid w:val="00414059"/>
    <w:rsid w:val="004140B7"/>
    <w:rsid w:val="00414192"/>
    <w:rsid w:val="0041421D"/>
    <w:rsid w:val="0041456C"/>
    <w:rsid w:val="004145E4"/>
    <w:rsid w:val="00414A3B"/>
    <w:rsid w:val="00414D83"/>
    <w:rsid w:val="00414D8C"/>
    <w:rsid w:val="00414DF3"/>
    <w:rsid w:val="004150C9"/>
    <w:rsid w:val="00415244"/>
    <w:rsid w:val="00415330"/>
    <w:rsid w:val="0041537D"/>
    <w:rsid w:val="00415507"/>
    <w:rsid w:val="0041587D"/>
    <w:rsid w:val="00415A55"/>
    <w:rsid w:val="00415A84"/>
    <w:rsid w:val="00415C9E"/>
    <w:rsid w:val="00415E2F"/>
    <w:rsid w:val="00415F2D"/>
    <w:rsid w:val="0041652D"/>
    <w:rsid w:val="00416D98"/>
    <w:rsid w:val="00416EFC"/>
    <w:rsid w:val="004179A5"/>
    <w:rsid w:val="00417E52"/>
    <w:rsid w:val="00417FB2"/>
    <w:rsid w:val="00420640"/>
    <w:rsid w:val="004206D2"/>
    <w:rsid w:val="004207CB"/>
    <w:rsid w:val="00420999"/>
    <w:rsid w:val="00420DC6"/>
    <w:rsid w:val="00421036"/>
    <w:rsid w:val="004213A8"/>
    <w:rsid w:val="00421698"/>
    <w:rsid w:val="0042186D"/>
    <w:rsid w:val="00421A5F"/>
    <w:rsid w:val="00421BF8"/>
    <w:rsid w:val="00421C94"/>
    <w:rsid w:val="00422637"/>
    <w:rsid w:val="0042274C"/>
    <w:rsid w:val="004227CE"/>
    <w:rsid w:val="00422E60"/>
    <w:rsid w:val="00423385"/>
    <w:rsid w:val="004234F9"/>
    <w:rsid w:val="004236BA"/>
    <w:rsid w:val="004238C5"/>
    <w:rsid w:val="00423B99"/>
    <w:rsid w:val="00423C2A"/>
    <w:rsid w:val="00423EA4"/>
    <w:rsid w:val="004243F1"/>
    <w:rsid w:val="00424594"/>
    <w:rsid w:val="004245F2"/>
    <w:rsid w:val="00424899"/>
    <w:rsid w:val="00424C01"/>
    <w:rsid w:val="00424CC0"/>
    <w:rsid w:val="00424D6C"/>
    <w:rsid w:val="0042533B"/>
    <w:rsid w:val="004257F5"/>
    <w:rsid w:val="00425F2E"/>
    <w:rsid w:val="00426A93"/>
    <w:rsid w:val="00426CC3"/>
    <w:rsid w:val="00426F3B"/>
    <w:rsid w:val="00427079"/>
    <w:rsid w:val="00427171"/>
    <w:rsid w:val="0042743E"/>
    <w:rsid w:val="004274C3"/>
    <w:rsid w:val="00427916"/>
    <w:rsid w:val="0042791D"/>
    <w:rsid w:val="00427D40"/>
    <w:rsid w:val="00427E2B"/>
    <w:rsid w:val="00427E86"/>
    <w:rsid w:val="00427FBB"/>
    <w:rsid w:val="0043008B"/>
    <w:rsid w:val="004305AA"/>
    <w:rsid w:val="00430848"/>
    <w:rsid w:val="00430ACA"/>
    <w:rsid w:val="00430BE7"/>
    <w:rsid w:val="00430D88"/>
    <w:rsid w:val="00430DCB"/>
    <w:rsid w:val="004312F2"/>
    <w:rsid w:val="00431B81"/>
    <w:rsid w:val="00431C3D"/>
    <w:rsid w:val="00431F9E"/>
    <w:rsid w:val="00432178"/>
    <w:rsid w:val="00432189"/>
    <w:rsid w:val="00432292"/>
    <w:rsid w:val="00432871"/>
    <w:rsid w:val="00432C5C"/>
    <w:rsid w:val="00432EC5"/>
    <w:rsid w:val="00432F7A"/>
    <w:rsid w:val="00432F9B"/>
    <w:rsid w:val="0043334B"/>
    <w:rsid w:val="004335F2"/>
    <w:rsid w:val="00433F92"/>
    <w:rsid w:val="00434337"/>
    <w:rsid w:val="004343D6"/>
    <w:rsid w:val="00434977"/>
    <w:rsid w:val="004349E7"/>
    <w:rsid w:val="00434A3F"/>
    <w:rsid w:val="0043528F"/>
    <w:rsid w:val="004355ED"/>
    <w:rsid w:val="0043578D"/>
    <w:rsid w:val="0043625A"/>
    <w:rsid w:val="00436419"/>
    <w:rsid w:val="0043642E"/>
    <w:rsid w:val="00437003"/>
    <w:rsid w:val="0043751E"/>
    <w:rsid w:val="00437662"/>
    <w:rsid w:val="00437F02"/>
    <w:rsid w:val="004402B5"/>
    <w:rsid w:val="00440386"/>
    <w:rsid w:val="004403D5"/>
    <w:rsid w:val="004408CB"/>
    <w:rsid w:val="00440C53"/>
    <w:rsid w:val="00440CAD"/>
    <w:rsid w:val="00440E98"/>
    <w:rsid w:val="00440FDD"/>
    <w:rsid w:val="0044126A"/>
    <w:rsid w:val="004419B2"/>
    <w:rsid w:val="00441A06"/>
    <w:rsid w:val="00441A8A"/>
    <w:rsid w:val="00441C36"/>
    <w:rsid w:val="00441C74"/>
    <w:rsid w:val="004422BA"/>
    <w:rsid w:val="004423F5"/>
    <w:rsid w:val="00442C7B"/>
    <w:rsid w:val="00442D22"/>
    <w:rsid w:val="00442EA6"/>
    <w:rsid w:val="00442FEB"/>
    <w:rsid w:val="00443041"/>
    <w:rsid w:val="00443091"/>
    <w:rsid w:val="00443418"/>
    <w:rsid w:val="00443602"/>
    <w:rsid w:val="004436FD"/>
    <w:rsid w:val="00445060"/>
    <w:rsid w:val="00445191"/>
    <w:rsid w:val="00445982"/>
    <w:rsid w:val="00445C22"/>
    <w:rsid w:val="00445DCB"/>
    <w:rsid w:val="00445E98"/>
    <w:rsid w:val="00445F71"/>
    <w:rsid w:val="00446050"/>
    <w:rsid w:val="004464DA"/>
    <w:rsid w:val="004464EA"/>
    <w:rsid w:val="00446AC2"/>
    <w:rsid w:val="004473D8"/>
    <w:rsid w:val="00447520"/>
    <w:rsid w:val="0044766A"/>
    <w:rsid w:val="004476E0"/>
    <w:rsid w:val="00447842"/>
    <w:rsid w:val="00447D98"/>
    <w:rsid w:val="004503B8"/>
    <w:rsid w:val="0045064F"/>
    <w:rsid w:val="004507E6"/>
    <w:rsid w:val="004508AB"/>
    <w:rsid w:val="0045095A"/>
    <w:rsid w:val="00450A94"/>
    <w:rsid w:val="00450DA2"/>
    <w:rsid w:val="00451665"/>
    <w:rsid w:val="00451689"/>
    <w:rsid w:val="004518D2"/>
    <w:rsid w:val="004519EA"/>
    <w:rsid w:val="00451B60"/>
    <w:rsid w:val="004521F7"/>
    <w:rsid w:val="00452BC9"/>
    <w:rsid w:val="00453001"/>
    <w:rsid w:val="004531FA"/>
    <w:rsid w:val="004533F6"/>
    <w:rsid w:val="00453662"/>
    <w:rsid w:val="00453805"/>
    <w:rsid w:val="0045398A"/>
    <w:rsid w:val="00453BBA"/>
    <w:rsid w:val="00453BC8"/>
    <w:rsid w:val="00453BD2"/>
    <w:rsid w:val="00453CA1"/>
    <w:rsid w:val="00453CC0"/>
    <w:rsid w:val="00453DBF"/>
    <w:rsid w:val="00453E4C"/>
    <w:rsid w:val="00453E77"/>
    <w:rsid w:val="0045408A"/>
    <w:rsid w:val="00454150"/>
    <w:rsid w:val="00454BDF"/>
    <w:rsid w:val="004550DC"/>
    <w:rsid w:val="00455E39"/>
    <w:rsid w:val="004564F7"/>
    <w:rsid w:val="00456506"/>
    <w:rsid w:val="00456875"/>
    <w:rsid w:val="0045690D"/>
    <w:rsid w:val="00456C47"/>
    <w:rsid w:val="004570B2"/>
    <w:rsid w:val="004572B9"/>
    <w:rsid w:val="00457C62"/>
    <w:rsid w:val="00457C7A"/>
    <w:rsid w:val="00457F55"/>
    <w:rsid w:val="004606D4"/>
    <w:rsid w:val="0046096D"/>
    <w:rsid w:val="004609C6"/>
    <w:rsid w:val="00461026"/>
    <w:rsid w:val="0046126F"/>
    <w:rsid w:val="004613FE"/>
    <w:rsid w:val="0046169A"/>
    <w:rsid w:val="00461AA1"/>
    <w:rsid w:val="00461AAE"/>
    <w:rsid w:val="00461BD2"/>
    <w:rsid w:val="00461C76"/>
    <w:rsid w:val="004620DB"/>
    <w:rsid w:val="0046270C"/>
    <w:rsid w:val="0046280A"/>
    <w:rsid w:val="00462D36"/>
    <w:rsid w:val="00462D50"/>
    <w:rsid w:val="00462DEC"/>
    <w:rsid w:val="00462EE0"/>
    <w:rsid w:val="00462F6B"/>
    <w:rsid w:val="00463738"/>
    <w:rsid w:val="004637F5"/>
    <w:rsid w:val="00463C2F"/>
    <w:rsid w:val="00463DFE"/>
    <w:rsid w:val="00463F6F"/>
    <w:rsid w:val="004642D1"/>
    <w:rsid w:val="004643F0"/>
    <w:rsid w:val="004644A0"/>
    <w:rsid w:val="00464544"/>
    <w:rsid w:val="00464885"/>
    <w:rsid w:val="00464DC6"/>
    <w:rsid w:val="00464EF7"/>
    <w:rsid w:val="00464FA2"/>
    <w:rsid w:val="0046505D"/>
    <w:rsid w:val="004650B8"/>
    <w:rsid w:val="0046526E"/>
    <w:rsid w:val="00465314"/>
    <w:rsid w:val="00465550"/>
    <w:rsid w:val="00465646"/>
    <w:rsid w:val="00465BEE"/>
    <w:rsid w:val="00465F2F"/>
    <w:rsid w:val="004660A1"/>
    <w:rsid w:val="004662F9"/>
    <w:rsid w:val="00466422"/>
    <w:rsid w:val="004665E1"/>
    <w:rsid w:val="004665E8"/>
    <w:rsid w:val="004665F8"/>
    <w:rsid w:val="00466ACC"/>
    <w:rsid w:val="00467339"/>
    <w:rsid w:val="004674CC"/>
    <w:rsid w:val="00467619"/>
    <w:rsid w:val="00467657"/>
    <w:rsid w:val="0046786A"/>
    <w:rsid w:val="00467DDC"/>
    <w:rsid w:val="00470153"/>
    <w:rsid w:val="00470192"/>
    <w:rsid w:val="0047026A"/>
    <w:rsid w:val="004706C8"/>
    <w:rsid w:val="00470A80"/>
    <w:rsid w:val="004711AE"/>
    <w:rsid w:val="00471282"/>
    <w:rsid w:val="004719C6"/>
    <w:rsid w:val="00471C06"/>
    <w:rsid w:val="004723F1"/>
    <w:rsid w:val="00472453"/>
    <w:rsid w:val="00472653"/>
    <w:rsid w:val="00472E44"/>
    <w:rsid w:val="00473094"/>
    <w:rsid w:val="004730DC"/>
    <w:rsid w:val="00473549"/>
    <w:rsid w:val="00473569"/>
    <w:rsid w:val="00473BE5"/>
    <w:rsid w:val="00473F5C"/>
    <w:rsid w:val="00473FF4"/>
    <w:rsid w:val="004741A2"/>
    <w:rsid w:val="00474247"/>
    <w:rsid w:val="0047440B"/>
    <w:rsid w:val="00474727"/>
    <w:rsid w:val="004753DC"/>
    <w:rsid w:val="00475594"/>
    <w:rsid w:val="00475AF8"/>
    <w:rsid w:val="00476661"/>
    <w:rsid w:val="004766A7"/>
    <w:rsid w:val="004768C9"/>
    <w:rsid w:val="0047712E"/>
    <w:rsid w:val="004771D9"/>
    <w:rsid w:val="004777C4"/>
    <w:rsid w:val="00477DD9"/>
    <w:rsid w:val="00477F2F"/>
    <w:rsid w:val="00477F3E"/>
    <w:rsid w:val="0048065B"/>
    <w:rsid w:val="00480A81"/>
    <w:rsid w:val="00480BD6"/>
    <w:rsid w:val="0048126F"/>
    <w:rsid w:val="00481577"/>
    <w:rsid w:val="0048174A"/>
    <w:rsid w:val="004817D4"/>
    <w:rsid w:val="00481803"/>
    <w:rsid w:val="00481B8F"/>
    <w:rsid w:val="00482168"/>
    <w:rsid w:val="0048267D"/>
    <w:rsid w:val="00482845"/>
    <w:rsid w:val="00482AF6"/>
    <w:rsid w:val="00482C3C"/>
    <w:rsid w:val="00482CFA"/>
    <w:rsid w:val="00482D0C"/>
    <w:rsid w:val="00482EE2"/>
    <w:rsid w:val="004836F3"/>
    <w:rsid w:val="004839B0"/>
    <w:rsid w:val="00483F25"/>
    <w:rsid w:val="00483FAF"/>
    <w:rsid w:val="0048436B"/>
    <w:rsid w:val="004844BB"/>
    <w:rsid w:val="004849A3"/>
    <w:rsid w:val="00484A9E"/>
    <w:rsid w:val="00484BEE"/>
    <w:rsid w:val="00484F9D"/>
    <w:rsid w:val="0048511C"/>
    <w:rsid w:val="0048579A"/>
    <w:rsid w:val="0048587C"/>
    <w:rsid w:val="00485AFA"/>
    <w:rsid w:val="0048609E"/>
    <w:rsid w:val="0048664B"/>
    <w:rsid w:val="00486905"/>
    <w:rsid w:val="0048698B"/>
    <w:rsid w:val="004869BF"/>
    <w:rsid w:val="00486D20"/>
    <w:rsid w:val="00486F08"/>
    <w:rsid w:val="0048708F"/>
    <w:rsid w:val="00487371"/>
    <w:rsid w:val="004874E5"/>
    <w:rsid w:val="00487557"/>
    <w:rsid w:val="004875D7"/>
    <w:rsid w:val="0048769A"/>
    <w:rsid w:val="00487AF6"/>
    <w:rsid w:val="00487CCA"/>
    <w:rsid w:val="00487FAD"/>
    <w:rsid w:val="00490014"/>
    <w:rsid w:val="004906F4"/>
    <w:rsid w:val="0049096F"/>
    <w:rsid w:val="00490BAF"/>
    <w:rsid w:val="00490D44"/>
    <w:rsid w:val="00490EEA"/>
    <w:rsid w:val="00490FD6"/>
    <w:rsid w:val="00491A6D"/>
    <w:rsid w:val="0049296F"/>
    <w:rsid w:val="00492C13"/>
    <w:rsid w:val="00492C7B"/>
    <w:rsid w:val="00492D00"/>
    <w:rsid w:val="0049327F"/>
    <w:rsid w:val="0049346B"/>
    <w:rsid w:val="00493B34"/>
    <w:rsid w:val="00493BF8"/>
    <w:rsid w:val="00493D71"/>
    <w:rsid w:val="00493F05"/>
    <w:rsid w:val="0049401B"/>
    <w:rsid w:val="00494157"/>
    <w:rsid w:val="00494B3F"/>
    <w:rsid w:val="00494DC6"/>
    <w:rsid w:val="00494EAF"/>
    <w:rsid w:val="00495000"/>
    <w:rsid w:val="0049509F"/>
    <w:rsid w:val="00495114"/>
    <w:rsid w:val="004953F2"/>
    <w:rsid w:val="00495650"/>
    <w:rsid w:val="0049572E"/>
    <w:rsid w:val="00495849"/>
    <w:rsid w:val="00496185"/>
    <w:rsid w:val="004962E5"/>
    <w:rsid w:val="0049652A"/>
    <w:rsid w:val="00496550"/>
    <w:rsid w:val="00496754"/>
    <w:rsid w:val="00496821"/>
    <w:rsid w:val="00496ADA"/>
    <w:rsid w:val="00496FA7"/>
    <w:rsid w:val="004972D1"/>
    <w:rsid w:val="00497435"/>
    <w:rsid w:val="00497439"/>
    <w:rsid w:val="004974C0"/>
    <w:rsid w:val="00497700"/>
    <w:rsid w:val="00497BF1"/>
    <w:rsid w:val="00497C70"/>
    <w:rsid w:val="00497DAB"/>
    <w:rsid w:val="00497E38"/>
    <w:rsid w:val="004A019D"/>
    <w:rsid w:val="004A0432"/>
    <w:rsid w:val="004A0442"/>
    <w:rsid w:val="004A058D"/>
    <w:rsid w:val="004A0B1C"/>
    <w:rsid w:val="004A0BEC"/>
    <w:rsid w:val="004A10DE"/>
    <w:rsid w:val="004A12D8"/>
    <w:rsid w:val="004A131A"/>
    <w:rsid w:val="004A13DA"/>
    <w:rsid w:val="004A16E6"/>
    <w:rsid w:val="004A17CF"/>
    <w:rsid w:val="004A1B7D"/>
    <w:rsid w:val="004A1C7E"/>
    <w:rsid w:val="004A1D17"/>
    <w:rsid w:val="004A1F72"/>
    <w:rsid w:val="004A2061"/>
    <w:rsid w:val="004A214F"/>
    <w:rsid w:val="004A2229"/>
    <w:rsid w:val="004A2368"/>
    <w:rsid w:val="004A238C"/>
    <w:rsid w:val="004A28B1"/>
    <w:rsid w:val="004A28CF"/>
    <w:rsid w:val="004A2926"/>
    <w:rsid w:val="004A2D0E"/>
    <w:rsid w:val="004A2E41"/>
    <w:rsid w:val="004A30FC"/>
    <w:rsid w:val="004A3261"/>
    <w:rsid w:val="004A328D"/>
    <w:rsid w:val="004A3306"/>
    <w:rsid w:val="004A34B4"/>
    <w:rsid w:val="004A352C"/>
    <w:rsid w:val="004A379C"/>
    <w:rsid w:val="004A39F1"/>
    <w:rsid w:val="004A3D2A"/>
    <w:rsid w:val="004A4152"/>
    <w:rsid w:val="004A4641"/>
    <w:rsid w:val="004A5946"/>
    <w:rsid w:val="004A5B09"/>
    <w:rsid w:val="004A5B6C"/>
    <w:rsid w:val="004A5C05"/>
    <w:rsid w:val="004A634B"/>
    <w:rsid w:val="004A6504"/>
    <w:rsid w:val="004A65D3"/>
    <w:rsid w:val="004A6702"/>
    <w:rsid w:val="004A6D72"/>
    <w:rsid w:val="004A6FF9"/>
    <w:rsid w:val="004A7064"/>
    <w:rsid w:val="004A7084"/>
    <w:rsid w:val="004A757A"/>
    <w:rsid w:val="004A7742"/>
    <w:rsid w:val="004A7757"/>
    <w:rsid w:val="004A779F"/>
    <w:rsid w:val="004A77D6"/>
    <w:rsid w:val="004A78D9"/>
    <w:rsid w:val="004A7AD5"/>
    <w:rsid w:val="004A7CAB"/>
    <w:rsid w:val="004A7D0D"/>
    <w:rsid w:val="004B00B1"/>
    <w:rsid w:val="004B05F9"/>
    <w:rsid w:val="004B07B3"/>
    <w:rsid w:val="004B086D"/>
    <w:rsid w:val="004B0AE6"/>
    <w:rsid w:val="004B0DD6"/>
    <w:rsid w:val="004B0DE2"/>
    <w:rsid w:val="004B107A"/>
    <w:rsid w:val="004B132C"/>
    <w:rsid w:val="004B138A"/>
    <w:rsid w:val="004B146B"/>
    <w:rsid w:val="004B1B72"/>
    <w:rsid w:val="004B1CA0"/>
    <w:rsid w:val="004B1EA5"/>
    <w:rsid w:val="004B1ECE"/>
    <w:rsid w:val="004B2212"/>
    <w:rsid w:val="004B24EE"/>
    <w:rsid w:val="004B2590"/>
    <w:rsid w:val="004B2B02"/>
    <w:rsid w:val="004B2C9D"/>
    <w:rsid w:val="004B2CB8"/>
    <w:rsid w:val="004B33B7"/>
    <w:rsid w:val="004B3D29"/>
    <w:rsid w:val="004B403A"/>
    <w:rsid w:val="004B41D5"/>
    <w:rsid w:val="004B4657"/>
    <w:rsid w:val="004B4E31"/>
    <w:rsid w:val="004B5199"/>
    <w:rsid w:val="004B5204"/>
    <w:rsid w:val="004B53A6"/>
    <w:rsid w:val="004B565F"/>
    <w:rsid w:val="004B5761"/>
    <w:rsid w:val="004B5972"/>
    <w:rsid w:val="004B5E3E"/>
    <w:rsid w:val="004B61A9"/>
    <w:rsid w:val="004B61B1"/>
    <w:rsid w:val="004B64CC"/>
    <w:rsid w:val="004B67F3"/>
    <w:rsid w:val="004B6B61"/>
    <w:rsid w:val="004B7393"/>
    <w:rsid w:val="004B7C18"/>
    <w:rsid w:val="004B7F3D"/>
    <w:rsid w:val="004C02BD"/>
    <w:rsid w:val="004C05C3"/>
    <w:rsid w:val="004C06F2"/>
    <w:rsid w:val="004C1052"/>
    <w:rsid w:val="004C1075"/>
    <w:rsid w:val="004C1929"/>
    <w:rsid w:val="004C1A32"/>
    <w:rsid w:val="004C1CB1"/>
    <w:rsid w:val="004C20A3"/>
    <w:rsid w:val="004C20AD"/>
    <w:rsid w:val="004C20FF"/>
    <w:rsid w:val="004C2674"/>
    <w:rsid w:val="004C270F"/>
    <w:rsid w:val="004C27DA"/>
    <w:rsid w:val="004C2A44"/>
    <w:rsid w:val="004C2EEE"/>
    <w:rsid w:val="004C31B1"/>
    <w:rsid w:val="004C3368"/>
    <w:rsid w:val="004C3715"/>
    <w:rsid w:val="004C3E36"/>
    <w:rsid w:val="004C3F4A"/>
    <w:rsid w:val="004C4104"/>
    <w:rsid w:val="004C4432"/>
    <w:rsid w:val="004C449F"/>
    <w:rsid w:val="004C4540"/>
    <w:rsid w:val="004C4585"/>
    <w:rsid w:val="004C466D"/>
    <w:rsid w:val="004C48E9"/>
    <w:rsid w:val="004C5090"/>
    <w:rsid w:val="004C6126"/>
    <w:rsid w:val="004C6247"/>
    <w:rsid w:val="004C625F"/>
    <w:rsid w:val="004C6500"/>
    <w:rsid w:val="004C6687"/>
    <w:rsid w:val="004C66E8"/>
    <w:rsid w:val="004C6852"/>
    <w:rsid w:val="004C6F36"/>
    <w:rsid w:val="004C70EC"/>
    <w:rsid w:val="004C7143"/>
    <w:rsid w:val="004C7649"/>
    <w:rsid w:val="004C7A20"/>
    <w:rsid w:val="004C7C54"/>
    <w:rsid w:val="004C7CDA"/>
    <w:rsid w:val="004C7F2F"/>
    <w:rsid w:val="004D083E"/>
    <w:rsid w:val="004D0B78"/>
    <w:rsid w:val="004D1745"/>
    <w:rsid w:val="004D199C"/>
    <w:rsid w:val="004D2361"/>
    <w:rsid w:val="004D298F"/>
    <w:rsid w:val="004D2A8B"/>
    <w:rsid w:val="004D2E14"/>
    <w:rsid w:val="004D2EFA"/>
    <w:rsid w:val="004D30DB"/>
    <w:rsid w:val="004D310E"/>
    <w:rsid w:val="004D3784"/>
    <w:rsid w:val="004D3A4D"/>
    <w:rsid w:val="004D4005"/>
    <w:rsid w:val="004D4315"/>
    <w:rsid w:val="004D438F"/>
    <w:rsid w:val="004D44DC"/>
    <w:rsid w:val="004D462B"/>
    <w:rsid w:val="004D4683"/>
    <w:rsid w:val="004D4733"/>
    <w:rsid w:val="004D4B84"/>
    <w:rsid w:val="004D4E9B"/>
    <w:rsid w:val="004D4F95"/>
    <w:rsid w:val="004D5032"/>
    <w:rsid w:val="004D5055"/>
    <w:rsid w:val="004D5115"/>
    <w:rsid w:val="004D539D"/>
    <w:rsid w:val="004D56BC"/>
    <w:rsid w:val="004D595E"/>
    <w:rsid w:val="004D5A6C"/>
    <w:rsid w:val="004D5D88"/>
    <w:rsid w:val="004D5DA8"/>
    <w:rsid w:val="004D5DCA"/>
    <w:rsid w:val="004D61F9"/>
    <w:rsid w:val="004D62E3"/>
    <w:rsid w:val="004D64BD"/>
    <w:rsid w:val="004D6B05"/>
    <w:rsid w:val="004D6BDC"/>
    <w:rsid w:val="004D6DD7"/>
    <w:rsid w:val="004D6E05"/>
    <w:rsid w:val="004D6E91"/>
    <w:rsid w:val="004D6FE1"/>
    <w:rsid w:val="004D7083"/>
    <w:rsid w:val="004D7223"/>
    <w:rsid w:val="004D77D4"/>
    <w:rsid w:val="004D7B43"/>
    <w:rsid w:val="004D7B60"/>
    <w:rsid w:val="004D7C82"/>
    <w:rsid w:val="004D7D3C"/>
    <w:rsid w:val="004E0018"/>
    <w:rsid w:val="004E0299"/>
    <w:rsid w:val="004E0376"/>
    <w:rsid w:val="004E07AF"/>
    <w:rsid w:val="004E0ACF"/>
    <w:rsid w:val="004E1177"/>
    <w:rsid w:val="004E117B"/>
    <w:rsid w:val="004E12BC"/>
    <w:rsid w:val="004E1356"/>
    <w:rsid w:val="004E15DA"/>
    <w:rsid w:val="004E1776"/>
    <w:rsid w:val="004E196D"/>
    <w:rsid w:val="004E1B77"/>
    <w:rsid w:val="004E1D72"/>
    <w:rsid w:val="004E21E7"/>
    <w:rsid w:val="004E2797"/>
    <w:rsid w:val="004E28C9"/>
    <w:rsid w:val="004E2A29"/>
    <w:rsid w:val="004E3224"/>
    <w:rsid w:val="004E352B"/>
    <w:rsid w:val="004E366A"/>
    <w:rsid w:val="004E37E8"/>
    <w:rsid w:val="004E3B7B"/>
    <w:rsid w:val="004E3F25"/>
    <w:rsid w:val="004E4195"/>
    <w:rsid w:val="004E41DC"/>
    <w:rsid w:val="004E44AC"/>
    <w:rsid w:val="004E44FA"/>
    <w:rsid w:val="004E4866"/>
    <w:rsid w:val="004E486D"/>
    <w:rsid w:val="004E519E"/>
    <w:rsid w:val="004E5255"/>
    <w:rsid w:val="004E5294"/>
    <w:rsid w:val="004E5323"/>
    <w:rsid w:val="004E545A"/>
    <w:rsid w:val="004E5554"/>
    <w:rsid w:val="004E55D7"/>
    <w:rsid w:val="004E630C"/>
    <w:rsid w:val="004E6773"/>
    <w:rsid w:val="004E6D78"/>
    <w:rsid w:val="004E6E73"/>
    <w:rsid w:val="004E700C"/>
    <w:rsid w:val="004E713C"/>
    <w:rsid w:val="004E714B"/>
    <w:rsid w:val="004E7279"/>
    <w:rsid w:val="004E7280"/>
    <w:rsid w:val="004E7641"/>
    <w:rsid w:val="004E7B73"/>
    <w:rsid w:val="004F009E"/>
    <w:rsid w:val="004F010A"/>
    <w:rsid w:val="004F041C"/>
    <w:rsid w:val="004F041D"/>
    <w:rsid w:val="004F05A2"/>
    <w:rsid w:val="004F13EA"/>
    <w:rsid w:val="004F149E"/>
    <w:rsid w:val="004F1F94"/>
    <w:rsid w:val="004F20BA"/>
    <w:rsid w:val="004F211E"/>
    <w:rsid w:val="004F2142"/>
    <w:rsid w:val="004F217B"/>
    <w:rsid w:val="004F2396"/>
    <w:rsid w:val="004F2469"/>
    <w:rsid w:val="004F24E9"/>
    <w:rsid w:val="004F2C33"/>
    <w:rsid w:val="004F2F05"/>
    <w:rsid w:val="004F2F86"/>
    <w:rsid w:val="004F3014"/>
    <w:rsid w:val="004F308C"/>
    <w:rsid w:val="004F326F"/>
    <w:rsid w:val="004F3399"/>
    <w:rsid w:val="004F354E"/>
    <w:rsid w:val="004F356F"/>
    <w:rsid w:val="004F3875"/>
    <w:rsid w:val="004F3AEA"/>
    <w:rsid w:val="004F3BD1"/>
    <w:rsid w:val="004F3BDF"/>
    <w:rsid w:val="004F3D45"/>
    <w:rsid w:val="004F439B"/>
    <w:rsid w:val="004F4410"/>
    <w:rsid w:val="004F4441"/>
    <w:rsid w:val="004F4AAE"/>
    <w:rsid w:val="004F4D34"/>
    <w:rsid w:val="004F4DD1"/>
    <w:rsid w:val="004F4E2E"/>
    <w:rsid w:val="004F4FEF"/>
    <w:rsid w:val="004F51DD"/>
    <w:rsid w:val="004F53E9"/>
    <w:rsid w:val="004F5421"/>
    <w:rsid w:val="004F5442"/>
    <w:rsid w:val="004F566C"/>
    <w:rsid w:val="004F5783"/>
    <w:rsid w:val="004F578B"/>
    <w:rsid w:val="004F5BEE"/>
    <w:rsid w:val="004F5FF6"/>
    <w:rsid w:val="004F6178"/>
    <w:rsid w:val="004F6538"/>
    <w:rsid w:val="004F6544"/>
    <w:rsid w:val="004F6905"/>
    <w:rsid w:val="004F697E"/>
    <w:rsid w:val="004F6A33"/>
    <w:rsid w:val="004F6BBD"/>
    <w:rsid w:val="004F6F38"/>
    <w:rsid w:val="004F6F5C"/>
    <w:rsid w:val="004F739B"/>
    <w:rsid w:val="004F7514"/>
    <w:rsid w:val="004F79CF"/>
    <w:rsid w:val="004F7EF6"/>
    <w:rsid w:val="0050000E"/>
    <w:rsid w:val="00500160"/>
    <w:rsid w:val="0050017C"/>
    <w:rsid w:val="00500345"/>
    <w:rsid w:val="00500510"/>
    <w:rsid w:val="005005BC"/>
    <w:rsid w:val="00500BBD"/>
    <w:rsid w:val="00500E3B"/>
    <w:rsid w:val="00500EC1"/>
    <w:rsid w:val="00500FFC"/>
    <w:rsid w:val="00501043"/>
    <w:rsid w:val="005016DB"/>
    <w:rsid w:val="0050171B"/>
    <w:rsid w:val="005017C7"/>
    <w:rsid w:val="005017EF"/>
    <w:rsid w:val="00502286"/>
    <w:rsid w:val="005026DC"/>
    <w:rsid w:val="005027C6"/>
    <w:rsid w:val="00502FFC"/>
    <w:rsid w:val="005030C1"/>
    <w:rsid w:val="005031A4"/>
    <w:rsid w:val="005031C8"/>
    <w:rsid w:val="005034D6"/>
    <w:rsid w:val="005034E9"/>
    <w:rsid w:val="00504155"/>
    <w:rsid w:val="00504696"/>
    <w:rsid w:val="00504BC1"/>
    <w:rsid w:val="00504F43"/>
    <w:rsid w:val="005050C6"/>
    <w:rsid w:val="00505248"/>
    <w:rsid w:val="00505364"/>
    <w:rsid w:val="00505449"/>
    <w:rsid w:val="00505E3E"/>
    <w:rsid w:val="005060C3"/>
    <w:rsid w:val="0050618D"/>
    <w:rsid w:val="00506379"/>
    <w:rsid w:val="005064DD"/>
    <w:rsid w:val="0050672C"/>
    <w:rsid w:val="00506E34"/>
    <w:rsid w:val="0050719E"/>
    <w:rsid w:val="005077A3"/>
    <w:rsid w:val="0050794D"/>
    <w:rsid w:val="00507C78"/>
    <w:rsid w:val="00507F67"/>
    <w:rsid w:val="0051007E"/>
    <w:rsid w:val="005100E8"/>
    <w:rsid w:val="005101F9"/>
    <w:rsid w:val="0051043B"/>
    <w:rsid w:val="00510582"/>
    <w:rsid w:val="005106F9"/>
    <w:rsid w:val="00510D11"/>
    <w:rsid w:val="00511602"/>
    <w:rsid w:val="00511EF5"/>
    <w:rsid w:val="005120DE"/>
    <w:rsid w:val="0051247E"/>
    <w:rsid w:val="005126C3"/>
    <w:rsid w:val="00512802"/>
    <w:rsid w:val="0051289C"/>
    <w:rsid w:val="00513067"/>
    <w:rsid w:val="00513610"/>
    <w:rsid w:val="0051371F"/>
    <w:rsid w:val="00513760"/>
    <w:rsid w:val="005144D7"/>
    <w:rsid w:val="005144DC"/>
    <w:rsid w:val="005144E2"/>
    <w:rsid w:val="00514ED2"/>
    <w:rsid w:val="00514FDD"/>
    <w:rsid w:val="00515047"/>
    <w:rsid w:val="005150AD"/>
    <w:rsid w:val="0051511F"/>
    <w:rsid w:val="00515157"/>
    <w:rsid w:val="005151A0"/>
    <w:rsid w:val="00515231"/>
    <w:rsid w:val="005152B6"/>
    <w:rsid w:val="005153BC"/>
    <w:rsid w:val="005154FE"/>
    <w:rsid w:val="005156E0"/>
    <w:rsid w:val="0051579F"/>
    <w:rsid w:val="0051583B"/>
    <w:rsid w:val="005158C6"/>
    <w:rsid w:val="00515BCE"/>
    <w:rsid w:val="00515D44"/>
    <w:rsid w:val="00515D9B"/>
    <w:rsid w:val="00515FB9"/>
    <w:rsid w:val="005163EB"/>
    <w:rsid w:val="00516AC2"/>
    <w:rsid w:val="00516C0F"/>
    <w:rsid w:val="00517203"/>
    <w:rsid w:val="005173B1"/>
    <w:rsid w:val="005173E8"/>
    <w:rsid w:val="005178D4"/>
    <w:rsid w:val="00517998"/>
    <w:rsid w:val="00517B45"/>
    <w:rsid w:val="00517B59"/>
    <w:rsid w:val="00517F1B"/>
    <w:rsid w:val="00520090"/>
    <w:rsid w:val="0052063B"/>
    <w:rsid w:val="00520641"/>
    <w:rsid w:val="00520660"/>
    <w:rsid w:val="005207CF"/>
    <w:rsid w:val="00520CCB"/>
    <w:rsid w:val="005210A6"/>
    <w:rsid w:val="005211AB"/>
    <w:rsid w:val="005212E8"/>
    <w:rsid w:val="005212FC"/>
    <w:rsid w:val="00521A07"/>
    <w:rsid w:val="00521CF8"/>
    <w:rsid w:val="00522251"/>
    <w:rsid w:val="00522401"/>
    <w:rsid w:val="00522456"/>
    <w:rsid w:val="0052258B"/>
    <w:rsid w:val="0052261D"/>
    <w:rsid w:val="005226FE"/>
    <w:rsid w:val="005227C0"/>
    <w:rsid w:val="005229AE"/>
    <w:rsid w:val="00522C4B"/>
    <w:rsid w:val="00522C81"/>
    <w:rsid w:val="00522CA7"/>
    <w:rsid w:val="00522D41"/>
    <w:rsid w:val="005231FE"/>
    <w:rsid w:val="00523238"/>
    <w:rsid w:val="005236D3"/>
    <w:rsid w:val="00523ED9"/>
    <w:rsid w:val="00524084"/>
    <w:rsid w:val="00524479"/>
    <w:rsid w:val="00524645"/>
    <w:rsid w:val="005246EF"/>
    <w:rsid w:val="0052495F"/>
    <w:rsid w:val="00524FD5"/>
    <w:rsid w:val="00525309"/>
    <w:rsid w:val="005256C3"/>
    <w:rsid w:val="005257B7"/>
    <w:rsid w:val="00525C30"/>
    <w:rsid w:val="00526126"/>
    <w:rsid w:val="005261BF"/>
    <w:rsid w:val="005262A8"/>
    <w:rsid w:val="005270F3"/>
    <w:rsid w:val="00527212"/>
    <w:rsid w:val="00527771"/>
    <w:rsid w:val="00527772"/>
    <w:rsid w:val="00527844"/>
    <w:rsid w:val="00527A1A"/>
    <w:rsid w:val="00527C53"/>
    <w:rsid w:val="00527C81"/>
    <w:rsid w:val="00527D49"/>
    <w:rsid w:val="00527DE1"/>
    <w:rsid w:val="0053093A"/>
    <w:rsid w:val="0053214C"/>
    <w:rsid w:val="005322E7"/>
    <w:rsid w:val="005322F7"/>
    <w:rsid w:val="005326D9"/>
    <w:rsid w:val="00532999"/>
    <w:rsid w:val="00532C59"/>
    <w:rsid w:val="005334A7"/>
    <w:rsid w:val="00533540"/>
    <w:rsid w:val="00533767"/>
    <w:rsid w:val="00533A97"/>
    <w:rsid w:val="00533C14"/>
    <w:rsid w:val="00533C16"/>
    <w:rsid w:val="00533D10"/>
    <w:rsid w:val="00533D3E"/>
    <w:rsid w:val="00533D54"/>
    <w:rsid w:val="00533F32"/>
    <w:rsid w:val="00534196"/>
    <w:rsid w:val="00534475"/>
    <w:rsid w:val="0053465A"/>
    <w:rsid w:val="0053473E"/>
    <w:rsid w:val="00534AE1"/>
    <w:rsid w:val="00534BCA"/>
    <w:rsid w:val="00534CCF"/>
    <w:rsid w:val="00534FA0"/>
    <w:rsid w:val="0053565C"/>
    <w:rsid w:val="0053583F"/>
    <w:rsid w:val="005358C9"/>
    <w:rsid w:val="00535A4A"/>
    <w:rsid w:val="00536F67"/>
    <w:rsid w:val="00537454"/>
    <w:rsid w:val="00537A9C"/>
    <w:rsid w:val="00537B84"/>
    <w:rsid w:val="00537B93"/>
    <w:rsid w:val="00537C1A"/>
    <w:rsid w:val="00537F26"/>
    <w:rsid w:val="0054033A"/>
    <w:rsid w:val="005405A7"/>
    <w:rsid w:val="00540619"/>
    <w:rsid w:val="00540694"/>
    <w:rsid w:val="00540F1C"/>
    <w:rsid w:val="00541699"/>
    <w:rsid w:val="005419EA"/>
    <w:rsid w:val="00541BDB"/>
    <w:rsid w:val="00541BEB"/>
    <w:rsid w:val="00541D1D"/>
    <w:rsid w:val="00541E53"/>
    <w:rsid w:val="005420A6"/>
    <w:rsid w:val="00542618"/>
    <w:rsid w:val="00542997"/>
    <w:rsid w:val="00542B1E"/>
    <w:rsid w:val="0054349D"/>
    <w:rsid w:val="005435C0"/>
    <w:rsid w:val="0054362F"/>
    <w:rsid w:val="00543974"/>
    <w:rsid w:val="00543B11"/>
    <w:rsid w:val="005442E8"/>
    <w:rsid w:val="00544A65"/>
    <w:rsid w:val="00544C37"/>
    <w:rsid w:val="005451CA"/>
    <w:rsid w:val="0054529D"/>
    <w:rsid w:val="00545308"/>
    <w:rsid w:val="005454B1"/>
    <w:rsid w:val="005456E8"/>
    <w:rsid w:val="00545AE5"/>
    <w:rsid w:val="00545B58"/>
    <w:rsid w:val="00546388"/>
    <w:rsid w:val="005463D4"/>
    <w:rsid w:val="00546550"/>
    <w:rsid w:val="005466C8"/>
    <w:rsid w:val="00546BF1"/>
    <w:rsid w:val="00546FB9"/>
    <w:rsid w:val="00547251"/>
    <w:rsid w:val="005475C1"/>
    <w:rsid w:val="005477F7"/>
    <w:rsid w:val="005478BA"/>
    <w:rsid w:val="005478ED"/>
    <w:rsid w:val="00550136"/>
    <w:rsid w:val="005504F0"/>
    <w:rsid w:val="005508F2"/>
    <w:rsid w:val="00550FA9"/>
    <w:rsid w:val="005515B3"/>
    <w:rsid w:val="005516F2"/>
    <w:rsid w:val="00551827"/>
    <w:rsid w:val="00551839"/>
    <w:rsid w:val="005518ED"/>
    <w:rsid w:val="00551922"/>
    <w:rsid w:val="005519FE"/>
    <w:rsid w:val="00551BA0"/>
    <w:rsid w:val="00551CFA"/>
    <w:rsid w:val="005524B2"/>
    <w:rsid w:val="00552EFC"/>
    <w:rsid w:val="005530D5"/>
    <w:rsid w:val="005530FA"/>
    <w:rsid w:val="00553329"/>
    <w:rsid w:val="0055335E"/>
    <w:rsid w:val="00553D61"/>
    <w:rsid w:val="00553D83"/>
    <w:rsid w:val="005540AA"/>
    <w:rsid w:val="005543DF"/>
    <w:rsid w:val="00554925"/>
    <w:rsid w:val="005549E7"/>
    <w:rsid w:val="00554B90"/>
    <w:rsid w:val="00554EE4"/>
    <w:rsid w:val="005552B5"/>
    <w:rsid w:val="00555666"/>
    <w:rsid w:val="005556B8"/>
    <w:rsid w:val="0055594A"/>
    <w:rsid w:val="00555994"/>
    <w:rsid w:val="00555C4B"/>
    <w:rsid w:val="00555CDF"/>
    <w:rsid w:val="005561B9"/>
    <w:rsid w:val="005562EA"/>
    <w:rsid w:val="00556568"/>
    <w:rsid w:val="00556783"/>
    <w:rsid w:val="0055680F"/>
    <w:rsid w:val="005569C8"/>
    <w:rsid w:val="005569E9"/>
    <w:rsid w:val="005575CC"/>
    <w:rsid w:val="00557937"/>
    <w:rsid w:val="00557BFA"/>
    <w:rsid w:val="00557D1D"/>
    <w:rsid w:val="00557D99"/>
    <w:rsid w:val="00557EC0"/>
    <w:rsid w:val="00560462"/>
    <w:rsid w:val="0056064F"/>
    <w:rsid w:val="0056091F"/>
    <w:rsid w:val="00560D90"/>
    <w:rsid w:val="0056129C"/>
    <w:rsid w:val="00561362"/>
    <w:rsid w:val="0056145F"/>
    <w:rsid w:val="00561752"/>
    <w:rsid w:val="00561873"/>
    <w:rsid w:val="005618CC"/>
    <w:rsid w:val="00561BDD"/>
    <w:rsid w:val="00561C43"/>
    <w:rsid w:val="00562171"/>
    <w:rsid w:val="00562530"/>
    <w:rsid w:val="0056254E"/>
    <w:rsid w:val="00562759"/>
    <w:rsid w:val="00562790"/>
    <w:rsid w:val="00562C46"/>
    <w:rsid w:val="00562DC9"/>
    <w:rsid w:val="00562E65"/>
    <w:rsid w:val="005637A8"/>
    <w:rsid w:val="00564019"/>
    <w:rsid w:val="00564387"/>
    <w:rsid w:val="005643E7"/>
    <w:rsid w:val="00564406"/>
    <w:rsid w:val="0056441B"/>
    <w:rsid w:val="00564576"/>
    <w:rsid w:val="00564589"/>
    <w:rsid w:val="005645AA"/>
    <w:rsid w:val="005649DD"/>
    <w:rsid w:val="00564AB8"/>
    <w:rsid w:val="00564B17"/>
    <w:rsid w:val="00564C2C"/>
    <w:rsid w:val="00564D48"/>
    <w:rsid w:val="00565045"/>
    <w:rsid w:val="005650A1"/>
    <w:rsid w:val="005651D3"/>
    <w:rsid w:val="0056527A"/>
    <w:rsid w:val="00565C06"/>
    <w:rsid w:val="00565D74"/>
    <w:rsid w:val="00565E74"/>
    <w:rsid w:val="00565F83"/>
    <w:rsid w:val="00566111"/>
    <w:rsid w:val="00566336"/>
    <w:rsid w:val="00566997"/>
    <w:rsid w:val="00566C26"/>
    <w:rsid w:val="00566C6A"/>
    <w:rsid w:val="00567026"/>
    <w:rsid w:val="00567094"/>
    <w:rsid w:val="005671AE"/>
    <w:rsid w:val="005678EC"/>
    <w:rsid w:val="00567A6E"/>
    <w:rsid w:val="00567DD9"/>
    <w:rsid w:val="00567DF9"/>
    <w:rsid w:val="00567FA2"/>
    <w:rsid w:val="00570203"/>
    <w:rsid w:val="00570B25"/>
    <w:rsid w:val="00570F32"/>
    <w:rsid w:val="00571AD8"/>
    <w:rsid w:val="00572602"/>
    <w:rsid w:val="00572A3D"/>
    <w:rsid w:val="00572B8C"/>
    <w:rsid w:val="0057322C"/>
    <w:rsid w:val="00573514"/>
    <w:rsid w:val="005739C3"/>
    <w:rsid w:val="00573A3B"/>
    <w:rsid w:val="00574504"/>
    <w:rsid w:val="00574855"/>
    <w:rsid w:val="00575022"/>
    <w:rsid w:val="005751F1"/>
    <w:rsid w:val="0057549B"/>
    <w:rsid w:val="00575C14"/>
    <w:rsid w:val="005762A5"/>
    <w:rsid w:val="005769F0"/>
    <w:rsid w:val="00576D16"/>
    <w:rsid w:val="00576DB1"/>
    <w:rsid w:val="00576F01"/>
    <w:rsid w:val="00577333"/>
    <w:rsid w:val="00577558"/>
    <w:rsid w:val="00577A52"/>
    <w:rsid w:val="00577AE0"/>
    <w:rsid w:val="00577BD0"/>
    <w:rsid w:val="00577F21"/>
    <w:rsid w:val="00577F51"/>
    <w:rsid w:val="00577F7B"/>
    <w:rsid w:val="00577FAF"/>
    <w:rsid w:val="0058009A"/>
    <w:rsid w:val="005802DD"/>
    <w:rsid w:val="00580785"/>
    <w:rsid w:val="00580CE9"/>
    <w:rsid w:val="00580EB2"/>
    <w:rsid w:val="00581140"/>
    <w:rsid w:val="0058157C"/>
    <w:rsid w:val="00581AFB"/>
    <w:rsid w:val="00581BCF"/>
    <w:rsid w:val="00581C23"/>
    <w:rsid w:val="00581E2B"/>
    <w:rsid w:val="00581ED4"/>
    <w:rsid w:val="00581F20"/>
    <w:rsid w:val="00582146"/>
    <w:rsid w:val="005826EF"/>
    <w:rsid w:val="005827B4"/>
    <w:rsid w:val="0058295C"/>
    <w:rsid w:val="005829A8"/>
    <w:rsid w:val="00582D3C"/>
    <w:rsid w:val="0058300C"/>
    <w:rsid w:val="005831EC"/>
    <w:rsid w:val="005835B0"/>
    <w:rsid w:val="005837AC"/>
    <w:rsid w:val="00583B60"/>
    <w:rsid w:val="00583B9C"/>
    <w:rsid w:val="00583CFD"/>
    <w:rsid w:val="00583D72"/>
    <w:rsid w:val="00583DA6"/>
    <w:rsid w:val="00584383"/>
    <w:rsid w:val="005844D7"/>
    <w:rsid w:val="00584AB1"/>
    <w:rsid w:val="00584DF5"/>
    <w:rsid w:val="00584EE8"/>
    <w:rsid w:val="00585075"/>
    <w:rsid w:val="005852FE"/>
    <w:rsid w:val="00585380"/>
    <w:rsid w:val="00585A82"/>
    <w:rsid w:val="00585BEF"/>
    <w:rsid w:val="005860CB"/>
    <w:rsid w:val="00586499"/>
    <w:rsid w:val="00586563"/>
    <w:rsid w:val="00586901"/>
    <w:rsid w:val="00586E54"/>
    <w:rsid w:val="005871B4"/>
    <w:rsid w:val="0058745E"/>
    <w:rsid w:val="005875A6"/>
    <w:rsid w:val="005876D5"/>
    <w:rsid w:val="00587731"/>
    <w:rsid w:val="00587E16"/>
    <w:rsid w:val="0059023B"/>
    <w:rsid w:val="0059054C"/>
    <w:rsid w:val="005905CB"/>
    <w:rsid w:val="00590C48"/>
    <w:rsid w:val="00590C5B"/>
    <w:rsid w:val="00590CA0"/>
    <w:rsid w:val="00590CE7"/>
    <w:rsid w:val="005912DE"/>
    <w:rsid w:val="005916CF"/>
    <w:rsid w:val="0059186F"/>
    <w:rsid w:val="005919B5"/>
    <w:rsid w:val="005919CE"/>
    <w:rsid w:val="00591B9B"/>
    <w:rsid w:val="0059202B"/>
    <w:rsid w:val="00592185"/>
    <w:rsid w:val="005922AD"/>
    <w:rsid w:val="0059256A"/>
    <w:rsid w:val="0059257E"/>
    <w:rsid w:val="00592742"/>
    <w:rsid w:val="00592881"/>
    <w:rsid w:val="0059288F"/>
    <w:rsid w:val="00592FD5"/>
    <w:rsid w:val="00593236"/>
    <w:rsid w:val="00593709"/>
    <w:rsid w:val="0059377F"/>
    <w:rsid w:val="00593989"/>
    <w:rsid w:val="00593EB4"/>
    <w:rsid w:val="0059464F"/>
    <w:rsid w:val="0059475C"/>
    <w:rsid w:val="00594EB2"/>
    <w:rsid w:val="00594FA3"/>
    <w:rsid w:val="005951EF"/>
    <w:rsid w:val="0059525B"/>
    <w:rsid w:val="00595782"/>
    <w:rsid w:val="00595A1F"/>
    <w:rsid w:val="00595D2A"/>
    <w:rsid w:val="005964E4"/>
    <w:rsid w:val="0059655F"/>
    <w:rsid w:val="00596561"/>
    <w:rsid w:val="00596714"/>
    <w:rsid w:val="00596962"/>
    <w:rsid w:val="00596A76"/>
    <w:rsid w:val="00596AA6"/>
    <w:rsid w:val="00597103"/>
    <w:rsid w:val="00597197"/>
    <w:rsid w:val="0059761B"/>
    <w:rsid w:val="0059779F"/>
    <w:rsid w:val="005977DE"/>
    <w:rsid w:val="005A009D"/>
    <w:rsid w:val="005A027C"/>
    <w:rsid w:val="005A07C5"/>
    <w:rsid w:val="005A0C8D"/>
    <w:rsid w:val="005A0D2A"/>
    <w:rsid w:val="005A1136"/>
    <w:rsid w:val="005A1291"/>
    <w:rsid w:val="005A1543"/>
    <w:rsid w:val="005A17B5"/>
    <w:rsid w:val="005A1853"/>
    <w:rsid w:val="005A189C"/>
    <w:rsid w:val="005A1DC7"/>
    <w:rsid w:val="005A1F5C"/>
    <w:rsid w:val="005A2219"/>
    <w:rsid w:val="005A2384"/>
    <w:rsid w:val="005A23C5"/>
    <w:rsid w:val="005A2A38"/>
    <w:rsid w:val="005A3268"/>
    <w:rsid w:val="005A32F0"/>
    <w:rsid w:val="005A338F"/>
    <w:rsid w:val="005A34CE"/>
    <w:rsid w:val="005A3803"/>
    <w:rsid w:val="005A3A42"/>
    <w:rsid w:val="005A3A7C"/>
    <w:rsid w:val="005A3CE2"/>
    <w:rsid w:val="005A3D2D"/>
    <w:rsid w:val="005A4011"/>
    <w:rsid w:val="005A4190"/>
    <w:rsid w:val="005A427F"/>
    <w:rsid w:val="005A4319"/>
    <w:rsid w:val="005A4408"/>
    <w:rsid w:val="005A45B1"/>
    <w:rsid w:val="005A465A"/>
    <w:rsid w:val="005A4873"/>
    <w:rsid w:val="005A494F"/>
    <w:rsid w:val="005A4C46"/>
    <w:rsid w:val="005A4CFB"/>
    <w:rsid w:val="005A52B1"/>
    <w:rsid w:val="005A5474"/>
    <w:rsid w:val="005A5592"/>
    <w:rsid w:val="005A5697"/>
    <w:rsid w:val="005A5864"/>
    <w:rsid w:val="005A5A1F"/>
    <w:rsid w:val="005A5C24"/>
    <w:rsid w:val="005A5D2E"/>
    <w:rsid w:val="005A5E64"/>
    <w:rsid w:val="005A5FEA"/>
    <w:rsid w:val="005A61C6"/>
    <w:rsid w:val="005A6232"/>
    <w:rsid w:val="005A6310"/>
    <w:rsid w:val="005A647C"/>
    <w:rsid w:val="005A6537"/>
    <w:rsid w:val="005A657D"/>
    <w:rsid w:val="005A6893"/>
    <w:rsid w:val="005A68C9"/>
    <w:rsid w:val="005A6A25"/>
    <w:rsid w:val="005A6A44"/>
    <w:rsid w:val="005A6D93"/>
    <w:rsid w:val="005A6F8D"/>
    <w:rsid w:val="005A720A"/>
    <w:rsid w:val="005A7222"/>
    <w:rsid w:val="005A7772"/>
    <w:rsid w:val="005A785B"/>
    <w:rsid w:val="005A7864"/>
    <w:rsid w:val="005A78C2"/>
    <w:rsid w:val="005A7CE4"/>
    <w:rsid w:val="005A7EAD"/>
    <w:rsid w:val="005A7F16"/>
    <w:rsid w:val="005A7FC8"/>
    <w:rsid w:val="005B0020"/>
    <w:rsid w:val="005B0695"/>
    <w:rsid w:val="005B074B"/>
    <w:rsid w:val="005B15C4"/>
    <w:rsid w:val="005B1BB7"/>
    <w:rsid w:val="005B1BF4"/>
    <w:rsid w:val="005B1CD8"/>
    <w:rsid w:val="005B2125"/>
    <w:rsid w:val="005B2160"/>
    <w:rsid w:val="005B2260"/>
    <w:rsid w:val="005B23E8"/>
    <w:rsid w:val="005B2F36"/>
    <w:rsid w:val="005B2F9E"/>
    <w:rsid w:val="005B3541"/>
    <w:rsid w:val="005B3554"/>
    <w:rsid w:val="005B35C0"/>
    <w:rsid w:val="005B384F"/>
    <w:rsid w:val="005B3A5C"/>
    <w:rsid w:val="005B3E90"/>
    <w:rsid w:val="005B45FC"/>
    <w:rsid w:val="005B4784"/>
    <w:rsid w:val="005B4AEC"/>
    <w:rsid w:val="005B4C1E"/>
    <w:rsid w:val="005B5046"/>
    <w:rsid w:val="005B57FA"/>
    <w:rsid w:val="005B58DD"/>
    <w:rsid w:val="005B5B25"/>
    <w:rsid w:val="005B5BD1"/>
    <w:rsid w:val="005B5DDF"/>
    <w:rsid w:val="005B67CD"/>
    <w:rsid w:val="005B7834"/>
    <w:rsid w:val="005B7BBF"/>
    <w:rsid w:val="005B7C4C"/>
    <w:rsid w:val="005C0B26"/>
    <w:rsid w:val="005C1746"/>
    <w:rsid w:val="005C1808"/>
    <w:rsid w:val="005C1898"/>
    <w:rsid w:val="005C1929"/>
    <w:rsid w:val="005C1B29"/>
    <w:rsid w:val="005C1E44"/>
    <w:rsid w:val="005C1F4B"/>
    <w:rsid w:val="005C1FD6"/>
    <w:rsid w:val="005C2072"/>
    <w:rsid w:val="005C208C"/>
    <w:rsid w:val="005C227E"/>
    <w:rsid w:val="005C2347"/>
    <w:rsid w:val="005C25D9"/>
    <w:rsid w:val="005C2714"/>
    <w:rsid w:val="005C27C6"/>
    <w:rsid w:val="005C28ED"/>
    <w:rsid w:val="005C2D1F"/>
    <w:rsid w:val="005C2D59"/>
    <w:rsid w:val="005C2F3D"/>
    <w:rsid w:val="005C31E3"/>
    <w:rsid w:val="005C35C5"/>
    <w:rsid w:val="005C3954"/>
    <w:rsid w:val="005C3B26"/>
    <w:rsid w:val="005C3B2C"/>
    <w:rsid w:val="005C3C66"/>
    <w:rsid w:val="005C3EB6"/>
    <w:rsid w:val="005C3EBA"/>
    <w:rsid w:val="005C3F60"/>
    <w:rsid w:val="005C411C"/>
    <w:rsid w:val="005C439A"/>
    <w:rsid w:val="005C4967"/>
    <w:rsid w:val="005C4B20"/>
    <w:rsid w:val="005C4DE8"/>
    <w:rsid w:val="005C4ECA"/>
    <w:rsid w:val="005C5086"/>
    <w:rsid w:val="005C52A8"/>
    <w:rsid w:val="005C52E6"/>
    <w:rsid w:val="005C5AC2"/>
    <w:rsid w:val="005C5C93"/>
    <w:rsid w:val="005C5CF7"/>
    <w:rsid w:val="005C5EE5"/>
    <w:rsid w:val="005C6030"/>
    <w:rsid w:val="005C6172"/>
    <w:rsid w:val="005C623D"/>
    <w:rsid w:val="005C6545"/>
    <w:rsid w:val="005C66D4"/>
    <w:rsid w:val="005C677F"/>
    <w:rsid w:val="005C6B95"/>
    <w:rsid w:val="005C6C1C"/>
    <w:rsid w:val="005C6CCC"/>
    <w:rsid w:val="005C70EB"/>
    <w:rsid w:val="005C71D8"/>
    <w:rsid w:val="005C7425"/>
    <w:rsid w:val="005C775A"/>
    <w:rsid w:val="005C7C47"/>
    <w:rsid w:val="005C7C94"/>
    <w:rsid w:val="005C7F21"/>
    <w:rsid w:val="005D014B"/>
    <w:rsid w:val="005D01F6"/>
    <w:rsid w:val="005D0328"/>
    <w:rsid w:val="005D0370"/>
    <w:rsid w:val="005D06B1"/>
    <w:rsid w:val="005D06EB"/>
    <w:rsid w:val="005D0AA5"/>
    <w:rsid w:val="005D0E16"/>
    <w:rsid w:val="005D1518"/>
    <w:rsid w:val="005D18CD"/>
    <w:rsid w:val="005D191E"/>
    <w:rsid w:val="005D1D1C"/>
    <w:rsid w:val="005D1DAD"/>
    <w:rsid w:val="005D1E3B"/>
    <w:rsid w:val="005D2835"/>
    <w:rsid w:val="005D2D03"/>
    <w:rsid w:val="005D2F6A"/>
    <w:rsid w:val="005D2FC0"/>
    <w:rsid w:val="005D3087"/>
    <w:rsid w:val="005D30CB"/>
    <w:rsid w:val="005D31CF"/>
    <w:rsid w:val="005D34A7"/>
    <w:rsid w:val="005D35CD"/>
    <w:rsid w:val="005D3B06"/>
    <w:rsid w:val="005D3DB8"/>
    <w:rsid w:val="005D4068"/>
    <w:rsid w:val="005D4BDB"/>
    <w:rsid w:val="005D4CA5"/>
    <w:rsid w:val="005D4EAE"/>
    <w:rsid w:val="005D53D1"/>
    <w:rsid w:val="005D590E"/>
    <w:rsid w:val="005D5A80"/>
    <w:rsid w:val="005D5DA7"/>
    <w:rsid w:val="005D6325"/>
    <w:rsid w:val="005D691A"/>
    <w:rsid w:val="005D6BDC"/>
    <w:rsid w:val="005D6C4A"/>
    <w:rsid w:val="005D6D54"/>
    <w:rsid w:val="005D74C3"/>
    <w:rsid w:val="005D7903"/>
    <w:rsid w:val="005D7E9B"/>
    <w:rsid w:val="005E00B0"/>
    <w:rsid w:val="005E038C"/>
    <w:rsid w:val="005E043B"/>
    <w:rsid w:val="005E06D1"/>
    <w:rsid w:val="005E0AC6"/>
    <w:rsid w:val="005E0CD0"/>
    <w:rsid w:val="005E0E9A"/>
    <w:rsid w:val="005E0FF4"/>
    <w:rsid w:val="005E134F"/>
    <w:rsid w:val="005E14E6"/>
    <w:rsid w:val="005E1EA7"/>
    <w:rsid w:val="005E22B3"/>
    <w:rsid w:val="005E238B"/>
    <w:rsid w:val="005E26E7"/>
    <w:rsid w:val="005E2D5C"/>
    <w:rsid w:val="005E2DD6"/>
    <w:rsid w:val="005E2ED3"/>
    <w:rsid w:val="005E3299"/>
    <w:rsid w:val="005E32D1"/>
    <w:rsid w:val="005E341B"/>
    <w:rsid w:val="005E395C"/>
    <w:rsid w:val="005E3995"/>
    <w:rsid w:val="005E3A0B"/>
    <w:rsid w:val="005E3C5B"/>
    <w:rsid w:val="005E403A"/>
    <w:rsid w:val="005E42EE"/>
    <w:rsid w:val="005E4A2D"/>
    <w:rsid w:val="005E4A51"/>
    <w:rsid w:val="005E4C85"/>
    <w:rsid w:val="005E4D4F"/>
    <w:rsid w:val="005E50D5"/>
    <w:rsid w:val="005E5116"/>
    <w:rsid w:val="005E5229"/>
    <w:rsid w:val="005E5265"/>
    <w:rsid w:val="005E5A37"/>
    <w:rsid w:val="005E5D77"/>
    <w:rsid w:val="005E5E61"/>
    <w:rsid w:val="005E5F19"/>
    <w:rsid w:val="005E6079"/>
    <w:rsid w:val="005E633C"/>
    <w:rsid w:val="005E65A2"/>
    <w:rsid w:val="005E6866"/>
    <w:rsid w:val="005E6E39"/>
    <w:rsid w:val="005E76C1"/>
    <w:rsid w:val="005E7EA4"/>
    <w:rsid w:val="005E7EC4"/>
    <w:rsid w:val="005F0608"/>
    <w:rsid w:val="005F06ED"/>
    <w:rsid w:val="005F0A82"/>
    <w:rsid w:val="005F1163"/>
    <w:rsid w:val="005F1194"/>
    <w:rsid w:val="005F2120"/>
    <w:rsid w:val="005F239D"/>
    <w:rsid w:val="005F2A2B"/>
    <w:rsid w:val="005F2AE0"/>
    <w:rsid w:val="005F2B79"/>
    <w:rsid w:val="005F2F1A"/>
    <w:rsid w:val="005F371B"/>
    <w:rsid w:val="005F3F44"/>
    <w:rsid w:val="005F3F7C"/>
    <w:rsid w:val="005F4312"/>
    <w:rsid w:val="005F46F6"/>
    <w:rsid w:val="005F4937"/>
    <w:rsid w:val="005F4C4D"/>
    <w:rsid w:val="005F4D86"/>
    <w:rsid w:val="005F519B"/>
    <w:rsid w:val="005F53B9"/>
    <w:rsid w:val="005F552A"/>
    <w:rsid w:val="005F5848"/>
    <w:rsid w:val="005F59CE"/>
    <w:rsid w:val="005F5D02"/>
    <w:rsid w:val="005F5D9A"/>
    <w:rsid w:val="005F60CA"/>
    <w:rsid w:val="005F6389"/>
    <w:rsid w:val="005F6A46"/>
    <w:rsid w:val="005F6B89"/>
    <w:rsid w:val="005F6FEF"/>
    <w:rsid w:val="005F7157"/>
    <w:rsid w:val="005F7185"/>
    <w:rsid w:val="005F720A"/>
    <w:rsid w:val="005F7AFB"/>
    <w:rsid w:val="005F7BE5"/>
    <w:rsid w:val="006000E8"/>
    <w:rsid w:val="00600122"/>
    <w:rsid w:val="006005FF"/>
    <w:rsid w:val="0060080B"/>
    <w:rsid w:val="00600904"/>
    <w:rsid w:val="00600D61"/>
    <w:rsid w:val="00600DF0"/>
    <w:rsid w:val="00601386"/>
    <w:rsid w:val="00601B15"/>
    <w:rsid w:val="00601B2D"/>
    <w:rsid w:val="006023DC"/>
    <w:rsid w:val="00602666"/>
    <w:rsid w:val="00602936"/>
    <w:rsid w:val="0060294C"/>
    <w:rsid w:val="00602CAA"/>
    <w:rsid w:val="006033D6"/>
    <w:rsid w:val="00603715"/>
    <w:rsid w:val="00603BF9"/>
    <w:rsid w:val="00603D26"/>
    <w:rsid w:val="0060415A"/>
    <w:rsid w:val="006051E6"/>
    <w:rsid w:val="006054B3"/>
    <w:rsid w:val="0060553C"/>
    <w:rsid w:val="0060565F"/>
    <w:rsid w:val="00605BBB"/>
    <w:rsid w:val="0060671E"/>
    <w:rsid w:val="00606D6C"/>
    <w:rsid w:val="00607055"/>
    <w:rsid w:val="0060716B"/>
    <w:rsid w:val="006071AF"/>
    <w:rsid w:val="0060744D"/>
    <w:rsid w:val="00607771"/>
    <w:rsid w:val="00607A8C"/>
    <w:rsid w:val="00607B4F"/>
    <w:rsid w:val="00607C27"/>
    <w:rsid w:val="00607FC7"/>
    <w:rsid w:val="0061053C"/>
    <w:rsid w:val="00610651"/>
    <w:rsid w:val="00610964"/>
    <w:rsid w:val="00610B4B"/>
    <w:rsid w:val="006113AA"/>
    <w:rsid w:val="0061144B"/>
    <w:rsid w:val="006115A0"/>
    <w:rsid w:val="006115A5"/>
    <w:rsid w:val="00611806"/>
    <w:rsid w:val="00611B1E"/>
    <w:rsid w:val="00611B25"/>
    <w:rsid w:val="00612DBF"/>
    <w:rsid w:val="00612E49"/>
    <w:rsid w:val="0061317D"/>
    <w:rsid w:val="0061348E"/>
    <w:rsid w:val="006134F6"/>
    <w:rsid w:val="0061358A"/>
    <w:rsid w:val="00613609"/>
    <w:rsid w:val="00613660"/>
    <w:rsid w:val="00613C88"/>
    <w:rsid w:val="00613F74"/>
    <w:rsid w:val="006141B3"/>
    <w:rsid w:val="006142B9"/>
    <w:rsid w:val="00614337"/>
    <w:rsid w:val="00614411"/>
    <w:rsid w:val="0061490E"/>
    <w:rsid w:val="006149C6"/>
    <w:rsid w:val="00614CD2"/>
    <w:rsid w:val="00614D05"/>
    <w:rsid w:val="0061526D"/>
    <w:rsid w:val="00615333"/>
    <w:rsid w:val="006158E1"/>
    <w:rsid w:val="00615B07"/>
    <w:rsid w:val="00615D56"/>
    <w:rsid w:val="00615E69"/>
    <w:rsid w:val="006169B3"/>
    <w:rsid w:val="00617021"/>
    <w:rsid w:val="0061719C"/>
    <w:rsid w:val="00617273"/>
    <w:rsid w:val="006178B1"/>
    <w:rsid w:val="00617E44"/>
    <w:rsid w:val="00617F0C"/>
    <w:rsid w:val="006203AD"/>
    <w:rsid w:val="00620423"/>
    <w:rsid w:val="00620756"/>
    <w:rsid w:val="00620D99"/>
    <w:rsid w:val="00620FCF"/>
    <w:rsid w:val="00621250"/>
    <w:rsid w:val="00621A48"/>
    <w:rsid w:val="00621CCA"/>
    <w:rsid w:val="00621CE2"/>
    <w:rsid w:val="00621CE3"/>
    <w:rsid w:val="00621D96"/>
    <w:rsid w:val="00621F0B"/>
    <w:rsid w:val="0062204C"/>
    <w:rsid w:val="00622142"/>
    <w:rsid w:val="006221FB"/>
    <w:rsid w:val="00622266"/>
    <w:rsid w:val="00622366"/>
    <w:rsid w:val="006225D2"/>
    <w:rsid w:val="0062261B"/>
    <w:rsid w:val="00622689"/>
    <w:rsid w:val="00622C08"/>
    <w:rsid w:val="00622D38"/>
    <w:rsid w:val="00622EEA"/>
    <w:rsid w:val="00622FA3"/>
    <w:rsid w:val="0062310C"/>
    <w:rsid w:val="006234E2"/>
    <w:rsid w:val="006237FA"/>
    <w:rsid w:val="0062381E"/>
    <w:rsid w:val="006241D4"/>
    <w:rsid w:val="006243B6"/>
    <w:rsid w:val="006248CA"/>
    <w:rsid w:val="00624A53"/>
    <w:rsid w:val="00624A5A"/>
    <w:rsid w:val="00624B87"/>
    <w:rsid w:val="00624CCF"/>
    <w:rsid w:val="0062514F"/>
    <w:rsid w:val="006251E0"/>
    <w:rsid w:val="006253DA"/>
    <w:rsid w:val="006255CF"/>
    <w:rsid w:val="00625CC1"/>
    <w:rsid w:val="00626257"/>
    <w:rsid w:val="00626410"/>
    <w:rsid w:val="006266F2"/>
    <w:rsid w:val="00626B5C"/>
    <w:rsid w:val="006274C7"/>
    <w:rsid w:val="006277A2"/>
    <w:rsid w:val="00627A82"/>
    <w:rsid w:val="00627B82"/>
    <w:rsid w:val="00627CA4"/>
    <w:rsid w:val="00627EA1"/>
    <w:rsid w:val="0063013B"/>
    <w:rsid w:val="006301A4"/>
    <w:rsid w:val="006302D7"/>
    <w:rsid w:val="0063051B"/>
    <w:rsid w:val="00630859"/>
    <w:rsid w:val="00630AA3"/>
    <w:rsid w:val="00630CE8"/>
    <w:rsid w:val="00630DFA"/>
    <w:rsid w:val="00631093"/>
    <w:rsid w:val="0063153C"/>
    <w:rsid w:val="006316F6"/>
    <w:rsid w:val="00631860"/>
    <w:rsid w:val="0063186F"/>
    <w:rsid w:val="00631EAF"/>
    <w:rsid w:val="006320B0"/>
    <w:rsid w:val="00632153"/>
    <w:rsid w:val="00632235"/>
    <w:rsid w:val="006325C8"/>
    <w:rsid w:val="006325D3"/>
    <w:rsid w:val="00632958"/>
    <w:rsid w:val="00632A6F"/>
    <w:rsid w:val="00632C90"/>
    <w:rsid w:val="006330F9"/>
    <w:rsid w:val="006331A8"/>
    <w:rsid w:val="00633978"/>
    <w:rsid w:val="00633B6A"/>
    <w:rsid w:val="0063414C"/>
    <w:rsid w:val="00634308"/>
    <w:rsid w:val="00634A9C"/>
    <w:rsid w:val="00634BD5"/>
    <w:rsid w:val="00634CDB"/>
    <w:rsid w:val="00634F47"/>
    <w:rsid w:val="00634FF0"/>
    <w:rsid w:val="0063529C"/>
    <w:rsid w:val="00635480"/>
    <w:rsid w:val="00635558"/>
    <w:rsid w:val="00635577"/>
    <w:rsid w:val="00635961"/>
    <w:rsid w:val="006359C4"/>
    <w:rsid w:val="00635D1E"/>
    <w:rsid w:val="00635D45"/>
    <w:rsid w:val="00636067"/>
    <w:rsid w:val="00636145"/>
    <w:rsid w:val="006365ED"/>
    <w:rsid w:val="006366FA"/>
    <w:rsid w:val="00636C11"/>
    <w:rsid w:val="0063741F"/>
    <w:rsid w:val="00637727"/>
    <w:rsid w:val="00637935"/>
    <w:rsid w:val="006379BD"/>
    <w:rsid w:val="00637B31"/>
    <w:rsid w:val="00637D2F"/>
    <w:rsid w:val="00637E1E"/>
    <w:rsid w:val="00637FCA"/>
    <w:rsid w:val="006407A1"/>
    <w:rsid w:val="006408E1"/>
    <w:rsid w:val="0064094A"/>
    <w:rsid w:val="00640A4B"/>
    <w:rsid w:val="00640D47"/>
    <w:rsid w:val="00641006"/>
    <w:rsid w:val="0064103B"/>
    <w:rsid w:val="0064136C"/>
    <w:rsid w:val="0064165B"/>
    <w:rsid w:val="00641BE4"/>
    <w:rsid w:val="00641BF3"/>
    <w:rsid w:val="00641EC7"/>
    <w:rsid w:val="006424F0"/>
    <w:rsid w:val="0064287B"/>
    <w:rsid w:val="0064292C"/>
    <w:rsid w:val="00642AB6"/>
    <w:rsid w:val="00642CA5"/>
    <w:rsid w:val="00642D6A"/>
    <w:rsid w:val="00642DEB"/>
    <w:rsid w:val="00642E88"/>
    <w:rsid w:val="0064311C"/>
    <w:rsid w:val="00643183"/>
    <w:rsid w:val="0064355F"/>
    <w:rsid w:val="00643635"/>
    <w:rsid w:val="0064389C"/>
    <w:rsid w:val="00643960"/>
    <w:rsid w:val="006440BD"/>
    <w:rsid w:val="0064481E"/>
    <w:rsid w:val="00644D7E"/>
    <w:rsid w:val="00644E96"/>
    <w:rsid w:val="0064522E"/>
    <w:rsid w:val="0064533B"/>
    <w:rsid w:val="006453F0"/>
    <w:rsid w:val="0064550D"/>
    <w:rsid w:val="00645811"/>
    <w:rsid w:val="006459EF"/>
    <w:rsid w:val="00645FF9"/>
    <w:rsid w:val="0064613A"/>
    <w:rsid w:val="00646669"/>
    <w:rsid w:val="00646AB4"/>
    <w:rsid w:val="0064713F"/>
    <w:rsid w:val="00647337"/>
    <w:rsid w:val="00647427"/>
    <w:rsid w:val="00647741"/>
    <w:rsid w:val="00647B0B"/>
    <w:rsid w:val="00647BBA"/>
    <w:rsid w:val="0065043F"/>
    <w:rsid w:val="0065069A"/>
    <w:rsid w:val="006506F9"/>
    <w:rsid w:val="00650D84"/>
    <w:rsid w:val="00650DB7"/>
    <w:rsid w:val="00650FDD"/>
    <w:rsid w:val="00651266"/>
    <w:rsid w:val="00651305"/>
    <w:rsid w:val="00651660"/>
    <w:rsid w:val="00651A5B"/>
    <w:rsid w:val="00651FF5"/>
    <w:rsid w:val="006521A1"/>
    <w:rsid w:val="00652298"/>
    <w:rsid w:val="00652546"/>
    <w:rsid w:val="00652727"/>
    <w:rsid w:val="0065277D"/>
    <w:rsid w:val="00652A41"/>
    <w:rsid w:val="006530ED"/>
    <w:rsid w:val="006531B0"/>
    <w:rsid w:val="00653558"/>
    <w:rsid w:val="00653CD5"/>
    <w:rsid w:val="00653CDF"/>
    <w:rsid w:val="006542E4"/>
    <w:rsid w:val="006544A6"/>
    <w:rsid w:val="006544FE"/>
    <w:rsid w:val="0065464D"/>
    <w:rsid w:val="00654714"/>
    <w:rsid w:val="00654CAF"/>
    <w:rsid w:val="00654EE7"/>
    <w:rsid w:val="00655250"/>
    <w:rsid w:val="0065526E"/>
    <w:rsid w:val="00655318"/>
    <w:rsid w:val="006555EF"/>
    <w:rsid w:val="00655823"/>
    <w:rsid w:val="00655891"/>
    <w:rsid w:val="00655AA6"/>
    <w:rsid w:val="00655AE4"/>
    <w:rsid w:val="00655AFC"/>
    <w:rsid w:val="00655F3B"/>
    <w:rsid w:val="00655F54"/>
    <w:rsid w:val="00655F68"/>
    <w:rsid w:val="00655FBA"/>
    <w:rsid w:val="00656058"/>
    <w:rsid w:val="0065639C"/>
    <w:rsid w:val="00656485"/>
    <w:rsid w:val="00656519"/>
    <w:rsid w:val="00656706"/>
    <w:rsid w:val="0065689D"/>
    <w:rsid w:val="00656AEB"/>
    <w:rsid w:val="00656F28"/>
    <w:rsid w:val="00657075"/>
    <w:rsid w:val="006574A1"/>
    <w:rsid w:val="006578BC"/>
    <w:rsid w:val="0065794F"/>
    <w:rsid w:val="00657A78"/>
    <w:rsid w:val="00657D44"/>
    <w:rsid w:val="00657DFF"/>
    <w:rsid w:val="00657E9D"/>
    <w:rsid w:val="00657F3C"/>
    <w:rsid w:val="00660290"/>
    <w:rsid w:val="006602A6"/>
    <w:rsid w:val="00660385"/>
    <w:rsid w:val="006609DE"/>
    <w:rsid w:val="00660B14"/>
    <w:rsid w:val="00660CA8"/>
    <w:rsid w:val="00660DEF"/>
    <w:rsid w:val="00661487"/>
    <w:rsid w:val="0066156B"/>
    <w:rsid w:val="00661C0B"/>
    <w:rsid w:val="00661C77"/>
    <w:rsid w:val="00661EE3"/>
    <w:rsid w:val="0066201F"/>
    <w:rsid w:val="00662116"/>
    <w:rsid w:val="0066267B"/>
    <w:rsid w:val="00662A56"/>
    <w:rsid w:val="00662B0A"/>
    <w:rsid w:val="00662E10"/>
    <w:rsid w:val="00662E36"/>
    <w:rsid w:val="00662EF8"/>
    <w:rsid w:val="00662F66"/>
    <w:rsid w:val="00662FE2"/>
    <w:rsid w:val="0066308D"/>
    <w:rsid w:val="006634A1"/>
    <w:rsid w:val="006634C6"/>
    <w:rsid w:val="00663609"/>
    <w:rsid w:val="00663715"/>
    <w:rsid w:val="00663889"/>
    <w:rsid w:val="00663FBA"/>
    <w:rsid w:val="00664027"/>
    <w:rsid w:val="006643CD"/>
    <w:rsid w:val="006647DE"/>
    <w:rsid w:val="00664C69"/>
    <w:rsid w:val="00664ED1"/>
    <w:rsid w:val="006650BF"/>
    <w:rsid w:val="00665433"/>
    <w:rsid w:val="00665B50"/>
    <w:rsid w:val="00665D95"/>
    <w:rsid w:val="00665DE5"/>
    <w:rsid w:val="00665FF1"/>
    <w:rsid w:val="0066612B"/>
    <w:rsid w:val="006664B7"/>
    <w:rsid w:val="006667DD"/>
    <w:rsid w:val="006668B7"/>
    <w:rsid w:val="00666BBB"/>
    <w:rsid w:val="00666C22"/>
    <w:rsid w:val="00666E99"/>
    <w:rsid w:val="00666EC1"/>
    <w:rsid w:val="006670DB"/>
    <w:rsid w:val="00667AF2"/>
    <w:rsid w:val="00667B39"/>
    <w:rsid w:val="00667FBF"/>
    <w:rsid w:val="0067013E"/>
    <w:rsid w:val="006701F0"/>
    <w:rsid w:val="00670367"/>
    <w:rsid w:val="006703E3"/>
    <w:rsid w:val="0067083A"/>
    <w:rsid w:val="00670B17"/>
    <w:rsid w:val="00670C9B"/>
    <w:rsid w:val="006710B9"/>
    <w:rsid w:val="0067124C"/>
    <w:rsid w:val="006713A7"/>
    <w:rsid w:val="006714C1"/>
    <w:rsid w:val="00671628"/>
    <w:rsid w:val="00671AC8"/>
    <w:rsid w:val="00672578"/>
    <w:rsid w:val="0067266A"/>
    <w:rsid w:val="006726E2"/>
    <w:rsid w:val="00672873"/>
    <w:rsid w:val="00673042"/>
    <w:rsid w:val="006731ED"/>
    <w:rsid w:val="00673611"/>
    <w:rsid w:val="0067371C"/>
    <w:rsid w:val="0067393B"/>
    <w:rsid w:val="00673AFF"/>
    <w:rsid w:val="00673E01"/>
    <w:rsid w:val="006740CD"/>
    <w:rsid w:val="0067427E"/>
    <w:rsid w:val="006742EE"/>
    <w:rsid w:val="006747EE"/>
    <w:rsid w:val="006748DA"/>
    <w:rsid w:val="00674B04"/>
    <w:rsid w:val="00674FFD"/>
    <w:rsid w:val="006750F0"/>
    <w:rsid w:val="00675529"/>
    <w:rsid w:val="00675769"/>
    <w:rsid w:val="00675812"/>
    <w:rsid w:val="00675C60"/>
    <w:rsid w:val="00675D89"/>
    <w:rsid w:val="00676275"/>
    <w:rsid w:val="00676724"/>
    <w:rsid w:val="0067686E"/>
    <w:rsid w:val="00676D28"/>
    <w:rsid w:val="00677412"/>
    <w:rsid w:val="006774B6"/>
    <w:rsid w:val="006774D6"/>
    <w:rsid w:val="00677AEA"/>
    <w:rsid w:val="00677D31"/>
    <w:rsid w:val="00677FD9"/>
    <w:rsid w:val="0068007F"/>
    <w:rsid w:val="00680259"/>
    <w:rsid w:val="006803EF"/>
    <w:rsid w:val="00680618"/>
    <w:rsid w:val="0068071E"/>
    <w:rsid w:val="00680B4F"/>
    <w:rsid w:val="00680C6C"/>
    <w:rsid w:val="00680ED3"/>
    <w:rsid w:val="006810C6"/>
    <w:rsid w:val="0068134A"/>
    <w:rsid w:val="00681413"/>
    <w:rsid w:val="006817D2"/>
    <w:rsid w:val="00681AB9"/>
    <w:rsid w:val="00681C60"/>
    <w:rsid w:val="00682236"/>
    <w:rsid w:val="00682619"/>
    <w:rsid w:val="006826B1"/>
    <w:rsid w:val="006827E6"/>
    <w:rsid w:val="00682E71"/>
    <w:rsid w:val="00683097"/>
    <w:rsid w:val="0068309E"/>
    <w:rsid w:val="006830B8"/>
    <w:rsid w:val="00683366"/>
    <w:rsid w:val="0068358D"/>
    <w:rsid w:val="00683762"/>
    <w:rsid w:val="0068381A"/>
    <w:rsid w:val="00683B69"/>
    <w:rsid w:val="00683FE2"/>
    <w:rsid w:val="006841FA"/>
    <w:rsid w:val="00684360"/>
    <w:rsid w:val="00684805"/>
    <w:rsid w:val="00684B6E"/>
    <w:rsid w:val="00684C2E"/>
    <w:rsid w:val="00684D03"/>
    <w:rsid w:val="00684E10"/>
    <w:rsid w:val="0068534A"/>
    <w:rsid w:val="00685746"/>
    <w:rsid w:val="00685BFF"/>
    <w:rsid w:val="006864BF"/>
    <w:rsid w:val="0068656F"/>
    <w:rsid w:val="0068657B"/>
    <w:rsid w:val="0068661E"/>
    <w:rsid w:val="0068663E"/>
    <w:rsid w:val="006867EE"/>
    <w:rsid w:val="00686887"/>
    <w:rsid w:val="00686A17"/>
    <w:rsid w:val="00686A72"/>
    <w:rsid w:val="00686CD9"/>
    <w:rsid w:val="00686D1B"/>
    <w:rsid w:val="00686E21"/>
    <w:rsid w:val="00687031"/>
    <w:rsid w:val="0068752D"/>
    <w:rsid w:val="00687530"/>
    <w:rsid w:val="006875E7"/>
    <w:rsid w:val="00687F77"/>
    <w:rsid w:val="0069006A"/>
    <w:rsid w:val="00690097"/>
    <w:rsid w:val="00690145"/>
    <w:rsid w:val="0069020C"/>
    <w:rsid w:val="00690CD3"/>
    <w:rsid w:val="00690CEB"/>
    <w:rsid w:val="00690E8F"/>
    <w:rsid w:val="00690FA2"/>
    <w:rsid w:val="00691CC3"/>
    <w:rsid w:val="00692191"/>
    <w:rsid w:val="006921E8"/>
    <w:rsid w:val="006922BE"/>
    <w:rsid w:val="006923D8"/>
    <w:rsid w:val="00692662"/>
    <w:rsid w:val="006926BE"/>
    <w:rsid w:val="006928CA"/>
    <w:rsid w:val="00692BF0"/>
    <w:rsid w:val="00692FF7"/>
    <w:rsid w:val="0069337D"/>
    <w:rsid w:val="00693F02"/>
    <w:rsid w:val="00693FDD"/>
    <w:rsid w:val="0069415C"/>
    <w:rsid w:val="006943B2"/>
    <w:rsid w:val="00694AF4"/>
    <w:rsid w:val="00694B0E"/>
    <w:rsid w:val="00694C43"/>
    <w:rsid w:val="00694F23"/>
    <w:rsid w:val="0069531A"/>
    <w:rsid w:val="0069544F"/>
    <w:rsid w:val="0069571C"/>
    <w:rsid w:val="00695823"/>
    <w:rsid w:val="00695D9E"/>
    <w:rsid w:val="00696453"/>
    <w:rsid w:val="0069667F"/>
    <w:rsid w:val="00696683"/>
    <w:rsid w:val="00696817"/>
    <w:rsid w:val="006968CE"/>
    <w:rsid w:val="00696D7F"/>
    <w:rsid w:val="00696E74"/>
    <w:rsid w:val="006976C3"/>
    <w:rsid w:val="006979A7"/>
    <w:rsid w:val="00697CCE"/>
    <w:rsid w:val="006A0488"/>
    <w:rsid w:val="006A0603"/>
    <w:rsid w:val="006A0CEA"/>
    <w:rsid w:val="006A10B5"/>
    <w:rsid w:val="006A16FF"/>
    <w:rsid w:val="006A173D"/>
    <w:rsid w:val="006A1780"/>
    <w:rsid w:val="006A1A10"/>
    <w:rsid w:val="006A1A27"/>
    <w:rsid w:val="006A1C7D"/>
    <w:rsid w:val="006A1DA1"/>
    <w:rsid w:val="006A1DA3"/>
    <w:rsid w:val="006A2204"/>
    <w:rsid w:val="006A28C5"/>
    <w:rsid w:val="006A2FF4"/>
    <w:rsid w:val="006A323E"/>
    <w:rsid w:val="006A32CD"/>
    <w:rsid w:val="006A32FB"/>
    <w:rsid w:val="006A34A3"/>
    <w:rsid w:val="006A372E"/>
    <w:rsid w:val="006A3F91"/>
    <w:rsid w:val="006A45AC"/>
    <w:rsid w:val="006A4886"/>
    <w:rsid w:val="006A49BE"/>
    <w:rsid w:val="006A4DD7"/>
    <w:rsid w:val="006A50BD"/>
    <w:rsid w:val="006A5233"/>
    <w:rsid w:val="006A536C"/>
    <w:rsid w:val="006A552A"/>
    <w:rsid w:val="006A55D2"/>
    <w:rsid w:val="006A57F1"/>
    <w:rsid w:val="006A583F"/>
    <w:rsid w:val="006A59CD"/>
    <w:rsid w:val="006A5A45"/>
    <w:rsid w:val="006A5B96"/>
    <w:rsid w:val="006A5C3D"/>
    <w:rsid w:val="006A5CBB"/>
    <w:rsid w:val="006A5CE5"/>
    <w:rsid w:val="006A5FB5"/>
    <w:rsid w:val="006A6437"/>
    <w:rsid w:val="006A64C3"/>
    <w:rsid w:val="006A6DCA"/>
    <w:rsid w:val="006A74D6"/>
    <w:rsid w:val="006A78A6"/>
    <w:rsid w:val="006A79D4"/>
    <w:rsid w:val="006A7E19"/>
    <w:rsid w:val="006A7EC3"/>
    <w:rsid w:val="006B0162"/>
    <w:rsid w:val="006B0193"/>
    <w:rsid w:val="006B0293"/>
    <w:rsid w:val="006B08B4"/>
    <w:rsid w:val="006B0D3E"/>
    <w:rsid w:val="006B1142"/>
    <w:rsid w:val="006B1676"/>
    <w:rsid w:val="006B19C6"/>
    <w:rsid w:val="006B1A97"/>
    <w:rsid w:val="006B1BA8"/>
    <w:rsid w:val="006B2660"/>
    <w:rsid w:val="006B28A4"/>
    <w:rsid w:val="006B2A28"/>
    <w:rsid w:val="006B2B0C"/>
    <w:rsid w:val="006B2B7F"/>
    <w:rsid w:val="006B2CCD"/>
    <w:rsid w:val="006B306B"/>
    <w:rsid w:val="006B31D6"/>
    <w:rsid w:val="006B3294"/>
    <w:rsid w:val="006B336F"/>
    <w:rsid w:val="006B34DA"/>
    <w:rsid w:val="006B362F"/>
    <w:rsid w:val="006B36F3"/>
    <w:rsid w:val="006B375E"/>
    <w:rsid w:val="006B3A9A"/>
    <w:rsid w:val="006B3B02"/>
    <w:rsid w:val="006B3C4C"/>
    <w:rsid w:val="006B3CDE"/>
    <w:rsid w:val="006B3EFF"/>
    <w:rsid w:val="006B40E2"/>
    <w:rsid w:val="006B48AD"/>
    <w:rsid w:val="006B4A8C"/>
    <w:rsid w:val="006B50E1"/>
    <w:rsid w:val="006B5148"/>
    <w:rsid w:val="006B524C"/>
    <w:rsid w:val="006B529A"/>
    <w:rsid w:val="006B53FB"/>
    <w:rsid w:val="006B5612"/>
    <w:rsid w:val="006B5AD8"/>
    <w:rsid w:val="006B5E31"/>
    <w:rsid w:val="006B6941"/>
    <w:rsid w:val="006B6D6C"/>
    <w:rsid w:val="006B6F70"/>
    <w:rsid w:val="006B6FC6"/>
    <w:rsid w:val="006B74BF"/>
    <w:rsid w:val="006B7557"/>
    <w:rsid w:val="006B77E2"/>
    <w:rsid w:val="006B7C7F"/>
    <w:rsid w:val="006B7E73"/>
    <w:rsid w:val="006C0190"/>
    <w:rsid w:val="006C01CC"/>
    <w:rsid w:val="006C05E9"/>
    <w:rsid w:val="006C0CF1"/>
    <w:rsid w:val="006C0DE8"/>
    <w:rsid w:val="006C0F92"/>
    <w:rsid w:val="006C1034"/>
    <w:rsid w:val="006C10C3"/>
    <w:rsid w:val="006C1234"/>
    <w:rsid w:val="006C1369"/>
    <w:rsid w:val="006C1B76"/>
    <w:rsid w:val="006C1D0E"/>
    <w:rsid w:val="006C202A"/>
    <w:rsid w:val="006C2327"/>
    <w:rsid w:val="006C2543"/>
    <w:rsid w:val="006C29AE"/>
    <w:rsid w:val="006C2BC5"/>
    <w:rsid w:val="006C2FA4"/>
    <w:rsid w:val="006C2FE2"/>
    <w:rsid w:val="006C305E"/>
    <w:rsid w:val="006C355A"/>
    <w:rsid w:val="006C378E"/>
    <w:rsid w:val="006C3902"/>
    <w:rsid w:val="006C3907"/>
    <w:rsid w:val="006C3D89"/>
    <w:rsid w:val="006C3E0E"/>
    <w:rsid w:val="006C3E22"/>
    <w:rsid w:val="006C3FE7"/>
    <w:rsid w:val="006C4633"/>
    <w:rsid w:val="006C48A9"/>
    <w:rsid w:val="006C4D9F"/>
    <w:rsid w:val="006C4F7F"/>
    <w:rsid w:val="006C519E"/>
    <w:rsid w:val="006C52AD"/>
    <w:rsid w:val="006C52E8"/>
    <w:rsid w:val="006C53BD"/>
    <w:rsid w:val="006C57B7"/>
    <w:rsid w:val="006C5955"/>
    <w:rsid w:val="006C5B00"/>
    <w:rsid w:val="006C5B77"/>
    <w:rsid w:val="006C5C44"/>
    <w:rsid w:val="006C5F30"/>
    <w:rsid w:val="006C6054"/>
    <w:rsid w:val="006C606F"/>
    <w:rsid w:val="006C64D6"/>
    <w:rsid w:val="006C6702"/>
    <w:rsid w:val="006C69D0"/>
    <w:rsid w:val="006C6FAB"/>
    <w:rsid w:val="006C7088"/>
    <w:rsid w:val="006C71D7"/>
    <w:rsid w:val="006C7231"/>
    <w:rsid w:val="006C76EB"/>
    <w:rsid w:val="006C77A2"/>
    <w:rsid w:val="006C78A2"/>
    <w:rsid w:val="006C78D2"/>
    <w:rsid w:val="006C7FCA"/>
    <w:rsid w:val="006D0110"/>
    <w:rsid w:val="006D0207"/>
    <w:rsid w:val="006D025B"/>
    <w:rsid w:val="006D038F"/>
    <w:rsid w:val="006D03DA"/>
    <w:rsid w:val="006D060E"/>
    <w:rsid w:val="006D07EF"/>
    <w:rsid w:val="006D0832"/>
    <w:rsid w:val="006D09B5"/>
    <w:rsid w:val="006D0DA7"/>
    <w:rsid w:val="006D0FC0"/>
    <w:rsid w:val="006D1406"/>
    <w:rsid w:val="006D19C5"/>
    <w:rsid w:val="006D1BB2"/>
    <w:rsid w:val="006D1F76"/>
    <w:rsid w:val="006D20FB"/>
    <w:rsid w:val="006D23BE"/>
    <w:rsid w:val="006D23CB"/>
    <w:rsid w:val="006D2842"/>
    <w:rsid w:val="006D28D3"/>
    <w:rsid w:val="006D28F3"/>
    <w:rsid w:val="006D3176"/>
    <w:rsid w:val="006D33BB"/>
    <w:rsid w:val="006D3637"/>
    <w:rsid w:val="006D3697"/>
    <w:rsid w:val="006D37D2"/>
    <w:rsid w:val="006D3B3C"/>
    <w:rsid w:val="006D3CD8"/>
    <w:rsid w:val="006D3D3F"/>
    <w:rsid w:val="006D4350"/>
    <w:rsid w:val="006D4370"/>
    <w:rsid w:val="006D4519"/>
    <w:rsid w:val="006D471C"/>
    <w:rsid w:val="006D496D"/>
    <w:rsid w:val="006D4E18"/>
    <w:rsid w:val="006D516E"/>
    <w:rsid w:val="006D5587"/>
    <w:rsid w:val="006D5844"/>
    <w:rsid w:val="006D58AE"/>
    <w:rsid w:val="006D5FBB"/>
    <w:rsid w:val="006D61DC"/>
    <w:rsid w:val="006D63E8"/>
    <w:rsid w:val="006D6770"/>
    <w:rsid w:val="006D6BFB"/>
    <w:rsid w:val="006D6D93"/>
    <w:rsid w:val="006D724D"/>
    <w:rsid w:val="006D730D"/>
    <w:rsid w:val="006D7729"/>
    <w:rsid w:val="006D77C7"/>
    <w:rsid w:val="006D78CC"/>
    <w:rsid w:val="006D792E"/>
    <w:rsid w:val="006D7C86"/>
    <w:rsid w:val="006D7C8C"/>
    <w:rsid w:val="006D7C9E"/>
    <w:rsid w:val="006D7FD5"/>
    <w:rsid w:val="006E03C6"/>
    <w:rsid w:val="006E04A0"/>
    <w:rsid w:val="006E0957"/>
    <w:rsid w:val="006E0B3A"/>
    <w:rsid w:val="006E0BBF"/>
    <w:rsid w:val="006E13A5"/>
    <w:rsid w:val="006E14EC"/>
    <w:rsid w:val="006E1529"/>
    <w:rsid w:val="006E15F2"/>
    <w:rsid w:val="006E1735"/>
    <w:rsid w:val="006E18C6"/>
    <w:rsid w:val="006E2189"/>
    <w:rsid w:val="006E23F6"/>
    <w:rsid w:val="006E2508"/>
    <w:rsid w:val="006E25A2"/>
    <w:rsid w:val="006E26AF"/>
    <w:rsid w:val="006E28DF"/>
    <w:rsid w:val="006E2AA1"/>
    <w:rsid w:val="006E3019"/>
    <w:rsid w:val="006E3121"/>
    <w:rsid w:val="006E31B7"/>
    <w:rsid w:val="006E3240"/>
    <w:rsid w:val="006E368C"/>
    <w:rsid w:val="006E36DD"/>
    <w:rsid w:val="006E3AC7"/>
    <w:rsid w:val="006E3E6A"/>
    <w:rsid w:val="006E3F31"/>
    <w:rsid w:val="006E441E"/>
    <w:rsid w:val="006E44A4"/>
    <w:rsid w:val="006E44B2"/>
    <w:rsid w:val="006E49EE"/>
    <w:rsid w:val="006E4D44"/>
    <w:rsid w:val="006E4F2E"/>
    <w:rsid w:val="006E52D2"/>
    <w:rsid w:val="006E5B78"/>
    <w:rsid w:val="006E5F25"/>
    <w:rsid w:val="006E5F94"/>
    <w:rsid w:val="006E6033"/>
    <w:rsid w:val="006E6108"/>
    <w:rsid w:val="006E63D1"/>
    <w:rsid w:val="006E66EA"/>
    <w:rsid w:val="006E7082"/>
    <w:rsid w:val="006E74A5"/>
    <w:rsid w:val="006E77C3"/>
    <w:rsid w:val="006E7883"/>
    <w:rsid w:val="006E7A44"/>
    <w:rsid w:val="006E7AD2"/>
    <w:rsid w:val="006F03A4"/>
    <w:rsid w:val="006F058B"/>
    <w:rsid w:val="006F0804"/>
    <w:rsid w:val="006F093D"/>
    <w:rsid w:val="006F0BF6"/>
    <w:rsid w:val="006F0E21"/>
    <w:rsid w:val="006F0EE4"/>
    <w:rsid w:val="006F10E0"/>
    <w:rsid w:val="006F1439"/>
    <w:rsid w:val="006F174A"/>
    <w:rsid w:val="006F1975"/>
    <w:rsid w:val="006F1B8E"/>
    <w:rsid w:val="006F1BF2"/>
    <w:rsid w:val="006F1E46"/>
    <w:rsid w:val="006F21AF"/>
    <w:rsid w:val="006F22E0"/>
    <w:rsid w:val="006F2594"/>
    <w:rsid w:val="006F25A1"/>
    <w:rsid w:val="006F2645"/>
    <w:rsid w:val="006F2AD1"/>
    <w:rsid w:val="006F2D54"/>
    <w:rsid w:val="006F2DB2"/>
    <w:rsid w:val="006F2E29"/>
    <w:rsid w:val="006F2ED6"/>
    <w:rsid w:val="006F317D"/>
    <w:rsid w:val="006F3181"/>
    <w:rsid w:val="006F322A"/>
    <w:rsid w:val="006F326B"/>
    <w:rsid w:val="006F37C4"/>
    <w:rsid w:val="006F382D"/>
    <w:rsid w:val="006F3902"/>
    <w:rsid w:val="006F3A00"/>
    <w:rsid w:val="006F3B03"/>
    <w:rsid w:val="006F3B73"/>
    <w:rsid w:val="006F3BB6"/>
    <w:rsid w:val="006F3C30"/>
    <w:rsid w:val="006F3F69"/>
    <w:rsid w:val="006F3FE3"/>
    <w:rsid w:val="006F40E4"/>
    <w:rsid w:val="006F4186"/>
    <w:rsid w:val="006F48BA"/>
    <w:rsid w:val="006F4F3E"/>
    <w:rsid w:val="006F5367"/>
    <w:rsid w:val="006F58C5"/>
    <w:rsid w:val="006F5903"/>
    <w:rsid w:val="006F59B0"/>
    <w:rsid w:val="006F5C04"/>
    <w:rsid w:val="006F5F8F"/>
    <w:rsid w:val="006F608B"/>
    <w:rsid w:val="006F6099"/>
    <w:rsid w:val="006F63F0"/>
    <w:rsid w:val="006F69BE"/>
    <w:rsid w:val="006F6AA7"/>
    <w:rsid w:val="006F70FD"/>
    <w:rsid w:val="006F78D1"/>
    <w:rsid w:val="006F7907"/>
    <w:rsid w:val="006F7B54"/>
    <w:rsid w:val="0070011E"/>
    <w:rsid w:val="007001C8"/>
    <w:rsid w:val="007003D7"/>
    <w:rsid w:val="00700527"/>
    <w:rsid w:val="007007A1"/>
    <w:rsid w:val="00700845"/>
    <w:rsid w:val="00700B12"/>
    <w:rsid w:val="00700C4D"/>
    <w:rsid w:val="00700DBB"/>
    <w:rsid w:val="007012C8"/>
    <w:rsid w:val="007015C3"/>
    <w:rsid w:val="00701D47"/>
    <w:rsid w:val="00701E3D"/>
    <w:rsid w:val="0070226C"/>
    <w:rsid w:val="00702803"/>
    <w:rsid w:val="007028B0"/>
    <w:rsid w:val="00702915"/>
    <w:rsid w:val="00702B42"/>
    <w:rsid w:val="00702CB9"/>
    <w:rsid w:val="00702D03"/>
    <w:rsid w:val="007030B7"/>
    <w:rsid w:val="00703293"/>
    <w:rsid w:val="007035C3"/>
    <w:rsid w:val="00703868"/>
    <w:rsid w:val="007038B7"/>
    <w:rsid w:val="007038BA"/>
    <w:rsid w:val="007039AB"/>
    <w:rsid w:val="00703AC2"/>
    <w:rsid w:val="00703AF5"/>
    <w:rsid w:val="00703E5F"/>
    <w:rsid w:val="007043B0"/>
    <w:rsid w:val="00704879"/>
    <w:rsid w:val="0070493A"/>
    <w:rsid w:val="00704A89"/>
    <w:rsid w:val="00704A8B"/>
    <w:rsid w:val="00704E8D"/>
    <w:rsid w:val="00704F00"/>
    <w:rsid w:val="00705369"/>
    <w:rsid w:val="00705886"/>
    <w:rsid w:val="0070595C"/>
    <w:rsid w:val="00706356"/>
    <w:rsid w:val="0070651E"/>
    <w:rsid w:val="00706835"/>
    <w:rsid w:val="007071B1"/>
    <w:rsid w:val="0070757B"/>
    <w:rsid w:val="007078B2"/>
    <w:rsid w:val="00707E6F"/>
    <w:rsid w:val="00710266"/>
    <w:rsid w:val="00710EBF"/>
    <w:rsid w:val="00711141"/>
    <w:rsid w:val="007115C2"/>
    <w:rsid w:val="00711921"/>
    <w:rsid w:val="007119A3"/>
    <w:rsid w:val="007119A9"/>
    <w:rsid w:val="00711A8A"/>
    <w:rsid w:val="00711AFB"/>
    <w:rsid w:val="007122C7"/>
    <w:rsid w:val="007123A2"/>
    <w:rsid w:val="00712513"/>
    <w:rsid w:val="00712EA8"/>
    <w:rsid w:val="007130FA"/>
    <w:rsid w:val="0071380D"/>
    <w:rsid w:val="00713A5A"/>
    <w:rsid w:val="00713D5F"/>
    <w:rsid w:val="00713E6D"/>
    <w:rsid w:val="00713F65"/>
    <w:rsid w:val="00714022"/>
    <w:rsid w:val="007143F2"/>
    <w:rsid w:val="00714822"/>
    <w:rsid w:val="00714D34"/>
    <w:rsid w:val="007150EA"/>
    <w:rsid w:val="00715196"/>
    <w:rsid w:val="00715692"/>
    <w:rsid w:val="007158DC"/>
    <w:rsid w:val="00715E0E"/>
    <w:rsid w:val="00715EA7"/>
    <w:rsid w:val="00715ECC"/>
    <w:rsid w:val="0071601B"/>
    <w:rsid w:val="007166A1"/>
    <w:rsid w:val="007168D4"/>
    <w:rsid w:val="00716A9F"/>
    <w:rsid w:val="00716E93"/>
    <w:rsid w:val="007170DB"/>
    <w:rsid w:val="007173C6"/>
    <w:rsid w:val="0071750E"/>
    <w:rsid w:val="007179E5"/>
    <w:rsid w:val="00717E46"/>
    <w:rsid w:val="00717F8A"/>
    <w:rsid w:val="007202F0"/>
    <w:rsid w:val="00720416"/>
    <w:rsid w:val="00720785"/>
    <w:rsid w:val="007207AA"/>
    <w:rsid w:val="00720BBB"/>
    <w:rsid w:val="00720DF8"/>
    <w:rsid w:val="007210AF"/>
    <w:rsid w:val="0072116C"/>
    <w:rsid w:val="007213D3"/>
    <w:rsid w:val="00721585"/>
    <w:rsid w:val="00721983"/>
    <w:rsid w:val="00721D50"/>
    <w:rsid w:val="00721E93"/>
    <w:rsid w:val="007221A3"/>
    <w:rsid w:val="00722244"/>
    <w:rsid w:val="007223AC"/>
    <w:rsid w:val="00722695"/>
    <w:rsid w:val="007226C2"/>
    <w:rsid w:val="00722F06"/>
    <w:rsid w:val="0072309E"/>
    <w:rsid w:val="0072310F"/>
    <w:rsid w:val="00723277"/>
    <w:rsid w:val="0072346D"/>
    <w:rsid w:val="00723683"/>
    <w:rsid w:val="00723857"/>
    <w:rsid w:val="00723A4C"/>
    <w:rsid w:val="00723C4A"/>
    <w:rsid w:val="00724152"/>
    <w:rsid w:val="00724292"/>
    <w:rsid w:val="007242FB"/>
    <w:rsid w:val="00724922"/>
    <w:rsid w:val="0072499F"/>
    <w:rsid w:val="00724ABD"/>
    <w:rsid w:val="00724B4B"/>
    <w:rsid w:val="00724F84"/>
    <w:rsid w:val="0072504D"/>
    <w:rsid w:val="007251D1"/>
    <w:rsid w:val="0072576B"/>
    <w:rsid w:val="00725BC4"/>
    <w:rsid w:val="00725F6F"/>
    <w:rsid w:val="00726131"/>
    <w:rsid w:val="00726AB6"/>
    <w:rsid w:val="00726CBF"/>
    <w:rsid w:val="00726CCA"/>
    <w:rsid w:val="00726EBD"/>
    <w:rsid w:val="00726F29"/>
    <w:rsid w:val="00726F48"/>
    <w:rsid w:val="00726FDC"/>
    <w:rsid w:val="007272D1"/>
    <w:rsid w:val="0072747B"/>
    <w:rsid w:val="007276C3"/>
    <w:rsid w:val="0072772E"/>
    <w:rsid w:val="00727C08"/>
    <w:rsid w:val="00730128"/>
    <w:rsid w:val="00730155"/>
    <w:rsid w:val="007301FC"/>
    <w:rsid w:val="00730661"/>
    <w:rsid w:val="00730815"/>
    <w:rsid w:val="00730CCA"/>
    <w:rsid w:val="007312F9"/>
    <w:rsid w:val="007315B9"/>
    <w:rsid w:val="00731720"/>
    <w:rsid w:val="00731885"/>
    <w:rsid w:val="00731B07"/>
    <w:rsid w:val="00731CDA"/>
    <w:rsid w:val="00731D1F"/>
    <w:rsid w:val="00731E01"/>
    <w:rsid w:val="007321E8"/>
    <w:rsid w:val="00732648"/>
    <w:rsid w:val="0073265F"/>
    <w:rsid w:val="00732788"/>
    <w:rsid w:val="00732974"/>
    <w:rsid w:val="00732AEC"/>
    <w:rsid w:val="00732C96"/>
    <w:rsid w:val="00732FF9"/>
    <w:rsid w:val="00733334"/>
    <w:rsid w:val="007336BC"/>
    <w:rsid w:val="007337FC"/>
    <w:rsid w:val="00733A51"/>
    <w:rsid w:val="00733AF8"/>
    <w:rsid w:val="00733CB6"/>
    <w:rsid w:val="00733CBB"/>
    <w:rsid w:val="00733F1B"/>
    <w:rsid w:val="0073403E"/>
    <w:rsid w:val="00734369"/>
    <w:rsid w:val="0073468F"/>
    <w:rsid w:val="00734DB3"/>
    <w:rsid w:val="00734E1E"/>
    <w:rsid w:val="00734F32"/>
    <w:rsid w:val="00735588"/>
    <w:rsid w:val="0073564A"/>
    <w:rsid w:val="007357FA"/>
    <w:rsid w:val="00735956"/>
    <w:rsid w:val="00736427"/>
    <w:rsid w:val="0073685F"/>
    <w:rsid w:val="007369A3"/>
    <w:rsid w:val="00736ABC"/>
    <w:rsid w:val="00736C7E"/>
    <w:rsid w:val="00736EC1"/>
    <w:rsid w:val="00737229"/>
    <w:rsid w:val="007374A1"/>
    <w:rsid w:val="0073766D"/>
    <w:rsid w:val="00737678"/>
    <w:rsid w:val="007377C9"/>
    <w:rsid w:val="00737AAA"/>
    <w:rsid w:val="007400BB"/>
    <w:rsid w:val="007405CB"/>
    <w:rsid w:val="00740A88"/>
    <w:rsid w:val="00740AA7"/>
    <w:rsid w:val="00740B62"/>
    <w:rsid w:val="00740C7C"/>
    <w:rsid w:val="00740CAF"/>
    <w:rsid w:val="00740F5F"/>
    <w:rsid w:val="0074102F"/>
    <w:rsid w:val="007410ED"/>
    <w:rsid w:val="00741816"/>
    <w:rsid w:val="007418DE"/>
    <w:rsid w:val="00741955"/>
    <w:rsid w:val="00741FBF"/>
    <w:rsid w:val="00741FE9"/>
    <w:rsid w:val="007422E7"/>
    <w:rsid w:val="00742354"/>
    <w:rsid w:val="007423D1"/>
    <w:rsid w:val="0074241C"/>
    <w:rsid w:val="007426BA"/>
    <w:rsid w:val="00742884"/>
    <w:rsid w:val="00742EAD"/>
    <w:rsid w:val="00743928"/>
    <w:rsid w:val="00743D57"/>
    <w:rsid w:val="0074416D"/>
    <w:rsid w:val="007441F7"/>
    <w:rsid w:val="00744B16"/>
    <w:rsid w:val="00744C46"/>
    <w:rsid w:val="00744FE5"/>
    <w:rsid w:val="007451B4"/>
    <w:rsid w:val="00745314"/>
    <w:rsid w:val="007453AC"/>
    <w:rsid w:val="0074588C"/>
    <w:rsid w:val="00745999"/>
    <w:rsid w:val="007459C5"/>
    <w:rsid w:val="00746373"/>
    <w:rsid w:val="00746428"/>
    <w:rsid w:val="00746BA0"/>
    <w:rsid w:val="00746E1C"/>
    <w:rsid w:val="00746F7C"/>
    <w:rsid w:val="0074722B"/>
    <w:rsid w:val="00747469"/>
    <w:rsid w:val="007475BA"/>
    <w:rsid w:val="00747A0C"/>
    <w:rsid w:val="00747A3B"/>
    <w:rsid w:val="00747ACB"/>
    <w:rsid w:val="00747B76"/>
    <w:rsid w:val="00747D7A"/>
    <w:rsid w:val="00747EC0"/>
    <w:rsid w:val="0075093E"/>
    <w:rsid w:val="00750B6F"/>
    <w:rsid w:val="00750C9D"/>
    <w:rsid w:val="0075111E"/>
    <w:rsid w:val="0075128F"/>
    <w:rsid w:val="007513CC"/>
    <w:rsid w:val="00751725"/>
    <w:rsid w:val="00751A5A"/>
    <w:rsid w:val="00751EE3"/>
    <w:rsid w:val="00751FED"/>
    <w:rsid w:val="0075202A"/>
    <w:rsid w:val="007525C8"/>
    <w:rsid w:val="00752B2C"/>
    <w:rsid w:val="00752D4D"/>
    <w:rsid w:val="00752DE5"/>
    <w:rsid w:val="00753481"/>
    <w:rsid w:val="00753A3A"/>
    <w:rsid w:val="00753CFA"/>
    <w:rsid w:val="00753D1C"/>
    <w:rsid w:val="00753D31"/>
    <w:rsid w:val="007540FF"/>
    <w:rsid w:val="007541A6"/>
    <w:rsid w:val="0075433C"/>
    <w:rsid w:val="0075478F"/>
    <w:rsid w:val="0075486B"/>
    <w:rsid w:val="00754ABA"/>
    <w:rsid w:val="00754BE8"/>
    <w:rsid w:val="00754C11"/>
    <w:rsid w:val="00754FF6"/>
    <w:rsid w:val="0075569A"/>
    <w:rsid w:val="00755CB5"/>
    <w:rsid w:val="00755EA5"/>
    <w:rsid w:val="00755EF1"/>
    <w:rsid w:val="00755EFC"/>
    <w:rsid w:val="007562A0"/>
    <w:rsid w:val="0075649F"/>
    <w:rsid w:val="00756D34"/>
    <w:rsid w:val="00756DA6"/>
    <w:rsid w:val="00756E33"/>
    <w:rsid w:val="00756FC0"/>
    <w:rsid w:val="00757626"/>
    <w:rsid w:val="007578AF"/>
    <w:rsid w:val="00757989"/>
    <w:rsid w:val="00757B72"/>
    <w:rsid w:val="00757F66"/>
    <w:rsid w:val="00760035"/>
    <w:rsid w:val="007602F7"/>
    <w:rsid w:val="00760476"/>
    <w:rsid w:val="007604AD"/>
    <w:rsid w:val="007604B7"/>
    <w:rsid w:val="0076088F"/>
    <w:rsid w:val="00760B8B"/>
    <w:rsid w:val="00760B96"/>
    <w:rsid w:val="007613B3"/>
    <w:rsid w:val="00761847"/>
    <w:rsid w:val="00761A7F"/>
    <w:rsid w:val="00761B8A"/>
    <w:rsid w:val="00762092"/>
    <w:rsid w:val="0076210E"/>
    <w:rsid w:val="0076233F"/>
    <w:rsid w:val="00762499"/>
    <w:rsid w:val="007626F3"/>
    <w:rsid w:val="0076298A"/>
    <w:rsid w:val="00762A4E"/>
    <w:rsid w:val="00762DB0"/>
    <w:rsid w:val="00762EDB"/>
    <w:rsid w:val="00763085"/>
    <w:rsid w:val="007630D6"/>
    <w:rsid w:val="007631FB"/>
    <w:rsid w:val="00763676"/>
    <w:rsid w:val="00763805"/>
    <w:rsid w:val="00763B2F"/>
    <w:rsid w:val="00763CE3"/>
    <w:rsid w:val="00763D57"/>
    <w:rsid w:val="0076423A"/>
    <w:rsid w:val="00764474"/>
    <w:rsid w:val="0076499C"/>
    <w:rsid w:val="00764AFD"/>
    <w:rsid w:val="00764D52"/>
    <w:rsid w:val="00764F8D"/>
    <w:rsid w:val="007650B6"/>
    <w:rsid w:val="00765211"/>
    <w:rsid w:val="007657DD"/>
    <w:rsid w:val="00765950"/>
    <w:rsid w:val="007659E2"/>
    <w:rsid w:val="00765AE3"/>
    <w:rsid w:val="00765BB8"/>
    <w:rsid w:val="00765D8B"/>
    <w:rsid w:val="00765ECA"/>
    <w:rsid w:val="007662CF"/>
    <w:rsid w:val="007663E6"/>
    <w:rsid w:val="0076645D"/>
    <w:rsid w:val="007666F2"/>
    <w:rsid w:val="00766807"/>
    <w:rsid w:val="00766976"/>
    <w:rsid w:val="007670B0"/>
    <w:rsid w:val="0076749F"/>
    <w:rsid w:val="00767542"/>
    <w:rsid w:val="00767AD9"/>
    <w:rsid w:val="00767BE0"/>
    <w:rsid w:val="00767D32"/>
    <w:rsid w:val="00767FEF"/>
    <w:rsid w:val="00770564"/>
    <w:rsid w:val="007705A7"/>
    <w:rsid w:val="0077095F"/>
    <w:rsid w:val="00770C3B"/>
    <w:rsid w:val="00770F66"/>
    <w:rsid w:val="00770F68"/>
    <w:rsid w:val="00771125"/>
    <w:rsid w:val="0077164C"/>
    <w:rsid w:val="00771A81"/>
    <w:rsid w:val="00771AF3"/>
    <w:rsid w:val="00771C80"/>
    <w:rsid w:val="00771F0E"/>
    <w:rsid w:val="0077202B"/>
    <w:rsid w:val="007723DE"/>
    <w:rsid w:val="00772674"/>
    <w:rsid w:val="00772786"/>
    <w:rsid w:val="007731FA"/>
    <w:rsid w:val="00773321"/>
    <w:rsid w:val="007734C1"/>
    <w:rsid w:val="007735A1"/>
    <w:rsid w:val="00774472"/>
    <w:rsid w:val="0077459D"/>
    <w:rsid w:val="0077460E"/>
    <w:rsid w:val="007746E5"/>
    <w:rsid w:val="0077470B"/>
    <w:rsid w:val="00774AAD"/>
    <w:rsid w:val="00774B79"/>
    <w:rsid w:val="00774D51"/>
    <w:rsid w:val="00774FD0"/>
    <w:rsid w:val="00775182"/>
    <w:rsid w:val="00775520"/>
    <w:rsid w:val="007759A4"/>
    <w:rsid w:val="00775A01"/>
    <w:rsid w:val="00775CF5"/>
    <w:rsid w:val="00775DDE"/>
    <w:rsid w:val="00775E79"/>
    <w:rsid w:val="0077677B"/>
    <w:rsid w:val="00776A4C"/>
    <w:rsid w:val="00776A6C"/>
    <w:rsid w:val="00776B39"/>
    <w:rsid w:val="00776B8A"/>
    <w:rsid w:val="00776CB2"/>
    <w:rsid w:val="00776E66"/>
    <w:rsid w:val="0077763C"/>
    <w:rsid w:val="007778BF"/>
    <w:rsid w:val="00777BE3"/>
    <w:rsid w:val="00777EF3"/>
    <w:rsid w:val="00777F6C"/>
    <w:rsid w:val="00780175"/>
    <w:rsid w:val="00780310"/>
    <w:rsid w:val="00780CBF"/>
    <w:rsid w:val="00781029"/>
    <w:rsid w:val="0078130E"/>
    <w:rsid w:val="00781602"/>
    <w:rsid w:val="0078163D"/>
    <w:rsid w:val="00781792"/>
    <w:rsid w:val="0078186E"/>
    <w:rsid w:val="007818CD"/>
    <w:rsid w:val="007819D3"/>
    <w:rsid w:val="00781AD2"/>
    <w:rsid w:val="00781B69"/>
    <w:rsid w:val="00781CF9"/>
    <w:rsid w:val="00781CFE"/>
    <w:rsid w:val="00781D01"/>
    <w:rsid w:val="00781F8C"/>
    <w:rsid w:val="00782197"/>
    <w:rsid w:val="0078242E"/>
    <w:rsid w:val="00782A41"/>
    <w:rsid w:val="00782C3D"/>
    <w:rsid w:val="00782DCE"/>
    <w:rsid w:val="007830C5"/>
    <w:rsid w:val="007839CD"/>
    <w:rsid w:val="00783A27"/>
    <w:rsid w:val="00783C4C"/>
    <w:rsid w:val="0078400B"/>
    <w:rsid w:val="00784114"/>
    <w:rsid w:val="007845D4"/>
    <w:rsid w:val="00784BD1"/>
    <w:rsid w:val="00784DD5"/>
    <w:rsid w:val="00784FEB"/>
    <w:rsid w:val="00785934"/>
    <w:rsid w:val="00785E9A"/>
    <w:rsid w:val="00785EB6"/>
    <w:rsid w:val="0078631C"/>
    <w:rsid w:val="00786654"/>
    <w:rsid w:val="0078677A"/>
    <w:rsid w:val="00786F53"/>
    <w:rsid w:val="00787290"/>
    <w:rsid w:val="007873D9"/>
    <w:rsid w:val="007875A7"/>
    <w:rsid w:val="00787860"/>
    <w:rsid w:val="00787930"/>
    <w:rsid w:val="00787D1B"/>
    <w:rsid w:val="00790131"/>
    <w:rsid w:val="00790347"/>
    <w:rsid w:val="0079061A"/>
    <w:rsid w:val="00790FD9"/>
    <w:rsid w:val="007912BE"/>
    <w:rsid w:val="0079130D"/>
    <w:rsid w:val="007916E3"/>
    <w:rsid w:val="00791779"/>
    <w:rsid w:val="00791C00"/>
    <w:rsid w:val="00791CDA"/>
    <w:rsid w:val="00791D25"/>
    <w:rsid w:val="00792569"/>
    <w:rsid w:val="007925EF"/>
    <w:rsid w:val="00792AC8"/>
    <w:rsid w:val="00792C0C"/>
    <w:rsid w:val="00792C43"/>
    <w:rsid w:val="00793018"/>
    <w:rsid w:val="007933C3"/>
    <w:rsid w:val="00793DEB"/>
    <w:rsid w:val="00793ECF"/>
    <w:rsid w:val="00793FAD"/>
    <w:rsid w:val="00794AB4"/>
    <w:rsid w:val="00794CB7"/>
    <w:rsid w:val="00794D18"/>
    <w:rsid w:val="00794FFD"/>
    <w:rsid w:val="00795500"/>
    <w:rsid w:val="00795518"/>
    <w:rsid w:val="0079560F"/>
    <w:rsid w:val="007957A5"/>
    <w:rsid w:val="00795977"/>
    <w:rsid w:val="00795B7E"/>
    <w:rsid w:val="00795D45"/>
    <w:rsid w:val="00795ED6"/>
    <w:rsid w:val="00795F5B"/>
    <w:rsid w:val="00795FFF"/>
    <w:rsid w:val="0079657B"/>
    <w:rsid w:val="00796741"/>
    <w:rsid w:val="00796E77"/>
    <w:rsid w:val="00796F9E"/>
    <w:rsid w:val="0079712E"/>
    <w:rsid w:val="0079728F"/>
    <w:rsid w:val="007972FB"/>
    <w:rsid w:val="00797471"/>
    <w:rsid w:val="00797652"/>
    <w:rsid w:val="00797E5C"/>
    <w:rsid w:val="00797FBB"/>
    <w:rsid w:val="007A007F"/>
    <w:rsid w:val="007A011D"/>
    <w:rsid w:val="007A081B"/>
    <w:rsid w:val="007A094C"/>
    <w:rsid w:val="007A0988"/>
    <w:rsid w:val="007A09DB"/>
    <w:rsid w:val="007A0D7B"/>
    <w:rsid w:val="007A0E54"/>
    <w:rsid w:val="007A0F78"/>
    <w:rsid w:val="007A1921"/>
    <w:rsid w:val="007A1933"/>
    <w:rsid w:val="007A19A0"/>
    <w:rsid w:val="007A1D82"/>
    <w:rsid w:val="007A2109"/>
    <w:rsid w:val="007A22CD"/>
    <w:rsid w:val="007A231A"/>
    <w:rsid w:val="007A258C"/>
    <w:rsid w:val="007A26ED"/>
    <w:rsid w:val="007A28C6"/>
    <w:rsid w:val="007A2938"/>
    <w:rsid w:val="007A2CE5"/>
    <w:rsid w:val="007A2D53"/>
    <w:rsid w:val="007A2E15"/>
    <w:rsid w:val="007A3146"/>
    <w:rsid w:val="007A32F2"/>
    <w:rsid w:val="007A3345"/>
    <w:rsid w:val="007A3467"/>
    <w:rsid w:val="007A34DE"/>
    <w:rsid w:val="007A3583"/>
    <w:rsid w:val="007A38FD"/>
    <w:rsid w:val="007A3B9A"/>
    <w:rsid w:val="007A3C22"/>
    <w:rsid w:val="007A4072"/>
    <w:rsid w:val="007A46F1"/>
    <w:rsid w:val="007A495A"/>
    <w:rsid w:val="007A4E4E"/>
    <w:rsid w:val="007A5049"/>
    <w:rsid w:val="007A530B"/>
    <w:rsid w:val="007A532A"/>
    <w:rsid w:val="007A5526"/>
    <w:rsid w:val="007A55C4"/>
    <w:rsid w:val="007A5616"/>
    <w:rsid w:val="007A5848"/>
    <w:rsid w:val="007A5D15"/>
    <w:rsid w:val="007A5D46"/>
    <w:rsid w:val="007A5EA7"/>
    <w:rsid w:val="007A60D0"/>
    <w:rsid w:val="007A6213"/>
    <w:rsid w:val="007A62B5"/>
    <w:rsid w:val="007A636A"/>
    <w:rsid w:val="007A6444"/>
    <w:rsid w:val="007A6692"/>
    <w:rsid w:val="007A6799"/>
    <w:rsid w:val="007A67F0"/>
    <w:rsid w:val="007A68D2"/>
    <w:rsid w:val="007A6F8E"/>
    <w:rsid w:val="007A70EF"/>
    <w:rsid w:val="007A7464"/>
    <w:rsid w:val="007A7494"/>
    <w:rsid w:val="007A776D"/>
    <w:rsid w:val="007A78C4"/>
    <w:rsid w:val="007A798E"/>
    <w:rsid w:val="007B00D8"/>
    <w:rsid w:val="007B029B"/>
    <w:rsid w:val="007B0452"/>
    <w:rsid w:val="007B04FB"/>
    <w:rsid w:val="007B06D3"/>
    <w:rsid w:val="007B0AA9"/>
    <w:rsid w:val="007B0B21"/>
    <w:rsid w:val="007B0B37"/>
    <w:rsid w:val="007B0BCB"/>
    <w:rsid w:val="007B0E94"/>
    <w:rsid w:val="007B0F62"/>
    <w:rsid w:val="007B10DE"/>
    <w:rsid w:val="007B12CF"/>
    <w:rsid w:val="007B147E"/>
    <w:rsid w:val="007B1501"/>
    <w:rsid w:val="007B166C"/>
    <w:rsid w:val="007B179C"/>
    <w:rsid w:val="007B1E12"/>
    <w:rsid w:val="007B1F36"/>
    <w:rsid w:val="007B20B2"/>
    <w:rsid w:val="007B2478"/>
    <w:rsid w:val="007B2B40"/>
    <w:rsid w:val="007B2D6F"/>
    <w:rsid w:val="007B3218"/>
    <w:rsid w:val="007B3304"/>
    <w:rsid w:val="007B3F45"/>
    <w:rsid w:val="007B405C"/>
    <w:rsid w:val="007B4401"/>
    <w:rsid w:val="007B4433"/>
    <w:rsid w:val="007B4437"/>
    <w:rsid w:val="007B457C"/>
    <w:rsid w:val="007B45B0"/>
    <w:rsid w:val="007B4866"/>
    <w:rsid w:val="007B4F5E"/>
    <w:rsid w:val="007B568D"/>
    <w:rsid w:val="007B570F"/>
    <w:rsid w:val="007B580F"/>
    <w:rsid w:val="007B58DE"/>
    <w:rsid w:val="007B59DC"/>
    <w:rsid w:val="007B5F03"/>
    <w:rsid w:val="007B60FF"/>
    <w:rsid w:val="007B6806"/>
    <w:rsid w:val="007B6825"/>
    <w:rsid w:val="007B6918"/>
    <w:rsid w:val="007B697E"/>
    <w:rsid w:val="007B6FAC"/>
    <w:rsid w:val="007B72D5"/>
    <w:rsid w:val="007B7524"/>
    <w:rsid w:val="007B7A0F"/>
    <w:rsid w:val="007B7BF4"/>
    <w:rsid w:val="007B7C39"/>
    <w:rsid w:val="007B7D2B"/>
    <w:rsid w:val="007B7DCB"/>
    <w:rsid w:val="007B7E59"/>
    <w:rsid w:val="007C043F"/>
    <w:rsid w:val="007C0483"/>
    <w:rsid w:val="007C04C1"/>
    <w:rsid w:val="007C0583"/>
    <w:rsid w:val="007C0A2C"/>
    <w:rsid w:val="007C0BD7"/>
    <w:rsid w:val="007C0D1A"/>
    <w:rsid w:val="007C14B1"/>
    <w:rsid w:val="007C1534"/>
    <w:rsid w:val="007C1B2E"/>
    <w:rsid w:val="007C20CE"/>
    <w:rsid w:val="007C293F"/>
    <w:rsid w:val="007C2C4D"/>
    <w:rsid w:val="007C2C9A"/>
    <w:rsid w:val="007C2E39"/>
    <w:rsid w:val="007C3061"/>
    <w:rsid w:val="007C319D"/>
    <w:rsid w:val="007C36B7"/>
    <w:rsid w:val="007C3725"/>
    <w:rsid w:val="007C37B0"/>
    <w:rsid w:val="007C4192"/>
    <w:rsid w:val="007C457F"/>
    <w:rsid w:val="007C4619"/>
    <w:rsid w:val="007C4762"/>
    <w:rsid w:val="007C485A"/>
    <w:rsid w:val="007C4FD4"/>
    <w:rsid w:val="007C5147"/>
    <w:rsid w:val="007C52FE"/>
    <w:rsid w:val="007C5926"/>
    <w:rsid w:val="007C59F8"/>
    <w:rsid w:val="007C5DFF"/>
    <w:rsid w:val="007C5EBB"/>
    <w:rsid w:val="007C6046"/>
    <w:rsid w:val="007C6178"/>
    <w:rsid w:val="007C6506"/>
    <w:rsid w:val="007C653E"/>
    <w:rsid w:val="007C657D"/>
    <w:rsid w:val="007C6727"/>
    <w:rsid w:val="007C6A96"/>
    <w:rsid w:val="007C6C5A"/>
    <w:rsid w:val="007C7676"/>
    <w:rsid w:val="007C7B52"/>
    <w:rsid w:val="007C7CCB"/>
    <w:rsid w:val="007C7EA7"/>
    <w:rsid w:val="007C7EE3"/>
    <w:rsid w:val="007D0068"/>
    <w:rsid w:val="007D028A"/>
    <w:rsid w:val="007D04C4"/>
    <w:rsid w:val="007D05E5"/>
    <w:rsid w:val="007D06AB"/>
    <w:rsid w:val="007D06D4"/>
    <w:rsid w:val="007D0B58"/>
    <w:rsid w:val="007D139A"/>
    <w:rsid w:val="007D13A9"/>
    <w:rsid w:val="007D168E"/>
    <w:rsid w:val="007D17C7"/>
    <w:rsid w:val="007D1BD1"/>
    <w:rsid w:val="007D1EA3"/>
    <w:rsid w:val="007D2484"/>
    <w:rsid w:val="007D26BA"/>
    <w:rsid w:val="007D2724"/>
    <w:rsid w:val="007D27E2"/>
    <w:rsid w:val="007D28A9"/>
    <w:rsid w:val="007D3272"/>
    <w:rsid w:val="007D32B2"/>
    <w:rsid w:val="007D3311"/>
    <w:rsid w:val="007D340E"/>
    <w:rsid w:val="007D36E5"/>
    <w:rsid w:val="007D37D9"/>
    <w:rsid w:val="007D37DF"/>
    <w:rsid w:val="007D399D"/>
    <w:rsid w:val="007D3A56"/>
    <w:rsid w:val="007D3D1A"/>
    <w:rsid w:val="007D4004"/>
    <w:rsid w:val="007D40A6"/>
    <w:rsid w:val="007D4391"/>
    <w:rsid w:val="007D43EA"/>
    <w:rsid w:val="007D47A9"/>
    <w:rsid w:val="007D4DBD"/>
    <w:rsid w:val="007D4E95"/>
    <w:rsid w:val="007D4E98"/>
    <w:rsid w:val="007D5208"/>
    <w:rsid w:val="007D54A9"/>
    <w:rsid w:val="007D5B5C"/>
    <w:rsid w:val="007D5B82"/>
    <w:rsid w:val="007D5C98"/>
    <w:rsid w:val="007D5CD5"/>
    <w:rsid w:val="007D60F8"/>
    <w:rsid w:val="007D6924"/>
    <w:rsid w:val="007D6DF2"/>
    <w:rsid w:val="007D6ECB"/>
    <w:rsid w:val="007D701B"/>
    <w:rsid w:val="007D7025"/>
    <w:rsid w:val="007D72F8"/>
    <w:rsid w:val="007D73F2"/>
    <w:rsid w:val="007D7481"/>
    <w:rsid w:val="007D7574"/>
    <w:rsid w:val="007D75C2"/>
    <w:rsid w:val="007D79D4"/>
    <w:rsid w:val="007D7AC9"/>
    <w:rsid w:val="007D7BCA"/>
    <w:rsid w:val="007D7C14"/>
    <w:rsid w:val="007D7C2C"/>
    <w:rsid w:val="007D7DBB"/>
    <w:rsid w:val="007E0C65"/>
    <w:rsid w:val="007E0CA1"/>
    <w:rsid w:val="007E0D01"/>
    <w:rsid w:val="007E0EB9"/>
    <w:rsid w:val="007E117A"/>
    <w:rsid w:val="007E15E9"/>
    <w:rsid w:val="007E187D"/>
    <w:rsid w:val="007E1899"/>
    <w:rsid w:val="007E1F99"/>
    <w:rsid w:val="007E20EB"/>
    <w:rsid w:val="007E23AC"/>
    <w:rsid w:val="007E282A"/>
    <w:rsid w:val="007E282B"/>
    <w:rsid w:val="007E2E38"/>
    <w:rsid w:val="007E3219"/>
    <w:rsid w:val="007E39E9"/>
    <w:rsid w:val="007E3E75"/>
    <w:rsid w:val="007E45A9"/>
    <w:rsid w:val="007E4BC3"/>
    <w:rsid w:val="007E4CC6"/>
    <w:rsid w:val="007E516E"/>
    <w:rsid w:val="007E57A6"/>
    <w:rsid w:val="007E5C74"/>
    <w:rsid w:val="007E5EBC"/>
    <w:rsid w:val="007E5F9E"/>
    <w:rsid w:val="007E60A1"/>
    <w:rsid w:val="007E61B7"/>
    <w:rsid w:val="007E650A"/>
    <w:rsid w:val="007E67B2"/>
    <w:rsid w:val="007E68F3"/>
    <w:rsid w:val="007E6AB8"/>
    <w:rsid w:val="007E6EBE"/>
    <w:rsid w:val="007E7027"/>
    <w:rsid w:val="007E759A"/>
    <w:rsid w:val="007E763C"/>
    <w:rsid w:val="007E7691"/>
    <w:rsid w:val="007E76FD"/>
    <w:rsid w:val="007E77E8"/>
    <w:rsid w:val="007E78E5"/>
    <w:rsid w:val="007E7B96"/>
    <w:rsid w:val="007E7C41"/>
    <w:rsid w:val="007E7E36"/>
    <w:rsid w:val="007E7E4A"/>
    <w:rsid w:val="007F04C8"/>
    <w:rsid w:val="007F050C"/>
    <w:rsid w:val="007F0536"/>
    <w:rsid w:val="007F0989"/>
    <w:rsid w:val="007F0C37"/>
    <w:rsid w:val="007F0DA3"/>
    <w:rsid w:val="007F0DE0"/>
    <w:rsid w:val="007F0FBB"/>
    <w:rsid w:val="007F109A"/>
    <w:rsid w:val="007F1472"/>
    <w:rsid w:val="007F14F6"/>
    <w:rsid w:val="007F1E8A"/>
    <w:rsid w:val="007F207D"/>
    <w:rsid w:val="007F2199"/>
    <w:rsid w:val="007F219B"/>
    <w:rsid w:val="007F2470"/>
    <w:rsid w:val="007F2563"/>
    <w:rsid w:val="007F2598"/>
    <w:rsid w:val="007F25E6"/>
    <w:rsid w:val="007F2AC1"/>
    <w:rsid w:val="007F305F"/>
    <w:rsid w:val="007F30E5"/>
    <w:rsid w:val="007F33C8"/>
    <w:rsid w:val="007F361B"/>
    <w:rsid w:val="007F37BC"/>
    <w:rsid w:val="007F3801"/>
    <w:rsid w:val="007F397C"/>
    <w:rsid w:val="007F3A05"/>
    <w:rsid w:val="007F3B91"/>
    <w:rsid w:val="007F4331"/>
    <w:rsid w:val="007F436D"/>
    <w:rsid w:val="007F448B"/>
    <w:rsid w:val="007F4852"/>
    <w:rsid w:val="007F4A67"/>
    <w:rsid w:val="007F4DD6"/>
    <w:rsid w:val="007F57D1"/>
    <w:rsid w:val="007F5947"/>
    <w:rsid w:val="007F59B4"/>
    <w:rsid w:val="007F5E02"/>
    <w:rsid w:val="007F60D5"/>
    <w:rsid w:val="007F6129"/>
    <w:rsid w:val="007F649E"/>
    <w:rsid w:val="007F6DD5"/>
    <w:rsid w:val="007F6F09"/>
    <w:rsid w:val="007F7190"/>
    <w:rsid w:val="007F75B4"/>
    <w:rsid w:val="007F7707"/>
    <w:rsid w:val="007F7EF5"/>
    <w:rsid w:val="00800230"/>
    <w:rsid w:val="00800264"/>
    <w:rsid w:val="00800642"/>
    <w:rsid w:val="008006A5"/>
    <w:rsid w:val="008007F9"/>
    <w:rsid w:val="00800875"/>
    <w:rsid w:val="00800A14"/>
    <w:rsid w:val="00800BE1"/>
    <w:rsid w:val="008015AA"/>
    <w:rsid w:val="008016C3"/>
    <w:rsid w:val="00801B10"/>
    <w:rsid w:val="00801C92"/>
    <w:rsid w:val="00801EF7"/>
    <w:rsid w:val="0080207E"/>
    <w:rsid w:val="008022B6"/>
    <w:rsid w:val="008023F4"/>
    <w:rsid w:val="008028B7"/>
    <w:rsid w:val="00802A50"/>
    <w:rsid w:val="00802CD1"/>
    <w:rsid w:val="00803321"/>
    <w:rsid w:val="008035EB"/>
    <w:rsid w:val="0080376F"/>
    <w:rsid w:val="0080383F"/>
    <w:rsid w:val="00803AF6"/>
    <w:rsid w:val="00803DA6"/>
    <w:rsid w:val="00803F42"/>
    <w:rsid w:val="00803F9B"/>
    <w:rsid w:val="00803F9F"/>
    <w:rsid w:val="008040C0"/>
    <w:rsid w:val="00804309"/>
    <w:rsid w:val="0080469B"/>
    <w:rsid w:val="008047FB"/>
    <w:rsid w:val="0080497D"/>
    <w:rsid w:val="00804B46"/>
    <w:rsid w:val="00804B6A"/>
    <w:rsid w:val="00804EE3"/>
    <w:rsid w:val="008053D1"/>
    <w:rsid w:val="0080543A"/>
    <w:rsid w:val="0080581A"/>
    <w:rsid w:val="008058F6"/>
    <w:rsid w:val="0080609F"/>
    <w:rsid w:val="0080613B"/>
    <w:rsid w:val="00806800"/>
    <w:rsid w:val="00806864"/>
    <w:rsid w:val="00806A4A"/>
    <w:rsid w:val="00806C1A"/>
    <w:rsid w:val="00806E53"/>
    <w:rsid w:val="00807021"/>
    <w:rsid w:val="0080724D"/>
    <w:rsid w:val="008074EE"/>
    <w:rsid w:val="008076A4"/>
    <w:rsid w:val="00807876"/>
    <w:rsid w:val="0081060E"/>
    <w:rsid w:val="00810670"/>
    <w:rsid w:val="00810A92"/>
    <w:rsid w:val="00810C17"/>
    <w:rsid w:val="00810E02"/>
    <w:rsid w:val="00811320"/>
    <w:rsid w:val="00811616"/>
    <w:rsid w:val="00811A6E"/>
    <w:rsid w:val="00811C67"/>
    <w:rsid w:val="00811E95"/>
    <w:rsid w:val="00811F2C"/>
    <w:rsid w:val="00811F73"/>
    <w:rsid w:val="00812217"/>
    <w:rsid w:val="00812335"/>
    <w:rsid w:val="00812590"/>
    <w:rsid w:val="0081291B"/>
    <w:rsid w:val="0081291C"/>
    <w:rsid w:val="00812955"/>
    <w:rsid w:val="00812D50"/>
    <w:rsid w:val="00812D64"/>
    <w:rsid w:val="008133A4"/>
    <w:rsid w:val="00813672"/>
    <w:rsid w:val="00813964"/>
    <w:rsid w:val="00813AF6"/>
    <w:rsid w:val="00813B2F"/>
    <w:rsid w:val="00813CFB"/>
    <w:rsid w:val="008143FB"/>
    <w:rsid w:val="008146E2"/>
    <w:rsid w:val="00814A11"/>
    <w:rsid w:val="00814B4F"/>
    <w:rsid w:val="00814DAE"/>
    <w:rsid w:val="00814EAF"/>
    <w:rsid w:val="00814FEE"/>
    <w:rsid w:val="0081509C"/>
    <w:rsid w:val="008151E0"/>
    <w:rsid w:val="0081545E"/>
    <w:rsid w:val="00815573"/>
    <w:rsid w:val="0081571A"/>
    <w:rsid w:val="00815959"/>
    <w:rsid w:val="008159F2"/>
    <w:rsid w:val="00815FF2"/>
    <w:rsid w:val="00816192"/>
    <w:rsid w:val="0081654E"/>
    <w:rsid w:val="00816587"/>
    <w:rsid w:val="00816616"/>
    <w:rsid w:val="00816619"/>
    <w:rsid w:val="008167EF"/>
    <w:rsid w:val="0081692F"/>
    <w:rsid w:val="00816C21"/>
    <w:rsid w:val="00817068"/>
    <w:rsid w:val="008175AC"/>
    <w:rsid w:val="00817627"/>
    <w:rsid w:val="00817835"/>
    <w:rsid w:val="00817A0F"/>
    <w:rsid w:val="00817C1C"/>
    <w:rsid w:val="00817EB3"/>
    <w:rsid w:val="00820242"/>
    <w:rsid w:val="0082033F"/>
    <w:rsid w:val="00820373"/>
    <w:rsid w:val="008205E7"/>
    <w:rsid w:val="008205F6"/>
    <w:rsid w:val="008208F3"/>
    <w:rsid w:val="00820A11"/>
    <w:rsid w:val="00820BDC"/>
    <w:rsid w:val="00821015"/>
    <w:rsid w:val="008210AD"/>
    <w:rsid w:val="008216F6"/>
    <w:rsid w:val="00821738"/>
    <w:rsid w:val="00821813"/>
    <w:rsid w:val="00821A4E"/>
    <w:rsid w:val="00821BF0"/>
    <w:rsid w:val="00821EA2"/>
    <w:rsid w:val="008221C7"/>
    <w:rsid w:val="008224CD"/>
    <w:rsid w:val="0082252E"/>
    <w:rsid w:val="008225D0"/>
    <w:rsid w:val="00823462"/>
    <w:rsid w:val="00823680"/>
    <w:rsid w:val="00823AFC"/>
    <w:rsid w:val="00823F6D"/>
    <w:rsid w:val="008241E0"/>
    <w:rsid w:val="00824490"/>
    <w:rsid w:val="0082459B"/>
    <w:rsid w:val="00824687"/>
    <w:rsid w:val="0082486E"/>
    <w:rsid w:val="00824942"/>
    <w:rsid w:val="00824B60"/>
    <w:rsid w:val="00824BDB"/>
    <w:rsid w:val="00825456"/>
    <w:rsid w:val="008255B9"/>
    <w:rsid w:val="00825619"/>
    <w:rsid w:val="00825B3D"/>
    <w:rsid w:val="00825D11"/>
    <w:rsid w:val="00825E24"/>
    <w:rsid w:val="00825EAF"/>
    <w:rsid w:val="00826796"/>
    <w:rsid w:val="00826D41"/>
    <w:rsid w:val="0082703E"/>
    <w:rsid w:val="00827B26"/>
    <w:rsid w:val="00827D5B"/>
    <w:rsid w:val="00827DBC"/>
    <w:rsid w:val="00830208"/>
    <w:rsid w:val="00830546"/>
    <w:rsid w:val="00830E67"/>
    <w:rsid w:val="008313CD"/>
    <w:rsid w:val="0083140E"/>
    <w:rsid w:val="008315B9"/>
    <w:rsid w:val="00831D74"/>
    <w:rsid w:val="00831FDC"/>
    <w:rsid w:val="008324BC"/>
    <w:rsid w:val="00832A3A"/>
    <w:rsid w:val="00832B0C"/>
    <w:rsid w:val="00833001"/>
    <w:rsid w:val="008333CA"/>
    <w:rsid w:val="0083347C"/>
    <w:rsid w:val="008334F8"/>
    <w:rsid w:val="00833721"/>
    <w:rsid w:val="00833E38"/>
    <w:rsid w:val="00833E7F"/>
    <w:rsid w:val="00833F69"/>
    <w:rsid w:val="00834077"/>
    <w:rsid w:val="0083414B"/>
    <w:rsid w:val="00834919"/>
    <w:rsid w:val="00834BCD"/>
    <w:rsid w:val="00834D14"/>
    <w:rsid w:val="00834D44"/>
    <w:rsid w:val="00834EB1"/>
    <w:rsid w:val="00834F46"/>
    <w:rsid w:val="00835047"/>
    <w:rsid w:val="008351B6"/>
    <w:rsid w:val="008351EB"/>
    <w:rsid w:val="0083567F"/>
    <w:rsid w:val="008356D6"/>
    <w:rsid w:val="00835AAA"/>
    <w:rsid w:val="00835BD9"/>
    <w:rsid w:val="00835BE4"/>
    <w:rsid w:val="00835E6F"/>
    <w:rsid w:val="008360A7"/>
    <w:rsid w:val="00836448"/>
    <w:rsid w:val="0083739A"/>
    <w:rsid w:val="00837582"/>
    <w:rsid w:val="00837614"/>
    <w:rsid w:val="00837767"/>
    <w:rsid w:val="00837810"/>
    <w:rsid w:val="00837D5A"/>
    <w:rsid w:val="00837D76"/>
    <w:rsid w:val="00837D7F"/>
    <w:rsid w:val="00837DF7"/>
    <w:rsid w:val="00837FE4"/>
    <w:rsid w:val="008406D5"/>
    <w:rsid w:val="008406E1"/>
    <w:rsid w:val="0084082C"/>
    <w:rsid w:val="00840A57"/>
    <w:rsid w:val="00840FE8"/>
    <w:rsid w:val="008410B9"/>
    <w:rsid w:val="008415DE"/>
    <w:rsid w:val="00841ADD"/>
    <w:rsid w:val="00841C08"/>
    <w:rsid w:val="00842070"/>
    <w:rsid w:val="00842948"/>
    <w:rsid w:val="00842DD8"/>
    <w:rsid w:val="00842F68"/>
    <w:rsid w:val="00843000"/>
    <w:rsid w:val="00843021"/>
    <w:rsid w:val="00843109"/>
    <w:rsid w:val="00843312"/>
    <w:rsid w:val="008434AB"/>
    <w:rsid w:val="0084351F"/>
    <w:rsid w:val="008439B5"/>
    <w:rsid w:val="008439FD"/>
    <w:rsid w:val="00843A79"/>
    <w:rsid w:val="00843D7C"/>
    <w:rsid w:val="0084417B"/>
    <w:rsid w:val="0084443E"/>
    <w:rsid w:val="008444F2"/>
    <w:rsid w:val="0084481E"/>
    <w:rsid w:val="00844CDF"/>
    <w:rsid w:val="00844E83"/>
    <w:rsid w:val="00844FE3"/>
    <w:rsid w:val="008451D9"/>
    <w:rsid w:val="00845243"/>
    <w:rsid w:val="00845471"/>
    <w:rsid w:val="00845B9E"/>
    <w:rsid w:val="00845BC2"/>
    <w:rsid w:val="00845D86"/>
    <w:rsid w:val="00845F91"/>
    <w:rsid w:val="00846058"/>
    <w:rsid w:val="0084654E"/>
    <w:rsid w:val="0084669C"/>
    <w:rsid w:val="0084670D"/>
    <w:rsid w:val="00846B00"/>
    <w:rsid w:val="00846CCC"/>
    <w:rsid w:val="00846EA4"/>
    <w:rsid w:val="00847471"/>
    <w:rsid w:val="00847670"/>
    <w:rsid w:val="008476B9"/>
    <w:rsid w:val="00847904"/>
    <w:rsid w:val="00847DC4"/>
    <w:rsid w:val="00847EC6"/>
    <w:rsid w:val="00850213"/>
    <w:rsid w:val="00850544"/>
    <w:rsid w:val="00850641"/>
    <w:rsid w:val="0085068C"/>
    <w:rsid w:val="00850818"/>
    <w:rsid w:val="00850858"/>
    <w:rsid w:val="00850E41"/>
    <w:rsid w:val="00851309"/>
    <w:rsid w:val="00851375"/>
    <w:rsid w:val="0085155A"/>
    <w:rsid w:val="0085160F"/>
    <w:rsid w:val="00851681"/>
    <w:rsid w:val="008517C0"/>
    <w:rsid w:val="008519C1"/>
    <w:rsid w:val="00851BBB"/>
    <w:rsid w:val="00851C1A"/>
    <w:rsid w:val="00851C52"/>
    <w:rsid w:val="00851C69"/>
    <w:rsid w:val="00851EC4"/>
    <w:rsid w:val="00851FD0"/>
    <w:rsid w:val="008524DD"/>
    <w:rsid w:val="00852535"/>
    <w:rsid w:val="008526B7"/>
    <w:rsid w:val="00852968"/>
    <w:rsid w:val="00852F89"/>
    <w:rsid w:val="00853122"/>
    <w:rsid w:val="008531B5"/>
    <w:rsid w:val="00853209"/>
    <w:rsid w:val="008532FA"/>
    <w:rsid w:val="00853882"/>
    <w:rsid w:val="00853AE5"/>
    <w:rsid w:val="00853D36"/>
    <w:rsid w:val="00853E75"/>
    <w:rsid w:val="00853F29"/>
    <w:rsid w:val="00853FBF"/>
    <w:rsid w:val="008543C6"/>
    <w:rsid w:val="0085454E"/>
    <w:rsid w:val="00854671"/>
    <w:rsid w:val="00854725"/>
    <w:rsid w:val="00854754"/>
    <w:rsid w:val="00854802"/>
    <w:rsid w:val="008548C6"/>
    <w:rsid w:val="00854B7A"/>
    <w:rsid w:val="00854DDD"/>
    <w:rsid w:val="00854EA1"/>
    <w:rsid w:val="00855055"/>
    <w:rsid w:val="00855155"/>
    <w:rsid w:val="00855350"/>
    <w:rsid w:val="008556AE"/>
    <w:rsid w:val="008556E7"/>
    <w:rsid w:val="008557FC"/>
    <w:rsid w:val="00855984"/>
    <w:rsid w:val="00855EA9"/>
    <w:rsid w:val="00855F7D"/>
    <w:rsid w:val="00856234"/>
    <w:rsid w:val="0085648C"/>
    <w:rsid w:val="00856A57"/>
    <w:rsid w:val="00856DF2"/>
    <w:rsid w:val="008570D5"/>
    <w:rsid w:val="00857378"/>
    <w:rsid w:val="008573C0"/>
    <w:rsid w:val="00857B69"/>
    <w:rsid w:val="00857F9B"/>
    <w:rsid w:val="00857FCD"/>
    <w:rsid w:val="00860020"/>
    <w:rsid w:val="00860761"/>
    <w:rsid w:val="008609B6"/>
    <w:rsid w:val="00860DE1"/>
    <w:rsid w:val="00860E3F"/>
    <w:rsid w:val="00860ED5"/>
    <w:rsid w:val="0086137D"/>
    <w:rsid w:val="008613A3"/>
    <w:rsid w:val="00861496"/>
    <w:rsid w:val="00861809"/>
    <w:rsid w:val="008618CE"/>
    <w:rsid w:val="00861967"/>
    <w:rsid w:val="00861D41"/>
    <w:rsid w:val="00862237"/>
    <w:rsid w:val="00862776"/>
    <w:rsid w:val="0086286C"/>
    <w:rsid w:val="00862D98"/>
    <w:rsid w:val="00862EC9"/>
    <w:rsid w:val="00862FFF"/>
    <w:rsid w:val="00863224"/>
    <w:rsid w:val="00863273"/>
    <w:rsid w:val="00863537"/>
    <w:rsid w:val="0086361F"/>
    <w:rsid w:val="008637D9"/>
    <w:rsid w:val="0086390E"/>
    <w:rsid w:val="00863F89"/>
    <w:rsid w:val="008640BF"/>
    <w:rsid w:val="00864114"/>
    <w:rsid w:val="008641C1"/>
    <w:rsid w:val="0086452C"/>
    <w:rsid w:val="008648CF"/>
    <w:rsid w:val="008649A8"/>
    <w:rsid w:val="00864C4C"/>
    <w:rsid w:val="00864C7D"/>
    <w:rsid w:val="00864DCA"/>
    <w:rsid w:val="008650AB"/>
    <w:rsid w:val="008652CA"/>
    <w:rsid w:val="008653FD"/>
    <w:rsid w:val="008656AB"/>
    <w:rsid w:val="008659A3"/>
    <w:rsid w:val="008659B2"/>
    <w:rsid w:val="00865CC4"/>
    <w:rsid w:val="00865E6C"/>
    <w:rsid w:val="00865F68"/>
    <w:rsid w:val="00866397"/>
    <w:rsid w:val="00866430"/>
    <w:rsid w:val="008664F1"/>
    <w:rsid w:val="008665AB"/>
    <w:rsid w:val="00866E65"/>
    <w:rsid w:val="008670AD"/>
    <w:rsid w:val="008671A9"/>
    <w:rsid w:val="00867832"/>
    <w:rsid w:val="00867E70"/>
    <w:rsid w:val="00867F18"/>
    <w:rsid w:val="0087029D"/>
    <w:rsid w:val="008702D1"/>
    <w:rsid w:val="0087047A"/>
    <w:rsid w:val="00870761"/>
    <w:rsid w:val="008707F0"/>
    <w:rsid w:val="00870CF9"/>
    <w:rsid w:val="00870D82"/>
    <w:rsid w:val="00871A6F"/>
    <w:rsid w:val="00871E5E"/>
    <w:rsid w:val="00871EE6"/>
    <w:rsid w:val="00871F84"/>
    <w:rsid w:val="008722BD"/>
    <w:rsid w:val="008722EB"/>
    <w:rsid w:val="008723C0"/>
    <w:rsid w:val="008725D5"/>
    <w:rsid w:val="008729F8"/>
    <w:rsid w:val="00872A22"/>
    <w:rsid w:val="00872B5B"/>
    <w:rsid w:val="00872E6B"/>
    <w:rsid w:val="00873428"/>
    <w:rsid w:val="00873492"/>
    <w:rsid w:val="008739C2"/>
    <w:rsid w:val="00873D98"/>
    <w:rsid w:val="00873DC0"/>
    <w:rsid w:val="00873F9A"/>
    <w:rsid w:val="00874016"/>
    <w:rsid w:val="008742E4"/>
    <w:rsid w:val="00874940"/>
    <w:rsid w:val="008749F5"/>
    <w:rsid w:val="00874AE3"/>
    <w:rsid w:val="00875108"/>
    <w:rsid w:val="00875695"/>
    <w:rsid w:val="00875868"/>
    <w:rsid w:val="008759DD"/>
    <w:rsid w:val="00875DCC"/>
    <w:rsid w:val="00875E6F"/>
    <w:rsid w:val="008761AC"/>
    <w:rsid w:val="0087628D"/>
    <w:rsid w:val="0087663F"/>
    <w:rsid w:val="008766A8"/>
    <w:rsid w:val="00876D35"/>
    <w:rsid w:val="0087722E"/>
    <w:rsid w:val="00877543"/>
    <w:rsid w:val="0088001E"/>
    <w:rsid w:val="00880187"/>
    <w:rsid w:val="008808B8"/>
    <w:rsid w:val="0088091F"/>
    <w:rsid w:val="00880BF2"/>
    <w:rsid w:val="00880EB7"/>
    <w:rsid w:val="00880EBF"/>
    <w:rsid w:val="0088106B"/>
    <w:rsid w:val="0088106C"/>
    <w:rsid w:val="008813EB"/>
    <w:rsid w:val="008815E4"/>
    <w:rsid w:val="00881858"/>
    <w:rsid w:val="008819D6"/>
    <w:rsid w:val="0088209C"/>
    <w:rsid w:val="0088246A"/>
    <w:rsid w:val="00882A5B"/>
    <w:rsid w:val="008830B1"/>
    <w:rsid w:val="008831F2"/>
    <w:rsid w:val="00883260"/>
    <w:rsid w:val="0088338D"/>
    <w:rsid w:val="00883461"/>
    <w:rsid w:val="0088384D"/>
    <w:rsid w:val="0088390C"/>
    <w:rsid w:val="00883FD5"/>
    <w:rsid w:val="00884070"/>
    <w:rsid w:val="008840C3"/>
    <w:rsid w:val="00884B56"/>
    <w:rsid w:val="00884D4B"/>
    <w:rsid w:val="00884ECC"/>
    <w:rsid w:val="008854FA"/>
    <w:rsid w:val="00885951"/>
    <w:rsid w:val="00885A7A"/>
    <w:rsid w:val="00885B39"/>
    <w:rsid w:val="00885C9F"/>
    <w:rsid w:val="00885D3F"/>
    <w:rsid w:val="00885D75"/>
    <w:rsid w:val="00885F66"/>
    <w:rsid w:val="008861AA"/>
    <w:rsid w:val="00886446"/>
    <w:rsid w:val="00886FF5"/>
    <w:rsid w:val="008874AD"/>
    <w:rsid w:val="00887C71"/>
    <w:rsid w:val="00887D39"/>
    <w:rsid w:val="00887E58"/>
    <w:rsid w:val="00890954"/>
    <w:rsid w:val="00890CEA"/>
    <w:rsid w:val="00891414"/>
    <w:rsid w:val="008917F0"/>
    <w:rsid w:val="00891EB4"/>
    <w:rsid w:val="00892199"/>
    <w:rsid w:val="00892356"/>
    <w:rsid w:val="00892E03"/>
    <w:rsid w:val="00893245"/>
    <w:rsid w:val="00893CFA"/>
    <w:rsid w:val="00893F94"/>
    <w:rsid w:val="008940A5"/>
    <w:rsid w:val="008942F9"/>
    <w:rsid w:val="008944AE"/>
    <w:rsid w:val="008947A5"/>
    <w:rsid w:val="00894DA7"/>
    <w:rsid w:val="00894E9A"/>
    <w:rsid w:val="00895401"/>
    <w:rsid w:val="00895ABC"/>
    <w:rsid w:val="00895B58"/>
    <w:rsid w:val="00895E2C"/>
    <w:rsid w:val="00896511"/>
    <w:rsid w:val="008966BC"/>
    <w:rsid w:val="008969E9"/>
    <w:rsid w:val="00896C33"/>
    <w:rsid w:val="008970C0"/>
    <w:rsid w:val="00897116"/>
    <w:rsid w:val="00897168"/>
    <w:rsid w:val="008973AC"/>
    <w:rsid w:val="008974EF"/>
    <w:rsid w:val="008975C5"/>
    <w:rsid w:val="008976FF"/>
    <w:rsid w:val="00897935"/>
    <w:rsid w:val="00897B87"/>
    <w:rsid w:val="00897C5E"/>
    <w:rsid w:val="00897DFD"/>
    <w:rsid w:val="008A0283"/>
    <w:rsid w:val="008A081A"/>
    <w:rsid w:val="008A09BE"/>
    <w:rsid w:val="008A0DB5"/>
    <w:rsid w:val="008A0E13"/>
    <w:rsid w:val="008A122C"/>
    <w:rsid w:val="008A1670"/>
    <w:rsid w:val="008A1909"/>
    <w:rsid w:val="008A2686"/>
    <w:rsid w:val="008A2D5A"/>
    <w:rsid w:val="008A2FE7"/>
    <w:rsid w:val="008A35C0"/>
    <w:rsid w:val="008A3753"/>
    <w:rsid w:val="008A3909"/>
    <w:rsid w:val="008A39EE"/>
    <w:rsid w:val="008A3D0E"/>
    <w:rsid w:val="008A3E53"/>
    <w:rsid w:val="008A3F8B"/>
    <w:rsid w:val="008A413C"/>
    <w:rsid w:val="008A4207"/>
    <w:rsid w:val="008A44A6"/>
    <w:rsid w:val="008A4846"/>
    <w:rsid w:val="008A48FA"/>
    <w:rsid w:val="008A4ABD"/>
    <w:rsid w:val="008A4CA7"/>
    <w:rsid w:val="008A5053"/>
    <w:rsid w:val="008A5296"/>
    <w:rsid w:val="008A5417"/>
    <w:rsid w:val="008A55E3"/>
    <w:rsid w:val="008A5A69"/>
    <w:rsid w:val="008A5CDC"/>
    <w:rsid w:val="008A647F"/>
    <w:rsid w:val="008A65AA"/>
    <w:rsid w:val="008A6696"/>
    <w:rsid w:val="008A695F"/>
    <w:rsid w:val="008A6C8C"/>
    <w:rsid w:val="008A6D71"/>
    <w:rsid w:val="008A6D7C"/>
    <w:rsid w:val="008A73A7"/>
    <w:rsid w:val="008A7C14"/>
    <w:rsid w:val="008A7CA7"/>
    <w:rsid w:val="008A7CCC"/>
    <w:rsid w:val="008A7F75"/>
    <w:rsid w:val="008B01B9"/>
    <w:rsid w:val="008B03A4"/>
    <w:rsid w:val="008B042B"/>
    <w:rsid w:val="008B0696"/>
    <w:rsid w:val="008B078E"/>
    <w:rsid w:val="008B0A6A"/>
    <w:rsid w:val="008B0DF7"/>
    <w:rsid w:val="008B0DFD"/>
    <w:rsid w:val="008B0E22"/>
    <w:rsid w:val="008B14AB"/>
    <w:rsid w:val="008B19BA"/>
    <w:rsid w:val="008B1D62"/>
    <w:rsid w:val="008B1E2C"/>
    <w:rsid w:val="008B213F"/>
    <w:rsid w:val="008B2496"/>
    <w:rsid w:val="008B24B2"/>
    <w:rsid w:val="008B262E"/>
    <w:rsid w:val="008B26FD"/>
    <w:rsid w:val="008B27FC"/>
    <w:rsid w:val="008B2C0C"/>
    <w:rsid w:val="008B2C5A"/>
    <w:rsid w:val="008B2C63"/>
    <w:rsid w:val="008B31D4"/>
    <w:rsid w:val="008B3208"/>
    <w:rsid w:val="008B3364"/>
    <w:rsid w:val="008B3A2B"/>
    <w:rsid w:val="008B3B01"/>
    <w:rsid w:val="008B3D6D"/>
    <w:rsid w:val="008B4425"/>
    <w:rsid w:val="008B4668"/>
    <w:rsid w:val="008B4902"/>
    <w:rsid w:val="008B4C26"/>
    <w:rsid w:val="008B4F5D"/>
    <w:rsid w:val="008B50A7"/>
    <w:rsid w:val="008B511F"/>
    <w:rsid w:val="008B51DC"/>
    <w:rsid w:val="008B574F"/>
    <w:rsid w:val="008B5895"/>
    <w:rsid w:val="008B5AF6"/>
    <w:rsid w:val="008B5DBC"/>
    <w:rsid w:val="008B5E39"/>
    <w:rsid w:val="008B6155"/>
    <w:rsid w:val="008B61E1"/>
    <w:rsid w:val="008B662A"/>
    <w:rsid w:val="008B662C"/>
    <w:rsid w:val="008B69E1"/>
    <w:rsid w:val="008B6A96"/>
    <w:rsid w:val="008B707A"/>
    <w:rsid w:val="008B731E"/>
    <w:rsid w:val="008B7352"/>
    <w:rsid w:val="008B7550"/>
    <w:rsid w:val="008B75B4"/>
    <w:rsid w:val="008B7790"/>
    <w:rsid w:val="008B77DD"/>
    <w:rsid w:val="008B79BF"/>
    <w:rsid w:val="008B7C7A"/>
    <w:rsid w:val="008C051F"/>
    <w:rsid w:val="008C0D57"/>
    <w:rsid w:val="008C0E48"/>
    <w:rsid w:val="008C11A5"/>
    <w:rsid w:val="008C15F1"/>
    <w:rsid w:val="008C1DA4"/>
    <w:rsid w:val="008C1FE3"/>
    <w:rsid w:val="008C24F8"/>
    <w:rsid w:val="008C25BE"/>
    <w:rsid w:val="008C2B9A"/>
    <w:rsid w:val="008C2EFF"/>
    <w:rsid w:val="008C2FBE"/>
    <w:rsid w:val="008C35D6"/>
    <w:rsid w:val="008C3635"/>
    <w:rsid w:val="008C4013"/>
    <w:rsid w:val="008C4042"/>
    <w:rsid w:val="008C4066"/>
    <w:rsid w:val="008C40A7"/>
    <w:rsid w:val="008C44FA"/>
    <w:rsid w:val="008C4520"/>
    <w:rsid w:val="008C4721"/>
    <w:rsid w:val="008C4B99"/>
    <w:rsid w:val="008C5946"/>
    <w:rsid w:val="008C5A6A"/>
    <w:rsid w:val="008C5AAD"/>
    <w:rsid w:val="008C5E3F"/>
    <w:rsid w:val="008C6260"/>
    <w:rsid w:val="008C6386"/>
    <w:rsid w:val="008C674F"/>
    <w:rsid w:val="008C6AF4"/>
    <w:rsid w:val="008C7335"/>
    <w:rsid w:val="008C7440"/>
    <w:rsid w:val="008C75D0"/>
    <w:rsid w:val="008C76F9"/>
    <w:rsid w:val="008C7B06"/>
    <w:rsid w:val="008D0035"/>
    <w:rsid w:val="008D0071"/>
    <w:rsid w:val="008D06B3"/>
    <w:rsid w:val="008D0B73"/>
    <w:rsid w:val="008D0D9B"/>
    <w:rsid w:val="008D0F6F"/>
    <w:rsid w:val="008D0FE7"/>
    <w:rsid w:val="008D13CB"/>
    <w:rsid w:val="008D1505"/>
    <w:rsid w:val="008D19D5"/>
    <w:rsid w:val="008D1C9B"/>
    <w:rsid w:val="008D1D28"/>
    <w:rsid w:val="008D1F60"/>
    <w:rsid w:val="008D2350"/>
    <w:rsid w:val="008D2636"/>
    <w:rsid w:val="008D2773"/>
    <w:rsid w:val="008D29AB"/>
    <w:rsid w:val="008D2C2F"/>
    <w:rsid w:val="008D2D26"/>
    <w:rsid w:val="008D2E3B"/>
    <w:rsid w:val="008D33EF"/>
    <w:rsid w:val="008D35D9"/>
    <w:rsid w:val="008D3749"/>
    <w:rsid w:val="008D3B8A"/>
    <w:rsid w:val="008D4304"/>
    <w:rsid w:val="008D450B"/>
    <w:rsid w:val="008D4D7D"/>
    <w:rsid w:val="008D4E08"/>
    <w:rsid w:val="008D4F89"/>
    <w:rsid w:val="008D51FF"/>
    <w:rsid w:val="008D522A"/>
    <w:rsid w:val="008D559D"/>
    <w:rsid w:val="008D583C"/>
    <w:rsid w:val="008D5C32"/>
    <w:rsid w:val="008D61EF"/>
    <w:rsid w:val="008D6332"/>
    <w:rsid w:val="008D6566"/>
    <w:rsid w:val="008D656A"/>
    <w:rsid w:val="008D664A"/>
    <w:rsid w:val="008D689D"/>
    <w:rsid w:val="008D695D"/>
    <w:rsid w:val="008D6C24"/>
    <w:rsid w:val="008D6C3A"/>
    <w:rsid w:val="008D71F5"/>
    <w:rsid w:val="008D7963"/>
    <w:rsid w:val="008D7996"/>
    <w:rsid w:val="008D7CFD"/>
    <w:rsid w:val="008D7D77"/>
    <w:rsid w:val="008D7F32"/>
    <w:rsid w:val="008D7FA8"/>
    <w:rsid w:val="008E0306"/>
    <w:rsid w:val="008E0606"/>
    <w:rsid w:val="008E0652"/>
    <w:rsid w:val="008E0CE3"/>
    <w:rsid w:val="008E11F6"/>
    <w:rsid w:val="008E13C3"/>
    <w:rsid w:val="008E1604"/>
    <w:rsid w:val="008E16FF"/>
    <w:rsid w:val="008E17FC"/>
    <w:rsid w:val="008E1B12"/>
    <w:rsid w:val="008E1D4A"/>
    <w:rsid w:val="008E1F0D"/>
    <w:rsid w:val="008E2410"/>
    <w:rsid w:val="008E28A7"/>
    <w:rsid w:val="008E2907"/>
    <w:rsid w:val="008E3287"/>
    <w:rsid w:val="008E3556"/>
    <w:rsid w:val="008E376D"/>
    <w:rsid w:val="008E3F49"/>
    <w:rsid w:val="008E4089"/>
    <w:rsid w:val="008E4107"/>
    <w:rsid w:val="008E418F"/>
    <w:rsid w:val="008E471C"/>
    <w:rsid w:val="008E487E"/>
    <w:rsid w:val="008E4994"/>
    <w:rsid w:val="008E49D6"/>
    <w:rsid w:val="008E4B1A"/>
    <w:rsid w:val="008E5074"/>
    <w:rsid w:val="008E539A"/>
    <w:rsid w:val="008E53F0"/>
    <w:rsid w:val="008E54A1"/>
    <w:rsid w:val="008E55C3"/>
    <w:rsid w:val="008E58F7"/>
    <w:rsid w:val="008E59E0"/>
    <w:rsid w:val="008E5CCD"/>
    <w:rsid w:val="008E5D8E"/>
    <w:rsid w:val="008E5FDD"/>
    <w:rsid w:val="008E6320"/>
    <w:rsid w:val="008E6329"/>
    <w:rsid w:val="008E64C3"/>
    <w:rsid w:val="008E664E"/>
    <w:rsid w:val="008E67F9"/>
    <w:rsid w:val="008E68A6"/>
    <w:rsid w:val="008E6B5F"/>
    <w:rsid w:val="008E6DFE"/>
    <w:rsid w:val="008E7157"/>
    <w:rsid w:val="008E71D2"/>
    <w:rsid w:val="008E720E"/>
    <w:rsid w:val="008E7724"/>
    <w:rsid w:val="008F00A5"/>
    <w:rsid w:val="008F0360"/>
    <w:rsid w:val="008F07DD"/>
    <w:rsid w:val="008F0B04"/>
    <w:rsid w:val="008F0E73"/>
    <w:rsid w:val="008F13D5"/>
    <w:rsid w:val="008F1EE3"/>
    <w:rsid w:val="008F2CBE"/>
    <w:rsid w:val="008F2D17"/>
    <w:rsid w:val="008F2D9A"/>
    <w:rsid w:val="008F3134"/>
    <w:rsid w:val="008F3517"/>
    <w:rsid w:val="008F3D10"/>
    <w:rsid w:val="008F3E9C"/>
    <w:rsid w:val="008F4A69"/>
    <w:rsid w:val="008F4B7D"/>
    <w:rsid w:val="008F4BF4"/>
    <w:rsid w:val="008F4E2A"/>
    <w:rsid w:val="008F533A"/>
    <w:rsid w:val="008F574A"/>
    <w:rsid w:val="008F5B5D"/>
    <w:rsid w:val="008F5CC2"/>
    <w:rsid w:val="008F5D56"/>
    <w:rsid w:val="008F5EAC"/>
    <w:rsid w:val="008F62D6"/>
    <w:rsid w:val="008F6931"/>
    <w:rsid w:val="008F6D2D"/>
    <w:rsid w:val="008F6D5A"/>
    <w:rsid w:val="008F6DB7"/>
    <w:rsid w:val="008F6DF1"/>
    <w:rsid w:val="008F7168"/>
    <w:rsid w:val="008F71A8"/>
    <w:rsid w:val="008F7209"/>
    <w:rsid w:val="008F7B63"/>
    <w:rsid w:val="008F7DFA"/>
    <w:rsid w:val="0090008C"/>
    <w:rsid w:val="00900573"/>
    <w:rsid w:val="00900B7A"/>
    <w:rsid w:val="00900BBA"/>
    <w:rsid w:val="00901037"/>
    <w:rsid w:val="0090179F"/>
    <w:rsid w:val="009017A7"/>
    <w:rsid w:val="00901D2B"/>
    <w:rsid w:val="00902267"/>
    <w:rsid w:val="0090235C"/>
    <w:rsid w:val="0090297B"/>
    <w:rsid w:val="00902DC4"/>
    <w:rsid w:val="00903332"/>
    <w:rsid w:val="0090348B"/>
    <w:rsid w:val="009034A5"/>
    <w:rsid w:val="009034B5"/>
    <w:rsid w:val="00903580"/>
    <w:rsid w:val="0090407E"/>
    <w:rsid w:val="00904300"/>
    <w:rsid w:val="00904884"/>
    <w:rsid w:val="009048C4"/>
    <w:rsid w:val="009049C6"/>
    <w:rsid w:val="00904B53"/>
    <w:rsid w:val="00904E12"/>
    <w:rsid w:val="00904EEC"/>
    <w:rsid w:val="0090529F"/>
    <w:rsid w:val="009052A8"/>
    <w:rsid w:val="00905901"/>
    <w:rsid w:val="00905C29"/>
    <w:rsid w:val="00906048"/>
    <w:rsid w:val="009061DD"/>
    <w:rsid w:val="0090648B"/>
    <w:rsid w:val="009066ED"/>
    <w:rsid w:val="00906780"/>
    <w:rsid w:val="009067A0"/>
    <w:rsid w:val="00906AA8"/>
    <w:rsid w:val="00906F01"/>
    <w:rsid w:val="00906FFD"/>
    <w:rsid w:val="00907094"/>
    <w:rsid w:val="009070D8"/>
    <w:rsid w:val="00907508"/>
    <w:rsid w:val="00907683"/>
    <w:rsid w:val="0090774D"/>
    <w:rsid w:val="009077BA"/>
    <w:rsid w:val="00907C33"/>
    <w:rsid w:val="009103C6"/>
    <w:rsid w:val="00910624"/>
    <w:rsid w:val="009108FE"/>
    <w:rsid w:val="00910C7D"/>
    <w:rsid w:val="00910F7A"/>
    <w:rsid w:val="00911141"/>
    <w:rsid w:val="00911CCB"/>
    <w:rsid w:val="00911DEA"/>
    <w:rsid w:val="00911EBA"/>
    <w:rsid w:val="00911F8F"/>
    <w:rsid w:val="009128A4"/>
    <w:rsid w:val="0091299D"/>
    <w:rsid w:val="00912B05"/>
    <w:rsid w:val="00912E18"/>
    <w:rsid w:val="00912E39"/>
    <w:rsid w:val="00912E5C"/>
    <w:rsid w:val="00912E8D"/>
    <w:rsid w:val="009130BB"/>
    <w:rsid w:val="0091344F"/>
    <w:rsid w:val="00913826"/>
    <w:rsid w:val="00913B54"/>
    <w:rsid w:val="00913E80"/>
    <w:rsid w:val="0091407E"/>
    <w:rsid w:val="00914092"/>
    <w:rsid w:val="009149B8"/>
    <w:rsid w:val="00914E01"/>
    <w:rsid w:val="00915025"/>
    <w:rsid w:val="009150D8"/>
    <w:rsid w:val="009155D4"/>
    <w:rsid w:val="00915B50"/>
    <w:rsid w:val="00915B66"/>
    <w:rsid w:val="00915C6C"/>
    <w:rsid w:val="00915F65"/>
    <w:rsid w:val="009163F1"/>
    <w:rsid w:val="00916C54"/>
    <w:rsid w:val="00916D1B"/>
    <w:rsid w:val="0091732F"/>
    <w:rsid w:val="00917897"/>
    <w:rsid w:val="00917A30"/>
    <w:rsid w:val="00917AFD"/>
    <w:rsid w:val="00917D90"/>
    <w:rsid w:val="00917FA1"/>
    <w:rsid w:val="00917FB9"/>
    <w:rsid w:val="009200B0"/>
    <w:rsid w:val="009202C7"/>
    <w:rsid w:val="009202D4"/>
    <w:rsid w:val="009203FA"/>
    <w:rsid w:val="00920B43"/>
    <w:rsid w:val="00920C1D"/>
    <w:rsid w:val="009210D5"/>
    <w:rsid w:val="009212B8"/>
    <w:rsid w:val="009213F4"/>
    <w:rsid w:val="009216A0"/>
    <w:rsid w:val="009218DE"/>
    <w:rsid w:val="00921A10"/>
    <w:rsid w:val="00921A35"/>
    <w:rsid w:val="00921A87"/>
    <w:rsid w:val="00921BCF"/>
    <w:rsid w:val="00921BFC"/>
    <w:rsid w:val="00921D19"/>
    <w:rsid w:val="00921D3B"/>
    <w:rsid w:val="00922580"/>
    <w:rsid w:val="0092277F"/>
    <w:rsid w:val="00922A1B"/>
    <w:rsid w:val="00922A4B"/>
    <w:rsid w:val="00922BB6"/>
    <w:rsid w:val="00922CEF"/>
    <w:rsid w:val="00922D0C"/>
    <w:rsid w:val="009230F7"/>
    <w:rsid w:val="00923176"/>
    <w:rsid w:val="00923F5C"/>
    <w:rsid w:val="0092430E"/>
    <w:rsid w:val="0092448C"/>
    <w:rsid w:val="00924694"/>
    <w:rsid w:val="0092488A"/>
    <w:rsid w:val="00924A9D"/>
    <w:rsid w:val="00924B99"/>
    <w:rsid w:val="0092568C"/>
    <w:rsid w:val="009256A1"/>
    <w:rsid w:val="0092576D"/>
    <w:rsid w:val="00925D72"/>
    <w:rsid w:val="009260B0"/>
    <w:rsid w:val="0092624C"/>
    <w:rsid w:val="009264BD"/>
    <w:rsid w:val="009267D4"/>
    <w:rsid w:val="00926A6A"/>
    <w:rsid w:val="00927155"/>
    <w:rsid w:val="009272B7"/>
    <w:rsid w:val="009275B0"/>
    <w:rsid w:val="00927698"/>
    <w:rsid w:val="0092778D"/>
    <w:rsid w:val="00927DE9"/>
    <w:rsid w:val="00930BC0"/>
    <w:rsid w:val="00930F02"/>
    <w:rsid w:val="00930F18"/>
    <w:rsid w:val="00930F9E"/>
    <w:rsid w:val="009310FA"/>
    <w:rsid w:val="009319F0"/>
    <w:rsid w:val="00931F2B"/>
    <w:rsid w:val="0093209B"/>
    <w:rsid w:val="009322C4"/>
    <w:rsid w:val="0093236E"/>
    <w:rsid w:val="00932797"/>
    <w:rsid w:val="00932C7B"/>
    <w:rsid w:val="00932DCF"/>
    <w:rsid w:val="00933031"/>
    <w:rsid w:val="00933940"/>
    <w:rsid w:val="00933AE6"/>
    <w:rsid w:val="00933E17"/>
    <w:rsid w:val="00933EFF"/>
    <w:rsid w:val="00934289"/>
    <w:rsid w:val="009348F2"/>
    <w:rsid w:val="00934B54"/>
    <w:rsid w:val="00934E85"/>
    <w:rsid w:val="00934ECD"/>
    <w:rsid w:val="00935034"/>
    <w:rsid w:val="00935239"/>
    <w:rsid w:val="00935658"/>
    <w:rsid w:val="009359C6"/>
    <w:rsid w:val="00935C1C"/>
    <w:rsid w:val="00935CE0"/>
    <w:rsid w:val="00935D21"/>
    <w:rsid w:val="0093648F"/>
    <w:rsid w:val="009364DD"/>
    <w:rsid w:val="00936B0E"/>
    <w:rsid w:val="0093736D"/>
    <w:rsid w:val="00937901"/>
    <w:rsid w:val="00937913"/>
    <w:rsid w:val="00937936"/>
    <w:rsid w:val="0093799B"/>
    <w:rsid w:val="00937DB3"/>
    <w:rsid w:val="00937DD3"/>
    <w:rsid w:val="00937EE7"/>
    <w:rsid w:val="00940479"/>
    <w:rsid w:val="00940912"/>
    <w:rsid w:val="00940917"/>
    <w:rsid w:val="00940995"/>
    <w:rsid w:val="00940C24"/>
    <w:rsid w:val="00940C60"/>
    <w:rsid w:val="00940E18"/>
    <w:rsid w:val="00940E24"/>
    <w:rsid w:val="00940F65"/>
    <w:rsid w:val="0094190E"/>
    <w:rsid w:val="00941CAF"/>
    <w:rsid w:val="00941ED3"/>
    <w:rsid w:val="0094209A"/>
    <w:rsid w:val="00942325"/>
    <w:rsid w:val="00942560"/>
    <w:rsid w:val="00942580"/>
    <w:rsid w:val="00942729"/>
    <w:rsid w:val="009429B1"/>
    <w:rsid w:val="00942D01"/>
    <w:rsid w:val="00942DF7"/>
    <w:rsid w:val="00943118"/>
    <w:rsid w:val="0094344C"/>
    <w:rsid w:val="009438C2"/>
    <w:rsid w:val="00944435"/>
    <w:rsid w:val="0094448E"/>
    <w:rsid w:val="0094451A"/>
    <w:rsid w:val="0094487D"/>
    <w:rsid w:val="00944CEC"/>
    <w:rsid w:val="00944E67"/>
    <w:rsid w:val="00945229"/>
    <w:rsid w:val="0094583E"/>
    <w:rsid w:val="00945953"/>
    <w:rsid w:val="00945B30"/>
    <w:rsid w:val="00945E53"/>
    <w:rsid w:val="0094620B"/>
    <w:rsid w:val="009462AD"/>
    <w:rsid w:val="00946684"/>
    <w:rsid w:val="0094676B"/>
    <w:rsid w:val="009468A0"/>
    <w:rsid w:val="00946A70"/>
    <w:rsid w:val="00946D83"/>
    <w:rsid w:val="00946DF7"/>
    <w:rsid w:val="0094718D"/>
    <w:rsid w:val="0094740D"/>
    <w:rsid w:val="0094796B"/>
    <w:rsid w:val="00947A1B"/>
    <w:rsid w:val="00947D45"/>
    <w:rsid w:val="00947D70"/>
    <w:rsid w:val="00947EC0"/>
    <w:rsid w:val="00950022"/>
    <w:rsid w:val="0095004F"/>
    <w:rsid w:val="009503A8"/>
    <w:rsid w:val="0095041B"/>
    <w:rsid w:val="009507BD"/>
    <w:rsid w:val="0095094E"/>
    <w:rsid w:val="009509CE"/>
    <w:rsid w:val="00950ADA"/>
    <w:rsid w:val="00950CBA"/>
    <w:rsid w:val="00950EA2"/>
    <w:rsid w:val="00951A1F"/>
    <w:rsid w:val="00951B77"/>
    <w:rsid w:val="00951FF6"/>
    <w:rsid w:val="00952049"/>
    <w:rsid w:val="009524F6"/>
    <w:rsid w:val="009525C3"/>
    <w:rsid w:val="00952791"/>
    <w:rsid w:val="009528B8"/>
    <w:rsid w:val="00952A34"/>
    <w:rsid w:val="00953523"/>
    <w:rsid w:val="009536B7"/>
    <w:rsid w:val="009537FE"/>
    <w:rsid w:val="009539D9"/>
    <w:rsid w:val="00953A11"/>
    <w:rsid w:val="00953EB0"/>
    <w:rsid w:val="0095401B"/>
    <w:rsid w:val="009541A6"/>
    <w:rsid w:val="009541F4"/>
    <w:rsid w:val="009543C1"/>
    <w:rsid w:val="009544B7"/>
    <w:rsid w:val="00954627"/>
    <w:rsid w:val="00954658"/>
    <w:rsid w:val="00954664"/>
    <w:rsid w:val="00954985"/>
    <w:rsid w:val="0095498B"/>
    <w:rsid w:val="00954B68"/>
    <w:rsid w:val="00954BF7"/>
    <w:rsid w:val="00954EEF"/>
    <w:rsid w:val="00954FA4"/>
    <w:rsid w:val="009552BD"/>
    <w:rsid w:val="00955A74"/>
    <w:rsid w:val="00955CEE"/>
    <w:rsid w:val="00955DA2"/>
    <w:rsid w:val="00955F5A"/>
    <w:rsid w:val="00956094"/>
    <w:rsid w:val="009561CE"/>
    <w:rsid w:val="009565E1"/>
    <w:rsid w:val="00956624"/>
    <w:rsid w:val="00956CEA"/>
    <w:rsid w:val="00956E36"/>
    <w:rsid w:val="009572C3"/>
    <w:rsid w:val="0095777E"/>
    <w:rsid w:val="009577C2"/>
    <w:rsid w:val="0095784D"/>
    <w:rsid w:val="00957B40"/>
    <w:rsid w:val="00957BCB"/>
    <w:rsid w:val="00957C63"/>
    <w:rsid w:val="009605A2"/>
    <w:rsid w:val="009606CF"/>
    <w:rsid w:val="009607BE"/>
    <w:rsid w:val="00960C60"/>
    <w:rsid w:val="00960CA0"/>
    <w:rsid w:val="00960D3A"/>
    <w:rsid w:val="00960E5A"/>
    <w:rsid w:val="00960EFB"/>
    <w:rsid w:val="00960F22"/>
    <w:rsid w:val="00961089"/>
    <w:rsid w:val="0096132D"/>
    <w:rsid w:val="00961404"/>
    <w:rsid w:val="009616CF"/>
    <w:rsid w:val="00961887"/>
    <w:rsid w:val="00961D92"/>
    <w:rsid w:val="00961EB8"/>
    <w:rsid w:val="00961FC9"/>
    <w:rsid w:val="009622B4"/>
    <w:rsid w:val="00962494"/>
    <w:rsid w:val="00962C6E"/>
    <w:rsid w:val="009638BE"/>
    <w:rsid w:val="009639A2"/>
    <w:rsid w:val="00963AB7"/>
    <w:rsid w:val="00963C20"/>
    <w:rsid w:val="00964081"/>
    <w:rsid w:val="009640D6"/>
    <w:rsid w:val="009643B8"/>
    <w:rsid w:val="00964687"/>
    <w:rsid w:val="00964B02"/>
    <w:rsid w:val="00964D0F"/>
    <w:rsid w:val="00964D14"/>
    <w:rsid w:val="00965409"/>
    <w:rsid w:val="009655A0"/>
    <w:rsid w:val="0096581C"/>
    <w:rsid w:val="009658B0"/>
    <w:rsid w:val="009659C7"/>
    <w:rsid w:val="00965B6F"/>
    <w:rsid w:val="00965BF1"/>
    <w:rsid w:val="00965C8C"/>
    <w:rsid w:val="00965E80"/>
    <w:rsid w:val="009666D6"/>
    <w:rsid w:val="00966897"/>
    <w:rsid w:val="00966B95"/>
    <w:rsid w:val="00966BAF"/>
    <w:rsid w:val="00966C69"/>
    <w:rsid w:val="0096764C"/>
    <w:rsid w:val="00967A16"/>
    <w:rsid w:val="00967A86"/>
    <w:rsid w:val="00970145"/>
    <w:rsid w:val="009707D2"/>
    <w:rsid w:val="00970A6E"/>
    <w:rsid w:val="00970BAC"/>
    <w:rsid w:val="00970D41"/>
    <w:rsid w:val="00970D76"/>
    <w:rsid w:val="00970E14"/>
    <w:rsid w:val="00970E6D"/>
    <w:rsid w:val="00970EDE"/>
    <w:rsid w:val="0097106D"/>
    <w:rsid w:val="009717AB"/>
    <w:rsid w:val="00971A28"/>
    <w:rsid w:val="00971A55"/>
    <w:rsid w:val="00971DE3"/>
    <w:rsid w:val="0097200C"/>
    <w:rsid w:val="00972155"/>
    <w:rsid w:val="0097222F"/>
    <w:rsid w:val="00972298"/>
    <w:rsid w:val="009729B1"/>
    <w:rsid w:val="00972DB1"/>
    <w:rsid w:val="00973036"/>
    <w:rsid w:val="009730AC"/>
    <w:rsid w:val="009731C7"/>
    <w:rsid w:val="00973654"/>
    <w:rsid w:val="00973726"/>
    <w:rsid w:val="009737C3"/>
    <w:rsid w:val="009737D8"/>
    <w:rsid w:val="009737DF"/>
    <w:rsid w:val="00973BD0"/>
    <w:rsid w:val="009741E2"/>
    <w:rsid w:val="009742E1"/>
    <w:rsid w:val="00974480"/>
    <w:rsid w:val="0097457F"/>
    <w:rsid w:val="009749AD"/>
    <w:rsid w:val="00974D75"/>
    <w:rsid w:val="009755AC"/>
    <w:rsid w:val="0097584C"/>
    <w:rsid w:val="00975853"/>
    <w:rsid w:val="00975DF0"/>
    <w:rsid w:val="0097625E"/>
    <w:rsid w:val="009762A3"/>
    <w:rsid w:val="009763FC"/>
    <w:rsid w:val="00976503"/>
    <w:rsid w:val="00976BF3"/>
    <w:rsid w:val="00976C0C"/>
    <w:rsid w:val="00976D56"/>
    <w:rsid w:val="00976DEB"/>
    <w:rsid w:val="0097702D"/>
    <w:rsid w:val="0097723B"/>
    <w:rsid w:val="00977637"/>
    <w:rsid w:val="009779E2"/>
    <w:rsid w:val="00977A05"/>
    <w:rsid w:val="0098094B"/>
    <w:rsid w:val="00980A05"/>
    <w:rsid w:val="00981538"/>
    <w:rsid w:val="009815FD"/>
    <w:rsid w:val="009816D0"/>
    <w:rsid w:val="00981709"/>
    <w:rsid w:val="00981977"/>
    <w:rsid w:val="00981983"/>
    <w:rsid w:val="009824EF"/>
    <w:rsid w:val="00983069"/>
    <w:rsid w:val="00983180"/>
    <w:rsid w:val="00983237"/>
    <w:rsid w:val="009833D4"/>
    <w:rsid w:val="0098380D"/>
    <w:rsid w:val="00983AA5"/>
    <w:rsid w:val="0098403E"/>
    <w:rsid w:val="009840F0"/>
    <w:rsid w:val="009848A5"/>
    <w:rsid w:val="00984CC7"/>
    <w:rsid w:val="00984D35"/>
    <w:rsid w:val="00984EDC"/>
    <w:rsid w:val="009851BC"/>
    <w:rsid w:val="0098530D"/>
    <w:rsid w:val="009853A7"/>
    <w:rsid w:val="00985687"/>
    <w:rsid w:val="00985698"/>
    <w:rsid w:val="00985724"/>
    <w:rsid w:val="00985984"/>
    <w:rsid w:val="00985AFD"/>
    <w:rsid w:val="00985B04"/>
    <w:rsid w:val="00985C1F"/>
    <w:rsid w:val="009861F2"/>
    <w:rsid w:val="009862FF"/>
    <w:rsid w:val="00986469"/>
    <w:rsid w:val="00986584"/>
    <w:rsid w:val="009865D4"/>
    <w:rsid w:val="00986686"/>
    <w:rsid w:val="00986824"/>
    <w:rsid w:val="00986867"/>
    <w:rsid w:val="00986AEF"/>
    <w:rsid w:val="00986C9C"/>
    <w:rsid w:val="0098725E"/>
    <w:rsid w:val="009872C5"/>
    <w:rsid w:val="00987385"/>
    <w:rsid w:val="00987AE7"/>
    <w:rsid w:val="00987D04"/>
    <w:rsid w:val="00987DEE"/>
    <w:rsid w:val="00987E71"/>
    <w:rsid w:val="00990074"/>
    <w:rsid w:val="00990385"/>
    <w:rsid w:val="00990B21"/>
    <w:rsid w:val="00990D58"/>
    <w:rsid w:val="00990EEE"/>
    <w:rsid w:val="00991233"/>
    <w:rsid w:val="00991403"/>
    <w:rsid w:val="009918E9"/>
    <w:rsid w:val="00991E7C"/>
    <w:rsid w:val="00992334"/>
    <w:rsid w:val="00992335"/>
    <w:rsid w:val="00992A9C"/>
    <w:rsid w:val="00992CB7"/>
    <w:rsid w:val="00992D9B"/>
    <w:rsid w:val="00993402"/>
    <w:rsid w:val="009939A7"/>
    <w:rsid w:val="009939EE"/>
    <w:rsid w:val="00993B84"/>
    <w:rsid w:val="00993BB6"/>
    <w:rsid w:val="00993DA7"/>
    <w:rsid w:val="00993E03"/>
    <w:rsid w:val="00994894"/>
    <w:rsid w:val="00994E0F"/>
    <w:rsid w:val="00994F1E"/>
    <w:rsid w:val="009953EA"/>
    <w:rsid w:val="00995473"/>
    <w:rsid w:val="00995626"/>
    <w:rsid w:val="009959DA"/>
    <w:rsid w:val="00995B6C"/>
    <w:rsid w:val="00995E36"/>
    <w:rsid w:val="009961E9"/>
    <w:rsid w:val="00996322"/>
    <w:rsid w:val="009965D8"/>
    <w:rsid w:val="00996709"/>
    <w:rsid w:val="00996718"/>
    <w:rsid w:val="00996A59"/>
    <w:rsid w:val="00996CFF"/>
    <w:rsid w:val="00996E3F"/>
    <w:rsid w:val="00996FB3"/>
    <w:rsid w:val="009974AC"/>
    <w:rsid w:val="0099760F"/>
    <w:rsid w:val="009978C9"/>
    <w:rsid w:val="00997974"/>
    <w:rsid w:val="00997CE8"/>
    <w:rsid w:val="009A02E7"/>
    <w:rsid w:val="009A04BD"/>
    <w:rsid w:val="009A050C"/>
    <w:rsid w:val="009A0E26"/>
    <w:rsid w:val="009A100E"/>
    <w:rsid w:val="009A1300"/>
    <w:rsid w:val="009A1C40"/>
    <w:rsid w:val="009A1D39"/>
    <w:rsid w:val="009A1E2B"/>
    <w:rsid w:val="009A1E92"/>
    <w:rsid w:val="009A2085"/>
    <w:rsid w:val="009A282F"/>
    <w:rsid w:val="009A3029"/>
    <w:rsid w:val="009A35F2"/>
    <w:rsid w:val="009A3619"/>
    <w:rsid w:val="009A36A7"/>
    <w:rsid w:val="009A37FB"/>
    <w:rsid w:val="009A3DA3"/>
    <w:rsid w:val="009A3F07"/>
    <w:rsid w:val="009A4218"/>
    <w:rsid w:val="009A4561"/>
    <w:rsid w:val="009A45AA"/>
    <w:rsid w:val="009A4AED"/>
    <w:rsid w:val="009A4BC9"/>
    <w:rsid w:val="009A52F5"/>
    <w:rsid w:val="009A559A"/>
    <w:rsid w:val="009A5708"/>
    <w:rsid w:val="009A59E0"/>
    <w:rsid w:val="009A6249"/>
    <w:rsid w:val="009A641C"/>
    <w:rsid w:val="009A643B"/>
    <w:rsid w:val="009A6493"/>
    <w:rsid w:val="009A66A9"/>
    <w:rsid w:val="009A6904"/>
    <w:rsid w:val="009A6B64"/>
    <w:rsid w:val="009A708A"/>
    <w:rsid w:val="009A728C"/>
    <w:rsid w:val="009A7350"/>
    <w:rsid w:val="009A7692"/>
    <w:rsid w:val="009A7827"/>
    <w:rsid w:val="009A78BA"/>
    <w:rsid w:val="009A7A02"/>
    <w:rsid w:val="009A7A6E"/>
    <w:rsid w:val="009A7CE7"/>
    <w:rsid w:val="009A7E2F"/>
    <w:rsid w:val="009A7F00"/>
    <w:rsid w:val="009B0365"/>
    <w:rsid w:val="009B03BC"/>
    <w:rsid w:val="009B0C92"/>
    <w:rsid w:val="009B0D61"/>
    <w:rsid w:val="009B1789"/>
    <w:rsid w:val="009B1BD4"/>
    <w:rsid w:val="009B1C80"/>
    <w:rsid w:val="009B1ED7"/>
    <w:rsid w:val="009B24CE"/>
    <w:rsid w:val="009B26D1"/>
    <w:rsid w:val="009B26F7"/>
    <w:rsid w:val="009B27D4"/>
    <w:rsid w:val="009B2B58"/>
    <w:rsid w:val="009B2B9E"/>
    <w:rsid w:val="009B2C1A"/>
    <w:rsid w:val="009B2E7C"/>
    <w:rsid w:val="009B3086"/>
    <w:rsid w:val="009B33D3"/>
    <w:rsid w:val="009B365F"/>
    <w:rsid w:val="009B3AE1"/>
    <w:rsid w:val="009B3C9E"/>
    <w:rsid w:val="009B3F1F"/>
    <w:rsid w:val="009B3F4E"/>
    <w:rsid w:val="009B3FEA"/>
    <w:rsid w:val="009B4571"/>
    <w:rsid w:val="009B48D5"/>
    <w:rsid w:val="009B495F"/>
    <w:rsid w:val="009B49BA"/>
    <w:rsid w:val="009B4B54"/>
    <w:rsid w:val="009B524D"/>
    <w:rsid w:val="009B56E5"/>
    <w:rsid w:val="009B573B"/>
    <w:rsid w:val="009B5781"/>
    <w:rsid w:val="009B5A43"/>
    <w:rsid w:val="009B5AC1"/>
    <w:rsid w:val="009B5B31"/>
    <w:rsid w:val="009B5B65"/>
    <w:rsid w:val="009B5E55"/>
    <w:rsid w:val="009B60E7"/>
    <w:rsid w:val="009B61AC"/>
    <w:rsid w:val="009B63E0"/>
    <w:rsid w:val="009B698F"/>
    <w:rsid w:val="009B6AE8"/>
    <w:rsid w:val="009B6E50"/>
    <w:rsid w:val="009B71B5"/>
    <w:rsid w:val="009B761B"/>
    <w:rsid w:val="009B781F"/>
    <w:rsid w:val="009B7ACC"/>
    <w:rsid w:val="009B7F6B"/>
    <w:rsid w:val="009B7F73"/>
    <w:rsid w:val="009C0134"/>
    <w:rsid w:val="009C022F"/>
    <w:rsid w:val="009C0302"/>
    <w:rsid w:val="009C06F5"/>
    <w:rsid w:val="009C08CC"/>
    <w:rsid w:val="009C0E59"/>
    <w:rsid w:val="009C0E94"/>
    <w:rsid w:val="009C133B"/>
    <w:rsid w:val="009C1383"/>
    <w:rsid w:val="009C19CE"/>
    <w:rsid w:val="009C1CC2"/>
    <w:rsid w:val="009C1D08"/>
    <w:rsid w:val="009C1EBB"/>
    <w:rsid w:val="009C20F3"/>
    <w:rsid w:val="009C2198"/>
    <w:rsid w:val="009C2419"/>
    <w:rsid w:val="009C2449"/>
    <w:rsid w:val="009C26F3"/>
    <w:rsid w:val="009C2953"/>
    <w:rsid w:val="009C2C57"/>
    <w:rsid w:val="009C2E74"/>
    <w:rsid w:val="009C2F54"/>
    <w:rsid w:val="009C315A"/>
    <w:rsid w:val="009C3403"/>
    <w:rsid w:val="009C344A"/>
    <w:rsid w:val="009C350A"/>
    <w:rsid w:val="009C3736"/>
    <w:rsid w:val="009C3DD0"/>
    <w:rsid w:val="009C4143"/>
    <w:rsid w:val="009C442C"/>
    <w:rsid w:val="009C45BB"/>
    <w:rsid w:val="009C472C"/>
    <w:rsid w:val="009C48D9"/>
    <w:rsid w:val="009C49D1"/>
    <w:rsid w:val="009C5065"/>
    <w:rsid w:val="009C518C"/>
    <w:rsid w:val="009C554E"/>
    <w:rsid w:val="009C5675"/>
    <w:rsid w:val="009C5690"/>
    <w:rsid w:val="009C56DB"/>
    <w:rsid w:val="009C59C0"/>
    <w:rsid w:val="009C5DE2"/>
    <w:rsid w:val="009C65F1"/>
    <w:rsid w:val="009C6F54"/>
    <w:rsid w:val="009C7146"/>
    <w:rsid w:val="009C73DA"/>
    <w:rsid w:val="009C745E"/>
    <w:rsid w:val="009C75CE"/>
    <w:rsid w:val="009C7C22"/>
    <w:rsid w:val="009C7D22"/>
    <w:rsid w:val="009D00F3"/>
    <w:rsid w:val="009D01B3"/>
    <w:rsid w:val="009D0348"/>
    <w:rsid w:val="009D093A"/>
    <w:rsid w:val="009D09AB"/>
    <w:rsid w:val="009D09F1"/>
    <w:rsid w:val="009D0BA7"/>
    <w:rsid w:val="009D1337"/>
    <w:rsid w:val="009D156D"/>
    <w:rsid w:val="009D15CA"/>
    <w:rsid w:val="009D1719"/>
    <w:rsid w:val="009D1833"/>
    <w:rsid w:val="009D1A16"/>
    <w:rsid w:val="009D1AA9"/>
    <w:rsid w:val="009D1B49"/>
    <w:rsid w:val="009D1CC1"/>
    <w:rsid w:val="009D1D56"/>
    <w:rsid w:val="009D1EB6"/>
    <w:rsid w:val="009D1FF7"/>
    <w:rsid w:val="009D2181"/>
    <w:rsid w:val="009D218B"/>
    <w:rsid w:val="009D261C"/>
    <w:rsid w:val="009D2812"/>
    <w:rsid w:val="009D31B1"/>
    <w:rsid w:val="009D3311"/>
    <w:rsid w:val="009D349F"/>
    <w:rsid w:val="009D355A"/>
    <w:rsid w:val="009D3A61"/>
    <w:rsid w:val="009D406C"/>
    <w:rsid w:val="009D4087"/>
    <w:rsid w:val="009D4117"/>
    <w:rsid w:val="009D4248"/>
    <w:rsid w:val="009D4293"/>
    <w:rsid w:val="009D4BB4"/>
    <w:rsid w:val="009D4D0D"/>
    <w:rsid w:val="009D502F"/>
    <w:rsid w:val="009D51A3"/>
    <w:rsid w:val="009D530F"/>
    <w:rsid w:val="009D53E0"/>
    <w:rsid w:val="009D5D63"/>
    <w:rsid w:val="009D5D81"/>
    <w:rsid w:val="009D5E40"/>
    <w:rsid w:val="009D6230"/>
    <w:rsid w:val="009D636D"/>
    <w:rsid w:val="009D6890"/>
    <w:rsid w:val="009D6C11"/>
    <w:rsid w:val="009D6DA7"/>
    <w:rsid w:val="009D6DAC"/>
    <w:rsid w:val="009D6E33"/>
    <w:rsid w:val="009D722C"/>
    <w:rsid w:val="009D7643"/>
    <w:rsid w:val="009D7951"/>
    <w:rsid w:val="009D7A19"/>
    <w:rsid w:val="009D7DF1"/>
    <w:rsid w:val="009E00F4"/>
    <w:rsid w:val="009E0446"/>
    <w:rsid w:val="009E0557"/>
    <w:rsid w:val="009E095B"/>
    <w:rsid w:val="009E096E"/>
    <w:rsid w:val="009E0AF5"/>
    <w:rsid w:val="009E0CB1"/>
    <w:rsid w:val="009E0D7E"/>
    <w:rsid w:val="009E1391"/>
    <w:rsid w:val="009E1BBD"/>
    <w:rsid w:val="009E1CAF"/>
    <w:rsid w:val="009E1CB0"/>
    <w:rsid w:val="009E21FA"/>
    <w:rsid w:val="009E2AAF"/>
    <w:rsid w:val="009E2BD4"/>
    <w:rsid w:val="009E2D2F"/>
    <w:rsid w:val="009E3291"/>
    <w:rsid w:val="009E3958"/>
    <w:rsid w:val="009E3D69"/>
    <w:rsid w:val="009E4468"/>
    <w:rsid w:val="009E4771"/>
    <w:rsid w:val="009E4BDF"/>
    <w:rsid w:val="009E4D45"/>
    <w:rsid w:val="009E4D68"/>
    <w:rsid w:val="009E4DB7"/>
    <w:rsid w:val="009E4DD0"/>
    <w:rsid w:val="009E4E5A"/>
    <w:rsid w:val="009E4EB1"/>
    <w:rsid w:val="009E4FC5"/>
    <w:rsid w:val="009E50CA"/>
    <w:rsid w:val="009E50CD"/>
    <w:rsid w:val="009E5172"/>
    <w:rsid w:val="009E5300"/>
    <w:rsid w:val="009E531D"/>
    <w:rsid w:val="009E5872"/>
    <w:rsid w:val="009E58E5"/>
    <w:rsid w:val="009E5C7B"/>
    <w:rsid w:val="009E5E32"/>
    <w:rsid w:val="009E609F"/>
    <w:rsid w:val="009E6194"/>
    <w:rsid w:val="009E68A9"/>
    <w:rsid w:val="009E695E"/>
    <w:rsid w:val="009E7086"/>
    <w:rsid w:val="009E713A"/>
    <w:rsid w:val="009E7149"/>
    <w:rsid w:val="009E77CC"/>
    <w:rsid w:val="009E7BF8"/>
    <w:rsid w:val="009E7FE3"/>
    <w:rsid w:val="009F033A"/>
    <w:rsid w:val="009F0980"/>
    <w:rsid w:val="009F0A5A"/>
    <w:rsid w:val="009F0CFC"/>
    <w:rsid w:val="009F0F75"/>
    <w:rsid w:val="009F0F7A"/>
    <w:rsid w:val="009F10F3"/>
    <w:rsid w:val="009F1141"/>
    <w:rsid w:val="009F1531"/>
    <w:rsid w:val="009F1752"/>
    <w:rsid w:val="009F17A2"/>
    <w:rsid w:val="009F1913"/>
    <w:rsid w:val="009F1ACD"/>
    <w:rsid w:val="009F1C94"/>
    <w:rsid w:val="009F1CAD"/>
    <w:rsid w:val="009F1E7E"/>
    <w:rsid w:val="009F1E8A"/>
    <w:rsid w:val="009F2A07"/>
    <w:rsid w:val="009F2AEA"/>
    <w:rsid w:val="009F2B4B"/>
    <w:rsid w:val="009F2C6A"/>
    <w:rsid w:val="009F2CB4"/>
    <w:rsid w:val="009F3031"/>
    <w:rsid w:val="009F30E8"/>
    <w:rsid w:val="009F311B"/>
    <w:rsid w:val="009F36D9"/>
    <w:rsid w:val="009F3961"/>
    <w:rsid w:val="009F3A06"/>
    <w:rsid w:val="009F3C06"/>
    <w:rsid w:val="009F3EFE"/>
    <w:rsid w:val="009F3F56"/>
    <w:rsid w:val="009F4079"/>
    <w:rsid w:val="009F4364"/>
    <w:rsid w:val="009F43E1"/>
    <w:rsid w:val="009F4FF2"/>
    <w:rsid w:val="009F5150"/>
    <w:rsid w:val="009F5199"/>
    <w:rsid w:val="009F5245"/>
    <w:rsid w:val="009F55F7"/>
    <w:rsid w:val="009F59AF"/>
    <w:rsid w:val="009F5AFF"/>
    <w:rsid w:val="009F5E76"/>
    <w:rsid w:val="009F601B"/>
    <w:rsid w:val="009F6268"/>
    <w:rsid w:val="009F67D4"/>
    <w:rsid w:val="009F6CD2"/>
    <w:rsid w:val="009F70E0"/>
    <w:rsid w:val="009F7492"/>
    <w:rsid w:val="009F775C"/>
    <w:rsid w:val="009F795D"/>
    <w:rsid w:val="00A00076"/>
    <w:rsid w:val="00A005CB"/>
    <w:rsid w:val="00A005F4"/>
    <w:rsid w:val="00A00756"/>
    <w:rsid w:val="00A008F0"/>
    <w:rsid w:val="00A009EB"/>
    <w:rsid w:val="00A00F49"/>
    <w:rsid w:val="00A0116E"/>
    <w:rsid w:val="00A01438"/>
    <w:rsid w:val="00A019EF"/>
    <w:rsid w:val="00A01A06"/>
    <w:rsid w:val="00A02031"/>
    <w:rsid w:val="00A0220F"/>
    <w:rsid w:val="00A02212"/>
    <w:rsid w:val="00A02239"/>
    <w:rsid w:val="00A02461"/>
    <w:rsid w:val="00A02A24"/>
    <w:rsid w:val="00A02D45"/>
    <w:rsid w:val="00A02F2B"/>
    <w:rsid w:val="00A02FD2"/>
    <w:rsid w:val="00A02FDA"/>
    <w:rsid w:val="00A03054"/>
    <w:rsid w:val="00A03286"/>
    <w:rsid w:val="00A03650"/>
    <w:rsid w:val="00A0388A"/>
    <w:rsid w:val="00A03AB1"/>
    <w:rsid w:val="00A03E3B"/>
    <w:rsid w:val="00A043CE"/>
    <w:rsid w:val="00A044E9"/>
    <w:rsid w:val="00A0452B"/>
    <w:rsid w:val="00A047A3"/>
    <w:rsid w:val="00A04A09"/>
    <w:rsid w:val="00A04B23"/>
    <w:rsid w:val="00A0551A"/>
    <w:rsid w:val="00A055CF"/>
    <w:rsid w:val="00A05B23"/>
    <w:rsid w:val="00A05C63"/>
    <w:rsid w:val="00A063AF"/>
    <w:rsid w:val="00A06545"/>
    <w:rsid w:val="00A06F29"/>
    <w:rsid w:val="00A07193"/>
    <w:rsid w:val="00A073BA"/>
    <w:rsid w:val="00A074F4"/>
    <w:rsid w:val="00A07671"/>
    <w:rsid w:val="00A07E81"/>
    <w:rsid w:val="00A10B62"/>
    <w:rsid w:val="00A10BF4"/>
    <w:rsid w:val="00A11057"/>
    <w:rsid w:val="00A110B0"/>
    <w:rsid w:val="00A11151"/>
    <w:rsid w:val="00A1138A"/>
    <w:rsid w:val="00A113BD"/>
    <w:rsid w:val="00A1157E"/>
    <w:rsid w:val="00A119C8"/>
    <w:rsid w:val="00A11A8B"/>
    <w:rsid w:val="00A1224E"/>
    <w:rsid w:val="00A12395"/>
    <w:rsid w:val="00A125A6"/>
    <w:rsid w:val="00A125ED"/>
    <w:rsid w:val="00A128EF"/>
    <w:rsid w:val="00A12AC9"/>
    <w:rsid w:val="00A12C5E"/>
    <w:rsid w:val="00A13406"/>
    <w:rsid w:val="00A135F2"/>
    <w:rsid w:val="00A13847"/>
    <w:rsid w:val="00A13897"/>
    <w:rsid w:val="00A13E84"/>
    <w:rsid w:val="00A13F19"/>
    <w:rsid w:val="00A14C4F"/>
    <w:rsid w:val="00A14D58"/>
    <w:rsid w:val="00A15079"/>
    <w:rsid w:val="00A15309"/>
    <w:rsid w:val="00A15527"/>
    <w:rsid w:val="00A15A5C"/>
    <w:rsid w:val="00A16148"/>
    <w:rsid w:val="00A16350"/>
    <w:rsid w:val="00A16683"/>
    <w:rsid w:val="00A166FF"/>
    <w:rsid w:val="00A1687D"/>
    <w:rsid w:val="00A16978"/>
    <w:rsid w:val="00A16A58"/>
    <w:rsid w:val="00A16C43"/>
    <w:rsid w:val="00A171D6"/>
    <w:rsid w:val="00A17884"/>
    <w:rsid w:val="00A179D5"/>
    <w:rsid w:val="00A17B48"/>
    <w:rsid w:val="00A200D7"/>
    <w:rsid w:val="00A20509"/>
    <w:rsid w:val="00A20559"/>
    <w:rsid w:val="00A20731"/>
    <w:rsid w:val="00A2075C"/>
    <w:rsid w:val="00A207DD"/>
    <w:rsid w:val="00A20B1A"/>
    <w:rsid w:val="00A21423"/>
    <w:rsid w:val="00A214C7"/>
    <w:rsid w:val="00A21936"/>
    <w:rsid w:val="00A21B8E"/>
    <w:rsid w:val="00A21CB1"/>
    <w:rsid w:val="00A21D64"/>
    <w:rsid w:val="00A21F4A"/>
    <w:rsid w:val="00A222E2"/>
    <w:rsid w:val="00A227C7"/>
    <w:rsid w:val="00A2283A"/>
    <w:rsid w:val="00A22965"/>
    <w:rsid w:val="00A2298D"/>
    <w:rsid w:val="00A22C25"/>
    <w:rsid w:val="00A22DE3"/>
    <w:rsid w:val="00A23116"/>
    <w:rsid w:val="00A233E0"/>
    <w:rsid w:val="00A2347F"/>
    <w:rsid w:val="00A23898"/>
    <w:rsid w:val="00A241F7"/>
    <w:rsid w:val="00A2435E"/>
    <w:rsid w:val="00A24609"/>
    <w:rsid w:val="00A24AD2"/>
    <w:rsid w:val="00A24B59"/>
    <w:rsid w:val="00A24D4C"/>
    <w:rsid w:val="00A25886"/>
    <w:rsid w:val="00A25B0D"/>
    <w:rsid w:val="00A25BF3"/>
    <w:rsid w:val="00A25EF7"/>
    <w:rsid w:val="00A2604E"/>
    <w:rsid w:val="00A2609A"/>
    <w:rsid w:val="00A264D1"/>
    <w:rsid w:val="00A2651D"/>
    <w:rsid w:val="00A268FC"/>
    <w:rsid w:val="00A2697C"/>
    <w:rsid w:val="00A26CE5"/>
    <w:rsid w:val="00A27308"/>
    <w:rsid w:val="00A273CC"/>
    <w:rsid w:val="00A2740E"/>
    <w:rsid w:val="00A2792B"/>
    <w:rsid w:val="00A279B8"/>
    <w:rsid w:val="00A27FD4"/>
    <w:rsid w:val="00A30098"/>
    <w:rsid w:val="00A301E0"/>
    <w:rsid w:val="00A3030D"/>
    <w:rsid w:val="00A306FF"/>
    <w:rsid w:val="00A30808"/>
    <w:rsid w:val="00A30D97"/>
    <w:rsid w:val="00A314D1"/>
    <w:rsid w:val="00A3153A"/>
    <w:rsid w:val="00A31570"/>
    <w:rsid w:val="00A316E8"/>
    <w:rsid w:val="00A31706"/>
    <w:rsid w:val="00A31936"/>
    <w:rsid w:val="00A319C9"/>
    <w:rsid w:val="00A31A43"/>
    <w:rsid w:val="00A31A9B"/>
    <w:rsid w:val="00A31DDC"/>
    <w:rsid w:val="00A323D1"/>
    <w:rsid w:val="00A32719"/>
    <w:rsid w:val="00A32948"/>
    <w:rsid w:val="00A32AAD"/>
    <w:rsid w:val="00A32EB3"/>
    <w:rsid w:val="00A3323B"/>
    <w:rsid w:val="00A33634"/>
    <w:rsid w:val="00A338A1"/>
    <w:rsid w:val="00A33AE3"/>
    <w:rsid w:val="00A33F72"/>
    <w:rsid w:val="00A3429C"/>
    <w:rsid w:val="00A34574"/>
    <w:rsid w:val="00A34847"/>
    <w:rsid w:val="00A34B3D"/>
    <w:rsid w:val="00A34C2D"/>
    <w:rsid w:val="00A34DC0"/>
    <w:rsid w:val="00A34E72"/>
    <w:rsid w:val="00A35500"/>
    <w:rsid w:val="00A3603D"/>
    <w:rsid w:val="00A3628B"/>
    <w:rsid w:val="00A363B4"/>
    <w:rsid w:val="00A364BB"/>
    <w:rsid w:val="00A36574"/>
    <w:rsid w:val="00A36A6F"/>
    <w:rsid w:val="00A36E92"/>
    <w:rsid w:val="00A37551"/>
    <w:rsid w:val="00A37855"/>
    <w:rsid w:val="00A37CA7"/>
    <w:rsid w:val="00A37E93"/>
    <w:rsid w:val="00A4035B"/>
    <w:rsid w:val="00A40C02"/>
    <w:rsid w:val="00A40CED"/>
    <w:rsid w:val="00A40DB0"/>
    <w:rsid w:val="00A40FE2"/>
    <w:rsid w:val="00A41080"/>
    <w:rsid w:val="00A41585"/>
    <w:rsid w:val="00A419D0"/>
    <w:rsid w:val="00A41F63"/>
    <w:rsid w:val="00A42082"/>
    <w:rsid w:val="00A42AFF"/>
    <w:rsid w:val="00A42D6D"/>
    <w:rsid w:val="00A42ED1"/>
    <w:rsid w:val="00A431D2"/>
    <w:rsid w:val="00A432A4"/>
    <w:rsid w:val="00A433B4"/>
    <w:rsid w:val="00A43451"/>
    <w:rsid w:val="00A434E1"/>
    <w:rsid w:val="00A43633"/>
    <w:rsid w:val="00A4376F"/>
    <w:rsid w:val="00A43CB2"/>
    <w:rsid w:val="00A4421C"/>
    <w:rsid w:val="00A442DD"/>
    <w:rsid w:val="00A445F1"/>
    <w:rsid w:val="00A44809"/>
    <w:rsid w:val="00A44BAD"/>
    <w:rsid w:val="00A44C43"/>
    <w:rsid w:val="00A44E09"/>
    <w:rsid w:val="00A450B9"/>
    <w:rsid w:val="00A45496"/>
    <w:rsid w:val="00A45501"/>
    <w:rsid w:val="00A456C4"/>
    <w:rsid w:val="00A4587E"/>
    <w:rsid w:val="00A45D81"/>
    <w:rsid w:val="00A46283"/>
    <w:rsid w:val="00A468C7"/>
    <w:rsid w:val="00A46F39"/>
    <w:rsid w:val="00A46F5C"/>
    <w:rsid w:val="00A47179"/>
    <w:rsid w:val="00A47677"/>
    <w:rsid w:val="00A47A41"/>
    <w:rsid w:val="00A47D30"/>
    <w:rsid w:val="00A47F4F"/>
    <w:rsid w:val="00A5017B"/>
    <w:rsid w:val="00A5020D"/>
    <w:rsid w:val="00A50529"/>
    <w:rsid w:val="00A5066C"/>
    <w:rsid w:val="00A5084B"/>
    <w:rsid w:val="00A50C14"/>
    <w:rsid w:val="00A518D5"/>
    <w:rsid w:val="00A51A47"/>
    <w:rsid w:val="00A51FE8"/>
    <w:rsid w:val="00A520D0"/>
    <w:rsid w:val="00A525E2"/>
    <w:rsid w:val="00A53136"/>
    <w:rsid w:val="00A53263"/>
    <w:rsid w:val="00A53565"/>
    <w:rsid w:val="00A53E86"/>
    <w:rsid w:val="00A542E3"/>
    <w:rsid w:val="00A5480D"/>
    <w:rsid w:val="00A54AE0"/>
    <w:rsid w:val="00A54C1E"/>
    <w:rsid w:val="00A55118"/>
    <w:rsid w:val="00A5517D"/>
    <w:rsid w:val="00A553B1"/>
    <w:rsid w:val="00A559B0"/>
    <w:rsid w:val="00A55F7F"/>
    <w:rsid w:val="00A55FE0"/>
    <w:rsid w:val="00A567F5"/>
    <w:rsid w:val="00A568B8"/>
    <w:rsid w:val="00A56B59"/>
    <w:rsid w:val="00A56BC3"/>
    <w:rsid w:val="00A570C3"/>
    <w:rsid w:val="00A574D8"/>
    <w:rsid w:val="00A57612"/>
    <w:rsid w:val="00A5766A"/>
    <w:rsid w:val="00A5799F"/>
    <w:rsid w:val="00A57F56"/>
    <w:rsid w:val="00A60065"/>
    <w:rsid w:val="00A601EA"/>
    <w:rsid w:val="00A60229"/>
    <w:rsid w:val="00A60272"/>
    <w:rsid w:val="00A603A4"/>
    <w:rsid w:val="00A605D0"/>
    <w:rsid w:val="00A60654"/>
    <w:rsid w:val="00A6068D"/>
    <w:rsid w:val="00A60767"/>
    <w:rsid w:val="00A60CAE"/>
    <w:rsid w:val="00A611C5"/>
    <w:rsid w:val="00A613C5"/>
    <w:rsid w:val="00A61493"/>
    <w:rsid w:val="00A6149E"/>
    <w:rsid w:val="00A61569"/>
    <w:rsid w:val="00A6198A"/>
    <w:rsid w:val="00A61BC0"/>
    <w:rsid w:val="00A61DDE"/>
    <w:rsid w:val="00A61E00"/>
    <w:rsid w:val="00A61ECC"/>
    <w:rsid w:val="00A61F78"/>
    <w:rsid w:val="00A620C1"/>
    <w:rsid w:val="00A62328"/>
    <w:rsid w:val="00A6293E"/>
    <w:rsid w:val="00A62983"/>
    <w:rsid w:val="00A63570"/>
    <w:rsid w:val="00A63AD8"/>
    <w:rsid w:val="00A63AF6"/>
    <w:rsid w:val="00A63DE3"/>
    <w:rsid w:val="00A63E32"/>
    <w:rsid w:val="00A63E77"/>
    <w:rsid w:val="00A64003"/>
    <w:rsid w:val="00A64789"/>
    <w:rsid w:val="00A64B0D"/>
    <w:rsid w:val="00A64B9F"/>
    <w:rsid w:val="00A64DEC"/>
    <w:rsid w:val="00A6509B"/>
    <w:rsid w:val="00A65154"/>
    <w:rsid w:val="00A6537D"/>
    <w:rsid w:val="00A6545D"/>
    <w:rsid w:val="00A65629"/>
    <w:rsid w:val="00A65B69"/>
    <w:rsid w:val="00A65D15"/>
    <w:rsid w:val="00A664D5"/>
    <w:rsid w:val="00A66976"/>
    <w:rsid w:val="00A66BAE"/>
    <w:rsid w:val="00A66E6B"/>
    <w:rsid w:val="00A66F81"/>
    <w:rsid w:val="00A67401"/>
    <w:rsid w:val="00A678EC"/>
    <w:rsid w:val="00A67A1D"/>
    <w:rsid w:val="00A67C3A"/>
    <w:rsid w:val="00A67E94"/>
    <w:rsid w:val="00A70441"/>
    <w:rsid w:val="00A7074A"/>
    <w:rsid w:val="00A707FC"/>
    <w:rsid w:val="00A70807"/>
    <w:rsid w:val="00A708B5"/>
    <w:rsid w:val="00A70AE0"/>
    <w:rsid w:val="00A70EAD"/>
    <w:rsid w:val="00A70ED7"/>
    <w:rsid w:val="00A71241"/>
    <w:rsid w:val="00A715C8"/>
    <w:rsid w:val="00A71B8E"/>
    <w:rsid w:val="00A71BAA"/>
    <w:rsid w:val="00A71FD5"/>
    <w:rsid w:val="00A7205A"/>
    <w:rsid w:val="00A721ED"/>
    <w:rsid w:val="00A72A4A"/>
    <w:rsid w:val="00A73190"/>
    <w:rsid w:val="00A731D8"/>
    <w:rsid w:val="00A73B7A"/>
    <w:rsid w:val="00A73BC4"/>
    <w:rsid w:val="00A73D13"/>
    <w:rsid w:val="00A73E9E"/>
    <w:rsid w:val="00A73FA8"/>
    <w:rsid w:val="00A741F7"/>
    <w:rsid w:val="00A74315"/>
    <w:rsid w:val="00A7449F"/>
    <w:rsid w:val="00A7487B"/>
    <w:rsid w:val="00A74E70"/>
    <w:rsid w:val="00A7564A"/>
    <w:rsid w:val="00A75CCE"/>
    <w:rsid w:val="00A75D4F"/>
    <w:rsid w:val="00A76166"/>
    <w:rsid w:val="00A76ED7"/>
    <w:rsid w:val="00A77075"/>
    <w:rsid w:val="00A77252"/>
    <w:rsid w:val="00A77C74"/>
    <w:rsid w:val="00A77D12"/>
    <w:rsid w:val="00A77DEA"/>
    <w:rsid w:val="00A77FAC"/>
    <w:rsid w:val="00A8001D"/>
    <w:rsid w:val="00A80233"/>
    <w:rsid w:val="00A8027B"/>
    <w:rsid w:val="00A8048D"/>
    <w:rsid w:val="00A80BCA"/>
    <w:rsid w:val="00A80C10"/>
    <w:rsid w:val="00A80EB8"/>
    <w:rsid w:val="00A81122"/>
    <w:rsid w:val="00A814C8"/>
    <w:rsid w:val="00A81811"/>
    <w:rsid w:val="00A81893"/>
    <w:rsid w:val="00A818EB"/>
    <w:rsid w:val="00A81994"/>
    <w:rsid w:val="00A81EB9"/>
    <w:rsid w:val="00A8212A"/>
    <w:rsid w:val="00A82739"/>
    <w:rsid w:val="00A82E26"/>
    <w:rsid w:val="00A82EDC"/>
    <w:rsid w:val="00A832B8"/>
    <w:rsid w:val="00A83508"/>
    <w:rsid w:val="00A83860"/>
    <w:rsid w:val="00A83BAF"/>
    <w:rsid w:val="00A84AC3"/>
    <w:rsid w:val="00A84D8F"/>
    <w:rsid w:val="00A84E24"/>
    <w:rsid w:val="00A85311"/>
    <w:rsid w:val="00A853DF"/>
    <w:rsid w:val="00A854E9"/>
    <w:rsid w:val="00A854F5"/>
    <w:rsid w:val="00A8577A"/>
    <w:rsid w:val="00A857E3"/>
    <w:rsid w:val="00A857E5"/>
    <w:rsid w:val="00A85DE0"/>
    <w:rsid w:val="00A85FD3"/>
    <w:rsid w:val="00A86013"/>
    <w:rsid w:val="00A860DA"/>
    <w:rsid w:val="00A862C9"/>
    <w:rsid w:val="00A86479"/>
    <w:rsid w:val="00A864A8"/>
    <w:rsid w:val="00A86614"/>
    <w:rsid w:val="00A867BC"/>
    <w:rsid w:val="00A86941"/>
    <w:rsid w:val="00A86A65"/>
    <w:rsid w:val="00A86D70"/>
    <w:rsid w:val="00A86E6C"/>
    <w:rsid w:val="00A870F7"/>
    <w:rsid w:val="00A871A4"/>
    <w:rsid w:val="00A87211"/>
    <w:rsid w:val="00A87459"/>
    <w:rsid w:val="00A874C8"/>
    <w:rsid w:val="00A8788A"/>
    <w:rsid w:val="00A87E0C"/>
    <w:rsid w:val="00A87FA7"/>
    <w:rsid w:val="00A90330"/>
    <w:rsid w:val="00A90663"/>
    <w:rsid w:val="00A9071F"/>
    <w:rsid w:val="00A9089E"/>
    <w:rsid w:val="00A90990"/>
    <w:rsid w:val="00A90A2A"/>
    <w:rsid w:val="00A90CAD"/>
    <w:rsid w:val="00A90CE3"/>
    <w:rsid w:val="00A90D76"/>
    <w:rsid w:val="00A91341"/>
    <w:rsid w:val="00A9145E"/>
    <w:rsid w:val="00A91460"/>
    <w:rsid w:val="00A917C9"/>
    <w:rsid w:val="00A91DB6"/>
    <w:rsid w:val="00A91FA6"/>
    <w:rsid w:val="00A921FC"/>
    <w:rsid w:val="00A92290"/>
    <w:rsid w:val="00A92D3B"/>
    <w:rsid w:val="00A931F0"/>
    <w:rsid w:val="00A9334C"/>
    <w:rsid w:val="00A9340D"/>
    <w:rsid w:val="00A93461"/>
    <w:rsid w:val="00A93A78"/>
    <w:rsid w:val="00A93CBC"/>
    <w:rsid w:val="00A93DEB"/>
    <w:rsid w:val="00A9440F"/>
    <w:rsid w:val="00A944EB"/>
    <w:rsid w:val="00A94AF9"/>
    <w:rsid w:val="00A94B56"/>
    <w:rsid w:val="00A94B91"/>
    <w:rsid w:val="00A94C4C"/>
    <w:rsid w:val="00A94D4D"/>
    <w:rsid w:val="00A94E64"/>
    <w:rsid w:val="00A94F76"/>
    <w:rsid w:val="00A95639"/>
    <w:rsid w:val="00A9571E"/>
    <w:rsid w:val="00A95922"/>
    <w:rsid w:val="00A95B88"/>
    <w:rsid w:val="00A95B9B"/>
    <w:rsid w:val="00A96327"/>
    <w:rsid w:val="00A9638F"/>
    <w:rsid w:val="00A96745"/>
    <w:rsid w:val="00A9675E"/>
    <w:rsid w:val="00A96871"/>
    <w:rsid w:val="00A96A65"/>
    <w:rsid w:val="00A96C77"/>
    <w:rsid w:val="00A970E4"/>
    <w:rsid w:val="00A9740C"/>
    <w:rsid w:val="00A974BE"/>
    <w:rsid w:val="00A974D8"/>
    <w:rsid w:val="00A97ACB"/>
    <w:rsid w:val="00A97B1D"/>
    <w:rsid w:val="00A97E95"/>
    <w:rsid w:val="00AA0494"/>
    <w:rsid w:val="00AA0531"/>
    <w:rsid w:val="00AA0549"/>
    <w:rsid w:val="00AA061B"/>
    <w:rsid w:val="00AA06BB"/>
    <w:rsid w:val="00AA0CFA"/>
    <w:rsid w:val="00AA0D72"/>
    <w:rsid w:val="00AA0F68"/>
    <w:rsid w:val="00AA108A"/>
    <w:rsid w:val="00AA110F"/>
    <w:rsid w:val="00AA15C0"/>
    <w:rsid w:val="00AA15E0"/>
    <w:rsid w:val="00AA16B1"/>
    <w:rsid w:val="00AA1968"/>
    <w:rsid w:val="00AA1B46"/>
    <w:rsid w:val="00AA1D15"/>
    <w:rsid w:val="00AA1DB5"/>
    <w:rsid w:val="00AA1E4C"/>
    <w:rsid w:val="00AA1E91"/>
    <w:rsid w:val="00AA2300"/>
    <w:rsid w:val="00AA28B2"/>
    <w:rsid w:val="00AA2AF5"/>
    <w:rsid w:val="00AA2B99"/>
    <w:rsid w:val="00AA2FF4"/>
    <w:rsid w:val="00AA316D"/>
    <w:rsid w:val="00AA31BB"/>
    <w:rsid w:val="00AA33CE"/>
    <w:rsid w:val="00AA33D9"/>
    <w:rsid w:val="00AA35DD"/>
    <w:rsid w:val="00AA3746"/>
    <w:rsid w:val="00AA3AF9"/>
    <w:rsid w:val="00AA3CAD"/>
    <w:rsid w:val="00AA463B"/>
    <w:rsid w:val="00AA46DA"/>
    <w:rsid w:val="00AA4B3D"/>
    <w:rsid w:val="00AA4EC6"/>
    <w:rsid w:val="00AA5112"/>
    <w:rsid w:val="00AA5169"/>
    <w:rsid w:val="00AA52DE"/>
    <w:rsid w:val="00AA53D6"/>
    <w:rsid w:val="00AA56DF"/>
    <w:rsid w:val="00AA5B5E"/>
    <w:rsid w:val="00AA5B71"/>
    <w:rsid w:val="00AA5DB0"/>
    <w:rsid w:val="00AA5E48"/>
    <w:rsid w:val="00AA6241"/>
    <w:rsid w:val="00AA6781"/>
    <w:rsid w:val="00AA67D3"/>
    <w:rsid w:val="00AA67E9"/>
    <w:rsid w:val="00AA6AC3"/>
    <w:rsid w:val="00AA6C81"/>
    <w:rsid w:val="00AA6CAD"/>
    <w:rsid w:val="00AA6DF5"/>
    <w:rsid w:val="00AA6F34"/>
    <w:rsid w:val="00AA728A"/>
    <w:rsid w:val="00AA778A"/>
    <w:rsid w:val="00AA7F4E"/>
    <w:rsid w:val="00AB06D4"/>
    <w:rsid w:val="00AB06EB"/>
    <w:rsid w:val="00AB078A"/>
    <w:rsid w:val="00AB0A12"/>
    <w:rsid w:val="00AB11B5"/>
    <w:rsid w:val="00AB14EA"/>
    <w:rsid w:val="00AB150A"/>
    <w:rsid w:val="00AB17C1"/>
    <w:rsid w:val="00AB1A8B"/>
    <w:rsid w:val="00AB1AE9"/>
    <w:rsid w:val="00AB1B5D"/>
    <w:rsid w:val="00AB1DD1"/>
    <w:rsid w:val="00AB2476"/>
    <w:rsid w:val="00AB2530"/>
    <w:rsid w:val="00AB274E"/>
    <w:rsid w:val="00AB2B55"/>
    <w:rsid w:val="00AB2BD7"/>
    <w:rsid w:val="00AB2CE2"/>
    <w:rsid w:val="00AB305C"/>
    <w:rsid w:val="00AB3185"/>
    <w:rsid w:val="00AB34DF"/>
    <w:rsid w:val="00AB35CC"/>
    <w:rsid w:val="00AB36B1"/>
    <w:rsid w:val="00AB387F"/>
    <w:rsid w:val="00AB3C62"/>
    <w:rsid w:val="00AB3E85"/>
    <w:rsid w:val="00AB3FCA"/>
    <w:rsid w:val="00AB51F9"/>
    <w:rsid w:val="00AB5472"/>
    <w:rsid w:val="00AB5C48"/>
    <w:rsid w:val="00AB5C89"/>
    <w:rsid w:val="00AB5F24"/>
    <w:rsid w:val="00AB626B"/>
    <w:rsid w:val="00AB6285"/>
    <w:rsid w:val="00AB6B12"/>
    <w:rsid w:val="00AB6B5C"/>
    <w:rsid w:val="00AB6BB7"/>
    <w:rsid w:val="00AB6C31"/>
    <w:rsid w:val="00AB731B"/>
    <w:rsid w:val="00AB7433"/>
    <w:rsid w:val="00AB75E7"/>
    <w:rsid w:val="00AB7ADB"/>
    <w:rsid w:val="00AB7CB7"/>
    <w:rsid w:val="00AB7CB8"/>
    <w:rsid w:val="00AB7D13"/>
    <w:rsid w:val="00AB7DF6"/>
    <w:rsid w:val="00AC01C7"/>
    <w:rsid w:val="00AC0F18"/>
    <w:rsid w:val="00AC12A0"/>
    <w:rsid w:val="00AC148A"/>
    <w:rsid w:val="00AC14C2"/>
    <w:rsid w:val="00AC15DD"/>
    <w:rsid w:val="00AC1D22"/>
    <w:rsid w:val="00AC2225"/>
    <w:rsid w:val="00AC22E7"/>
    <w:rsid w:val="00AC244D"/>
    <w:rsid w:val="00AC2762"/>
    <w:rsid w:val="00AC286B"/>
    <w:rsid w:val="00AC287D"/>
    <w:rsid w:val="00AC28DD"/>
    <w:rsid w:val="00AC2BB3"/>
    <w:rsid w:val="00AC2BC1"/>
    <w:rsid w:val="00AC2DE8"/>
    <w:rsid w:val="00AC34EC"/>
    <w:rsid w:val="00AC3B3F"/>
    <w:rsid w:val="00AC4037"/>
    <w:rsid w:val="00AC41A5"/>
    <w:rsid w:val="00AC44AF"/>
    <w:rsid w:val="00AC4A50"/>
    <w:rsid w:val="00AC4D5E"/>
    <w:rsid w:val="00AC5241"/>
    <w:rsid w:val="00AC5280"/>
    <w:rsid w:val="00AC59E4"/>
    <w:rsid w:val="00AC5BF4"/>
    <w:rsid w:val="00AC5C38"/>
    <w:rsid w:val="00AC62D8"/>
    <w:rsid w:val="00AC66A6"/>
    <w:rsid w:val="00AC696E"/>
    <w:rsid w:val="00AC6EF0"/>
    <w:rsid w:val="00AC7077"/>
    <w:rsid w:val="00AC70CC"/>
    <w:rsid w:val="00AC72DC"/>
    <w:rsid w:val="00AC7E37"/>
    <w:rsid w:val="00AC7F14"/>
    <w:rsid w:val="00AD00EA"/>
    <w:rsid w:val="00AD07CC"/>
    <w:rsid w:val="00AD0863"/>
    <w:rsid w:val="00AD0DA2"/>
    <w:rsid w:val="00AD0FFA"/>
    <w:rsid w:val="00AD109C"/>
    <w:rsid w:val="00AD118B"/>
    <w:rsid w:val="00AD15C6"/>
    <w:rsid w:val="00AD1733"/>
    <w:rsid w:val="00AD1752"/>
    <w:rsid w:val="00AD1764"/>
    <w:rsid w:val="00AD1AD6"/>
    <w:rsid w:val="00AD1AF7"/>
    <w:rsid w:val="00AD20C0"/>
    <w:rsid w:val="00AD23C0"/>
    <w:rsid w:val="00AD2417"/>
    <w:rsid w:val="00AD2513"/>
    <w:rsid w:val="00AD2627"/>
    <w:rsid w:val="00AD2D1E"/>
    <w:rsid w:val="00AD321D"/>
    <w:rsid w:val="00AD3BF1"/>
    <w:rsid w:val="00AD43C1"/>
    <w:rsid w:val="00AD4595"/>
    <w:rsid w:val="00AD4CD2"/>
    <w:rsid w:val="00AD4F34"/>
    <w:rsid w:val="00AD51D0"/>
    <w:rsid w:val="00AD5997"/>
    <w:rsid w:val="00AD5B5F"/>
    <w:rsid w:val="00AD6234"/>
    <w:rsid w:val="00AD6882"/>
    <w:rsid w:val="00AD6A28"/>
    <w:rsid w:val="00AD6E36"/>
    <w:rsid w:val="00AD7139"/>
    <w:rsid w:val="00AD770C"/>
    <w:rsid w:val="00AD7BA1"/>
    <w:rsid w:val="00AE03B8"/>
    <w:rsid w:val="00AE040B"/>
    <w:rsid w:val="00AE045E"/>
    <w:rsid w:val="00AE079D"/>
    <w:rsid w:val="00AE09F0"/>
    <w:rsid w:val="00AE1186"/>
    <w:rsid w:val="00AE1268"/>
    <w:rsid w:val="00AE1367"/>
    <w:rsid w:val="00AE13F8"/>
    <w:rsid w:val="00AE1A5E"/>
    <w:rsid w:val="00AE1A9C"/>
    <w:rsid w:val="00AE25D2"/>
    <w:rsid w:val="00AE25F3"/>
    <w:rsid w:val="00AE26FE"/>
    <w:rsid w:val="00AE2750"/>
    <w:rsid w:val="00AE2B4C"/>
    <w:rsid w:val="00AE2C89"/>
    <w:rsid w:val="00AE303F"/>
    <w:rsid w:val="00AE341D"/>
    <w:rsid w:val="00AE384E"/>
    <w:rsid w:val="00AE38B4"/>
    <w:rsid w:val="00AE39E8"/>
    <w:rsid w:val="00AE469F"/>
    <w:rsid w:val="00AE4791"/>
    <w:rsid w:val="00AE48AE"/>
    <w:rsid w:val="00AE4E25"/>
    <w:rsid w:val="00AE4E30"/>
    <w:rsid w:val="00AE50EC"/>
    <w:rsid w:val="00AE513B"/>
    <w:rsid w:val="00AE60E4"/>
    <w:rsid w:val="00AE6409"/>
    <w:rsid w:val="00AE68BF"/>
    <w:rsid w:val="00AE6A2A"/>
    <w:rsid w:val="00AE6D4B"/>
    <w:rsid w:val="00AE704A"/>
    <w:rsid w:val="00AE7217"/>
    <w:rsid w:val="00AE75F2"/>
    <w:rsid w:val="00AE7B2F"/>
    <w:rsid w:val="00AE7B79"/>
    <w:rsid w:val="00AE7D81"/>
    <w:rsid w:val="00AF0727"/>
    <w:rsid w:val="00AF0972"/>
    <w:rsid w:val="00AF101A"/>
    <w:rsid w:val="00AF165C"/>
    <w:rsid w:val="00AF1B34"/>
    <w:rsid w:val="00AF1EE4"/>
    <w:rsid w:val="00AF1F56"/>
    <w:rsid w:val="00AF1FAC"/>
    <w:rsid w:val="00AF1FE4"/>
    <w:rsid w:val="00AF26B8"/>
    <w:rsid w:val="00AF2AAE"/>
    <w:rsid w:val="00AF2B26"/>
    <w:rsid w:val="00AF33B2"/>
    <w:rsid w:val="00AF35F1"/>
    <w:rsid w:val="00AF39E1"/>
    <w:rsid w:val="00AF3C71"/>
    <w:rsid w:val="00AF3FC1"/>
    <w:rsid w:val="00AF4050"/>
    <w:rsid w:val="00AF4830"/>
    <w:rsid w:val="00AF4997"/>
    <w:rsid w:val="00AF4A6F"/>
    <w:rsid w:val="00AF5385"/>
    <w:rsid w:val="00AF545B"/>
    <w:rsid w:val="00AF61EB"/>
    <w:rsid w:val="00AF6356"/>
    <w:rsid w:val="00AF6398"/>
    <w:rsid w:val="00AF6540"/>
    <w:rsid w:val="00AF6BB7"/>
    <w:rsid w:val="00AF74A4"/>
    <w:rsid w:val="00AF79B9"/>
    <w:rsid w:val="00AF79CC"/>
    <w:rsid w:val="00B00279"/>
    <w:rsid w:val="00B00B7F"/>
    <w:rsid w:val="00B00F83"/>
    <w:rsid w:val="00B010C7"/>
    <w:rsid w:val="00B01109"/>
    <w:rsid w:val="00B0118E"/>
    <w:rsid w:val="00B012A6"/>
    <w:rsid w:val="00B013B6"/>
    <w:rsid w:val="00B015C8"/>
    <w:rsid w:val="00B01AE4"/>
    <w:rsid w:val="00B025F5"/>
    <w:rsid w:val="00B0260A"/>
    <w:rsid w:val="00B02629"/>
    <w:rsid w:val="00B02833"/>
    <w:rsid w:val="00B02956"/>
    <w:rsid w:val="00B02C8F"/>
    <w:rsid w:val="00B0302A"/>
    <w:rsid w:val="00B0318B"/>
    <w:rsid w:val="00B03340"/>
    <w:rsid w:val="00B03687"/>
    <w:rsid w:val="00B036AA"/>
    <w:rsid w:val="00B036E5"/>
    <w:rsid w:val="00B03CFF"/>
    <w:rsid w:val="00B04090"/>
    <w:rsid w:val="00B043F9"/>
    <w:rsid w:val="00B044DA"/>
    <w:rsid w:val="00B045C1"/>
    <w:rsid w:val="00B04A11"/>
    <w:rsid w:val="00B04B2B"/>
    <w:rsid w:val="00B04D4E"/>
    <w:rsid w:val="00B0512E"/>
    <w:rsid w:val="00B053C7"/>
    <w:rsid w:val="00B05445"/>
    <w:rsid w:val="00B0557A"/>
    <w:rsid w:val="00B05C93"/>
    <w:rsid w:val="00B05E5A"/>
    <w:rsid w:val="00B0614F"/>
    <w:rsid w:val="00B06C2F"/>
    <w:rsid w:val="00B06FB3"/>
    <w:rsid w:val="00B0706D"/>
    <w:rsid w:val="00B0709B"/>
    <w:rsid w:val="00B07C2D"/>
    <w:rsid w:val="00B10204"/>
    <w:rsid w:val="00B105F0"/>
    <w:rsid w:val="00B10903"/>
    <w:rsid w:val="00B10E7B"/>
    <w:rsid w:val="00B11206"/>
    <w:rsid w:val="00B1128A"/>
    <w:rsid w:val="00B11494"/>
    <w:rsid w:val="00B123CD"/>
    <w:rsid w:val="00B1287A"/>
    <w:rsid w:val="00B12926"/>
    <w:rsid w:val="00B12C28"/>
    <w:rsid w:val="00B12D63"/>
    <w:rsid w:val="00B13243"/>
    <w:rsid w:val="00B136BD"/>
    <w:rsid w:val="00B13795"/>
    <w:rsid w:val="00B13907"/>
    <w:rsid w:val="00B13DC3"/>
    <w:rsid w:val="00B144C8"/>
    <w:rsid w:val="00B147F0"/>
    <w:rsid w:val="00B149FC"/>
    <w:rsid w:val="00B14AEE"/>
    <w:rsid w:val="00B14B93"/>
    <w:rsid w:val="00B14CBD"/>
    <w:rsid w:val="00B14E96"/>
    <w:rsid w:val="00B14FBC"/>
    <w:rsid w:val="00B156CF"/>
    <w:rsid w:val="00B15BF6"/>
    <w:rsid w:val="00B15D55"/>
    <w:rsid w:val="00B15E44"/>
    <w:rsid w:val="00B15EE5"/>
    <w:rsid w:val="00B1638E"/>
    <w:rsid w:val="00B163A3"/>
    <w:rsid w:val="00B16842"/>
    <w:rsid w:val="00B168D0"/>
    <w:rsid w:val="00B17028"/>
    <w:rsid w:val="00B17263"/>
    <w:rsid w:val="00B17609"/>
    <w:rsid w:val="00B17CB0"/>
    <w:rsid w:val="00B17F80"/>
    <w:rsid w:val="00B20502"/>
    <w:rsid w:val="00B20560"/>
    <w:rsid w:val="00B20775"/>
    <w:rsid w:val="00B2080D"/>
    <w:rsid w:val="00B20B2F"/>
    <w:rsid w:val="00B20C6D"/>
    <w:rsid w:val="00B21018"/>
    <w:rsid w:val="00B2105F"/>
    <w:rsid w:val="00B2122F"/>
    <w:rsid w:val="00B2148B"/>
    <w:rsid w:val="00B215E1"/>
    <w:rsid w:val="00B21902"/>
    <w:rsid w:val="00B2193D"/>
    <w:rsid w:val="00B21D6F"/>
    <w:rsid w:val="00B22070"/>
    <w:rsid w:val="00B223D4"/>
    <w:rsid w:val="00B22575"/>
    <w:rsid w:val="00B22721"/>
    <w:rsid w:val="00B22D81"/>
    <w:rsid w:val="00B23C3F"/>
    <w:rsid w:val="00B23E9C"/>
    <w:rsid w:val="00B23F51"/>
    <w:rsid w:val="00B241A3"/>
    <w:rsid w:val="00B2484F"/>
    <w:rsid w:val="00B248BB"/>
    <w:rsid w:val="00B24C2F"/>
    <w:rsid w:val="00B24F1B"/>
    <w:rsid w:val="00B25829"/>
    <w:rsid w:val="00B2589E"/>
    <w:rsid w:val="00B258A8"/>
    <w:rsid w:val="00B25DDB"/>
    <w:rsid w:val="00B25E86"/>
    <w:rsid w:val="00B26473"/>
    <w:rsid w:val="00B264F1"/>
    <w:rsid w:val="00B26531"/>
    <w:rsid w:val="00B2653F"/>
    <w:rsid w:val="00B26694"/>
    <w:rsid w:val="00B266EC"/>
    <w:rsid w:val="00B26C97"/>
    <w:rsid w:val="00B26CA3"/>
    <w:rsid w:val="00B26D46"/>
    <w:rsid w:val="00B26D99"/>
    <w:rsid w:val="00B2721D"/>
    <w:rsid w:val="00B27702"/>
    <w:rsid w:val="00B279D3"/>
    <w:rsid w:val="00B27A3E"/>
    <w:rsid w:val="00B27AFC"/>
    <w:rsid w:val="00B27CF8"/>
    <w:rsid w:val="00B30148"/>
    <w:rsid w:val="00B302FA"/>
    <w:rsid w:val="00B303F6"/>
    <w:rsid w:val="00B3060C"/>
    <w:rsid w:val="00B30978"/>
    <w:rsid w:val="00B30AD6"/>
    <w:rsid w:val="00B30E56"/>
    <w:rsid w:val="00B30EA4"/>
    <w:rsid w:val="00B30F1F"/>
    <w:rsid w:val="00B3143F"/>
    <w:rsid w:val="00B31448"/>
    <w:rsid w:val="00B31633"/>
    <w:rsid w:val="00B31771"/>
    <w:rsid w:val="00B3195B"/>
    <w:rsid w:val="00B31A09"/>
    <w:rsid w:val="00B31A0C"/>
    <w:rsid w:val="00B31AF1"/>
    <w:rsid w:val="00B31E58"/>
    <w:rsid w:val="00B31E9A"/>
    <w:rsid w:val="00B31EFB"/>
    <w:rsid w:val="00B31F75"/>
    <w:rsid w:val="00B3227E"/>
    <w:rsid w:val="00B324D4"/>
    <w:rsid w:val="00B32586"/>
    <w:rsid w:val="00B329D1"/>
    <w:rsid w:val="00B32D76"/>
    <w:rsid w:val="00B33D4F"/>
    <w:rsid w:val="00B33DFF"/>
    <w:rsid w:val="00B33F03"/>
    <w:rsid w:val="00B340BC"/>
    <w:rsid w:val="00B3435C"/>
    <w:rsid w:val="00B345E1"/>
    <w:rsid w:val="00B34A3E"/>
    <w:rsid w:val="00B34CC6"/>
    <w:rsid w:val="00B35010"/>
    <w:rsid w:val="00B350AC"/>
    <w:rsid w:val="00B3521D"/>
    <w:rsid w:val="00B3543D"/>
    <w:rsid w:val="00B35627"/>
    <w:rsid w:val="00B35678"/>
    <w:rsid w:val="00B35784"/>
    <w:rsid w:val="00B35E27"/>
    <w:rsid w:val="00B3641F"/>
    <w:rsid w:val="00B36476"/>
    <w:rsid w:val="00B36502"/>
    <w:rsid w:val="00B36554"/>
    <w:rsid w:val="00B36784"/>
    <w:rsid w:val="00B368A9"/>
    <w:rsid w:val="00B36DAE"/>
    <w:rsid w:val="00B36DD2"/>
    <w:rsid w:val="00B37908"/>
    <w:rsid w:val="00B37B42"/>
    <w:rsid w:val="00B37B97"/>
    <w:rsid w:val="00B37EC2"/>
    <w:rsid w:val="00B37FEF"/>
    <w:rsid w:val="00B4171A"/>
    <w:rsid w:val="00B417C6"/>
    <w:rsid w:val="00B418E9"/>
    <w:rsid w:val="00B41A6C"/>
    <w:rsid w:val="00B41AFC"/>
    <w:rsid w:val="00B41B95"/>
    <w:rsid w:val="00B41BE8"/>
    <w:rsid w:val="00B4229D"/>
    <w:rsid w:val="00B4240A"/>
    <w:rsid w:val="00B424D8"/>
    <w:rsid w:val="00B42615"/>
    <w:rsid w:val="00B42655"/>
    <w:rsid w:val="00B42B0B"/>
    <w:rsid w:val="00B42F25"/>
    <w:rsid w:val="00B4311C"/>
    <w:rsid w:val="00B43127"/>
    <w:rsid w:val="00B435E8"/>
    <w:rsid w:val="00B43C8B"/>
    <w:rsid w:val="00B43C95"/>
    <w:rsid w:val="00B43FDD"/>
    <w:rsid w:val="00B43FFC"/>
    <w:rsid w:val="00B440B1"/>
    <w:rsid w:val="00B44170"/>
    <w:rsid w:val="00B4426C"/>
    <w:rsid w:val="00B44412"/>
    <w:rsid w:val="00B44908"/>
    <w:rsid w:val="00B44929"/>
    <w:rsid w:val="00B44E99"/>
    <w:rsid w:val="00B44FC0"/>
    <w:rsid w:val="00B44FD4"/>
    <w:rsid w:val="00B450C6"/>
    <w:rsid w:val="00B45664"/>
    <w:rsid w:val="00B45DC2"/>
    <w:rsid w:val="00B45FA5"/>
    <w:rsid w:val="00B460AF"/>
    <w:rsid w:val="00B460D8"/>
    <w:rsid w:val="00B461E4"/>
    <w:rsid w:val="00B46416"/>
    <w:rsid w:val="00B4651F"/>
    <w:rsid w:val="00B46942"/>
    <w:rsid w:val="00B46E0A"/>
    <w:rsid w:val="00B46FE3"/>
    <w:rsid w:val="00B47458"/>
    <w:rsid w:val="00B474A9"/>
    <w:rsid w:val="00B479A3"/>
    <w:rsid w:val="00B500DB"/>
    <w:rsid w:val="00B5079C"/>
    <w:rsid w:val="00B5110A"/>
    <w:rsid w:val="00B51230"/>
    <w:rsid w:val="00B515BB"/>
    <w:rsid w:val="00B5169C"/>
    <w:rsid w:val="00B5191B"/>
    <w:rsid w:val="00B51984"/>
    <w:rsid w:val="00B51AD4"/>
    <w:rsid w:val="00B51C1D"/>
    <w:rsid w:val="00B51F05"/>
    <w:rsid w:val="00B52305"/>
    <w:rsid w:val="00B523D0"/>
    <w:rsid w:val="00B52C24"/>
    <w:rsid w:val="00B52F03"/>
    <w:rsid w:val="00B5359A"/>
    <w:rsid w:val="00B535BE"/>
    <w:rsid w:val="00B53781"/>
    <w:rsid w:val="00B53A59"/>
    <w:rsid w:val="00B53D88"/>
    <w:rsid w:val="00B53E48"/>
    <w:rsid w:val="00B53E68"/>
    <w:rsid w:val="00B53F72"/>
    <w:rsid w:val="00B54980"/>
    <w:rsid w:val="00B54B53"/>
    <w:rsid w:val="00B54EB4"/>
    <w:rsid w:val="00B54F67"/>
    <w:rsid w:val="00B5513F"/>
    <w:rsid w:val="00B55462"/>
    <w:rsid w:val="00B55CA3"/>
    <w:rsid w:val="00B55CE9"/>
    <w:rsid w:val="00B55D83"/>
    <w:rsid w:val="00B55E97"/>
    <w:rsid w:val="00B56008"/>
    <w:rsid w:val="00B564B2"/>
    <w:rsid w:val="00B56777"/>
    <w:rsid w:val="00B56907"/>
    <w:rsid w:val="00B574C0"/>
    <w:rsid w:val="00B57C05"/>
    <w:rsid w:val="00B57F26"/>
    <w:rsid w:val="00B57FC7"/>
    <w:rsid w:val="00B57FD4"/>
    <w:rsid w:val="00B606AF"/>
    <w:rsid w:val="00B61389"/>
    <w:rsid w:val="00B613CE"/>
    <w:rsid w:val="00B61433"/>
    <w:rsid w:val="00B615A4"/>
    <w:rsid w:val="00B61862"/>
    <w:rsid w:val="00B619F2"/>
    <w:rsid w:val="00B61B2B"/>
    <w:rsid w:val="00B61D8B"/>
    <w:rsid w:val="00B61E34"/>
    <w:rsid w:val="00B61F69"/>
    <w:rsid w:val="00B620A9"/>
    <w:rsid w:val="00B6229B"/>
    <w:rsid w:val="00B625E2"/>
    <w:rsid w:val="00B626CA"/>
    <w:rsid w:val="00B62990"/>
    <w:rsid w:val="00B62C0C"/>
    <w:rsid w:val="00B62C89"/>
    <w:rsid w:val="00B62CEC"/>
    <w:rsid w:val="00B62D2D"/>
    <w:rsid w:val="00B62FB1"/>
    <w:rsid w:val="00B631C8"/>
    <w:rsid w:val="00B63469"/>
    <w:rsid w:val="00B635A1"/>
    <w:rsid w:val="00B63AAF"/>
    <w:rsid w:val="00B63C83"/>
    <w:rsid w:val="00B63CAA"/>
    <w:rsid w:val="00B63DEF"/>
    <w:rsid w:val="00B63F28"/>
    <w:rsid w:val="00B6428C"/>
    <w:rsid w:val="00B6458F"/>
    <w:rsid w:val="00B645B9"/>
    <w:rsid w:val="00B6464A"/>
    <w:rsid w:val="00B64A6C"/>
    <w:rsid w:val="00B64C66"/>
    <w:rsid w:val="00B64F66"/>
    <w:rsid w:val="00B64F7B"/>
    <w:rsid w:val="00B6523A"/>
    <w:rsid w:val="00B653AA"/>
    <w:rsid w:val="00B653EE"/>
    <w:rsid w:val="00B659AB"/>
    <w:rsid w:val="00B65C53"/>
    <w:rsid w:val="00B65ED2"/>
    <w:rsid w:val="00B66080"/>
    <w:rsid w:val="00B665E5"/>
    <w:rsid w:val="00B668CC"/>
    <w:rsid w:val="00B66A06"/>
    <w:rsid w:val="00B66DAB"/>
    <w:rsid w:val="00B67080"/>
    <w:rsid w:val="00B67169"/>
    <w:rsid w:val="00B67558"/>
    <w:rsid w:val="00B6763B"/>
    <w:rsid w:val="00B677C4"/>
    <w:rsid w:val="00B67C1D"/>
    <w:rsid w:val="00B67D57"/>
    <w:rsid w:val="00B67DB8"/>
    <w:rsid w:val="00B67E6B"/>
    <w:rsid w:val="00B67F94"/>
    <w:rsid w:val="00B67FBA"/>
    <w:rsid w:val="00B700E2"/>
    <w:rsid w:val="00B7045B"/>
    <w:rsid w:val="00B70659"/>
    <w:rsid w:val="00B70794"/>
    <w:rsid w:val="00B70D8D"/>
    <w:rsid w:val="00B70F33"/>
    <w:rsid w:val="00B712BE"/>
    <w:rsid w:val="00B71334"/>
    <w:rsid w:val="00B716AE"/>
    <w:rsid w:val="00B71737"/>
    <w:rsid w:val="00B717CD"/>
    <w:rsid w:val="00B71897"/>
    <w:rsid w:val="00B71C9C"/>
    <w:rsid w:val="00B71D58"/>
    <w:rsid w:val="00B71FBF"/>
    <w:rsid w:val="00B724B8"/>
    <w:rsid w:val="00B7255D"/>
    <w:rsid w:val="00B7285F"/>
    <w:rsid w:val="00B73140"/>
    <w:rsid w:val="00B73186"/>
    <w:rsid w:val="00B73797"/>
    <w:rsid w:val="00B73822"/>
    <w:rsid w:val="00B73C86"/>
    <w:rsid w:val="00B73FEE"/>
    <w:rsid w:val="00B744AE"/>
    <w:rsid w:val="00B74905"/>
    <w:rsid w:val="00B74A4A"/>
    <w:rsid w:val="00B74ACB"/>
    <w:rsid w:val="00B74D1B"/>
    <w:rsid w:val="00B75234"/>
    <w:rsid w:val="00B75381"/>
    <w:rsid w:val="00B75574"/>
    <w:rsid w:val="00B755EA"/>
    <w:rsid w:val="00B75628"/>
    <w:rsid w:val="00B75B1A"/>
    <w:rsid w:val="00B75BDF"/>
    <w:rsid w:val="00B75CAB"/>
    <w:rsid w:val="00B75ED2"/>
    <w:rsid w:val="00B76207"/>
    <w:rsid w:val="00B7635B"/>
    <w:rsid w:val="00B7636D"/>
    <w:rsid w:val="00B763F3"/>
    <w:rsid w:val="00B7661F"/>
    <w:rsid w:val="00B76BC4"/>
    <w:rsid w:val="00B76C05"/>
    <w:rsid w:val="00B76CF9"/>
    <w:rsid w:val="00B76FF8"/>
    <w:rsid w:val="00B7700D"/>
    <w:rsid w:val="00B77042"/>
    <w:rsid w:val="00B77127"/>
    <w:rsid w:val="00B77538"/>
    <w:rsid w:val="00B7766B"/>
    <w:rsid w:val="00B77DA8"/>
    <w:rsid w:val="00B802B4"/>
    <w:rsid w:val="00B804BD"/>
    <w:rsid w:val="00B8074C"/>
    <w:rsid w:val="00B808F9"/>
    <w:rsid w:val="00B80AEC"/>
    <w:rsid w:val="00B80AF7"/>
    <w:rsid w:val="00B80B32"/>
    <w:rsid w:val="00B80C64"/>
    <w:rsid w:val="00B81068"/>
    <w:rsid w:val="00B81440"/>
    <w:rsid w:val="00B814EC"/>
    <w:rsid w:val="00B815E4"/>
    <w:rsid w:val="00B818B3"/>
    <w:rsid w:val="00B81E88"/>
    <w:rsid w:val="00B81F85"/>
    <w:rsid w:val="00B8208F"/>
    <w:rsid w:val="00B820C7"/>
    <w:rsid w:val="00B821B4"/>
    <w:rsid w:val="00B8255A"/>
    <w:rsid w:val="00B82946"/>
    <w:rsid w:val="00B82C52"/>
    <w:rsid w:val="00B83147"/>
    <w:rsid w:val="00B83294"/>
    <w:rsid w:val="00B833A4"/>
    <w:rsid w:val="00B8359D"/>
    <w:rsid w:val="00B83912"/>
    <w:rsid w:val="00B8395F"/>
    <w:rsid w:val="00B83A63"/>
    <w:rsid w:val="00B83B35"/>
    <w:rsid w:val="00B83B6A"/>
    <w:rsid w:val="00B848C0"/>
    <w:rsid w:val="00B849D9"/>
    <w:rsid w:val="00B84D90"/>
    <w:rsid w:val="00B84F27"/>
    <w:rsid w:val="00B84F49"/>
    <w:rsid w:val="00B8504E"/>
    <w:rsid w:val="00B850DA"/>
    <w:rsid w:val="00B85612"/>
    <w:rsid w:val="00B857A7"/>
    <w:rsid w:val="00B858A0"/>
    <w:rsid w:val="00B85DC3"/>
    <w:rsid w:val="00B85DCB"/>
    <w:rsid w:val="00B85E90"/>
    <w:rsid w:val="00B861C7"/>
    <w:rsid w:val="00B863B2"/>
    <w:rsid w:val="00B86A95"/>
    <w:rsid w:val="00B86AFB"/>
    <w:rsid w:val="00B86C7A"/>
    <w:rsid w:val="00B86DFD"/>
    <w:rsid w:val="00B87016"/>
    <w:rsid w:val="00B870FC"/>
    <w:rsid w:val="00B8712D"/>
    <w:rsid w:val="00B87234"/>
    <w:rsid w:val="00B87245"/>
    <w:rsid w:val="00B8744B"/>
    <w:rsid w:val="00B87519"/>
    <w:rsid w:val="00B87BB6"/>
    <w:rsid w:val="00B87C7E"/>
    <w:rsid w:val="00B87CC4"/>
    <w:rsid w:val="00B9017C"/>
    <w:rsid w:val="00B90241"/>
    <w:rsid w:val="00B9048A"/>
    <w:rsid w:val="00B904E7"/>
    <w:rsid w:val="00B90544"/>
    <w:rsid w:val="00B909B0"/>
    <w:rsid w:val="00B90A6E"/>
    <w:rsid w:val="00B90C45"/>
    <w:rsid w:val="00B90C90"/>
    <w:rsid w:val="00B90CE6"/>
    <w:rsid w:val="00B9154B"/>
    <w:rsid w:val="00B91C18"/>
    <w:rsid w:val="00B9220E"/>
    <w:rsid w:val="00B922AD"/>
    <w:rsid w:val="00B92407"/>
    <w:rsid w:val="00B92CC7"/>
    <w:rsid w:val="00B92FD3"/>
    <w:rsid w:val="00B937A6"/>
    <w:rsid w:val="00B93D77"/>
    <w:rsid w:val="00B94355"/>
    <w:rsid w:val="00B944C2"/>
    <w:rsid w:val="00B94637"/>
    <w:rsid w:val="00B94748"/>
    <w:rsid w:val="00B94923"/>
    <w:rsid w:val="00B94AB8"/>
    <w:rsid w:val="00B94B73"/>
    <w:rsid w:val="00B9528C"/>
    <w:rsid w:val="00B9538A"/>
    <w:rsid w:val="00B95C02"/>
    <w:rsid w:val="00B95D99"/>
    <w:rsid w:val="00B960D1"/>
    <w:rsid w:val="00B9671B"/>
    <w:rsid w:val="00B96723"/>
    <w:rsid w:val="00B96756"/>
    <w:rsid w:val="00B96882"/>
    <w:rsid w:val="00B96F1A"/>
    <w:rsid w:val="00B97085"/>
    <w:rsid w:val="00B976CE"/>
    <w:rsid w:val="00B97C3A"/>
    <w:rsid w:val="00B97FF8"/>
    <w:rsid w:val="00BA02DA"/>
    <w:rsid w:val="00BA074C"/>
    <w:rsid w:val="00BA0AFE"/>
    <w:rsid w:val="00BA0BC9"/>
    <w:rsid w:val="00BA0E5C"/>
    <w:rsid w:val="00BA15DA"/>
    <w:rsid w:val="00BA1680"/>
    <w:rsid w:val="00BA1862"/>
    <w:rsid w:val="00BA1DFD"/>
    <w:rsid w:val="00BA20D4"/>
    <w:rsid w:val="00BA24B5"/>
    <w:rsid w:val="00BA2662"/>
    <w:rsid w:val="00BA2D39"/>
    <w:rsid w:val="00BA3383"/>
    <w:rsid w:val="00BA3973"/>
    <w:rsid w:val="00BA3F47"/>
    <w:rsid w:val="00BA40FC"/>
    <w:rsid w:val="00BA4762"/>
    <w:rsid w:val="00BA49EC"/>
    <w:rsid w:val="00BA4C6B"/>
    <w:rsid w:val="00BA4EA3"/>
    <w:rsid w:val="00BA50C3"/>
    <w:rsid w:val="00BA5206"/>
    <w:rsid w:val="00BA5251"/>
    <w:rsid w:val="00BA537A"/>
    <w:rsid w:val="00BA54CE"/>
    <w:rsid w:val="00BA5A51"/>
    <w:rsid w:val="00BA5A52"/>
    <w:rsid w:val="00BA5D32"/>
    <w:rsid w:val="00BA5D41"/>
    <w:rsid w:val="00BA5E82"/>
    <w:rsid w:val="00BA628B"/>
    <w:rsid w:val="00BA6351"/>
    <w:rsid w:val="00BA63B2"/>
    <w:rsid w:val="00BA641B"/>
    <w:rsid w:val="00BA6556"/>
    <w:rsid w:val="00BA6869"/>
    <w:rsid w:val="00BA6B45"/>
    <w:rsid w:val="00BA6F5E"/>
    <w:rsid w:val="00BA749C"/>
    <w:rsid w:val="00BA75A7"/>
    <w:rsid w:val="00BA7B1B"/>
    <w:rsid w:val="00BB0064"/>
    <w:rsid w:val="00BB05A8"/>
    <w:rsid w:val="00BB06A6"/>
    <w:rsid w:val="00BB09EC"/>
    <w:rsid w:val="00BB0A75"/>
    <w:rsid w:val="00BB0BD5"/>
    <w:rsid w:val="00BB0C5C"/>
    <w:rsid w:val="00BB0D6F"/>
    <w:rsid w:val="00BB136D"/>
    <w:rsid w:val="00BB1658"/>
    <w:rsid w:val="00BB1A65"/>
    <w:rsid w:val="00BB1E41"/>
    <w:rsid w:val="00BB203B"/>
    <w:rsid w:val="00BB24EB"/>
    <w:rsid w:val="00BB2537"/>
    <w:rsid w:val="00BB2E56"/>
    <w:rsid w:val="00BB307B"/>
    <w:rsid w:val="00BB3139"/>
    <w:rsid w:val="00BB32E7"/>
    <w:rsid w:val="00BB3407"/>
    <w:rsid w:val="00BB373A"/>
    <w:rsid w:val="00BB3BA7"/>
    <w:rsid w:val="00BB3C5A"/>
    <w:rsid w:val="00BB3C97"/>
    <w:rsid w:val="00BB3E7B"/>
    <w:rsid w:val="00BB3E9F"/>
    <w:rsid w:val="00BB41B6"/>
    <w:rsid w:val="00BB4416"/>
    <w:rsid w:val="00BB46A8"/>
    <w:rsid w:val="00BB48E6"/>
    <w:rsid w:val="00BB5020"/>
    <w:rsid w:val="00BB51F5"/>
    <w:rsid w:val="00BB534C"/>
    <w:rsid w:val="00BB53EE"/>
    <w:rsid w:val="00BB54CB"/>
    <w:rsid w:val="00BB55F7"/>
    <w:rsid w:val="00BB569E"/>
    <w:rsid w:val="00BB5870"/>
    <w:rsid w:val="00BB5AA8"/>
    <w:rsid w:val="00BB5E85"/>
    <w:rsid w:val="00BB5EF7"/>
    <w:rsid w:val="00BB5FFE"/>
    <w:rsid w:val="00BB60BF"/>
    <w:rsid w:val="00BB6225"/>
    <w:rsid w:val="00BB646B"/>
    <w:rsid w:val="00BB686F"/>
    <w:rsid w:val="00BB6ABA"/>
    <w:rsid w:val="00BB6D03"/>
    <w:rsid w:val="00BB70D1"/>
    <w:rsid w:val="00BB7235"/>
    <w:rsid w:val="00BB74A6"/>
    <w:rsid w:val="00BB760C"/>
    <w:rsid w:val="00BB76EE"/>
    <w:rsid w:val="00BB794B"/>
    <w:rsid w:val="00BB7D57"/>
    <w:rsid w:val="00BB7DF0"/>
    <w:rsid w:val="00BC0131"/>
    <w:rsid w:val="00BC026F"/>
    <w:rsid w:val="00BC0461"/>
    <w:rsid w:val="00BC04F9"/>
    <w:rsid w:val="00BC0CCE"/>
    <w:rsid w:val="00BC13F3"/>
    <w:rsid w:val="00BC140E"/>
    <w:rsid w:val="00BC1422"/>
    <w:rsid w:val="00BC1909"/>
    <w:rsid w:val="00BC1FB4"/>
    <w:rsid w:val="00BC2070"/>
    <w:rsid w:val="00BC236B"/>
    <w:rsid w:val="00BC2500"/>
    <w:rsid w:val="00BC2710"/>
    <w:rsid w:val="00BC28C8"/>
    <w:rsid w:val="00BC2915"/>
    <w:rsid w:val="00BC2D66"/>
    <w:rsid w:val="00BC2DD5"/>
    <w:rsid w:val="00BC2E8A"/>
    <w:rsid w:val="00BC321A"/>
    <w:rsid w:val="00BC3335"/>
    <w:rsid w:val="00BC33E6"/>
    <w:rsid w:val="00BC358E"/>
    <w:rsid w:val="00BC3DC7"/>
    <w:rsid w:val="00BC4019"/>
    <w:rsid w:val="00BC4163"/>
    <w:rsid w:val="00BC4230"/>
    <w:rsid w:val="00BC4320"/>
    <w:rsid w:val="00BC46FA"/>
    <w:rsid w:val="00BC47FA"/>
    <w:rsid w:val="00BC48FF"/>
    <w:rsid w:val="00BC4981"/>
    <w:rsid w:val="00BC4B77"/>
    <w:rsid w:val="00BC4CA2"/>
    <w:rsid w:val="00BC504C"/>
    <w:rsid w:val="00BC5127"/>
    <w:rsid w:val="00BC512E"/>
    <w:rsid w:val="00BC5593"/>
    <w:rsid w:val="00BC58E2"/>
    <w:rsid w:val="00BC5DFF"/>
    <w:rsid w:val="00BC5E38"/>
    <w:rsid w:val="00BC6054"/>
    <w:rsid w:val="00BC60D6"/>
    <w:rsid w:val="00BC62F7"/>
    <w:rsid w:val="00BC69AE"/>
    <w:rsid w:val="00BC74FC"/>
    <w:rsid w:val="00BC7611"/>
    <w:rsid w:val="00BC7DA2"/>
    <w:rsid w:val="00BD0002"/>
    <w:rsid w:val="00BD0373"/>
    <w:rsid w:val="00BD0375"/>
    <w:rsid w:val="00BD03FF"/>
    <w:rsid w:val="00BD04C7"/>
    <w:rsid w:val="00BD06EE"/>
    <w:rsid w:val="00BD07BF"/>
    <w:rsid w:val="00BD07CC"/>
    <w:rsid w:val="00BD09CA"/>
    <w:rsid w:val="00BD0D80"/>
    <w:rsid w:val="00BD0F08"/>
    <w:rsid w:val="00BD1587"/>
    <w:rsid w:val="00BD18CF"/>
    <w:rsid w:val="00BD1B14"/>
    <w:rsid w:val="00BD1D9E"/>
    <w:rsid w:val="00BD1EBC"/>
    <w:rsid w:val="00BD200E"/>
    <w:rsid w:val="00BD248D"/>
    <w:rsid w:val="00BD2496"/>
    <w:rsid w:val="00BD2529"/>
    <w:rsid w:val="00BD25AD"/>
    <w:rsid w:val="00BD28D3"/>
    <w:rsid w:val="00BD2DEC"/>
    <w:rsid w:val="00BD2E06"/>
    <w:rsid w:val="00BD2F68"/>
    <w:rsid w:val="00BD2FE9"/>
    <w:rsid w:val="00BD375D"/>
    <w:rsid w:val="00BD4042"/>
    <w:rsid w:val="00BD41B7"/>
    <w:rsid w:val="00BD4616"/>
    <w:rsid w:val="00BD46DB"/>
    <w:rsid w:val="00BD4A18"/>
    <w:rsid w:val="00BD4A60"/>
    <w:rsid w:val="00BD4CD5"/>
    <w:rsid w:val="00BD56D9"/>
    <w:rsid w:val="00BD58DC"/>
    <w:rsid w:val="00BD5CE4"/>
    <w:rsid w:val="00BD5F12"/>
    <w:rsid w:val="00BD60A3"/>
    <w:rsid w:val="00BD64C7"/>
    <w:rsid w:val="00BD6522"/>
    <w:rsid w:val="00BD69BE"/>
    <w:rsid w:val="00BD6D36"/>
    <w:rsid w:val="00BD7624"/>
    <w:rsid w:val="00BD7720"/>
    <w:rsid w:val="00BD779E"/>
    <w:rsid w:val="00BD77A1"/>
    <w:rsid w:val="00BD7B65"/>
    <w:rsid w:val="00BD7DED"/>
    <w:rsid w:val="00BD7F9E"/>
    <w:rsid w:val="00BE0DB7"/>
    <w:rsid w:val="00BE1030"/>
    <w:rsid w:val="00BE104F"/>
    <w:rsid w:val="00BE192B"/>
    <w:rsid w:val="00BE199B"/>
    <w:rsid w:val="00BE1FCE"/>
    <w:rsid w:val="00BE22D5"/>
    <w:rsid w:val="00BE230A"/>
    <w:rsid w:val="00BE2361"/>
    <w:rsid w:val="00BE25EF"/>
    <w:rsid w:val="00BE2700"/>
    <w:rsid w:val="00BE29B2"/>
    <w:rsid w:val="00BE2D46"/>
    <w:rsid w:val="00BE3845"/>
    <w:rsid w:val="00BE3D2C"/>
    <w:rsid w:val="00BE3E39"/>
    <w:rsid w:val="00BE40B5"/>
    <w:rsid w:val="00BE40CA"/>
    <w:rsid w:val="00BE419B"/>
    <w:rsid w:val="00BE471D"/>
    <w:rsid w:val="00BE4742"/>
    <w:rsid w:val="00BE4B99"/>
    <w:rsid w:val="00BE4CA8"/>
    <w:rsid w:val="00BE4F35"/>
    <w:rsid w:val="00BE50D6"/>
    <w:rsid w:val="00BE54D3"/>
    <w:rsid w:val="00BE5588"/>
    <w:rsid w:val="00BE5601"/>
    <w:rsid w:val="00BE57A5"/>
    <w:rsid w:val="00BE5FDF"/>
    <w:rsid w:val="00BE63E9"/>
    <w:rsid w:val="00BE66DF"/>
    <w:rsid w:val="00BE6759"/>
    <w:rsid w:val="00BE6805"/>
    <w:rsid w:val="00BE71A2"/>
    <w:rsid w:val="00BE7381"/>
    <w:rsid w:val="00BE75CA"/>
    <w:rsid w:val="00BE7966"/>
    <w:rsid w:val="00BE7A3C"/>
    <w:rsid w:val="00BE7AB9"/>
    <w:rsid w:val="00BE7AE6"/>
    <w:rsid w:val="00BE7BB7"/>
    <w:rsid w:val="00BE7CE4"/>
    <w:rsid w:val="00BE7DB2"/>
    <w:rsid w:val="00BE7F95"/>
    <w:rsid w:val="00BF03D0"/>
    <w:rsid w:val="00BF05DE"/>
    <w:rsid w:val="00BF05F6"/>
    <w:rsid w:val="00BF0956"/>
    <w:rsid w:val="00BF0AC6"/>
    <w:rsid w:val="00BF0C14"/>
    <w:rsid w:val="00BF0E9C"/>
    <w:rsid w:val="00BF11D0"/>
    <w:rsid w:val="00BF18DD"/>
    <w:rsid w:val="00BF1AB7"/>
    <w:rsid w:val="00BF2172"/>
    <w:rsid w:val="00BF2957"/>
    <w:rsid w:val="00BF2B43"/>
    <w:rsid w:val="00BF2BB8"/>
    <w:rsid w:val="00BF2D2B"/>
    <w:rsid w:val="00BF2E5E"/>
    <w:rsid w:val="00BF2ED0"/>
    <w:rsid w:val="00BF32F5"/>
    <w:rsid w:val="00BF3307"/>
    <w:rsid w:val="00BF3390"/>
    <w:rsid w:val="00BF3800"/>
    <w:rsid w:val="00BF3925"/>
    <w:rsid w:val="00BF3D4C"/>
    <w:rsid w:val="00BF3DC0"/>
    <w:rsid w:val="00BF3E1A"/>
    <w:rsid w:val="00BF3FE3"/>
    <w:rsid w:val="00BF43E6"/>
    <w:rsid w:val="00BF4510"/>
    <w:rsid w:val="00BF45AF"/>
    <w:rsid w:val="00BF488D"/>
    <w:rsid w:val="00BF49AC"/>
    <w:rsid w:val="00BF4A54"/>
    <w:rsid w:val="00BF4DB9"/>
    <w:rsid w:val="00BF4EB6"/>
    <w:rsid w:val="00BF4F46"/>
    <w:rsid w:val="00BF5017"/>
    <w:rsid w:val="00BF50D0"/>
    <w:rsid w:val="00BF5376"/>
    <w:rsid w:val="00BF57B5"/>
    <w:rsid w:val="00BF57F1"/>
    <w:rsid w:val="00BF5832"/>
    <w:rsid w:val="00BF58AA"/>
    <w:rsid w:val="00BF5E12"/>
    <w:rsid w:val="00BF6009"/>
    <w:rsid w:val="00BF63B8"/>
    <w:rsid w:val="00BF641C"/>
    <w:rsid w:val="00BF643A"/>
    <w:rsid w:val="00BF65D6"/>
    <w:rsid w:val="00BF65EE"/>
    <w:rsid w:val="00BF69C7"/>
    <w:rsid w:val="00BF6E9C"/>
    <w:rsid w:val="00BF70E7"/>
    <w:rsid w:val="00BF76F3"/>
    <w:rsid w:val="00BF77B8"/>
    <w:rsid w:val="00BF7945"/>
    <w:rsid w:val="00BF7BE7"/>
    <w:rsid w:val="00BF7DDD"/>
    <w:rsid w:val="00C002E6"/>
    <w:rsid w:val="00C006DD"/>
    <w:rsid w:val="00C0072B"/>
    <w:rsid w:val="00C00AC6"/>
    <w:rsid w:val="00C01059"/>
    <w:rsid w:val="00C01124"/>
    <w:rsid w:val="00C0189C"/>
    <w:rsid w:val="00C01C88"/>
    <w:rsid w:val="00C01F27"/>
    <w:rsid w:val="00C01FDA"/>
    <w:rsid w:val="00C0211A"/>
    <w:rsid w:val="00C027B9"/>
    <w:rsid w:val="00C02A96"/>
    <w:rsid w:val="00C02B5F"/>
    <w:rsid w:val="00C0309B"/>
    <w:rsid w:val="00C036ED"/>
    <w:rsid w:val="00C03896"/>
    <w:rsid w:val="00C03B00"/>
    <w:rsid w:val="00C03BF3"/>
    <w:rsid w:val="00C03CD3"/>
    <w:rsid w:val="00C03EF9"/>
    <w:rsid w:val="00C03F06"/>
    <w:rsid w:val="00C040EF"/>
    <w:rsid w:val="00C04AEF"/>
    <w:rsid w:val="00C04C41"/>
    <w:rsid w:val="00C04E95"/>
    <w:rsid w:val="00C05408"/>
    <w:rsid w:val="00C054EB"/>
    <w:rsid w:val="00C0580C"/>
    <w:rsid w:val="00C058E9"/>
    <w:rsid w:val="00C063FE"/>
    <w:rsid w:val="00C069E8"/>
    <w:rsid w:val="00C06C3C"/>
    <w:rsid w:val="00C071D4"/>
    <w:rsid w:val="00C073D7"/>
    <w:rsid w:val="00C07743"/>
    <w:rsid w:val="00C07C01"/>
    <w:rsid w:val="00C07E7C"/>
    <w:rsid w:val="00C07FB8"/>
    <w:rsid w:val="00C10459"/>
    <w:rsid w:val="00C105F4"/>
    <w:rsid w:val="00C10686"/>
    <w:rsid w:val="00C1096F"/>
    <w:rsid w:val="00C10ECE"/>
    <w:rsid w:val="00C110ED"/>
    <w:rsid w:val="00C111E3"/>
    <w:rsid w:val="00C1130D"/>
    <w:rsid w:val="00C11855"/>
    <w:rsid w:val="00C11865"/>
    <w:rsid w:val="00C119EF"/>
    <w:rsid w:val="00C11ABD"/>
    <w:rsid w:val="00C11CC7"/>
    <w:rsid w:val="00C11CD1"/>
    <w:rsid w:val="00C11EF0"/>
    <w:rsid w:val="00C11F0C"/>
    <w:rsid w:val="00C1207D"/>
    <w:rsid w:val="00C122ED"/>
    <w:rsid w:val="00C1257B"/>
    <w:rsid w:val="00C1271F"/>
    <w:rsid w:val="00C127D3"/>
    <w:rsid w:val="00C12AA8"/>
    <w:rsid w:val="00C12ABD"/>
    <w:rsid w:val="00C133BB"/>
    <w:rsid w:val="00C134F1"/>
    <w:rsid w:val="00C1372E"/>
    <w:rsid w:val="00C13B77"/>
    <w:rsid w:val="00C14023"/>
    <w:rsid w:val="00C141BA"/>
    <w:rsid w:val="00C1464E"/>
    <w:rsid w:val="00C14744"/>
    <w:rsid w:val="00C14A63"/>
    <w:rsid w:val="00C14B64"/>
    <w:rsid w:val="00C14EB5"/>
    <w:rsid w:val="00C15009"/>
    <w:rsid w:val="00C1551F"/>
    <w:rsid w:val="00C15700"/>
    <w:rsid w:val="00C15918"/>
    <w:rsid w:val="00C15A6A"/>
    <w:rsid w:val="00C15CD3"/>
    <w:rsid w:val="00C15F3C"/>
    <w:rsid w:val="00C16095"/>
    <w:rsid w:val="00C160E1"/>
    <w:rsid w:val="00C1677F"/>
    <w:rsid w:val="00C167DB"/>
    <w:rsid w:val="00C16814"/>
    <w:rsid w:val="00C168B4"/>
    <w:rsid w:val="00C16921"/>
    <w:rsid w:val="00C16A1B"/>
    <w:rsid w:val="00C16ABD"/>
    <w:rsid w:val="00C16D2F"/>
    <w:rsid w:val="00C16ED3"/>
    <w:rsid w:val="00C16F8E"/>
    <w:rsid w:val="00C172B1"/>
    <w:rsid w:val="00C17391"/>
    <w:rsid w:val="00C17704"/>
    <w:rsid w:val="00C1775B"/>
    <w:rsid w:val="00C17BF8"/>
    <w:rsid w:val="00C17C30"/>
    <w:rsid w:val="00C17E02"/>
    <w:rsid w:val="00C20029"/>
    <w:rsid w:val="00C200E1"/>
    <w:rsid w:val="00C20142"/>
    <w:rsid w:val="00C20455"/>
    <w:rsid w:val="00C209FF"/>
    <w:rsid w:val="00C2121E"/>
    <w:rsid w:val="00C21287"/>
    <w:rsid w:val="00C21469"/>
    <w:rsid w:val="00C21564"/>
    <w:rsid w:val="00C21A07"/>
    <w:rsid w:val="00C21C67"/>
    <w:rsid w:val="00C2269A"/>
    <w:rsid w:val="00C22E75"/>
    <w:rsid w:val="00C22E78"/>
    <w:rsid w:val="00C22F85"/>
    <w:rsid w:val="00C237C5"/>
    <w:rsid w:val="00C238D7"/>
    <w:rsid w:val="00C2414D"/>
    <w:rsid w:val="00C249BB"/>
    <w:rsid w:val="00C24A3D"/>
    <w:rsid w:val="00C24A44"/>
    <w:rsid w:val="00C24BF4"/>
    <w:rsid w:val="00C24C6D"/>
    <w:rsid w:val="00C25517"/>
    <w:rsid w:val="00C25750"/>
    <w:rsid w:val="00C25751"/>
    <w:rsid w:val="00C25885"/>
    <w:rsid w:val="00C258F4"/>
    <w:rsid w:val="00C25944"/>
    <w:rsid w:val="00C25B78"/>
    <w:rsid w:val="00C25C48"/>
    <w:rsid w:val="00C26BC5"/>
    <w:rsid w:val="00C27413"/>
    <w:rsid w:val="00C27690"/>
    <w:rsid w:val="00C277EF"/>
    <w:rsid w:val="00C27A7C"/>
    <w:rsid w:val="00C27AA0"/>
    <w:rsid w:val="00C27B92"/>
    <w:rsid w:val="00C27B98"/>
    <w:rsid w:val="00C27C95"/>
    <w:rsid w:val="00C27D1A"/>
    <w:rsid w:val="00C27F40"/>
    <w:rsid w:val="00C27F77"/>
    <w:rsid w:val="00C27FF5"/>
    <w:rsid w:val="00C301CE"/>
    <w:rsid w:val="00C302D9"/>
    <w:rsid w:val="00C303BD"/>
    <w:rsid w:val="00C303EC"/>
    <w:rsid w:val="00C30947"/>
    <w:rsid w:val="00C30AF7"/>
    <w:rsid w:val="00C30BDA"/>
    <w:rsid w:val="00C30F1E"/>
    <w:rsid w:val="00C30F45"/>
    <w:rsid w:val="00C314A6"/>
    <w:rsid w:val="00C31C1D"/>
    <w:rsid w:val="00C31FB9"/>
    <w:rsid w:val="00C320CF"/>
    <w:rsid w:val="00C32440"/>
    <w:rsid w:val="00C32797"/>
    <w:rsid w:val="00C3294F"/>
    <w:rsid w:val="00C32C93"/>
    <w:rsid w:val="00C3336C"/>
    <w:rsid w:val="00C337D7"/>
    <w:rsid w:val="00C339A2"/>
    <w:rsid w:val="00C33FA2"/>
    <w:rsid w:val="00C343EF"/>
    <w:rsid w:val="00C346E6"/>
    <w:rsid w:val="00C34A47"/>
    <w:rsid w:val="00C34AA8"/>
    <w:rsid w:val="00C34BB8"/>
    <w:rsid w:val="00C34EE5"/>
    <w:rsid w:val="00C34FE4"/>
    <w:rsid w:val="00C3515F"/>
    <w:rsid w:val="00C352DB"/>
    <w:rsid w:val="00C353EF"/>
    <w:rsid w:val="00C35562"/>
    <w:rsid w:val="00C35E67"/>
    <w:rsid w:val="00C36483"/>
    <w:rsid w:val="00C365F8"/>
    <w:rsid w:val="00C3709B"/>
    <w:rsid w:val="00C37274"/>
    <w:rsid w:val="00C37747"/>
    <w:rsid w:val="00C37810"/>
    <w:rsid w:val="00C37E95"/>
    <w:rsid w:val="00C4038F"/>
    <w:rsid w:val="00C4071F"/>
    <w:rsid w:val="00C40AF8"/>
    <w:rsid w:val="00C40BD6"/>
    <w:rsid w:val="00C40EE7"/>
    <w:rsid w:val="00C4129C"/>
    <w:rsid w:val="00C416B6"/>
    <w:rsid w:val="00C41811"/>
    <w:rsid w:val="00C41E5D"/>
    <w:rsid w:val="00C41EF9"/>
    <w:rsid w:val="00C42430"/>
    <w:rsid w:val="00C425CD"/>
    <w:rsid w:val="00C42934"/>
    <w:rsid w:val="00C42B45"/>
    <w:rsid w:val="00C4342B"/>
    <w:rsid w:val="00C436D5"/>
    <w:rsid w:val="00C43A34"/>
    <w:rsid w:val="00C43E61"/>
    <w:rsid w:val="00C43FB5"/>
    <w:rsid w:val="00C441CA"/>
    <w:rsid w:val="00C44301"/>
    <w:rsid w:val="00C4481E"/>
    <w:rsid w:val="00C44A1B"/>
    <w:rsid w:val="00C44EFC"/>
    <w:rsid w:val="00C4507E"/>
    <w:rsid w:val="00C453D1"/>
    <w:rsid w:val="00C4592E"/>
    <w:rsid w:val="00C45A90"/>
    <w:rsid w:val="00C45A96"/>
    <w:rsid w:val="00C45B5E"/>
    <w:rsid w:val="00C45B9D"/>
    <w:rsid w:val="00C45BDC"/>
    <w:rsid w:val="00C45CD4"/>
    <w:rsid w:val="00C45CFE"/>
    <w:rsid w:val="00C46095"/>
    <w:rsid w:val="00C46347"/>
    <w:rsid w:val="00C4681F"/>
    <w:rsid w:val="00C4695C"/>
    <w:rsid w:val="00C46CAB"/>
    <w:rsid w:val="00C47469"/>
    <w:rsid w:val="00C47A4B"/>
    <w:rsid w:val="00C47E63"/>
    <w:rsid w:val="00C47F83"/>
    <w:rsid w:val="00C50029"/>
    <w:rsid w:val="00C50454"/>
    <w:rsid w:val="00C50713"/>
    <w:rsid w:val="00C511A6"/>
    <w:rsid w:val="00C512E7"/>
    <w:rsid w:val="00C51463"/>
    <w:rsid w:val="00C514F3"/>
    <w:rsid w:val="00C5157E"/>
    <w:rsid w:val="00C51587"/>
    <w:rsid w:val="00C51B13"/>
    <w:rsid w:val="00C51F8F"/>
    <w:rsid w:val="00C5257A"/>
    <w:rsid w:val="00C5296A"/>
    <w:rsid w:val="00C52C64"/>
    <w:rsid w:val="00C53236"/>
    <w:rsid w:val="00C532D2"/>
    <w:rsid w:val="00C534E8"/>
    <w:rsid w:val="00C53803"/>
    <w:rsid w:val="00C53F89"/>
    <w:rsid w:val="00C5448B"/>
    <w:rsid w:val="00C54733"/>
    <w:rsid w:val="00C54A88"/>
    <w:rsid w:val="00C54C3B"/>
    <w:rsid w:val="00C54DF2"/>
    <w:rsid w:val="00C54FAB"/>
    <w:rsid w:val="00C55A5D"/>
    <w:rsid w:val="00C55DAA"/>
    <w:rsid w:val="00C55EE4"/>
    <w:rsid w:val="00C56029"/>
    <w:rsid w:val="00C56180"/>
    <w:rsid w:val="00C56B0C"/>
    <w:rsid w:val="00C56E16"/>
    <w:rsid w:val="00C57104"/>
    <w:rsid w:val="00C57A0A"/>
    <w:rsid w:val="00C57F64"/>
    <w:rsid w:val="00C604BE"/>
    <w:rsid w:val="00C60578"/>
    <w:rsid w:val="00C60667"/>
    <w:rsid w:val="00C60680"/>
    <w:rsid w:val="00C609D1"/>
    <w:rsid w:val="00C60A47"/>
    <w:rsid w:val="00C60BC8"/>
    <w:rsid w:val="00C60D1D"/>
    <w:rsid w:val="00C60EE0"/>
    <w:rsid w:val="00C6184F"/>
    <w:rsid w:val="00C6188E"/>
    <w:rsid w:val="00C61B18"/>
    <w:rsid w:val="00C61BA9"/>
    <w:rsid w:val="00C61C10"/>
    <w:rsid w:val="00C61CDB"/>
    <w:rsid w:val="00C61D3A"/>
    <w:rsid w:val="00C61FD3"/>
    <w:rsid w:val="00C62108"/>
    <w:rsid w:val="00C62B13"/>
    <w:rsid w:val="00C62D4D"/>
    <w:rsid w:val="00C630D0"/>
    <w:rsid w:val="00C63145"/>
    <w:rsid w:val="00C635CA"/>
    <w:rsid w:val="00C638D1"/>
    <w:rsid w:val="00C63A0E"/>
    <w:rsid w:val="00C63B6B"/>
    <w:rsid w:val="00C6425D"/>
    <w:rsid w:val="00C644A2"/>
    <w:rsid w:val="00C644D9"/>
    <w:rsid w:val="00C64536"/>
    <w:rsid w:val="00C6462C"/>
    <w:rsid w:val="00C6470B"/>
    <w:rsid w:val="00C64A3A"/>
    <w:rsid w:val="00C64CF8"/>
    <w:rsid w:val="00C65B84"/>
    <w:rsid w:val="00C65F47"/>
    <w:rsid w:val="00C65FFD"/>
    <w:rsid w:val="00C6625A"/>
    <w:rsid w:val="00C663D3"/>
    <w:rsid w:val="00C66713"/>
    <w:rsid w:val="00C66B2B"/>
    <w:rsid w:val="00C66B97"/>
    <w:rsid w:val="00C66F8B"/>
    <w:rsid w:val="00C670CE"/>
    <w:rsid w:val="00C6723C"/>
    <w:rsid w:val="00C676ED"/>
    <w:rsid w:val="00C67AC4"/>
    <w:rsid w:val="00C67B62"/>
    <w:rsid w:val="00C67C86"/>
    <w:rsid w:val="00C67CA4"/>
    <w:rsid w:val="00C67D68"/>
    <w:rsid w:val="00C67ECB"/>
    <w:rsid w:val="00C67F07"/>
    <w:rsid w:val="00C700EC"/>
    <w:rsid w:val="00C70314"/>
    <w:rsid w:val="00C70995"/>
    <w:rsid w:val="00C70DDB"/>
    <w:rsid w:val="00C70E11"/>
    <w:rsid w:val="00C70F1B"/>
    <w:rsid w:val="00C7224C"/>
    <w:rsid w:val="00C7289F"/>
    <w:rsid w:val="00C729E4"/>
    <w:rsid w:val="00C72C0F"/>
    <w:rsid w:val="00C72C66"/>
    <w:rsid w:val="00C72D0C"/>
    <w:rsid w:val="00C72DFD"/>
    <w:rsid w:val="00C730ED"/>
    <w:rsid w:val="00C732DA"/>
    <w:rsid w:val="00C7385F"/>
    <w:rsid w:val="00C73E0F"/>
    <w:rsid w:val="00C73F84"/>
    <w:rsid w:val="00C7402A"/>
    <w:rsid w:val="00C7433A"/>
    <w:rsid w:val="00C7433E"/>
    <w:rsid w:val="00C743BD"/>
    <w:rsid w:val="00C744BE"/>
    <w:rsid w:val="00C7452E"/>
    <w:rsid w:val="00C7474C"/>
    <w:rsid w:val="00C74AF9"/>
    <w:rsid w:val="00C74FCE"/>
    <w:rsid w:val="00C75107"/>
    <w:rsid w:val="00C752ED"/>
    <w:rsid w:val="00C7584F"/>
    <w:rsid w:val="00C75FA0"/>
    <w:rsid w:val="00C75FFA"/>
    <w:rsid w:val="00C764E4"/>
    <w:rsid w:val="00C765A9"/>
    <w:rsid w:val="00C7664E"/>
    <w:rsid w:val="00C76A8C"/>
    <w:rsid w:val="00C76DB9"/>
    <w:rsid w:val="00C76FDC"/>
    <w:rsid w:val="00C7720E"/>
    <w:rsid w:val="00C774B3"/>
    <w:rsid w:val="00C77788"/>
    <w:rsid w:val="00C779EE"/>
    <w:rsid w:val="00C80524"/>
    <w:rsid w:val="00C806B0"/>
    <w:rsid w:val="00C80B6E"/>
    <w:rsid w:val="00C80BD7"/>
    <w:rsid w:val="00C80D4C"/>
    <w:rsid w:val="00C80F49"/>
    <w:rsid w:val="00C80F53"/>
    <w:rsid w:val="00C81222"/>
    <w:rsid w:val="00C8127E"/>
    <w:rsid w:val="00C8135E"/>
    <w:rsid w:val="00C81762"/>
    <w:rsid w:val="00C81BE9"/>
    <w:rsid w:val="00C81D57"/>
    <w:rsid w:val="00C81EEF"/>
    <w:rsid w:val="00C82554"/>
    <w:rsid w:val="00C82569"/>
    <w:rsid w:val="00C826AA"/>
    <w:rsid w:val="00C828A3"/>
    <w:rsid w:val="00C82986"/>
    <w:rsid w:val="00C82A22"/>
    <w:rsid w:val="00C8312F"/>
    <w:rsid w:val="00C8347E"/>
    <w:rsid w:val="00C83815"/>
    <w:rsid w:val="00C84690"/>
    <w:rsid w:val="00C84FE4"/>
    <w:rsid w:val="00C85204"/>
    <w:rsid w:val="00C853E4"/>
    <w:rsid w:val="00C85648"/>
    <w:rsid w:val="00C85E91"/>
    <w:rsid w:val="00C86027"/>
    <w:rsid w:val="00C86045"/>
    <w:rsid w:val="00C86A75"/>
    <w:rsid w:val="00C86C70"/>
    <w:rsid w:val="00C86D44"/>
    <w:rsid w:val="00C86FFA"/>
    <w:rsid w:val="00C875ED"/>
    <w:rsid w:val="00C878EF"/>
    <w:rsid w:val="00C87E2A"/>
    <w:rsid w:val="00C9012F"/>
    <w:rsid w:val="00C90457"/>
    <w:rsid w:val="00C90976"/>
    <w:rsid w:val="00C90C26"/>
    <w:rsid w:val="00C9123E"/>
    <w:rsid w:val="00C912A0"/>
    <w:rsid w:val="00C9163B"/>
    <w:rsid w:val="00C916F4"/>
    <w:rsid w:val="00C91790"/>
    <w:rsid w:val="00C917A0"/>
    <w:rsid w:val="00C91918"/>
    <w:rsid w:val="00C91AA1"/>
    <w:rsid w:val="00C91C26"/>
    <w:rsid w:val="00C9202B"/>
    <w:rsid w:val="00C92325"/>
    <w:rsid w:val="00C92837"/>
    <w:rsid w:val="00C92CCC"/>
    <w:rsid w:val="00C931FA"/>
    <w:rsid w:val="00C936E2"/>
    <w:rsid w:val="00C93B04"/>
    <w:rsid w:val="00C93BD2"/>
    <w:rsid w:val="00C93C06"/>
    <w:rsid w:val="00C93EF8"/>
    <w:rsid w:val="00C9401A"/>
    <w:rsid w:val="00C94241"/>
    <w:rsid w:val="00C942F7"/>
    <w:rsid w:val="00C9431E"/>
    <w:rsid w:val="00C9437E"/>
    <w:rsid w:val="00C94606"/>
    <w:rsid w:val="00C9475D"/>
    <w:rsid w:val="00C94BDE"/>
    <w:rsid w:val="00C9500B"/>
    <w:rsid w:val="00C9503F"/>
    <w:rsid w:val="00C95104"/>
    <w:rsid w:val="00C951F3"/>
    <w:rsid w:val="00C952DA"/>
    <w:rsid w:val="00C95441"/>
    <w:rsid w:val="00C955BA"/>
    <w:rsid w:val="00C955C7"/>
    <w:rsid w:val="00C9560E"/>
    <w:rsid w:val="00C95704"/>
    <w:rsid w:val="00C95B83"/>
    <w:rsid w:val="00C95E19"/>
    <w:rsid w:val="00C960F6"/>
    <w:rsid w:val="00C9653E"/>
    <w:rsid w:val="00C96937"/>
    <w:rsid w:val="00C96C69"/>
    <w:rsid w:val="00C96D63"/>
    <w:rsid w:val="00C96E20"/>
    <w:rsid w:val="00C972AB"/>
    <w:rsid w:val="00C9797F"/>
    <w:rsid w:val="00C97B5D"/>
    <w:rsid w:val="00CA027C"/>
    <w:rsid w:val="00CA0A69"/>
    <w:rsid w:val="00CA0CF6"/>
    <w:rsid w:val="00CA1151"/>
    <w:rsid w:val="00CA11BE"/>
    <w:rsid w:val="00CA12A7"/>
    <w:rsid w:val="00CA13E0"/>
    <w:rsid w:val="00CA16AC"/>
    <w:rsid w:val="00CA1719"/>
    <w:rsid w:val="00CA181A"/>
    <w:rsid w:val="00CA198E"/>
    <w:rsid w:val="00CA1C93"/>
    <w:rsid w:val="00CA288E"/>
    <w:rsid w:val="00CA2981"/>
    <w:rsid w:val="00CA2B76"/>
    <w:rsid w:val="00CA300E"/>
    <w:rsid w:val="00CA347A"/>
    <w:rsid w:val="00CA3486"/>
    <w:rsid w:val="00CA388B"/>
    <w:rsid w:val="00CA3914"/>
    <w:rsid w:val="00CA39DE"/>
    <w:rsid w:val="00CA3B94"/>
    <w:rsid w:val="00CA3C84"/>
    <w:rsid w:val="00CA3C92"/>
    <w:rsid w:val="00CA4100"/>
    <w:rsid w:val="00CA419F"/>
    <w:rsid w:val="00CA4235"/>
    <w:rsid w:val="00CA4920"/>
    <w:rsid w:val="00CA4D53"/>
    <w:rsid w:val="00CA4E3D"/>
    <w:rsid w:val="00CA4F54"/>
    <w:rsid w:val="00CA51F1"/>
    <w:rsid w:val="00CA53AE"/>
    <w:rsid w:val="00CA574B"/>
    <w:rsid w:val="00CA5973"/>
    <w:rsid w:val="00CA5D45"/>
    <w:rsid w:val="00CA5E50"/>
    <w:rsid w:val="00CA60AE"/>
    <w:rsid w:val="00CA62D6"/>
    <w:rsid w:val="00CA6323"/>
    <w:rsid w:val="00CA652C"/>
    <w:rsid w:val="00CA68AA"/>
    <w:rsid w:val="00CA694F"/>
    <w:rsid w:val="00CA715B"/>
    <w:rsid w:val="00CA71AB"/>
    <w:rsid w:val="00CA7A54"/>
    <w:rsid w:val="00CA7E43"/>
    <w:rsid w:val="00CB05BC"/>
    <w:rsid w:val="00CB061C"/>
    <w:rsid w:val="00CB06D3"/>
    <w:rsid w:val="00CB0C0B"/>
    <w:rsid w:val="00CB1577"/>
    <w:rsid w:val="00CB1635"/>
    <w:rsid w:val="00CB1682"/>
    <w:rsid w:val="00CB17E0"/>
    <w:rsid w:val="00CB1C7E"/>
    <w:rsid w:val="00CB2148"/>
    <w:rsid w:val="00CB21BF"/>
    <w:rsid w:val="00CB24CE"/>
    <w:rsid w:val="00CB2561"/>
    <w:rsid w:val="00CB25A4"/>
    <w:rsid w:val="00CB26BB"/>
    <w:rsid w:val="00CB27DD"/>
    <w:rsid w:val="00CB27E3"/>
    <w:rsid w:val="00CB28FC"/>
    <w:rsid w:val="00CB290B"/>
    <w:rsid w:val="00CB2D0B"/>
    <w:rsid w:val="00CB2DA5"/>
    <w:rsid w:val="00CB2F27"/>
    <w:rsid w:val="00CB338A"/>
    <w:rsid w:val="00CB33F2"/>
    <w:rsid w:val="00CB3838"/>
    <w:rsid w:val="00CB3929"/>
    <w:rsid w:val="00CB3A54"/>
    <w:rsid w:val="00CB3CB9"/>
    <w:rsid w:val="00CB428D"/>
    <w:rsid w:val="00CB469C"/>
    <w:rsid w:val="00CB4C1D"/>
    <w:rsid w:val="00CB4FF5"/>
    <w:rsid w:val="00CB50A1"/>
    <w:rsid w:val="00CB5214"/>
    <w:rsid w:val="00CB59FF"/>
    <w:rsid w:val="00CB5A8A"/>
    <w:rsid w:val="00CB5AA4"/>
    <w:rsid w:val="00CB5F13"/>
    <w:rsid w:val="00CB5F1F"/>
    <w:rsid w:val="00CB60CF"/>
    <w:rsid w:val="00CB6124"/>
    <w:rsid w:val="00CB614E"/>
    <w:rsid w:val="00CB6732"/>
    <w:rsid w:val="00CB694C"/>
    <w:rsid w:val="00CB6DEE"/>
    <w:rsid w:val="00CB73D8"/>
    <w:rsid w:val="00CB74C5"/>
    <w:rsid w:val="00CB7765"/>
    <w:rsid w:val="00CB78EB"/>
    <w:rsid w:val="00CB7B7A"/>
    <w:rsid w:val="00CB7BEB"/>
    <w:rsid w:val="00CB7D3A"/>
    <w:rsid w:val="00CB7EB1"/>
    <w:rsid w:val="00CB7F8B"/>
    <w:rsid w:val="00CB7FC9"/>
    <w:rsid w:val="00CC01D3"/>
    <w:rsid w:val="00CC0873"/>
    <w:rsid w:val="00CC09C9"/>
    <w:rsid w:val="00CC0A24"/>
    <w:rsid w:val="00CC0A62"/>
    <w:rsid w:val="00CC0AFA"/>
    <w:rsid w:val="00CC1172"/>
    <w:rsid w:val="00CC11AB"/>
    <w:rsid w:val="00CC1223"/>
    <w:rsid w:val="00CC1458"/>
    <w:rsid w:val="00CC19D4"/>
    <w:rsid w:val="00CC1AA8"/>
    <w:rsid w:val="00CC2491"/>
    <w:rsid w:val="00CC255D"/>
    <w:rsid w:val="00CC29A2"/>
    <w:rsid w:val="00CC30B2"/>
    <w:rsid w:val="00CC31BC"/>
    <w:rsid w:val="00CC321E"/>
    <w:rsid w:val="00CC350C"/>
    <w:rsid w:val="00CC360D"/>
    <w:rsid w:val="00CC36A4"/>
    <w:rsid w:val="00CC38F3"/>
    <w:rsid w:val="00CC3FA0"/>
    <w:rsid w:val="00CC4064"/>
    <w:rsid w:val="00CC41D3"/>
    <w:rsid w:val="00CC4341"/>
    <w:rsid w:val="00CC465F"/>
    <w:rsid w:val="00CC46ED"/>
    <w:rsid w:val="00CC496F"/>
    <w:rsid w:val="00CC4F2E"/>
    <w:rsid w:val="00CC534D"/>
    <w:rsid w:val="00CC54D9"/>
    <w:rsid w:val="00CC568C"/>
    <w:rsid w:val="00CC579D"/>
    <w:rsid w:val="00CC5A13"/>
    <w:rsid w:val="00CC5E7F"/>
    <w:rsid w:val="00CC5E93"/>
    <w:rsid w:val="00CC5FEB"/>
    <w:rsid w:val="00CC6064"/>
    <w:rsid w:val="00CC6146"/>
    <w:rsid w:val="00CC6209"/>
    <w:rsid w:val="00CC63EA"/>
    <w:rsid w:val="00CC679C"/>
    <w:rsid w:val="00CC6A7B"/>
    <w:rsid w:val="00CC6F19"/>
    <w:rsid w:val="00CC71A3"/>
    <w:rsid w:val="00CC7367"/>
    <w:rsid w:val="00CC7A7C"/>
    <w:rsid w:val="00CC7E88"/>
    <w:rsid w:val="00CC7F3A"/>
    <w:rsid w:val="00CC7FBF"/>
    <w:rsid w:val="00CD0125"/>
    <w:rsid w:val="00CD01A2"/>
    <w:rsid w:val="00CD061C"/>
    <w:rsid w:val="00CD061F"/>
    <w:rsid w:val="00CD0966"/>
    <w:rsid w:val="00CD114A"/>
    <w:rsid w:val="00CD11AC"/>
    <w:rsid w:val="00CD1AFB"/>
    <w:rsid w:val="00CD1CF3"/>
    <w:rsid w:val="00CD1D10"/>
    <w:rsid w:val="00CD1DA4"/>
    <w:rsid w:val="00CD211A"/>
    <w:rsid w:val="00CD26A4"/>
    <w:rsid w:val="00CD2798"/>
    <w:rsid w:val="00CD27C8"/>
    <w:rsid w:val="00CD299E"/>
    <w:rsid w:val="00CD2AB9"/>
    <w:rsid w:val="00CD2C36"/>
    <w:rsid w:val="00CD2DE9"/>
    <w:rsid w:val="00CD3275"/>
    <w:rsid w:val="00CD33DD"/>
    <w:rsid w:val="00CD36B6"/>
    <w:rsid w:val="00CD3722"/>
    <w:rsid w:val="00CD3943"/>
    <w:rsid w:val="00CD3E56"/>
    <w:rsid w:val="00CD4296"/>
    <w:rsid w:val="00CD430D"/>
    <w:rsid w:val="00CD432A"/>
    <w:rsid w:val="00CD444A"/>
    <w:rsid w:val="00CD4603"/>
    <w:rsid w:val="00CD474F"/>
    <w:rsid w:val="00CD49E9"/>
    <w:rsid w:val="00CD4CBE"/>
    <w:rsid w:val="00CD4D9D"/>
    <w:rsid w:val="00CD4E0E"/>
    <w:rsid w:val="00CD4E72"/>
    <w:rsid w:val="00CD4EA2"/>
    <w:rsid w:val="00CD4ED1"/>
    <w:rsid w:val="00CD4ED2"/>
    <w:rsid w:val="00CD4F5B"/>
    <w:rsid w:val="00CD4F8E"/>
    <w:rsid w:val="00CD510E"/>
    <w:rsid w:val="00CD565B"/>
    <w:rsid w:val="00CD57F7"/>
    <w:rsid w:val="00CD5981"/>
    <w:rsid w:val="00CD5C6A"/>
    <w:rsid w:val="00CD5E4D"/>
    <w:rsid w:val="00CD60F3"/>
    <w:rsid w:val="00CD6222"/>
    <w:rsid w:val="00CD639E"/>
    <w:rsid w:val="00CD63C7"/>
    <w:rsid w:val="00CD6780"/>
    <w:rsid w:val="00CD67D4"/>
    <w:rsid w:val="00CD67E9"/>
    <w:rsid w:val="00CD69BC"/>
    <w:rsid w:val="00CD69C1"/>
    <w:rsid w:val="00CD6BED"/>
    <w:rsid w:val="00CD6DDA"/>
    <w:rsid w:val="00CD7D60"/>
    <w:rsid w:val="00CD7E31"/>
    <w:rsid w:val="00CE0178"/>
    <w:rsid w:val="00CE072A"/>
    <w:rsid w:val="00CE0906"/>
    <w:rsid w:val="00CE0B75"/>
    <w:rsid w:val="00CE0ED0"/>
    <w:rsid w:val="00CE0F4C"/>
    <w:rsid w:val="00CE167E"/>
    <w:rsid w:val="00CE17EE"/>
    <w:rsid w:val="00CE1CA4"/>
    <w:rsid w:val="00CE1FE3"/>
    <w:rsid w:val="00CE226D"/>
    <w:rsid w:val="00CE26C5"/>
    <w:rsid w:val="00CE2AAB"/>
    <w:rsid w:val="00CE2D42"/>
    <w:rsid w:val="00CE3097"/>
    <w:rsid w:val="00CE3BF5"/>
    <w:rsid w:val="00CE3C71"/>
    <w:rsid w:val="00CE3E2E"/>
    <w:rsid w:val="00CE3E73"/>
    <w:rsid w:val="00CE4716"/>
    <w:rsid w:val="00CE5067"/>
    <w:rsid w:val="00CE527C"/>
    <w:rsid w:val="00CE539A"/>
    <w:rsid w:val="00CE5C76"/>
    <w:rsid w:val="00CE6774"/>
    <w:rsid w:val="00CE6C37"/>
    <w:rsid w:val="00CE6F5F"/>
    <w:rsid w:val="00CE6FE2"/>
    <w:rsid w:val="00CE769A"/>
    <w:rsid w:val="00CE785B"/>
    <w:rsid w:val="00CE79B1"/>
    <w:rsid w:val="00CE7B3B"/>
    <w:rsid w:val="00CE7C2A"/>
    <w:rsid w:val="00CE7E6F"/>
    <w:rsid w:val="00CF0489"/>
    <w:rsid w:val="00CF097F"/>
    <w:rsid w:val="00CF0D90"/>
    <w:rsid w:val="00CF1075"/>
    <w:rsid w:val="00CF1083"/>
    <w:rsid w:val="00CF12A8"/>
    <w:rsid w:val="00CF1834"/>
    <w:rsid w:val="00CF1AFA"/>
    <w:rsid w:val="00CF1C3A"/>
    <w:rsid w:val="00CF1D26"/>
    <w:rsid w:val="00CF1F5A"/>
    <w:rsid w:val="00CF2265"/>
    <w:rsid w:val="00CF2487"/>
    <w:rsid w:val="00CF24D4"/>
    <w:rsid w:val="00CF2598"/>
    <w:rsid w:val="00CF2897"/>
    <w:rsid w:val="00CF2E14"/>
    <w:rsid w:val="00CF2F8C"/>
    <w:rsid w:val="00CF32E1"/>
    <w:rsid w:val="00CF34B5"/>
    <w:rsid w:val="00CF355F"/>
    <w:rsid w:val="00CF36F1"/>
    <w:rsid w:val="00CF386A"/>
    <w:rsid w:val="00CF3D74"/>
    <w:rsid w:val="00CF41F1"/>
    <w:rsid w:val="00CF43D2"/>
    <w:rsid w:val="00CF44D2"/>
    <w:rsid w:val="00CF471E"/>
    <w:rsid w:val="00CF4746"/>
    <w:rsid w:val="00CF4D6F"/>
    <w:rsid w:val="00CF4FAF"/>
    <w:rsid w:val="00CF5193"/>
    <w:rsid w:val="00CF5291"/>
    <w:rsid w:val="00CF557B"/>
    <w:rsid w:val="00CF5751"/>
    <w:rsid w:val="00CF5847"/>
    <w:rsid w:val="00CF5A60"/>
    <w:rsid w:val="00CF61AB"/>
    <w:rsid w:val="00CF6343"/>
    <w:rsid w:val="00CF649C"/>
    <w:rsid w:val="00CF668B"/>
    <w:rsid w:val="00CF6822"/>
    <w:rsid w:val="00CF6935"/>
    <w:rsid w:val="00CF697D"/>
    <w:rsid w:val="00CF69A3"/>
    <w:rsid w:val="00CF6BC3"/>
    <w:rsid w:val="00CF6C16"/>
    <w:rsid w:val="00CF719D"/>
    <w:rsid w:val="00CF738C"/>
    <w:rsid w:val="00CF7431"/>
    <w:rsid w:val="00CF7CA2"/>
    <w:rsid w:val="00CF7D63"/>
    <w:rsid w:val="00CF7EC9"/>
    <w:rsid w:val="00D003F4"/>
    <w:rsid w:val="00D00513"/>
    <w:rsid w:val="00D0060D"/>
    <w:rsid w:val="00D007C4"/>
    <w:rsid w:val="00D0089C"/>
    <w:rsid w:val="00D00AD8"/>
    <w:rsid w:val="00D01029"/>
    <w:rsid w:val="00D012B9"/>
    <w:rsid w:val="00D01473"/>
    <w:rsid w:val="00D01680"/>
    <w:rsid w:val="00D019F4"/>
    <w:rsid w:val="00D01CA8"/>
    <w:rsid w:val="00D01CF2"/>
    <w:rsid w:val="00D01EBF"/>
    <w:rsid w:val="00D02508"/>
    <w:rsid w:val="00D0251D"/>
    <w:rsid w:val="00D02628"/>
    <w:rsid w:val="00D02A2C"/>
    <w:rsid w:val="00D02C57"/>
    <w:rsid w:val="00D02E0F"/>
    <w:rsid w:val="00D02F12"/>
    <w:rsid w:val="00D03012"/>
    <w:rsid w:val="00D03017"/>
    <w:rsid w:val="00D03112"/>
    <w:rsid w:val="00D0328B"/>
    <w:rsid w:val="00D03C06"/>
    <w:rsid w:val="00D03F92"/>
    <w:rsid w:val="00D04077"/>
    <w:rsid w:val="00D041CA"/>
    <w:rsid w:val="00D043BE"/>
    <w:rsid w:val="00D04449"/>
    <w:rsid w:val="00D04BA7"/>
    <w:rsid w:val="00D051E7"/>
    <w:rsid w:val="00D054DA"/>
    <w:rsid w:val="00D05561"/>
    <w:rsid w:val="00D05990"/>
    <w:rsid w:val="00D059C8"/>
    <w:rsid w:val="00D05C61"/>
    <w:rsid w:val="00D05CBC"/>
    <w:rsid w:val="00D05F54"/>
    <w:rsid w:val="00D06173"/>
    <w:rsid w:val="00D061B5"/>
    <w:rsid w:val="00D065E7"/>
    <w:rsid w:val="00D0671F"/>
    <w:rsid w:val="00D06819"/>
    <w:rsid w:val="00D069A6"/>
    <w:rsid w:val="00D069F4"/>
    <w:rsid w:val="00D06BFA"/>
    <w:rsid w:val="00D06D81"/>
    <w:rsid w:val="00D06F46"/>
    <w:rsid w:val="00D06F65"/>
    <w:rsid w:val="00D06FA4"/>
    <w:rsid w:val="00D06FC0"/>
    <w:rsid w:val="00D0707F"/>
    <w:rsid w:val="00D071CB"/>
    <w:rsid w:val="00D0747A"/>
    <w:rsid w:val="00D07637"/>
    <w:rsid w:val="00D0795C"/>
    <w:rsid w:val="00D07A50"/>
    <w:rsid w:val="00D07EDD"/>
    <w:rsid w:val="00D07F61"/>
    <w:rsid w:val="00D1014E"/>
    <w:rsid w:val="00D1028D"/>
    <w:rsid w:val="00D10463"/>
    <w:rsid w:val="00D10805"/>
    <w:rsid w:val="00D1084D"/>
    <w:rsid w:val="00D10CA8"/>
    <w:rsid w:val="00D10F0D"/>
    <w:rsid w:val="00D11086"/>
    <w:rsid w:val="00D11BA6"/>
    <w:rsid w:val="00D12149"/>
    <w:rsid w:val="00D121F4"/>
    <w:rsid w:val="00D12BD2"/>
    <w:rsid w:val="00D1305E"/>
    <w:rsid w:val="00D13285"/>
    <w:rsid w:val="00D1393A"/>
    <w:rsid w:val="00D139BC"/>
    <w:rsid w:val="00D13AA0"/>
    <w:rsid w:val="00D13B5F"/>
    <w:rsid w:val="00D13CF4"/>
    <w:rsid w:val="00D13F25"/>
    <w:rsid w:val="00D1431C"/>
    <w:rsid w:val="00D14461"/>
    <w:rsid w:val="00D14715"/>
    <w:rsid w:val="00D1478C"/>
    <w:rsid w:val="00D1496F"/>
    <w:rsid w:val="00D14ACE"/>
    <w:rsid w:val="00D150A5"/>
    <w:rsid w:val="00D151C1"/>
    <w:rsid w:val="00D1520E"/>
    <w:rsid w:val="00D154B8"/>
    <w:rsid w:val="00D1595D"/>
    <w:rsid w:val="00D15FBD"/>
    <w:rsid w:val="00D1611D"/>
    <w:rsid w:val="00D163A5"/>
    <w:rsid w:val="00D166AB"/>
    <w:rsid w:val="00D16E65"/>
    <w:rsid w:val="00D17176"/>
    <w:rsid w:val="00D17265"/>
    <w:rsid w:val="00D17977"/>
    <w:rsid w:val="00D17C60"/>
    <w:rsid w:val="00D20028"/>
    <w:rsid w:val="00D201D3"/>
    <w:rsid w:val="00D20285"/>
    <w:rsid w:val="00D2046A"/>
    <w:rsid w:val="00D208B4"/>
    <w:rsid w:val="00D20A93"/>
    <w:rsid w:val="00D2143E"/>
    <w:rsid w:val="00D21474"/>
    <w:rsid w:val="00D21DCE"/>
    <w:rsid w:val="00D21F58"/>
    <w:rsid w:val="00D21F89"/>
    <w:rsid w:val="00D21FFC"/>
    <w:rsid w:val="00D2210E"/>
    <w:rsid w:val="00D2224C"/>
    <w:rsid w:val="00D22391"/>
    <w:rsid w:val="00D2247A"/>
    <w:rsid w:val="00D224E5"/>
    <w:rsid w:val="00D22B68"/>
    <w:rsid w:val="00D22C68"/>
    <w:rsid w:val="00D22CAF"/>
    <w:rsid w:val="00D22FF2"/>
    <w:rsid w:val="00D23252"/>
    <w:rsid w:val="00D23595"/>
    <w:rsid w:val="00D23BA5"/>
    <w:rsid w:val="00D24170"/>
    <w:rsid w:val="00D24B2E"/>
    <w:rsid w:val="00D25143"/>
    <w:rsid w:val="00D25233"/>
    <w:rsid w:val="00D253F2"/>
    <w:rsid w:val="00D25627"/>
    <w:rsid w:val="00D261A6"/>
    <w:rsid w:val="00D2645B"/>
    <w:rsid w:val="00D2657F"/>
    <w:rsid w:val="00D26798"/>
    <w:rsid w:val="00D26D47"/>
    <w:rsid w:val="00D26DD0"/>
    <w:rsid w:val="00D27284"/>
    <w:rsid w:val="00D27731"/>
    <w:rsid w:val="00D27949"/>
    <w:rsid w:val="00D27C44"/>
    <w:rsid w:val="00D27D46"/>
    <w:rsid w:val="00D27EC2"/>
    <w:rsid w:val="00D30691"/>
    <w:rsid w:val="00D30986"/>
    <w:rsid w:val="00D309D6"/>
    <w:rsid w:val="00D30BA0"/>
    <w:rsid w:val="00D30CB1"/>
    <w:rsid w:val="00D31417"/>
    <w:rsid w:val="00D316ED"/>
    <w:rsid w:val="00D3186E"/>
    <w:rsid w:val="00D3233B"/>
    <w:rsid w:val="00D32347"/>
    <w:rsid w:val="00D325F7"/>
    <w:rsid w:val="00D32622"/>
    <w:rsid w:val="00D327BB"/>
    <w:rsid w:val="00D3288D"/>
    <w:rsid w:val="00D328DD"/>
    <w:rsid w:val="00D32906"/>
    <w:rsid w:val="00D32A6C"/>
    <w:rsid w:val="00D32C50"/>
    <w:rsid w:val="00D32D06"/>
    <w:rsid w:val="00D32F2D"/>
    <w:rsid w:val="00D33173"/>
    <w:rsid w:val="00D332F5"/>
    <w:rsid w:val="00D33399"/>
    <w:rsid w:val="00D333DA"/>
    <w:rsid w:val="00D33680"/>
    <w:rsid w:val="00D337BC"/>
    <w:rsid w:val="00D338B1"/>
    <w:rsid w:val="00D33A05"/>
    <w:rsid w:val="00D33AB7"/>
    <w:rsid w:val="00D33BB2"/>
    <w:rsid w:val="00D34239"/>
    <w:rsid w:val="00D343C5"/>
    <w:rsid w:val="00D34400"/>
    <w:rsid w:val="00D3449E"/>
    <w:rsid w:val="00D346B4"/>
    <w:rsid w:val="00D34D22"/>
    <w:rsid w:val="00D350FD"/>
    <w:rsid w:val="00D35247"/>
    <w:rsid w:val="00D3530D"/>
    <w:rsid w:val="00D35454"/>
    <w:rsid w:val="00D35534"/>
    <w:rsid w:val="00D3592C"/>
    <w:rsid w:val="00D35A88"/>
    <w:rsid w:val="00D35B83"/>
    <w:rsid w:val="00D35BCA"/>
    <w:rsid w:val="00D35D98"/>
    <w:rsid w:val="00D35EFF"/>
    <w:rsid w:val="00D36043"/>
    <w:rsid w:val="00D3607A"/>
    <w:rsid w:val="00D36255"/>
    <w:rsid w:val="00D3626B"/>
    <w:rsid w:val="00D3630F"/>
    <w:rsid w:val="00D36380"/>
    <w:rsid w:val="00D36795"/>
    <w:rsid w:val="00D36814"/>
    <w:rsid w:val="00D368A4"/>
    <w:rsid w:val="00D36B40"/>
    <w:rsid w:val="00D36C9C"/>
    <w:rsid w:val="00D36FCD"/>
    <w:rsid w:val="00D36FF2"/>
    <w:rsid w:val="00D37636"/>
    <w:rsid w:val="00D378F5"/>
    <w:rsid w:val="00D37D3B"/>
    <w:rsid w:val="00D37E1C"/>
    <w:rsid w:val="00D37E85"/>
    <w:rsid w:val="00D40241"/>
    <w:rsid w:val="00D4027F"/>
    <w:rsid w:val="00D403E2"/>
    <w:rsid w:val="00D40547"/>
    <w:rsid w:val="00D408D3"/>
    <w:rsid w:val="00D409F0"/>
    <w:rsid w:val="00D40BC6"/>
    <w:rsid w:val="00D40DA3"/>
    <w:rsid w:val="00D41081"/>
    <w:rsid w:val="00D411E9"/>
    <w:rsid w:val="00D41297"/>
    <w:rsid w:val="00D41508"/>
    <w:rsid w:val="00D41881"/>
    <w:rsid w:val="00D41C21"/>
    <w:rsid w:val="00D41DA1"/>
    <w:rsid w:val="00D41F68"/>
    <w:rsid w:val="00D41F9F"/>
    <w:rsid w:val="00D4207B"/>
    <w:rsid w:val="00D423B6"/>
    <w:rsid w:val="00D42407"/>
    <w:rsid w:val="00D42693"/>
    <w:rsid w:val="00D42999"/>
    <w:rsid w:val="00D4344C"/>
    <w:rsid w:val="00D434AD"/>
    <w:rsid w:val="00D434F6"/>
    <w:rsid w:val="00D43522"/>
    <w:rsid w:val="00D43678"/>
    <w:rsid w:val="00D43A21"/>
    <w:rsid w:val="00D43D32"/>
    <w:rsid w:val="00D43FB6"/>
    <w:rsid w:val="00D44275"/>
    <w:rsid w:val="00D4458E"/>
    <w:rsid w:val="00D445FD"/>
    <w:rsid w:val="00D446AB"/>
    <w:rsid w:val="00D44734"/>
    <w:rsid w:val="00D44BCD"/>
    <w:rsid w:val="00D44E84"/>
    <w:rsid w:val="00D4508A"/>
    <w:rsid w:val="00D45122"/>
    <w:rsid w:val="00D453A3"/>
    <w:rsid w:val="00D453D8"/>
    <w:rsid w:val="00D45420"/>
    <w:rsid w:val="00D45A40"/>
    <w:rsid w:val="00D45EB1"/>
    <w:rsid w:val="00D45ED2"/>
    <w:rsid w:val="00D45F8A"/>
    <w:rsid w:val="00D46044"/>
    <w:rsid w:val="00D462BD"/>
    <w:rsid w:val="00D463CF"/>
    <w:rsid w:val="00D46937"/>
    <w:rsid w:val="00D46EC7"/>
    <w:rsid w:val="00D4706C"/>
    <w:rsid w:val="00D4724B"/>
    <w:rsid w:val="00D4760F"/>
    <w:rsid w:val="00D47774"/>
    <w:rsid w:val="00D47C51"/>
    <w:rsid w:val="00D47CE4"/>
    <w:rsid w:val="00D47F96"/>
    <w:rsid w:val="00D50060"/>
    <w:rsid w:val="00D501F2"/>
    <w:rsid w:val="00D50951"/>
    <w:rsid w:val="00D511F2"/>
    <w:rsid w:val="00D515D7"/>
    <w:rsid w:val="00D51801"/>
    <w:rsid w:val="00D51A16"/>
    <w:rsid w:val="00D51B67"/>
    <w:rsid w:val="00D51D00"/>
    <w:rsid w:val="00D51D13"/>
    <w:rsid w:val="00D51E14"/>
    <w:rsid w:val="00D51F33"/>
    <w:rsid w:val="00D51F8E"/>
    <w:rsid w:val="00D52305"/>
    <w:rsid w:val="00D52420"/>
    <w:rsid w:val="00D52694"/>
    <w:rsid w:val="00D52E04"/>
    <w:rsid w:val="00D52EC3"/>
    <w:rsid w:val="00D53169"/>
    <w:rsid w:val="00D531C7"/>
    <w:rsid w:val="00D5370F"/>
    <w:rsid w:val="00D53885"/>
    <w:rsid w:val="00D53915"/>
    <w:rsid w:val="00D53B8F"/>
    <w:rsid w:val="00D53B97"/>
    <w:rsid w:val="00D53BDD"/>
    <w:rsid w:val="00D5405D"/>
    <w:rsid w:val="00D5419A"/>
    <w:rsid w:val="00D54720"/>
    <w:rsid w:val="00D54FA3"/>
    <w:rsid w:val="00D55167"/>
    <w:rsid w:val="00D551A5"/>
    <w:rsid w:val="00D555EF"/>
    <w:rsid w:val="00D55C91"/>
    <w:rsid w:val="00D55CD6"/>
    <w:rsid w:val="00D55D27"/>
    <w:rsid w:val="00D55D63"/>
    <w:rsid w:val="00D55EB2"/>
    <w:rsid w:val="00D562E5"/>
    <w:rsid w:val="00D56822"/>
    <w:rsid w:val="00D569AB"/>
    <w:rsid w:val="00D56AF0"/>
    <w:rsid w:val="00D56D19"/>
    <w:rsid w:val="00D56DD2"/>
    <w:rsid w:val="00D56F6E"/>
    <w:rsid w:val="00D57124"/>
    <w:rsid w:val="00D571C9"/>
    <w:rsid w:val="00D571D3"/>
    <w:rsid w:val="00D573FB"/>
    <w:rsid w:val="00D57552"/>
    <w:rsid w:val="00D57687"/>
    <w:rsid w:val="00D5792E"/>
    <w:rsid w:val="00D57C28"/>
    <w:rsid w:val="00D6017E"/>
    <w:rsid w:val="00D6030E"/>
    <w:rsid w:val="00D6039A"/>
    <w:rsid w:val="00D605A7"/>
    <w:rsid w:val="00D6075D"/>
    <w:rsid w:val="00D6086A"/>
    <w:rsid w:val="00D60C6F"/>
    <w:rsid w:val="00D61081"/>
    <w:rsid w:val="00D614C1"/>
    <w:rsid w:val="00D61527"/>
    <w:rsid w:val="00D61896"/>
    <w:rsid w:val="00D61BA8"/>
    <w:rsid w:val="00D61CAA"/>
    <w:rsid w:val="00D61FB8"/>
    <w:rsid w:val="00D61FBE"/>
    <w:rsid w:val="00D620A9"/>
    <w:rsid w:val="00D62365"/>
    <w:rsid w:val="00D623FB"/>
    <w:rsid w:val="00D624B9"/>
    <w:rsid w:val="00D6269A"/>
    <w:rsid w:val="00D626F6"/>
    <w:rsid w:val="00D6271F"/>
    <w:rsid w:val="00D62A81"/>
    <w:rsid w:val="00D62A9A"/>
    <w:rsid w:val="00D62BF2"/>
    <w:rsid w:val="00D62DF0"/>
    <w:rsid w:val="00D63983"/>
    <w:rsid w:val="00D63D4B"/>
    <w:rsid w:val="00D63F75"/>
    <w:rsid w:val="00D63FD1"/>
    <w:rsid w:val="00D64527"/>
    <w:rsid w:val="00D645DF"/>
    <w:rsid w:val="00D646E7"/>
    <w:rsid w:val="00D64B00"/>
    <w:rsid w:val="00D64B0E"/>
    <w:rsid w:val="00D64DCC"/>
    <w:rsid w:val="00D64E81"/>
    <w:rsid w:val="00D651EE"/>
    <w:rsid w:val="00D6530B"/>
    <w:rsid w:val="00D65497"/>
    <w:rsid w:val="00D65521"/>
    <w:rsid w:val="00D6581D"/>
    <w:rsid w:val="00D65E64"/>
    <w:rsid w:val="00D6617A"/>
    <w:rsid w:val="00D662A1"/>
    <w:rsid w:val="00D66384"/>
    <w:rsid w:val="00D667EE"/>
    <w:rsid w:val="00D6696D"/>
    <w:rsid w:val="00D66BE4"/>
    <w:rsid w:val="00D66DAE"/>
    <w:rsid w:val="00D66E98"/>
    <w:rsid w:val="00D67535"/>
    <w:rsid w:val="00D6759D"/>
    <w:rsid w:val="00D67A96"/>
    <w:rsid w:val="00D67AE4"/>
    <w:rsid w:val="00D67BF5"/>
    <w:rsid w:val="00D67CE8"/>
    <w:rsid w:val="00D67EB4"/>
    <w:rsid w:val="00D70023"/>
    <w:rsid w:val="00D70188"/>
    <w:rsid w:val="00D704BE"/>
    <w:rsid w:val="00D70982"/>
    <w:rsid w:val="00D70AB2"/>
    <w:rsid w:val="00D70BC0"/>
    <w:rsid w:val="00D70DA6"/>
    <w:rsid w:val="00D70EA4"/>
    <w:rsid w:val="00D70F01"/>
    <w:rsid w:val="00D70F34"/>
    <w:rsid w:val="00D710FF"/>
    <w:rsid w:val="00D7115A"/>
    <w:rsid w:val="00D71223"/>
    <w:rsid w:val="00D71510"/>
    <w:rsid w:val="00D71523"/>
    <w:rsid w:val="00D71AF3"/>
    <w:rsid w:val="00D71E6A"/>
    <w:rsid w:val="00D71F96"/>
    <w:rsid w:val="00D71FD8"/>
    <w:rsid w:val="00D720B0"/>
    <w:rsid w:val="00D72488"/>
    <w:rsid w:val="00D725BD"/>
    <w:rsid w:val="00D7270A"/>
    <w:rsid w:val="00D7293D"/>
    <w:rsid w:val="00D72ED4"/>
    <w:rsid w:val="00D732D0"/>
    <w:rsid w:val="00D73330"/>
    <w:rsid w:val="00D73443"/>
    <w:rsid w:val="00D734FB"/>
    <w:rsid w:val="00D73597"/>
    <w:rsid w:val="00D735EC"/>
    <w:rsid w:val="00D73BB4"/>
    <w:rsid w:val="00D73DB9"/>
    <w:rsid w:val="00D7431B"/>
    <w:rsid w:val="00D7450D"/>
    <w:rsid w:val="00D74A85"/>
    <w:rsid w:val="00D74B75"/>
    <w:rsid w:val="00D74C0D"/>
    <w:rsid w:val="00D74C8E"/>
    <w:rsid w:val="00D74D29"/>
    <w:rsid w:val="00D75044"/>
    <w:rsid w:val="00D7549F"/>
    <w:rsid w:val="00D7560B"/>
    <w:rsid w:val="00D7594E"/>
    <w:rsid w:val="00D759AB"/>
    <w:rsid w:val="00D75C88"/>
    <w:rsid w:val="00D75CE3"/>
    <w:rsid w:val="00D75F8C"/>
    <w:rsid w:val="00D76619"/>
    <w:rsid w:val="00D7696B"/>
    <w:rsid w:val="00D7696F"/>
    <w:rsid w:val="00D76C86"/>
    <w:rsid w:val="00D76D18"/>
    <w:rsid w:val="00D77097"/>
    <w:rsid w:val="00D772B2"/>
    <w:rsid w:val="00D7768F"/>
    <w:rsid w:val="00D7798A"/>
    <w:rsid w:val="00D77B34"/>
    <w:rsid w:val="00D77D05"/>
    <w:rsid w:val="00D802D4"/>
    <w:rsid w:val="00D80437"/>
    <w:rsid w:val="00D8050F"/>
    <w:rsid w:val="00D806B2"/>
    <w:rsid w:val="00D809FB"/>
    <w:rsid w:val="00D810AF"/>
    <w:rsid w:val="00D812BF"/>
    <w:rsid w:val="00D812D9"/>
    <w:rsid w:val="00D8137F"/>
    <w:rsid w:val="00D81FBE"/>
    <w:rsid w:val="00D82008"/>
    <w:rsid w:val="00D82251"/>
    <w:rsid w:val="00D829D8"/>
    <w:rsid w:val="00D8324D"/>
    <w:rsid w:val="00D83262"/>
    <w:rsid w:val="00D83748"/>
    <w:rsid w:val="00D83DDE"/>
    <w:rsid w:val="00D83FC0"/>
    <w:rsid w:val="00D840F2"/>
    <w:rsid w:val="00D8420B"/>
    <w:rsid w:val="00D845EB"/>
    <w:rsid w:val="00D845F7"/>
    <w:rsid w:val="00D847CB"/>
    <w:rsid w:val="00D848A0"/>
    <w:rsid w:val="00D84D5A"/>
    <w:rsid w:val="00D858AF"/>
    <w:rsid w:val="00D859B0"/>
    <w:rsid w:val="00D85AA1"/>
    <w:rsid w:val="00D85F16"/>
    <w:rsid w:val="00D86806"/>
    <w:rsid w:val="00D86F0F"/>
    <w:rsid w:val="00D874D0"/>
    <w:rsid w:val="00D874EF"/>
    <w:rsid w:val="00D87B0E"/>
    <w:rsid w:val="00D87D24"/>
    <w:rsid w:val="00D87F24"/>
    <w:rsid w:val="00D908EB"/>
    <w:rsid w:val="00D90A6C"/>
    <w:rsid w:val="00D90A7A"/>
    <w:rsid w:val="00D90D34"/>
    <w:rsid w:val="00D90E85"/>
    <w:rsid w:val="00D91019"/>
    <w:rsid w:val="00D912D0"/>
    <w:rsid w:val="00D9146D"/>
    <w:rsid w:val="00D91483"/>
    <w:rsid w:val="00D915C8"/>
    <w:rsid w:val="00D91B2E"/>
    <w:rsid w:val="00D91B64"/>
    <w:rsid w:val="00D91E94"/>
    <w:rsid w:val="00D922CC"/>
    <w:rsid w:val="00D923F4"/>
    <w:rsid w:val="00D923F6"/>
    <w:rsid w:val="00D9240E"/>
    <w:rsid w:val="00D927D0"/>
    <w:rsid w:val="00D928AB"/>
    <w:rsid w:val="00D929D0"/>
    <w:rsid w:val="00D92AB4"/>
    <w:rsid w:val="00D92E4A"/>
    <w:rsid w:val="00D931B7"/>
    <w:rsid w:val="00D9357D"/>
    <w:rsid w:val="00D9371E"/>
    <w:rsid w:val="00D937B9"/>
    <w:rsid w:val="00D939FE"/>
    <w:rsid w:val="00D93CD2"/>
    <w:rsid w:val="00D94D5D"/>
    <w:rsid w:val="00D95180"/>
    <w:rsid w:val="00D951AA"/>
    <w:rsid w:val="00D955F6"/>
    <w:rsid w:val="00D95714"/>
    <w:rsid w:val="00D95B86"/>
    <w:rsid w:val="00D95EA4"/>
    <w:rsid w:val="00D95F9C"/>
    <w:rsid w:val="00D96582"/>
    <w:rsid w:val="00D96D6E"/>
    <w:rsid w:val="00D96E2C"/>
    <w:rsid w:val="00D96E83"/>
    <w:rsid w:val="00D96F64"/>
    <w:rsid w:val="00D97240"/>
    <w:rsid w:val="00D97445"/>
    <w:rsid w:val="00D97538"/>
    <w:rsid w:val="00D9786D"/>
    <w:rsid w:val="00D97D84"/>
    <w:rsid w:val="00DA01E0"/>
    <w:rsid w:val="00DA03F8"/>
    <w:rsid w:val="00DA06A3"/>
    <w:rsid w:val="00DA071C"/>
    <w:rsid w:val="00DA0887"/>
    <w:rsid w:val="00DA09C3"/>
    <w:rsid w:val="00DA09FD"/>
    <w:rsid w:val="00DA0D47"/>
    <w:rsid w:val="00DA117A"/>
    <w:rsid w:val="00DA133D"/>
    <w:rsid w:val="00DA169A"/>
    <w:rsid w:val="00DA1E74"/>
    <w:rsid w:val="00DA2370"/>
    <w:rsid w:val="00DA2760"/>
    <w:rsid w:val="00DA29C9"/>
    <w:rsid w:val="00DA2DA4"/>
    <w:rsid w:val="00DA3463"/>
    <w:rsid w:val="00DA38FE"/>
    <w:rsid w:val="00DA39B7"/>
    <w:rsid w:val="00DA3D3D"/>
    <w:rsid w:val="00DA3EB3"/>
    <w:rsid w:val="00DA3EE6"/>
    <w:rsid w:val="00DA4032"/>
    <w:rsid w:val="00DA42A0"/>
    <w:rsid w:val="00DA45EA"/>
    <w:rsid w:val="00DA4C60"/>
    <w:rsid w:val="00DA52A3"/>
    <w:rsid w:val="00DA541F"/>
    <w:rsid w:val="00DA567D"/>
    <w:rsid w:val="00DA5808"/>
    <w:rsid w:val="00DA5A7A"/>
    <w:rsid w:val="00DA5B09"/>
    <w:rsid w:val="00DA5DC2"/>
    <w:rsid w:val="00DA616A"/>
    <w:rsid w:val="00DA621B"/>
    <w:rsid w:val="00DA6257"/>
    <w:rsid w:val="00DA6337"/>
    <w:rsid w:val="00DA6489"/>
    <w:rsid w:val="00DA673B"/>
    <w:rsid w:val="00DA6868"/>
    <w:rsid w:val="00DA6B99"/>
    <w:rsid w:val="00DA6FAF"/>
    <w:rsid w:val="00DA74A4"/>
    <w:rsid w:val="00DA74CC"/>
    <w:rsid w:val="00DA7787"/>
    <w:rsid w:val="00DA7A11"/>
    <w:rsid w:val="00DB02A3"/>
    <w:rsid w:val="00DB03AE"/>
    <w:rsid w:val="00DB0486"/>
    <w:rsid w:val="00DB05B0"/>
    <w:rsid w:val="00DB0816"/>
    <w:rsid w:val="00DB092A"/>
    <w:rsid w:val="00DB095C"/>
    <w:rsid w:val="00DB0D94"/>
    <w:rsid w:val="00DB0E19"/>
    <w:rsid w:val="00DB0E46"/>
    <w:rsid w:val="00DB0EA0"/>
    <w:rsid w:val="00DB1192"/>
    <w:rsid w:val="00DB158C"/>
    <w:rsid w:val="00DB182E"/>
    <w:rsid w:val="00DB1E36"/>
    <w:rsid w:val="00DB239F"/>
    <w:rsid w:val="00DB27A3"/>
    <w:rsid w:val="00DB28B9"/>
    <w:rsid w:val="00DB2936"/>
    <w:rsid w:val="00DB2AC5"/>
    <w:rsid w:val="00DB2AED"/>
    <w:rsid w:val="00DB2C5D"/>
    <w:rsid w:val="00DB2C9D"/>
    <w:rsid w:val="00DB2DC6"/>
    <w:rsid w:val="00DB36D9"/>
    <w:rsid w:val="00DB3754"/>
    <w:rsid w:val="00DB38A2"/>
    <w:rsid w:val="00DB3913"/>
    <w:rsid w:val="00DB3C55"/>
    <w:rsid w:val="00DB3C5C"/>
    <w:rsid w:val="00DB3CAB"/>
    <w:rsid w:val="00DB4255"/>
    <w:rsid w:val="00DB4855"/>
    <w:rsid w:val="00DB48FC"/>
    <w:rsid w:val="00DB4941"/>
    <w:rsid w:val="00DB4BDA"/>
    <w:rsid w:val="00DB4E47"/>
    <w:rsid w:val="00DB4EF9"/>
    <w:rsid w:val="00DB5679"/>
    <w:rsid w:val="00DB58FE"/>
    <w:rsid w:val="00DB5BD0"/>
    <w:rsid w:val="00DB5C8D"/>
    <w:rsid w:val="00DB5FBE"/>
    <w:rsid w:val="00DB634B"/>
    <w:rsid w:val="00DB6416"/>
    <w:rsid w:val="00DB6621"/>
    <w:rsid w:val="00DB6720"/>
    <w:rsid w:val="00DB6A68"/>
    <w:rsid w:val="00DB714B"/>
    <w:rsid w:val="00DB72FD"/>
    <w:rsid w:val="00DB7342"/>
    <w:rsid w:val="00DB7F95"/>
    <w:rsid w:val="00DC01B8"/>
    <w:rsid w:val="00DC0821"/>
    <w:rsid w:val="00DC09F3"/>
    <w:rsid w:val="00DC114D"/>
    <w:rsid w:val="00DC130D"/>
    <w:rsid w:val="00DC140F"/>
    <w:rsid w:val="00DC1446"/>
    <w:rsid w:val="00DC18A7"/>
    <w:rsid w:val="00DC1A36"/>
    <w:rsid w:val="00DC1FF9"/>
    <w:rsid w:val="00DC2029"/>
    <w:rsid w:val="00DC2073"/>
    <w:rsid w:val="00DC2286"/>
    <w:rsid w:val="00DC24C1"/>
    <w:rsid w:val="00DC2838"/>
    <w:rsid w:val="00DC2D50"/>
    <w:rsid w:val="00DC2E2D"/>
    <w:rsid w:val="00DC2FBA"/>
    <w:rsid w:val="00DC31C9"/>
    <w:rsid w:val="00DC322D"/>
    <w:rsid w:val="00DC322E"/>
    <w:rsid w:val="00DC33B8"/>
    <w:rsid w:val="00DC350D"/>
    <w:rsid w:val="00DC3787"/>
    <w:rsid w:val="00DC3C7A"/>
    <w:rsid w:val="00DC3C91"/>
    <w:rsid w:val="00DC3DAE"/>
    <w:rsid w:val="00DC3DC7"/>
    <w:rsid w:val="00DC3E2F"/>
    <w:rsid w:val="00DC3E84"/>
    <w:rsid w:val="00DC4011"/>
    <w:rsid w:val="00DC41DB"/>
    <w:rsid w:val="00DC4258"/>
    <w:rsid w:val="00DC45E8"/>
    <w:rsid w:val="00DC4952"/>
    <w:rsid w:val="00DC4ADF"/>
    <w:rsid w:val="00DC4AE1"/>
    <w:rsid w:val="00DC4BEC"/>
    <w:rsid w:val="00DC4FA4"/>
    <w:rsid w:val="00DC50AD"/>
    <w:rsid w:val="00DC59CB"/>
    <w:rsid w:val="00DC5CCF"/>
    <w:rsid w:val="00DC6046"/>
    <w:rsid w:val="00DC6356"/>
    <w:rsid w:val="00DC645A"/>
    <w:rsid w:val="00DC6759"/>
    <w:rsid w:val="00DC6D7E"/>
    <w:rsid w:val="00DC71E9"/>
    <w:rsid w:val="00DC7342"/>
    <w:rsid w:val="00DC7347"/>
    <w:rsid w:val="00DC7BAF"/>
    <w:rsid w:val="00DC7F7B"/>
    <w:rsid w:val="00DD0775"/>
    <w:rsid w:val="00DD099A"/>
    <w:rsid w:val="00DD0DFE"/>
    <w:rsid w:val="00DD0E23"/>
    <w:rsid w:val="00DD1104"/>
    <w:rsid w:val="00DD114F"/>
    <w:rsid w:val="00DD1179"/>
    <w:rsid w:val="00DD1A9A"/>
    <w:rsid w:val="00DD1F1A"/>
    <w:rsid w:val="00DD220E"/>
    <w:rsid w:val="00DD2254"/>
    <w:rsid w:val="00DD2342"/>
    <w:rsid w:val="00DD239E"/>
    <w:rsid w:val="00DD2526"/>
    <w:rsid w:val="00DD26F9"/>
    <w:rsid w:val="00DD271B"/>
    <w:rsid w:val="00DD2B52"/>
    <w:rsid w:val="00DD2BB4"/>
    <w:rsid w:val="00DD336C"/>
    <w:rsid w:val="00DD3492"/>
    <w:rsid w:val="00DD3715"/>
    <w:rsid w:val="00DD3BAE"/>
    <w:rsid w:val="00DD42AE"/>
    <w:rsid w:val="00DD43C2"/>
    <w:rsid w:val="00DD465A"/>
    <w:rsid w:val="00DD492C"/>
    <w:rsid w:val="00DD49A4"/>
    <w:rsid w:val="00DD4EC5"/>
    <w:rsid w:val="00DD51F0"/>
    <w:rsid w:val="00DD5252"/>
    <w:rsid w:val="00DD5695"/>
    <w:rsid w:val="00DD586B"/>
    <w:rsid w:val="00DD5C27"/>
    <w:rsid w:val="00DD5E2E"/>
    <w:rsid w:val="00DD5F60"/>
    <w:rsid w:val="00DD5FE0"/>
    <w:rsid w:val="00DD6565"/>
    <w:rsid w:val="00DD67F1"/>
    <w:rsid w:val="00DD6884"/>
    <w:rsid w:val="00DD6B15"/>
    <w:rsid w:val="00DD6C21"/>
    <w:rsid w:val="00DD7432"/>
    <w:rsid w:val="00DD7491"/>
    <w:rsid w:val="00DD750D"/>
    <w:rsid w:val="00DD795D"/>
    <w:rsid w:val="00DD7BF5"/>
    <w:rsid w:val="00DD7CE8"/>
    <w:rsid w:val="00DD7E5C"/>
    <w:rsid w:val="00DE0165"/>
    <w:rsid w:val="00DE098E"/>
    <w:rsid w:val="00DE0A61"/>
    <w:rsid w:val="00DE0AF0"/>
    <w:rsid w:val="00DE0FC4"/>
    <w:rsid w:val="00DE0FFD"/>
    <w:rsid w:val="00DE1071"/>
    <w:rsid w:val="00DE125C"/>
    <w:rsid w:val="00DE1348"/>
    <w:rsid w:val="00DE136B"/>
    <w:rsid w:val="00DE1452"/>
    <w:rsid w:val="00DE1ED9"/>
    <w:rsid w:val="00DE1F1F"/>
    <w:rsid w:val="00DE2486"/>
    <w:rsid w:val="00DE2564"/>
    <w:rsid w:val="00DE28E1"/>
    <w:rsid w:val="00DE2992"/>
    <w:rsid w:val="00DE2BDE"/>
    <w:rsid w:val="00DE2E4A"/>
    <w:rsid w:val="00DE3073"/>
    <w:rsid w:val="00DE329E"/>
    <w:rsid w:val="00DE3321"/>
    <w:rsid w:val="00DE33ED"/>
    <w:rsid w:val="00DE381F"/>
    <w:rsid w:val="00DE3B4D"/>
    <w:rsid w:val="00DE41E3"/>
    <w:rsid w:val="00DE42B7"/>
    <w:rsid w:val="00DE4475"/>
    <w:rsid w:val="00DE4838"/>
    <w:rsid w:val="00DE4969"/>
    <w:rsid w:val="00DE4B82"/>
    <w:rsid w:val="00DE4E6D"/>
    <w:rsid w:val="00DE531D"/>
    <w:rsid w:val="00DE5365"/>
    <w:rsid w:val="00DE5731"/>
    <w:rsid w:val="00DE5C57"/>
    <w:rsid w:val="00DE5C9A"/>
    <w:rsid w:val="00DE5D53"/>
    <w:rsid w:val="00DE6150"/>
    <w:rsid w:val="00DE61E8"/>
    <w:rsid w:val="00DE62BE"/>
    <w:rsid w:val="00DE66AF"/>
    <w:rsid w:val="00DE678A"/>
    <w:rsid w:val="00DE67D7"/>
    <w:rsid w:val="00DE6BEF"/>
    <w:rsid w:val="00DE6C65"/>
    <w:rsid w:val="00DE6CEB"/>
    <w:rsid w:val="00DE6CEF"/>
    <w:rsid w:val="00DE6E96"/>
    <w:rsid w:val="00DE717F"/>
    <w:rsid w:val="00DE76E1"/>
    <w:rsid w:val="00DE7A36"/>
    <w:rsid w:val="00DE7A7C"/>
    <w:rsid w:val="00DF000A"/>
    <w:rsid w:val="00DF0407"/>
    <w:rsid w:val="00DF04C2"/>
    <w:rsid w:val="00DF0A3F"/>
    <w:rsid w:val="00DF0D54"/>
    <w:rsid w:val="00DF0FBE"/>
    <w:rsid w:val="00DF1199"/>
    <w:rsid w:val="00DF15C1"/>
    <w:rsid w:val="00DF1AA9"/>
    <w:rsid w:val="00DF1AEF"/>
    <w:rsid w:val="00DF1BC4"/>
    <w:rsid w:val="00DF1D53"/>
    <w:rsid w:val="00DF2150"/>
    <w:rsid w:val="00DF21C1"/>
    <w:rsid w:val="00DF22D4"/>
    <w:rsid w:val="00DF22EB"/>
    <w:rsid w:val="00DF2B80"/>
    <w:rsid w:val="00DF30D0"/>
    <w:rsid w:val="00DF312C"/>
    <w:rsid w:val="00DF325F"/>
    <w:rsid w:val="00DF342F"/>
    <w:rsid w:val="00DF3456"/>
    <w:rsid w:val="00DF349F"/>
    <w:rsid w:val="00DF41E4"/>
    <w:rsid w:val="00DF42C0"/>
    <w:rsid w:val="00DF43D9"/>
    <w:rsid w:val="00DF4AE3"/>
    <w:rsid w:val="00DF4D7B"/>
    <w:rsid w:val="00DF4E38"/>
    <w:rsid w:val="00DF539D"/>
    <w:rsid w:val="00DF55E9"/>
    <w:rsid w:val="00DF57FE"/>
    <w:rsid w:val="00DF5905"/>
    <w:rsid w:val="00DF5CC7"/>
    <w:rsid w:val="00DF5D8C"/>
    <w:rsid w:val="00DF5F02"/>
    <w:rsid w:val="00DF6454"/>
    <w:rsid w:val="00DF678D"/>
    <w:rsid w:val="00DF6842"/>
    <w:rsid w:val="00DF6A0B"/>
    <w:rsid w:val="00DF6E70"/>
    <w:rsid w:val="00DF7091"/>
    <w:rsid w:val="00DF76D5"/>
    <w:rsid w:val="00DF76EB"/>
    <w:rsid w:val="00DF76FF"/>
    <w:rsid w:val="00DF7980"/>
    <w:rsid w:val="00E000B9"/>
    <w:rsid w:val="00E0040C"/>
    <w:rsid w:val="00E0040E"/>
    <w:rsid w:val="00E00673"/>
    <w:rsid w:val="00E007B5"/>
    <w:rsid w:val="00E00BB8"/>
    <w:rsid w:val="00E00CD3"/>
    <w:rsid w:val="00E00E01"/>
    <w:rsid w:val="00E0130B"/>
    <w:rsid w:val="00E01D60"/>
    <w:rsid w:val="00E01F3C"/>
    <w:rsid w:val="00E0221B"/>
    <w:rsid w:val="00E02258"/>
    <w:rsid w:val="00E02453"/>
    <w:rsid w:val="00E025CC"/>
    <w:rsid w:val="00E0293E"/>
    <w:rsid w:val="00E02AEB"/>
    <w:rsid w:val="00E02BEF"/>
    <w:rsid w:val="00E02EFC"/>
    <w:rsid w:val="00E0306C"/>
    <w:rsid w:val="00E0320D"/>
    <w:rsid w:val="00E0396A"/>
    <w:rsid w:val="00E03AAB"/>
    <w:rsid w:val="00E03AB5"/>
    <w:rsid w:val="00E03DBC"/>
    <w:rsid w:val="00E045D6"/>
    <w:rsid w:val="00E046DE"/>
    <w:rsid w:val="00E048B5"/>
    <w:rsid w:val="00E04B52"/>
    <w:rsid w:val="00E05470"/>
    <w:rsid w:val="00E05C16"/>
    <w:rsid w:val="00E05FF9"/>
    <w:rsid w:val="00E062E8"/>
    <w:rsid w:val="00E064C5"/>
    <w:rsid w:val="00E064E0"/>
    <w:rsid w:val="00E065CD"/>
    <w:rsid w:val="00E066A7"/>
    <w:rsid w:val="00E06987"/>
    <w:rsid w:val="00E06D8C"/>
    <w:rsid w:val="00E0717C"/>
    <w:rsid w:val="00E074D7"/>
    <w:rsid w:val="00E07975"/>
    <w:rsid w:val="00E07A12"/>
    <w:rsid w:val="00E07B6A"/>
    <w:rsid w:val="00E07C83"/>
    <w:rsid w:val="00E07D28"/>
    <w:rsid w:val="00E101FC"/>
    <w:rsid w:val="00E10650"/>
    <w:rsid w:val="00E106BD"/>
    <w:rsid w:val="00E106C9"/>
    <w:rsid w:val="00E106D4"/>
    <w:rsid w:val="00E108F8"/>
    <w:rsid w:val="00E109CE"/>
    <w:rsid w:val="00E11530"/>
    <w:rsid w:val="00E117D3"/>
    <w:rsid w:val="00E11821"/>
    <w:rsid w:val="00E119D1"/>
    <w:rsid w:val="00E11AFA"/>
    <w:rsid w:val="00E12107"/>
    <w:rsid w:val="00E123E2"/>
    <w:rsid w:val="00E13100"/>
    <w:rsid w:val="00E13298"/>
    <w:rsid w:val="00E139BD"/>
    <w:rsid w:val="00E13F6F"/>
    <w:rsid w:val="00E14007"/>
    <w:rsid w:val="00E1462A"/>
    <w:rsid w:val="00E14925"/>
    <w:rsid w:val="00E14D8F"/>
    <w:rsid w:val="00E151B3"/>
    <w:rsid w:val="00E15412"/>
    <w:rsid w:val="00E15524"/>
    <w:rsid w:val="00E156E8"/>
    <w:rsid w:val="00E1575D"/>
    <w:rsid w:val="00E157CB"/>
    <w:rsid w:val="00E15D2B"/>
    <w:rsid w:val="00E15D7E"/>
    <w:rsid w:val="00E15E40"/>
    <w:rsid w:val="00E15EB0"/>
    <w:rsid w:val="00E161D6"/>
    <w:rsid w:val="00E16282"/>
    <w:rsid w:val="00E163C7"/>
    <w:rsid w:val="00E1663C"/>
    <w:rsid w:val="00E16B47"/>
    <w:rsid w:val="00E1728C"/>
    <w:rsid w:val="00E172A8"/>
    <w:rsid w:val="00E173B0"/>
    <w:rsid w:val="00E173C5"/>
    <w:rsid w:val="00E1766B"/>
    <w:rsid w:val="00E17A7A"/>
    <w:rsid w:val="00E17D33"/>
    <w:rsid w:val="00E17EF3"/>
    <w:rsid w:val="00E20120"/>
    <w:rsid w:val="00E204E7"/>
    <w:rsid w:val="00E20BC1"/>
    <w:rsid w:val="00E21112"/>
    <w:rsid w:val="00E213A5"/>
    <w:rsid w:val="00E21630"/>
    <w:rsid w:val="00E218B0"/>
    <w:rsid w:val="00E21945"/>
    <w:rsid w:val="00E21CF7"/>
    <w:rsid w:val="00E21DF2"/>
    <w:rsid w:val="00E21EB0"/>
    <w:rsid w:val="00E22133"/>
    <w:rsid w:val="00E2277F"/>
    <w:rsid w:val="00E227AC"/>
    <w:rsid w:val="00E229D6"/>
    <w:rsid w:val="00E22CDC"/>
    <w:rsid w:val="00E22E70"/>
    <w:rsid w:val="00E23179"/>
    <w:rsid w:val="00E23198"/>
    <w:rsid w:val="00E235F5"/>
    <w:rsid w:val="00E23AFD"/>
    <w:rsid w:val="00E23B12"/>
    <w:rsid w:val="00E23BC8"/>
    <w:rsid w:val="00E2433A"/>
    <w:rsid w:val="00E243C4"/>
    <w:rsid w:val="00E245E4"/>
    <w:rsid w:val="00E2483D"/>
    <w:rsid w:val="00E2497B"/>
    <w:rsid w:val="00E24EF6"/>
    <w:rsid w:val="00E252CC"/>
    <w:rsid w:val="00E2596F"/>
    <w:rsid w:val="00E259DA"/>
    <w:rsid w:val="00E25AD1"/>
    <w:rsid w:val="00E25FE9"/>
    <w:rsid w:val="00E26602"/>
    <w:rsid w:val="00E2669C"/>
    <w:rsid w:val="00E266EE"/>
    <w:rsid w:val="00E26849"/>
    <w:rsid w:val="00E26B0C"/>
    <w:rsid w:val="00E26C7F"/>
    <w:rsid w:val="00E26CDD"/>
    <w:rsid w:val="00E26D31"/>
    <w:rsid w:val="00E26FF5"/>
    <w:rsid w:val="00E2747C"/>
    <w:rsid w:val="00E27E45"/>
    <w:rsid w:val="00E30011"/>
    <w:rsid w:val="00E30020"/>
    <w:rsid w:val="00E302DC"/>
    <w:rsid w:val="00E305ED"/>
    <w:rsid w:val="00E30873"/>
    <w:rsid w:val="00E30C4E"/>
    <w:rsid w:val="00E30E15"/>
    <w:rsid w:val="00E30E20"/>
    <w:rsid w:val="00E30E4F"/>
    <w:rsid w:val="00E311C3"/>
    <w:rsid w:val="00E315D8"/>
    <w:rsid w:val="00E31805"/>
    <w:rsid w:val="00E31AB5"/>
    <w:rsid w:val="00E31C40"/>
    <w:rsid w:val="00E31ED5"/>
    <w:rsid w:val="00E3220B"/>
    <w:rsid w:val="00E32497"/>
    <w:rsid w:val="00E3254E"/>
    <w:rsid w:val="00E32644"/>
    <w:rsid w:val="00E326DB"/>
    <w:rsid w:val="00E3316A"/>
    <w:rsid w:val="00E3342A"/>
    <w:rsid w:val="00E3362C"/>
    <w:rsid w:val="00E33D15"/>
    <w:rsid w:val="00E33DF9"/>
    <w:rsid w:val="00E33F50"/>
    <w:rsid w:val="00E340DD"/>
    <w:rsid w:val="00E34195"/>
    <w:rsid w:val="00E341D2"/>
    <w:rsid w:val="00E341FB"/>
    <w:rsid w:val="00E34522"/>
    <w:rsid w:val="00E3467C"/>
    <w:rsid w:val="00E34A2D"/>
    <w:rsid w:val="00E34E22"/>
    <w:rsid w:val="00E34F17"/>
    <w:rsid w:val="00E35016"/>
    <w:rsid w:val="00E351D7"/>
    <w:rsid w:val="00E3528B"/>
    <w:rsid w:val="00E35412"/>
    <w:rsid w:val="00E354E4"/>
    <w:rsid w:val="00E35A4D"/>
    <w:rsid w:val="00E3619A"/>
    <w:rsid w:val="00E36A6D"/>
    <w:rsid w:val="00E36AC8"/>
    <w:rsid w:val="00E36DEA"/>
    <w:rsid w:val="00E3725F"/>
    <w:rsid w:val="00E37476"/>
    <w:rsid w:val="00E3766E"/>
    <w:rsid w:val="00E37696"/>
    <w:rsid w:val="00E378BB"/>
    <w:rsid w:val="00E37FD7"/>
    <w:rsid w:val="00E37FE6"/>
    <w:rsid w:val="00E402E1"/>
    <w:rsid w:val="00E4043A"/>
    <w:rsid w:val="00E40603"/>
    <w:rsid w:val="00E40839"/>
    <w:rsid w:val="00E40B94"/>
    <w:rsid w:val="00E40BB7"/>
    <w:rsid w:val="00E40E82"/>
    <w:rsid w:val="00E411F2"/>
    <w:rsid w:val="00E415C8"/>
    <w:rsid w:val="00E419C0"/>
    <w:rsid w:val="00E41BC8"/>
    <w:rsid w:val="00E41BE6"/>
    <w:rsid w:val="00E41E9D"/>
    <w:rsid w:val="00E42138"/>
    <w:rsid w:val="00E421D4"/>
    <w:rsid w:val="00E425B4"/>
    <w:rsid w:val="00E42896"/>
    <w:rsid w:val="00E42A23"/>
    <w:rsid w:val="00E42B5B"/>
    <w:rsid w:val="00E42C7B"/>
    <w:rsid w:val="00E42F1D"/>
    <w:rsid w:val="00E430BE"/>
    <w:rsid w:val="00E43974"/>
    <w:rsid w:val="00E4398F"/>
    <w:rsid w:val="00E43DFD"/>
    <w:rsid w:val="00E440C2"/>
    <w:rsid w:val="00E4423F"/>
    <w:rsid w:val="00E448A5"/>
    <w:rsid w:val="00E44B27"/>
    <w:rsid w:val="00E44DA8"/>
    <w:rsid w:val="00E44F9D"/>
    <w:rsid w:val="00E4513F"/>
    <w:rsid w:val="00E451FB"/>
    <w:rsid w:val="00E45469"/>
    <w:rsid w:val="00E45C41"/>
    <w:rsid w:val="00E46072"/>
    <w:rsid w:val="00E460EA"/>
    <w:rsid w:val="00E4638A"/>
    <w:rsid w:val="00E46698"/>
    <w:rsid w:val="00E467E4"/>
    <w:rsid w:val="00E46D24"/>
    <w:rsid w:val="00E46D96"/>
    <w:rsid w:val="00E46F2C"/>
    <w:rsid w:val="00E47201"/>
    <w:rsid w:val="00E475B6"/>
    <w:rsid w:val="00E475EF"/>
    <w:rsid w:val="00E4761E"/>
    <w:rsid w:val="00E476D4"/>
    <w:rsid w:val="00E47E9C"/>
    <w:rsid w:val="00E50669"/>
    <w:rsid w:val="00E50811"/>
    <w:rsid w:val="00E508A2"/>
    <w:rsid w:val="00E50AA0"/>
    <w:rsid w:val="00E50E27"/>
    <w:rsid w:val="00E50F9A"/>
    <w:rsid w:val="00E51010"/>
    <w:rsid w:val="00E5102D"/>
    <w:rsid w:val="00E51074"/>
    <w:rsid w:val="00E51222"/>
    <w:rsid w:val="00E51343"/>
    <w:rsid w:val="00E5156E"/>
    <w:rsid w:val="00E51733"/>
    <w:rsid w:val="00E5188A"/>
    <w:rsid w:val="00E518F1"/>
    <w:rsid w:val="00E523AD"/>
    <w:rsid w:val="00E524E9"/>
    <w:rsid w:val="00E52C8E"/>
    <w:rsid w:val="00E52EEF"/>
    <w:rsid w:val="00E53680"/>
    <w:rsid w:val="00E53728"/>
    <w:rsid w:val="00E53AD2"/>
    <w:rsid w:val="00E53CB4"/>
    <w:rsid w:val="00E53FAE"/>
    <w:rsid w:val="00E54378"/>
    <w:rsid w:val="00E54463"/>
    <w:rsid w:val="00E5479B"/>
    <w:rsid w:val="00E5489A"/>
    <w:rsid w:val="00E54AF1"/>
    <w:rsid w:val="00E54B7A"/>
    <w:rsid w:val="00E54DDC"/>
    <w:rsid w:val="00E5561F"/>
    <w:rsid w:val="00E55C76"/>
    <w:rsid w:val="00E55CF1"/>
    <w:rsid w:val="00E55F1A"/>
    <w:rsid w:val="00E55F72"/>
    <w:rsid w:val="00E56334"/>
    <w:rsid w:val="00E564DE"/>
    <w:rsid w:val="00E5650F"/>
    <w:rsid w:val="00E56FDA"/>
    <w:rsid w:val="00E57856"/>
    <w:rsid w:val="00E57BE3"/>
    <w:rsid w:val="00E57CA5"/>
    <w:rsid w:val="00E57FAD"/>
    <w:rsid w:val="00E600F1"/>
    <w:rsid w:val="00E6025D"/>
    <w:rsid w:val="00E60309"/>
    <w:rsid w:val="00E603D6"/>
    <w:rsid w:val="00E60790"/>
    <w:rsid w:val="00E609C8"/>
    <w:rsid w:val="00E60A2E"/>
    <w:rsid w:val="00E60A96"/>
    <w:rsid w:val="00E611C0"/>
    <w:rsid w:val="00E617C6"/>
    <w:rsid w:val="00E61835"/>
    <w:rsid w:val="00E61A1C"/>
    <w:rsid w:val="00E620AE"/>
    <w:rsid w:val="00E620CC"/>
    <w:rsid w:val="00E620FA"/>
    <w:rsid w:val="00E6279B"/>
    <w:rsid w:val="00E62C33"/>
    <w:rsid w:val="00E63010"/>
    <w:rsid w:val="00E6336A"/>
    <w:rsid w:val="00E633F5"/>
    <w:rsid w:val="00E63670"/>
    <w:rsid w:val="00E636B9"/>
    <w:rsid w:val="00E63760"/>
    <w:rsid w:val="00E637C7"/>
    <w:rsid w:val="00E637D9"/>
    <w:rsid w:val="00E63947"/>
    <w:rsid w:val="00E63AD4"/>
    <w:rsid w:val="00E63C0F"/>
    <w:rsid w:val="00E63F41"/>
    <w:rsid w:val="00E63F79"/>
    <w:rsid w:val="00E640B4"/>
    <w:rsid w:val="00E643AA"/>
    <w:rsid w:val="00E64C03"/>
    <w:rsid w:val="00E64F6E"/>
    <w:rsid w:val="00E657D1"/>
    <w:rsid w:val="00E659DD"/>
    <w:rsid w:val="00E65A7B"/>
    <w:rsid w:val="00E65C15"/>
    <w:rsid w:val="00E65DBF"/>
    <w:rsid w:val="00E660E5"/>
    <w:rsid w:val="00E661F1"/>
    <w:rsid w:val="00E664D8"/>
    <w:rsid w:val="00E665D1"/>
    <w:rsid w:val="00E66CF7"/>
    <w:rsid w:val="00E6737A"/>
    <w:rsid w:val="00E6759B"/>
    <w:rsid w:val="00E675D5"/>
    <w:rsid w:val="00E67E23"/>
    <w:rsid w:val="00E67FCB"/>
    <w:rsid w:val="00E70012"/>
    <w:rsid w:val="00E7047E"/>
    <w:rsid w:val="00E70D03"/>
    <w:rsid w:val="00E70E44"/>
    <w:rsid w:val="00E70F7F"/>
    <w:rsid w:val="00E70FF1"/>
    <w:rsid w:val="00E715B6"/>
    <w:rsid w:val="00E71943"/>
    <w:rsid w:val="00E71CCA"/>
    <w:rsid w:val="00E72A3C"/>
    <w:rsid w:val="00E72B3B"/>
    <w:rsid w:val="00E72CA7"/>
    <w:rsid w:val="00E72DA9"/>
    <w:rsid w:val="00E72E2B"/>
    <w:rsid w:val="00E740D5"/>
    <w:rsid w:val="00E7448C"/>
    <w:rsid w:val="00E74865"/>
    <w:rsid w:val="00E74986"/>
    <w:rsid w:val="00E74C1B"/>
    <w:rsid w:val="00E75577"/>
    <w:rsid w:val="00E755E9"/>
    <w:rsid w:val="00E75CC9"/>
    <w:rsid w:val="00E75FD3"/>
    <w:rsid w:val="00E760DE"/>
    <w:rsid w:val="00E761ED"/>
    <w:rsid w:val="00E76321"/>
    <w:rsid w:val="00E766C5"/>
    <w:rsid w:val="00E76899"/>
    <w:rsid w:val="00E76B19"/>
    <w:rsid w:val="00E76C2A"/>
    <w:rsid w:val="00E7716C"/>
    <w:rsid w:val="00E77285"/>
    <w:rsid w:val="00E77594"/>
    <w:rsid w:val="00E777C7"/>
    <w:rsid w:val="00E77C2A"/>
    <w:rsid w:val="00E77F05"/>
    <w:rsid w:val="00E77F5D"/>
    <w:rsid w:val="00E80300"/>
    <w:rsid w:val="00E80671"/>
    <w:rsid w:val="00E80B28"/>
    <w:rsid w:val="00E815B6"/>
    <w:rsid w:val="00E815F0"/>
    <w:rsid w:val="00E816C2"/>
    <w:rsid w:val="00E8185C"/>
    <w:rsid w:val="00E81871"/>
    <w:rsid w:val="00E8199E"/>
    <w:rsid w:val="00E81B66"/>
    <w:rsid w:val="00E81F78"/>
    <w:rsid w:val="00E8226A"/>
    <w:rsid w:val="00E823CD"/>
    <w:rsid w:val="00E8256D"/>
    <w:rsid w:val="00E825E6"/>
    <w:rsid w:val="00E827D5"/>
    <w:rsid w:val="00E82864"/>
    <w:rsid w:val="00E82DD8"/>
    <w:rsid w:val="00E82E4A"/>
    <w:rsid w:val="00E82EE5"/>
    <w:rsid w:val="00E82F84"/>
    <w:rsid w:val="00E831FF"/>
    <w:rsid w:val="00E83200"/>
    <w:rsid w:val="00E833E9"/>
    <w:rsid w:val="00E8353B"/>
    <w:rsid w:val="00E83810"/>
    <w:rsid w:val="00E83A07"/>
    <w:rsid w:val="00E8415A"/>
    <w:rsid w:val="00E841C9"/>
    <w:rsid w:val="00E841D6"/>
    <w:rsid w:val="00E84214"/>
    <w:rsid w:val="00E84593"/>
    <w:rsid w:val="00E8479C"/>
    <w:rsid w:val="00E85199"/>
    <w:rsid w:val="00E85261"/>
    <w:rsid w:val="00E85360"/>
    <w:rsid w:val="00E85551"/>
    <w:rsid w:val="00E8559D"/>
    <w:rsid w:val="00E85B9E"/>
    <w:rsid w:val="00E86286"/>
    <w:rsid w:val="00E865A0"/>
    <w:rsid w:val="00E865E2"/>
    <w:rsid w:val="00E86D4A"/>
    <w:rsid w:val="00E86FEC"/>
    <w:rsid w:val="00E87117"/>
    <w:rsid w:val="00E8735A"/>
    <w:rsid w:val="00E87487"/>
    <w:rsid w:val="00E87532"/>
    <w:rsid w:val="00E87548"/>
    <w:rsid w:val="00E87A94"/>
    <w:rsid w:val="00E87DE2"/>
    <w:rsid w:val="00E87E9D"/>
    <w:rsid w:val="00E87EA0"/>
    <w:rsid w:val="00E902A0"/>
    <w:rsid w:val="00E90613"/>
    <w:rsid w:val="00E90A23"/>
    <w:rsid w:val="00E90C6F"/>
    <w:rsid w:val="00E90E29"/>
    <w:rsid w:val="00E910A4"/>
    <w:rsid w:val="00E910BB"/>
    <w:rsid w:val="00E911B0"/>
    <w:rsid w:val="00E916CC"/>
    <w:rsid w:val="00E91965"/>
    <w:rsid w:val="00E91A57"/>
    <w:rsid w:val="00E91C87"/>
    <w:rsid w:val="00E91D41"/>
    <w:rsid w:val="00E91E8D"/>
    <w:rsid w:val="00E923A4"/>
    <w:rsid w:val="00E929FF"/>
    <w:rsid w:val="00E92E0A"/>
    <w:rsid w:val="00E9324A"/>
    <w:rsid w:val="00E9343A"/>
    <w:rsid w:val="00E93AC5"/>
    <w:rsid w:val="00E93B78"/>
    <w:rsid w:val="00E93C73"/>
    <w:rsid w:val="00E93F89"/>
    <w:rsid w:val="00E9446F"/>
    <w:rsid w:val="00E946EA"/>
    <w:rsid w:val="00E94804"/>
    <w:rsid w:val="00E94ADA"/>
    <w:rsid w:val="00E94C02"/>
    <w:rsid w:val="00E94C0E"/>
    <w:rsid w:val="00E94DEB"/>
    <w:rsid w:val="00E94E1F"/>
    <w:rsid w:val="00E95675"/>
    <w:rsid w:val="00E957E3"/>
    <w:rsid w:val="00E958F0"/>
    <w:rsid w:val="00E95FD2"/>
    <w:rsid w:val="00E9602E"/>
    <w:rsid w:val="00E960DC"/>
    <w:rsid w:val="00E962E3"/>
    <w:rsid w:val="00E964BF"/>
    <w:rsid w:val="00E9662A"/>
    <w:rsid w:val="00E9680E"/>
    <w:rsid w:val="00E96C08"/>
    <w:rsid w:val="00E96CE5"/>
    <w:rsid w:val="00E96E67"/>
    <w:rsid w:val="00E96ECF"/>
    <w:rsid w:val="00E974AC"/>
    <w:rsid w:val="00E97607"/>
    <w:rsid w:val="00E977B7"/>
    <w:rsid w:val="00E979E2"/>
    <w:rsid w:val="00E97A38"/>
    <w:rsid w:val="00E97F18"/>
    <w:rsid w:val="00EA0062"/>
    <w:rsid w:val="00EA02D6"/>
    <w:rsid w:val="00EA058F"/>
    <w:rsid w:val="00EA0638"/>
    <w:rsid w:val="00EA0BEF"/>
    <w:rsid w:val="00EA0C59"/>
    <w:rsid w:val="00EA0E5D"/>
    <w:rsid w:val="00EA13C7"/>
    <w:rsid w:val="00EA1530"/>
    <w:rsid w:val="00EA1605"/>
    <w:rsid w:val="00EA17E5"/>
    <w:rsid w:val="00EA19C4"/>
    <w:rsid w:val="00EA1F47"/>
    <w:rsid w:val="00EA213F"/>
    <w:rsid w:val="00EA216A"/>
    <w:rsid w:val="00EA21AE"/>
    <w:rsid w:val="00EA22B8"/>
    <w:rsid w:val="00EA2824"/>
    <w:rsid w:val="00EA290D"/>
    <w:rsid w:val="00EA2B8F"/>
    <w:rsid w:val="00EA3459"/>
    <w:rsid w:val="00EA364D"/>
    <w:rsid w:val="00EA3749"/>
    <w:rsid w:val="00EA3798"/>
    <w:rsid w:val="00EA3B8E"/>
    <w:rsid w:val="00EA41EA"/>
    <w:rsid w:val="00EA4432"/>
    <w:rsid w:val="00EA4596"/>
    <w:rsid w:val="00EA479C"/>
    <w:rsid w:val="00EA479D"/>
    <w:rsid w:val="00EA4873"/>
    <w:rsid w:val="00EA4AD6"/>
    <w:rsid w:val="00EA4B03"/>
    <w:rsid w:val="00EA4B3A"/>
    <w:rsid w:val="00EA4C78"/>
    <w:rsid w:val="00EA4EF5"/>
    <w:rsid w:val="00EA5368"/>
    <w:rsid w:val="00EA588D"/>
    <w:rsid w:val="00EA58B9"/>
    <w:rsid w:val="00EA5EB6"/>
    <w:rsid w:val="00EA5EB7"/>
    <w:rsid w:val="00EA5F2A"/>
    <w:rsid w:val="00EA6107"/>
    <w:rsid w:val="00EA643B"/>
    <w:rsid w:val="00EA6798"/>
    <w:rsid w:val="00EA6821"/>
    <w:rsid w:val="00EA6940"/>
    <w:rsid w:val="00EA6AFC"/>
    <w:rsid w:val="00EA6C13"/>
    <w:rsid w:val="00EA6E63"/>
    <w:rsid w:val="00EA747C"/>
    <w:rsid w:val="00EA757E"/>
    <w:rsid w:val="00EA766A"/>
    <w:rsid w:val="00EA7ACB"/>
    <w:rsid w:val="00EA7B99"/>
    <w:rsid w:val="00EA7C0B"/>
    <w:rsid w:val="00EA7C5B"/>
    <w:rsid w:val="00EA7D5A"/>
    <w:rsid w:val="00EA7E46"/>
    <w:rsid w:val="00EB004E"/>
    <w:rsid w:val="00EB01B4"/>
    <w:rsid w:val="00EB0359"/>
    <w:rsid w:val="00EB04FB"/>
    <w:rsid w:val="00EB0801"/>
    <w:rsid w:val="00EB08F6"/>
    <w:rsid w:val="00EB090A"/>
    <w:rsid w:val="00EB0C46"/>
    <w:rsid w:val="00EB0DF8"/>
    <w:rsid w:val="00EB0F91"/>
    <w:rsid w:val="00EB0FD6"/>
    <w:rsid w:val="00EB153E"/>
    <w:rsid w:val="00EB1567"/>
    <w:rsid w:val="00EB163E"/>
    <w:rsid w:val="00EB1820"/>
    <w:rsid w:val="00EB1E42"/>
    <w:rsid w:val="00EB1EA8"/>
    <w:rsid w:val="00EB1F84"/>
    <w:rsid w:val="00EB214D"/>
    <w:rsid w:val="00EB2365"/>
    <w:rsid w:val="00EB261F"/>
    <w:rsid w:val="00EB2638"/>
    <w:rsid w:val="00EB28F5"/>
    <w:rsid w:val="00EB2CC1"/>
    <w:rsid w:val="00EB2EAE"/>
    <w:rsid w:val="00EB2EBD"/>
    <w:rsid w:val="00EB2F8D"/>
    <w:rsid w:val="00EB3533"/>
    <w:rsid w:val="00EB360F"/>
    <w:rsid w:val="00EB3A31"/>
    <w:rsid w:val="00EB3EA5"/>
    <w:rsid w:val="00EB436E"/>
    <w:rsid w:val="00EB45A0"/>
    <w:rsid w:val="00EB50EE"/>
    <w:rsid w:val="00EB528F"/>
    <w:rsid w:val="00EB52CE"/>
    <w:rsid w:val="00EB5600"/>
    <w:rsid w:val="00EB5604"/>
    <w:rsid w:val="00EB5D9D"/>
    <w:rsid w:val="00EB65DE"/>
    <w:rsid w:val="00EB6ADB"/>
    <w:rsid w:val="00EB7246"/>
    <w:rsid w:val="00EB766B"/>
    <w:rsid w:val="00EB76D1"/>
    <w:rsid w:val="00EB771F"/>
    <w:rsid w:val="00EB7853"/>
    <w:rsid w:val="00EB7961"/>
    <w:rsid w:val="00EB7A3D"/>
    <w:rsid w:val="00EB7C87"/>
    <w:rsid w:val="00EB7E7D"/>
    <w:rsid w:val="00EB7F27"/>
    <w:rsid w:val="00EC07AE"/>
    <w:rsid w:val="00EC0CB7"/>
    <w:rsid w:val="00EC0DA8"/>
    <w:rsid w:val="00EC0F29"/>
    <w:rsid w:val="00EC112A"/>
    <w:rsid w:val="00EC11EE"/>
    <w:rsid w:val="00EC13DC"/>
    <w:rsid w:val="00EC15E0"/>
    <w:rsid w:val="00EC166E"/>
    <w:rsid w:val="00EC1845"/>
    <w:rsid w:val="00EC1BEC"/>
    <w:rsid w:val="00EC1D0C"/>
    <w:rsid w:val="00EC1EAC"/>
    <w:rsid w:val="00EC1F40"/>
    <w:rsid w:val="00EC1F9D"/>
    <w:rsid w:val="00EC2150"/>
    <w:rsid w:val="00EC2375"/>
    <w:rsid w:val="00EC270F"/>
    <w:rsid w:val="00EC2749"/>
    <w:rsid w:val="00EC2CAB"/>
    <w:rsid w:val="00EC31C9"/>
    <w:rsid w:val="00EC350B"/>
    <w:rsid w:val="00EC3660"/>
    <w:rsid w:val="00EC3C99"/>
    <w:rsid w:val="00EC3DF4"/>
    <w:rsid w:val="00EC42C6"/>
    <w:rsid w:val="00EC4758"/>
    <w:rsid w:val="00EC497D"/>
    <w:rsid w:val="00EC4B14"/>
    <w:rsid w:val="00EC4BDC"/>
    <w:rsid w:val="00EC4BE3"/>
    <w:rsid w:val="00EC4C7B"/>
    <w:rsid w:val="00EC4CD1"/>
    <w:rsid w:val="00EC4EB9"/>
    <w:rsid w:val="00EC5008"/>
    <w:rsid w:val="00EC5278"/>
    <w:rsid w:val="00EC54E1"/>
    <w:rsid w:val="00EC56F8"/>
    <w:rsid w:val="00EC5C7C"/>
    <w:rsid w:val="00EC617A"/>
    <w:rsid w:val="00EC6419"/>
    <w:rsid w:val="00EC649D"/>
    <w:rsid w:val="00EC64C1"/>
    <w:rsid w:val="00EC6A46"/>
    <w:rsid w:val="00EC6B13"/>
    <w:rsid w:val="00EC6E18"/>
    <w:rsid w:val="00EC6EAD"/>
    <w:rsid w:val="00EC729A"/>
    <w:rsid w:val="00EC7397"/>
    <w:rsid w:val="00EC78C4"/>
    <w:rsid w:val="00EC7915"/>
    <w:rsid w:val="00EC7942"/>
    <w:rsid w:val="00ED0029"/>
    <w:rsid w:val="00ED0437"/>
    <w:rsid w:val="00ED062C"/>
    <w:rsid w:val="00ED08CF"/>
    <w:rsid w:val="00ED0C60"/>
    <w:rsid w:val="00ED0EFD"/>
    <w:rsid w:val="00ED1016"/>
    <w:rsid w:val="00ED102F"/>
    <w:rsid w:val="00ED1420"/>
    <w:rsid w:val="00ED14C6"/>
    <w:rsid w:val="00ED1718"/>
    <w:rsid w:val="00ED177D"/>
    <w:rsid w:val="00ED1C4D"/>
    <w:rsid w:val="00ED2376"/>
    <w:rsid w:val="00ED29C7"/>
    <w:rsid w:val="00ED2B2F"/>
    <w:rsid w:val="00ED324C"/>
    <w:rsid w:val="00ED3868"/>
    <w:rsid w:val="00ED39FC"/>
    <w:rsid w:val="00ED3BBA"/>
    <w:rsid w:val="00ED3E62"/>
    <w:rsid w:val="00ED3E92"/>
    <w:rsid w:val="00ED4020"/>
    <w:rsid w:val="00ED4247"/>
    <w:rsid w:val="00ED42FF"/>
    <w:rsid w:val="00ED4574"/>
    <w:rsid w:val="00ED46B1"/>
    <w:rsid w:val="00ED4D77"/>
    <w:rsid w:val="00ED512D"/>
    <w:rsid w:val="00ED5205"/>
    <w:rsid w:val="00ED5393"/>
    <w:rsid w:val="00ED6012"/>
    <w:rsid w:val="00ED63ED"/>
    <w:rsid w:val="00ED6A12"/>
    <w:rsid w:val="00ED6ABF"/>
    <w:rsid w:val="00ED7006"/>
    <w:rsid w:val="00ED7242"/>
    <w:rsid w:val="00ED7438"/>
    <w:rsid w:val="00ED75F5"/>
    <w:rsid w:val="00ED7804"/>
    <w:rsid w:val="00ED7805"/>
    <w:rsid w:val="00ED7B0D"/>
    <w:rsid w:val="00EE00CC"/>
    <w:rsid w:val="00EE05CD"/>
    <w:rsid w:val="00EE07D2"/>
    <w:rsid w:val="00EE0CC5"/>
    <w:rsid w:val="00EE0D9C"/>
    <w:rsid w:val="00EE1109"/>
    <w:rsid w:val="00EE128A"/>
    <w:rsid w:val="00EE14B4"/>
    <w:rsid w:val="00EE17C9"/>
    <w:rsid w:val="00EE1973"/>
    <w:rsid w:val="00EE19C4"/>
    <w:rsid w:val="00EE1B43"/>
    <w:rsid w:val="00EE1F56"/>
    <w:rsid w:val="00EE2425"/>
    <w:rsid w:val="00EE28DE"/>
    <w:rsid w:val="00EE28E4"/>
    <w:rsid w:val="00EE2AD4"/>
    <w:rsid w:val="00EE3187"/>
    <w:rsid w:val="00EE35B1"/>
    <w:rsid w:val="00EE399A"/>
    <w:rsid w:val="00EE3C0B"/>
    <w:rsid w:val="00EE3C7F"/>
    <w:rsid w:val="00EE3C91"/>
    <w:rsid w:val="00EE3D3D"/>
    <w:rsid w:val="00EE3DB3"/>
    <w:rsid w:val="00EE3DE1"/>
    <w:rsid w:val="00EE40C4"/>
    <w:rsid w:val="00EE4781"/>
    <w:rsid w:val="00EE4853"/>
    <w:rsid w:val="00EE4896"/>
    <w:rsid w:val="00EE4E2A"/>
    <w:rsid w:val="00EE4FBF"/>
    <w:rsid w:val="00EE5243"/>
    <w:rsid w:val="00EE56AB"/>
    <w:rsid w:val="00EE57C8"/>
    <w:rsid w:val="00EE587D"/>
    <w:rsid w:val="00EE5C12"/>
    <w:rsid w:val="00EE5C35"/>
    <w:rsid w:val="00EE5EF9"/>
    <w:rsid w:val="00EE5F75"/>
    <w:rsid w:val="00EE5F9E"/>
    <w:rsid w:val="00EE619A"/>
    <w:rsid w:val="00EE61DD"/>
    <w:rsid w:val="00EE6280"/>
    <w:rsid w:val="00EE63B4"/>
    <w:rsid w:val="00EE64B3"/>
    <w:rsid w:val="00EE7395"/>
    <w:rsid w:val="00EE73C5"/>
    <w:rsid w:val="00EE7898"/>
    <w:rsid w:val="00EE7C00"/>
    <w:rsid w:val="00EE7F90"/>
    <w:rsid w:val="00EF0289"/>
    <w:rsid w:val="00EF0522"/>
    <w:rsid w:val="00EF0721"/>
    <w:rsid w:val="00EF0C59"/>
    <w:rsid w:val="00EF12BF"/>
    <w:rsid w:val="00EF12D7"/>
    <w:rsid w:val="00EF12F7"/>
    <w:rsid w:val="00EF1DEB"/>
    <w:rsid w:val="00EF1E90"/>
    <w:rsid w:val="00EF1F6C"/>
    <w:rsid w:val="00EF23C1"/>
    <w:rsid w:val="00EF2834"/>
    <w:rsid w:val="00EF2941"/>
    <w:rsid w:val="00EF2A8B"/>
    <w:rsid w:val="00EF2FF7"/>
    <w:rsid w:val="00EF3016"/>
    <w:rsid w:val="00EF3420"/>
    <w:rsid w:val="00EF3807"/>
    <w:rsid w:val="00EF385F"/>
    <w:rsid w:val="00EF3DF8"/>
    <w:rsid w:val="00EF3F61"/>
    <w:rsid w:val="00EF4184"/>
    <w:rsid w:val="00EF4569"/>
    <w:rsid w:val="00EF45F5"/>
    <w:rsid w:val="00EF4797"/>
    <w:rsid w:val="00EF49EB"/>
    <w:rsid w:val="00EF4A36"/>
    <w:rsid w:val="00EF4C1B"/>
    <w:rsid w:val="00EF4D0F"/>
    <w:rsid w:val="00EF4F63"/>
    <w:rsid w:val="00EF5144"/>
    <w:rsid w:val="00EF56B3"/>
    <w:rsid w:val="00EF59D0"/>
    <w:rsid w:val="00EF5A7D"/>
    <w:rsid w:val="00EF62EA"/>
    <w:rsid w:val="00EF6764"/>
    <w:rsid w:val="00EF67E5"/>
    <w:rsid w:val="00EF6943"/>
    <w:rsid w:val="00EF6CA2"/>
    <w:rsid w:val="00EF707B"/>
    <w:rsid w:val="00EF7A4C"/>
    <w:rsid w:val="00EF7B26"/>
    <w:rsid w:val="00EF7CAD"/>
    <w:rsid w:val="00EF7DF3"/>
    <w:rsid w:val="00F00D9B"/>
    <w:rsid w:val="00F00DE5"/>
    <w:rsid w:val="00F00E5A"/>
    <w:rsid w:val="00F01257"/>
    <w:rsid w:val="00F02011"/>
    <w:rsid w:val="00F02019"/>
    <w:rsid w:val="00F02483"/>
    <w:rsid w:val="00F02812"/>
    <w:rsid w:val="00F02986"/>
    <w:rsid w:val="00F029F8"/>
    <w:rsid w:val="00F02AAA"/>
    <w:rsid w:val="00F02D3F"/>
    <w:rsid w:val="00F02E9F"/>
    <w:rsid w:val="00F03146"/>
    <w:rsid w:val="00F0342B"/>
    <w:rsid w:val="00F03638"/>
    <w:rsid w:val="00F03B44"/>
    <w:rsid w:val="00F03EE9"/>
    <w:rsid w:val="00F04044"/>
    <w:rsid w:val="00F04049"/>
    <w:rsid w:val="00F04369"/>
    <w:rsid w:val="00F04762"/>
    <w:rsid w:val="00F04BA3"/>
    <w:rsid w:val="00F04C71"/>
    <w:rsid w:val="00F04CCD"/>
    <w:rsid w:val="00F054AC"/>
    <w:rsid w:val="00F05655"/>
    <w:rsid w:val="00F05C69"/>
    <w:rsid w:val="00F05CB3"/>
    <w:rsid w:val="00F061BF"/>
    <w:rsid w:val="00F06434"/>
    <w:rsid w:val="00F064B5"/>
    <w:rsid w:val="00F069D7"/>
    <w:rsid w:val="00F06C9C"/>
    <w:rsid w:val="00F06DDA"/>
    <w:rsid w:val="00F06E00"/>
    <w:rsid w:val="00F06E1A"/>
    <w:rsid w:val="00F06F40"/>
    <w:rsid w:val="00F070EB"/>
    <w:rsid w:val="00F07164"/>
    <w:rsid w:val="00F07275"/>
    <w:rsid w:val="00F0753F"/>
    <w:rsid w:val="00F07546"/>
    <w:rsid w:val="00F0755B"/>
    <w:rsid w:val="00F07979"/>
    <w:rsid w:val="00F07DE5"/>
    <w:rsid w:val="00F1077D"/>
    <w:rsid w:val="00F10C21"/>
    <w:rsid w:val="00F10D31"/>
    <w:rsid w:val="00F10D93"/>
    <w:rsid w:val="00F1122F"/>
    <w:rsid w:val="00F1125B"/>
    <w:rsid w:val="00F112B7"/>
    <w:rsid w:val="00F1172E"/>
    <w:rsid w:val="00F11AAA"/>
    <w:rsid w:val="00F11B7B"/>
    <w:rsid w:val="00F11C24"/>
    <w:rsid w:val="00F11D2E"/>
    <w:rsid w:val="00F11FB3"/>
    <w:rsid w:val="00F12403"/>
    <w:rsid w:val="00F125DA"/>
    <w:rsid w:val="00F128F8"/>
    <w:rsid w:val="00F1295B"/>
    <w:rsid w:val="00F12B33"/>
    <w:rsid w:val="00F12BA9"/>
    <w:rsid w:val="00F12D3B"/>
    <w:rsid w:val="00F1348F"/>
    <w:rsid w:val="00F13731"/>
    <w:rsid w:val="00F137A5"/>
    <w:rsid w:val="00F13B5B"/>
    <w:rsid w:val="00F13B94"/>
    <w:rsid w:val="00F13C10"/>
    <w:rsid w:val="00F13FF0"/>
    <w:rsid w:val="00F14223"/>
    <w:rsid w:val="00F142D3"/>
    <w:rsid w:val="00F1439F"/>
    <w:rsid w:val="00F14502"/>
    <w:rsid w:val="00F14599"/>
    <w:rsid w:val="00F14674"/>
    <w:rsid w:val="00F146DE"/>
    <w:rsid w:val="00F148D9"/>
    <w:rsid w:val="00F14A7F"/>
    <w:rsid w:val="00F14BA4"/>
    <w:rsid w:val="00F14DC8"/>
    <w:rsid w:val="00F15196"/>
    <w:rsid w:val="00F153C9"/>
    <w:rsid w:val="00F156E0"/>
    <w:rsid w:val="00F159C9"/>
    <w:rsid w:val="00F15E04"/>
    <w:rsid w:val="00F15EA1"/>
    <w:rsid w:val="00F1637F"/>
    <w:rsid w:val="00F16506"/>
    <w:rsid w:val="00F165B5"/>
    <w:rsid w:val="00F16680"/>
    <w:rsid w:val="00F169BF"/>
    <w:rsid w:val="00F16CE8"/>
    <w:rsid w:val="00F1714C"/>
    <w:rsid w:val="00F17297"/>
    <w:rsid w:val="00F173CD"/>
    <w:rsid w:val="00F17502"/>
    <w:rsid w:val="00F17616"/>
    <w:rsid w:val="00F176C6"/>
    <w:rsid w:val="00F178AD"/>
    <w:rsid w:val="00F178D7"/>
    <w:rsid w:val="00F178DE"/>
    <w:rsid w:val="00F178FB"/>
    <w:rsid w:val="00F179A0"/>
    <w:rsid w:val="00F17AF4"/>
    <w:rsid w:val="00F17D97"/>
    <w:rsid w:val="00F17DC4"/>
    <w:rsid w:val="00F20214"/>
    <w:rsid w:val="00F20631"/>
    <w:rsid w:val="00F2083D"/>
    <w:rsid w:val="00F208D9"/>
    <w:rsid w:val="00F20DDB"/>
    <w:rsid w:val="00F20EB4"/>
    <w:rsid w:val="00F21038"/>
    <w:rsid w:val="00F21177"/>
    <w:rsid w:val="00F21261"/>
    <w:rsid w:val="00F212CD"/>
    <w:rsid w:val="00F21379"/>
    <w:rsid w:val="00F218A7"/>
    <w:rsid w:val="00F21BD3"/>
    <w:rsid w:val="00F21C48"/>
    <w:rsid w:val="00F21EA3"/>
    <w:rsid w:val="00F21FF8"/>
    <w:rsid w:val="00F220E9"/>
    <w:rsid w:val="00F22A2C"/>
    <w:rsid w:val="00F22A98"/>
    <w:rsid w:val="00F22E59"/>
    <w:rsid w:val="00F22E72"/>
    <w:rsid w:val="00F22F08"/>
    <w:rsid w:val="00F22F60"/>
    <w:rsid w:val="00F233BB"/>
    <w:rsid w:val="00F233C8"/>
    <w:rsid w:val="00F23658"/>
    <w:rsid w:val="00F2374D"/>
    <w:rsid w:val="00F23F70"/>
    <w:rsid w:val="00F2404C"/>
    <w:rsid w:val="00F240E9"/>
    <w:rsid w:val="00F241A9"/>
    <w:rsid w:val="00F241AE"/>
    <w:rsid w:val="00F242A5"/>
    <w:rsid w:val="00F24311"/>
    <w:rsid w:val="00F2458D"/>
    <w:rsid w:val="00F24A8E"/>
    <w:rsid w:val="00F25135"/>
    <w:rsid w:val="00F253C6"/>
    <w:rsid w:val="00F253E7"/>
    <w:rsid w:val="00F2549F"/>
    <w:rsid w:val="00F25946"/>
    <w:rsid w:val="00F25C2F"/>
    <w:rsid w:val="00F25F5A"/>
    <w:rsid w:val="00F2650C"/>
    <w:rsid w:val="00F265F1"/>
    <w:rsid w:val="00F267F0"/>
    <w:rsid w:val="00F26956"/>
    <w:rsid w:val="00F27018"/>
    <w:rsid w:val="00F2736E"/>
    <w:rsid w:val="00F2739E"/>
    <w:rsid w:val="00F27638"/>
    <w:rsid w:val="00F27814"/>
    <w:rsid w:val="00F27819"/>
    <w:rsid w:val="00F27D17"/>
    <w:rsid w:val="00F27FAD"/>
    <w:rsid w:val="00F302EA"/>
    <w:rsid w:val="00F304DC"/>
    <w:rsid w:val="00F30827"/>
    <w:rsid w:val="00F30C76"/>
    <w:rsid w:val="00F30DE3"/>
    <w:rsid w:val="00F30F2F"/>
    <w:rsid w:val="00F3123E"/>
    <w:rsid w:val="00F31549"/>
    <w:rsid w:val="00F31562"/>
    <w:rsid w:val="00F3178F"/>
    <w:rsid w:val="00F31AD5"/>
    <w:rsid w:val="00F31BEA"/>
    <w:rsid w:val="00F31BFC"/>
    <w:rsid w:val="00F32378"/>
    <w:rsid w:val="00F32392"/>
    <w:rsid w:val="00F328CB"/>
    <w:rsid w:val="00F32A70"/>
    <w:rsid w:val="00F33169"/>
    <w:rsid w:val="00F335CB"/>
    <w:rsid w:val="00F3365C"/>
    <w:rsid w:val="00F33808"/>
    <w:rsid w:val="00F33957"/>
    <w:rsid w:val="00F3399E"/>
    <w:rsid w:val="00F342E7"/>
    <w:rsid w:val="00F343B5"/>
    <w:rsid w:val="00F34754"/>
    <w:rsid w:val="00F347A1"/>
    <w:rsid w:val="00F34922"/>
    <w:rsid w:val="00F34FD9"/>
    <w:rsid w:val="00F353A4"/>
    <w:rsid w:val="00F353E3"/>
    <w:rsid w:val="00F358D2"/>
    <w:rsid w:val="00F359DE"/>
    <w:rsid w:val="00F35AE7"/>
    <w:rsid w:val="00F35B3B"/>
    <w:rsid w:val="00F361F1"/>
    <w:rsid w:val="00F36418"/>
    <w:rsid w:val="00F365B4"/>
    <w:rsid w:val="00F365B6"/>
    <w:rsid w:val="00F368BB"/>
    <w:rsid w:val="00F3693B"/>
    <w:rsid w:val="00F36C86"/>
    <w:rsid w:val="00F36CA6"/>
    <w:rsid w:val="00F36E14"/>
    <w:rsid w:val="00F37033"/>
    <w:rsid w:val="00F371A1"/>
    <w:rsid w:val="00F3723C"/>
    <w:rsid w:val="00F37457"/>
    <w:rsid w:val="00F3763F"/>
    <w:rsid w:val="00F376D5"/>
    <w:rsid w:val="00F37B64"/>
    <w:rsid w:val="00F37BC9"/>
    <w:rsid w:val="00F37DE4"/>
    <w:rsid w:val="00F4001D"/>
    <w:rsid w:val="00F40254"/>
    <w:rsid w:val="00F40378"/>
    <w:rsid w:val="00F403AA"/>
    <w:rsid w:val="00F40660"/>
    <w:rsid w:val="00F40682"/>
    <w:rsid w:val="00F40835"/>
    <w:rsid w:val="00F409E5"/>
    <w:rsid w:val="00F415FF"/>
    <w:rsid w:val="00F416CF"/>
    <w:rsid w:val="00F41BDF"/>
    <w:rsid w:val="00F41C77"/>
    <w:rsid w:val="00F41F10"/>
    <w:rsid w:val="00F4204B"/>
    <w:rsid w:val="00F42885"/>
    <w:rsid w:val="00F42AE8"/>
    <w:rsid w:val="00F42B88"/>
    <w:rsid w:val="00F42C92"/>
    <w:rsid w:val="00F42DC1"/>
    <w:rsid w:val="00F42F37"/>
    <w:rsid w:val="00F42FDB"/>
    <w:rsid w:val="00F430F8"/>
    <w:rsid w:val="00F432FF"/>
    <w:rsid w:val="00F43389"/>
    <w:rsid w:val="00F43511"/>
    <w:rsid w:val="00F4392B"/>
    <w:rsid w:val="00F43E1C"/>
    <w:rsid w:val="00F440EE"/>
    <w:rsid w:val="00F44410"/>
    <w:rsid w:val="00F4447C"/>
    <w:rsid w:val="00F44749"/>
    <w:rsid w:val="00F44A27"/>
    <w:rsid w:val="00F44AF6"/>
    <w:rsid w:val="00F44BDB"/>
    <w:rsid w:val="00F44D50"/>
    <w:rsid w:val="00F44DA7"/>
    <w:rsid w:val="00F45111"/>
    <w:rsid w:val="00F4555D"/>
    <w:rsid w:val="00F45914"/>
    <w:rsid w:val="00F45A1F"/>
    <w:rsid w:val="00F45C1B"/>
    <w:rsid w:val="00F45C8F"/>
    <w:rsid w:val="00F45F62"/>
    <w:rsid w:val="00F4616B"/>
    <w:rsid w:val="00F462C6"/>
    <w:rsid w:val="00F46309"/>
    <w:rsid w:val="00F46587"/>
    <w:rsid w:val="00F4678F"/>
    <w:rsid w:val="00F469F6"/>
    <w:rsid w:val="00F46ECA"/>
    <w:rsid w:val="00F470F9"/>
    <w:rsid w:val="00F472B7"/>
    <w:rsid w:val="00F47306"/>
    <w:rsid w:val="00F4741E"/>
    <w:rsid w:val="00F4749C"/>
    <w:rsid w:val="00F47601"/>
    <w:rsid w:val="00F4774F"/>
    <w:rsid w:val="00F47860"/>
    <w:rsid w:val="00F4798A"/>
    <w:rsid w:val="00F47A6E"/>
    <w:rsid w:val="00F47B74"/>
    <w:rsid w:val="00F47BC0"/>
    <w:rsid w:val="00F47DB1"/>
    <w:rsid w:val="00F47E36"/>
    <w:rsid w:val="00F47EF4"/>
    <w:rsid w:val="00F5016F"/>
    <w:rsid w:val="00F504E8"/>
    <w:rsid w:val="00F506B2"/>
    <w:rsid w:val="00F50926"/>
    <w:rsid w:val="00F50F6B"/>
    <w:rsid w:val="00F5142D"/>
    <w:rsid w:val="00F51606"/>
    <w:rsid w:val="00F519C9"/>
    <w:rsid w:val="00F519D9"/>
    <w:rsid w:val="00F51EA5"/>
    <w:rsid w:val="00F524A0"/>
    <w:rsid w:val="00F52580"/>
    <w:rsid w:val="00F52AA0"/>
    <w:rsid w:val="00F52D45"/>
    <w:rsid w:val="00F52DFF"/>
    <w:rsid w:val="00F53805"/>
    <w:rsid w:val="00F53882"/>
    <w:rsid w:val="00F540F7"/>
    <w:rsid w:val="00F54373"/>
    <w:rsid w:val="00F54844"/>
    <w:rsid w:val="00F5564C"/>
    <w:rsid w:val="00F556F7"/>
    <w:rsid w:val="00F55954"/>
    <w:rsid w:val="00F561E5"/>
    <w:rsid w:val="00F56A3E"/>
    <w:rsid w:val="00F56A71"/>
    <w:rsid w:val="00F56A91"/>
    <w:rsid w:val="00F56A99"/>
    <w:rsid w:val="00F56C3F"/>
    <w:rsid w:val="00F56C6E"/>
    <w:rsid w:val="00F56D6D"/>
    <w:rsid w:val="00F56E26"/>
    <w:rsid w:val="00F56EA4"/>
    <w:rsid w:val="00F56EE3"/>
    <w:rsid w:val="00F5705F"/>
    <w:rsid w:val="00F572EE"/>
    <w:rsid w:val="00F5738C"/>
    <w:rsid w:val="00F573D5"/>
    <w:rsid w:val="00F57423"/>
    <w:rsid w:val="00F57768"/>
    <w:rsid w:val="00F5776D"/>
    <w:rsid w:val="00F5796B"/>
    <w:rsid w:val="00F57C73"/>
    <w:rsid w:val="00F57CED"/>
    <w:rsid w:val="00F60374"/>
    <w:rsid w:val="00F6038E"/>
    <w:rsid w:val="00F6056D"/>
    <w:rsid w:val="00F60AEF"/>
    <w:rsid w:val="00F60FFF"/>
    <w:rsid w:val="00F6114E"/>
    <w:rsid w:val="00F612D0"/>
    <w:rsid w:val="00F61436"/>
    <w:rsid w:val="00F61661"/>
    <w:rsid w:val="00F61A7A"/>
    <w:rsid w:val="00F61A7C"/>
    <w:rsid w:val="00F61AEA"/>
    <w:rsid w:val="00F61E52"/>
    <w:rsid w:val="00F626C0"/>
    <w:rsid w:val="00F62882"/>
    <w:rsid w:val="00F62B84"/>
    <w:rsid w:val="00F62D0D"/>
    <w:rsid w:val="00F62FC9"/>
    <w:rsid w:val="00F6307E"/>
    <w:rsid w:val="00F63632"/>
    <w:rsid w:val="00F63647"/>
    <w:rsid w:val="00F63CEF"/>
    <w:rsid w:val="00F63F4D"/>
    <w:rsid w:val="00F63FAE"/>
    <w:rsid w:val="00F64028"/>
    <w:rsid w:val="00F6433D"/>
    <w:rsid w:val="00F645CE"/>
    <w:rsid w:val="00F6481A"/>
    <w:rsid w:val="00F648D7"/>
    <w:rsid w:val="00F6493A"/>
    <w:rsid w:val="00F64A36"/>
    <w:rsid w:val="00F64A78"/>
    <w:rsid w:val="00F64B19"/>
    <w:rsid w:val="00F64F39"/>
    <w:rsid w:val="00F65450"/>
    <w:rsid w:val="00F655C1"/>
    <w:rsid w:val="00F657D2"/>
    <w:rsid w:val="00F65B28"/>
    <w:rsid w:val="00F65D51"/>
    <w:rsid w:val="00F65EBD"/>
    <w:rsid w:val="00F65F18"/>
    <w:rsid w:val="00F65F9D"/>
    <w:rsid w:val="00F65FE9"/>
    <w:rsid w:val="00F66079"/>
    <w:rsid w:val="00F668C9"/>
    <w:rsid w:val="00F66C05"/>
    <w:rsid w:val="00F66E96"/>
    <w:rsid w:val="00F66ECD"/>
    <w:rsid w:val="00F66EF8"/>
    <w:rsid w:val="00F67025"/>
    <w:rsid w:val="00F671C1"/>
    <w:rsid w:val="00F67409"/>
    <w:rsid w:val="00F6785D"/>
    <w:rsid w:val="00F679A9"/>
    <w:rsid w:val="00F679B0"/>
    <w:rsid w:val="00F67BEE"/>
    <w:rsid w:val="00F67E5B"/>
    <w:rsid w:val="00F67F8F"/>
    <w:rsid w:val="00F70215"/>
    <w:rsid w:val="00F7026F"/>
    <w:rsid w:val="00F7046D"/>
    <w:rsid w:val="00F708B4"/>
    <w:rsid w:val="00F70AF5"/>
    <w:rsid w:val="00F70C7C"/>
    <w:rsid w:val="00F70DF2"/>
    <w:rsid w:val="00F71193"/>
    <w:rsid w:val="00F71BFC"/>
    <w:rsid w:val="00F71C3A"/>
    <w:rsid w:val="00F71C79"/>
    <w:rsid w:val="00F71FC5"/>
    <w:rsid w:val="00F72171"/>
    <w:rsid w:val="00F72229"/>
    <w:rsid w:val="00F722BD"/>
    <w:rsid w:val="00F727FD"/>
    <w:rsid w:val="00F729BF"/>
    <w:rsid w:val="00F7314E"/>
    <w:rsid w:val="00F736F5"/>
    <w:rsid w:val="00F7381B"/>
    <w:rsid w:val="00F73D82"/>
    <w:rsid w:val="00F73E79"/>
    <w:rsid w:val="00F74101"/>
    <w:rsid w:val="00F74111"/>
    <w:rsid w:val="00F74418"/>
    <w:rsid w:val="00F74419"/>
    <w:rsid w:val="00F744BC"/>
    <w:rsid w:val="00F74566"/>
    <w:rsid w:val="00F74863"/>
    <w:rsid w:val="00F748C1"/>
    <w:rsid w:val="00F74A8F"/>
    <w:rsid w:val="00F74B06"/>
    <w:rsid w:val="00F74B4F"/>
    <w:rsid w:val="00F74B51"/>
    <w:rsid w:val="00F751C4"/>
    <w:rsid w:val="00F75289"/>
    <w:rsid w:val="00F752EB"/>
    <w:rsid w:val="00F7543F"/>
    <w:rsid w:val="00F75497"/>
    <w:rsid w:val="00F75735"/>
    <w:rsid w:val="00F75F71"/>
    <w:rsid w:val="00F7635E"/>
    <w:rsid w:val="00F7652B"/>
    <w:rsid w:val="00F769B6"/>
    <w:rsid w:val="00F76B50"/>
    <w:rsid w:val="00F76B79"/>
    <w:rsid w:val="00F76CFB"/>
    <w:rsid w:val="00F76DD1"/>
    <w:rsid w:val="00F76E01"/>
    <w:rsid w:val="00F771D8"/>
    <w:rsid w:val="00F772B5"/>
    <w:rsid w:val="00F77421"/>
    <w:rsid w:val="00F77B1A"/>
    <w:rsid w:val="00F77BC3"/>
    <w:rsid w:val="00F77E75"/>
    <w:rsid w:val="00F80073"/>
    <w:rsid w:val="00F80223"/>
    <w:rsid w:val="00F80273"/>
    <w:rsid w:val="00F807B2"/>
    <w:rsid w:val="00F808DC"/>
    <w:rsid w:val="00F80CD4"/>
    <w:rsid w:val="00F80E15"/>
    <w:rsid w:val="00F80E9C"/>
    <w:rsid w:val="00F80EB0"/>
    <w:rsid w:val="00F80FD1"/>
    <w:rsid w:val="00F80FE5"/>
    <w:rsid w:val="00F81216"/>
    <w:rsid w:val="00F81365"/>
    <w:rsid w:val="00F813B7"/>
    <w:rsid w:val="00F81408"/>
    <w:rsid w:val="00F81517"/>
    <w:rsid w:val="00F81BE4"/>
    <w:rsid w:val="00F82097"/>
    <w:rsid w:val="00F82BC4"/>
    <w:rsid w:val="00F82D39"/>
    <w:rsid w:val="00F82D54"/>
    <w:rsid w:val="00F83106"/>
    <w:rsid w:val="00F8331E"/>
    <w:rsid w:val="00F834D6"/>
    <w:rsid w:val="00F835FF"/>
    <w:rsid w:val="00F83B0B"/>
    <w:rsid w:val="00F83E7E"/>
    <w:rsid w:val="00F842AE"/>
    <w:rsid w:val="00F843FB"/>
    <w:rsid w:val="00F84443"/>
    <w:rsid w:val="00F8481B"/>
    <w:rsid w:val="00F84B18"/>
    <w:rsid w:val="00F84B79"/>
    <w:rsid w:val="00F84C15"/>
    <w:rsid w:val="00F84D92"/>
    <w:rsid w:val="00F84EB6"/>
    <w:rsid w:val="00F84F8E"/>
    <w:rsid w:val="00F850B0"/>
    <w:rsid w:val="00F850E9"/>
    <w:rsid w:val="00F851C0"/>
    <w:rsid w:val="00F85572"/>
    <w:rsid w:val="00F85826"/>
    <w:rsid w:val="00F85B33"/>
    <w:rsid w:val="00F864B2"/>
    <w:rsid w:val="00F866E6"/>
    <w:rsid w:val="00F86754"/>
    <w:rsid w:val="00F86BA5"/>
    <w:rsid w:val="00F86F17"/>
    <w:rsid w:val="00F8769B"/>
    <w:rsid w:val="00F879D4"/>
    <w:rsid w:val="00F87A53"/>
    <w:rsid w:val="00F90324"/>
    <w:rsid w:val="00F9036B"/>
    <w:rsid w:val="00F906CC"/>
    <w:rsid w:val="00F90E43"/>
    <w:rsid w:val="00F9105C"/>
    <w:rsid w:val="00F9119B"/>
    <w:rsid w:val="00F9127D"/>
    <w:rsid w:val="00F913F8"/>
    <w:rsid w:val="00F91437"/>
    <w:rsid w:val="00F91582"/>
    <w:rsid w:val="00F91630"/>
    <w:rsid w:val="00F91813"/>
    <w:rsid w:val="00F91839"/>
    <w:rsid w:val="00F9189E"/>
    <w:rsid w:val="00F919E9"/>
    <w:rsid w:val="00F91AEA"/>
    <w:rsid w:val="00F91FAB"/>
    <w:rsid w:val="00F920AF"/>
    <w:rsid w:val="00F9220F"/>
    <w:rsid w:val="00F927C6"/>
    <w:rsid w:val="00F92B0E"/>
    <w:rsid w:val="00F92E0F"/>
    <w:rsid w:val="00F93125"/>
    <w:rsid w:val="00F93148"/>
    <w:rsid w:val="00F931BC"/>
    <w:rsid w:val="00F931F1"/>
    <w:rsid w:val="00F93BC2"/>
    <w:rsid w:val="00F93CA0"/>
    <w:rsid w:val="00F93D98"/>
    <w:rsid w:val="00F93E0B"/>
    <w:rsid w:val="00F94C71"/>
    <w:rsid w:val="00F94DFA"/>
    <w:rsid w:val="00F95204"/>
    <w:rsid w:val="00F95223"/>
    <w:rsid w:val="00F9525A"/>
    <w:rsid w:val="00F95292"/>
    <w:rsid w:val="00F9557E"/>
    <w:rsid w:val="00F95874"/>
    <w:rsid w:val="00F95F8B"/>
    <w:rsid w:val="00F960DA"/>
    <w:rsid w:val="00F961AC"/>
    <w:rsid w:val="00F96853"/>
    <w:rsid w:val="00F96A7F"/>
    <w:rsid w:val="00F96D66"/>
    <w:rsid w:val="00F96D76"/>
    <w:rsid w:val="00F97189"/>
    <w:rsid w:val="00F97714"/>
    <w:rsid w:val="00F977D3"/>
    <w:rsid w:val="00F97B4E"/>
    <w:rsid w:val="00F97F2E"/>
    <w:rsid w:val="00F97F4C"/>
    <w:rsid w:val="00FA0078"/>
    <w:rsid w:val="00FA0311"/>
    <w:rsid w:val="00FA0601"/>
    <w:rsid w:val="00FA068F"/>
    <w:rsid w:val="00FA0B14"/>
    <w:rsid w:val="00FA0D61"/>
    <w:rsid w:val="00FA128A"/>
    <w:rsid w:val="00FA13E5"/>
    <w:rsid w:val="00FA1698"/>
    <w:rsid w:val="00FA16AE"/>
    <w:rsid w:val="00FA16DA"/>
    <w:rsid w:val="00FA17D7"/>
    <w:rsid w:val="00FA17EC"/>
    <w:rsid w:val="00FA18D6"/>
    <w:rsid w:val="00FA1DBB"/>
    <w:rsid w:val="00FA23C7"/>
    <w:rsid w:val="00FA2413"/>
    <w:rsid w:val="00FA27DB"/>
    <w:rsid w:val="00FA2858"/>
    <w:rsid w:val="00FA2AC1"/>
    <w:rsid w:val="00FA2C0B"/>
    <w:rsid w:val="00FA2ED5"/>
    <w:rsid w:val="00FA3261"/>
    <w:rsid w:val="00FA341D"/>
    <w:rsid w:val="00FA3459"/>
    <w:rsid w:val="00FA38BF"/>
    <w:rsid w:val="00FA3C8B"/>
    <w:rsid w:val="00FA420D"/>
    <w:rsid w:val="00FA4597"/>
    <w:rsid w:val="00FA46BB"/>
    <w:rsid w:val="00FA4D1A"/>
    <w:rsid w:val="00FA4D74"/>
    <w:rsid w:val="00FA4D84"/>
    <w:rsid w:val="00FA50BD"/>
    <w:rsid w:val="00FA544F"/>
    <w:rsid w:val="00FA5713"/>
    <w:rsid w:val="00FA5A37"/>
    <w:rsid w:val="00FA5A9E"/>
    <w:rsid w:val="00FA5C80"/>
    <w:rsid w:val="00FA5F1D"/>
    <w:rsid w:val="00FA608C"/>
    <w:rsid w:val="00FA651A"/>
    <w:rsid w:val="00FA6965"/>
    <w:rsid w:val="00FA6E17"/>
    <w:rsid w:val="00FA702E"/>
    <w:rsid w:val="00FA7060"/>
    <w:rsid w:val="00FA71F3"/>
    <w:rsid w:val="00FA745E"/>
    <w:rsid w:val="00FA76C5"/>
    <w:rsid w:val="00FA7A1C"/>
    <w:rsid w:val="00FA7C62"/>
    <w:rsid w:val="00FA7CA3"/>
    <w:rsid w:val="00FA7CE3"/>
    <w:rsid w:val="00FA7E6A"/>
    <w:rsid w:val="00FA7EFC"/>
    <w:rsid w:val="00FA7FEE"/>
    <w:rsid w:val="00FB0124"/>
    <w:rsid w:val="00FB03AB"/>
    <w:rsid w:val="00FB0620"/>
    <w:rsid w:val="00FB0729"/>
    <w:rsid w:val="00FB082C"/>
    <w:rsid w:val="00FB09A6"/>
    <w:rsid w:val="00FB0A30"/>
    <w:rsid w:val="00FB0D40"/>
    <w:rsid w:val="00FB0D6A"/>
    <w:rsid w:val="00FB1211"/>
    <w:rsid w:val="00FB1391"/>
    <w:rsid w:val="00FB15CF"/>
    <w:rsid w:val="00FB179A"/>
    <w:rsid w:val="00FB1AE7"/>
    <w:rsid w:val="00FB1C7C"/>
    <w:rsid w:val="00FB1D69"/>
    <w:rsid w:val="00FB1F1D"/>
    <w:rsid w:val="00FB25E6"/>
    <w:rsid w:val="00FB278B"/>
    <w:rsid w:val="00FB2928"/>
    <w:rsid w:val="00FB29F1"/>
    <w:rsid w:val="00FB3252"/>
    <w:rsid w:val="00FB347B"/>
    <w:rsid w:val="00FB3807"/>
    <w:rsid w:val="00FB3A8B"/>
    <w:rsid w:val="00FB3AAD"/>
    <w:rsid w:val="00FB3ADB"/>
    <w:rsid w:val="00FB3BF9"/>
    <w:rsid w:val="00FB3E58"/>
    <w:rsid w:val="00FB3F9D"/>
    <w:rsid w:val="00FB4223"/>
    <w:rsid w:val="00FB46D4"/>
    <w:rsid w:val="00FB48AD"/>
    <w:rsid w:val="00FB4F6E"/>
    <w:rsid w:val="00FB4FD5"/>
    <w:rsid w:val="00FB5106"/>
    <w:rsid w:val="00FB5273"/>
    <w:rsid w:val="00FB5513"/>
    <w:rsid w:val="00FB5672"/>
    <w:rsid w:val="00FB581F"/>
    <w:rsid w:val="00FB5F97"/>
    <w:rsid w:val="00FB6297"/>
    <w:rsid w:val="00FB695D"/>
    <w:rsid w:val="00FB6CB1"/>
    <w:rsid w:val="00FB6FC5"/>
    <w:rsid w:val="00FB72DB"/>
    <w:rsid w:val="00FB7438"/>
    <w:rsid w:val="00FB7481"/>
    <w:rsid w:val="00FB76F6"/>
    <w:rsid w:val="00FB7D94"/>
    <w:rsid w:val="00FB7E6E"/>
    <w:rsid w:val="00FB7ED0"/>
    <w:rsid w:val="00FC00C0"/>
    <w:rsid w:val="00FC00FC"/>
    <w:rsid w:val="00FC0472"/>
    <w:rsid w:val="00FC06CD"/>
    <w:rsid w:val="00FC0A89"/>
    <w:rsid w:val="00FC0DFE"/>
    <w:rsid w:val="00FC0F87"/>
    <w:rsid w:val="00FC1C5F"/>
    <w:rsid w:val="00FC1D52"/>
    <w:rsid w:val="00FC1D54"/>
    <w:rsid w:val="00FC1E42"/>
    <w:rsid w:val="00FC20F3"/>
    <w:rsid w:val="00FC245A"/>
    <w:rsid w:val="00FC2561"/>
    <w:rsid w:val="00FC2612"/>
    <w:rsid w:val="00FC29E4"/>
    <w:rsid w:val="00FC2D56"/>
    <w:rsid w:val="00FC2DBC"/>
    <w:rsid w:val="00FC2E8A"/>
    <w:rsid w:val="00FC2EA6"/>
    <w:rsid w:val="00FC358A"/>
    <w:rsid w:val="00FC379E"/>
    <w:rsid w:val="00FC38A1"/>
    <w:rsid w:val="00FC3F6A"/>
    <w:rsid w:val="00FC418C"/>
    <w:rsid w:val="00FC490A"/>
    <w:rsid w:val="00FC4A81"/>
    <w:rsid w:val="00FC4C9E"/>
    <w:rsid w:val="00FC51F7"/>
    <w:rsid w:val="00FC5296"/>
    <w:rsid w:val="00FC555C"/>
    <w:rsid w:val="00FC58D6"/>
    <w:rsid w:val="00FC58EB"/>
    <w:rsid w:val="00FC5C85"/>
    <w:rsid w:val="00FC5F95"/>
    <w:rsid w:val="00FC6025"/>
    <w:rsid w:val="00FC60F4"/>
    <w:rsid w:val="00FC634F"/>
    <w:rsid w:val="00FC6AD6"/>
    <w:rsid w:val="00FC6BD5"/>
    <w:rsid w:val="00FC6C8E"/>
    <w:rsid w:val="00FC6C9A"/>
    <w:rsid w:val="00FC6FE4"/>
    <w:rsid w:val="00FC7442"/>
    <w:rsid w:val="00FC7535"/>
    <w:rsid w:val="00FC795D"/>
    <w:rsid w:val="00FC79BC"/>
    <w:rsid w:val="00FD0126"/>
    <w:rsid w:val="00FD0172"/>
    <w:rsid w:val="00FD06CB"/>
    <w:rsid w:val="00FD0794"/>
    <w:rsid w:val="00FD08DF"/>
    <w:rsid w:val="00FD0AD0"/>
    <w:rsid w:val="00FD0AF4"/>
    <w:rsid w:val="00FD0BDC"/>
    <w:rsid w:val="00FD0E51"/>
    <w:rsid w:val="00FD0E77"/>
    <w:rsid w:val="00FD126F"/>
    <w:rsid w:val="00FD17E4"/>
    <w:rsid w:val="00FD1B93"/>
    <w:rsid w:val="00FD1CFE"/>
    <w:rsid w:val="00FD2042"/>
    <w:rsid w:val="00FD2AED"/>
    <w:rsid w:val="00FD2B64"/>
    <w:rsid w:val="00FD2BA8"/>
    <w:rsid w:val="00FD312D"/>
    <w:rsid w:val="00FD340A"/>
    <w:rsid w:val="00FD3A5B"/>
    <w:rsid w:val="00FD3AF9"/>
    <w:rsid w:val="00FD3C87"/>
    <w:rsid w:val="00FD3CE6"/>
    <w:rsid w:val="00FD465F"/>
    <w:rsid w:val="00FD46D8"/>
    <w:rsid w:val="00FD4C13"/>
    <w:rsid w:val="00FD4E5F"/>
    <w:rsid w:val="00FD4EEF"/>
    <w:rsid w:val="00FD5172"/>
    <w:rsid w:val="00FD54A1"/>
    <w:rsid w:val="00FD5726"/>
    <w:rsid w:val="00FD5D63"/>
    <w:rsid w:val="00FD6978"/>
    <w:rsid w:val="00FD699F"/>
    <w:rsid w:val="00FD69C4"/>
    <w:rsid w:val="00FD6C4F"/>
    <w:rsid w:val="00FD6C86"/>
    <w:rsid w:val="00FD72E2"/>
    <w:rsid w:val="00FD7353"/>
    <w:rsid w:val="00FD75D9"/>
    <w:rsid w:val="00FD77B4"/>
    <w:rsid w:val="00FD77D7"/>
    <w:rsid w:val="00FD788D"/>
    <w:rsid w:val="00FD7AC1"/>
    <w:rsid w:val="00FD7D5B"/>
    <w:rsid w:val="00FD7EC9"/>
    <w:rsid w:val="00FE016E"/>
    <w:rsid w:val="00FE01C4"/>
    <w:rsid w:val="00FE04F3"/>
    <w:rsid w:val="00FE0B97"/>
    <w:rsid w:val="00FE0BFB"/>
    <w:rsid w:val="00FE0FF4"/>
    <w:rsid w:val="00FE1007"/>
    <w:rsid w:val="00FE1082"/>
    <w:rsid w:val="00FE13D2"/>
    <w:rsid w:val="00FE15A8"/>
    <w:rsid w:val="00FE1678"/>
    <w:rsid w:val="00FE17E2"/>
    <w:rsid w:val="00FE1D7B"/>
    <w:rsid w:val="00FE2230"/>
    <w:rsid w:val="00FE25DD"/>
    <w:rsid w:val="00FE27A3"/>
    <w:rsid w:val="00FE28F3"/>
    <w:rsid w:val="00FE2956"/>
    <w:rsid w:val="00FE2CD4"/>
    <w:rsid w:val="00FE2ED2"/>
    <w:rsid w:val="00FE303F"/>
    <w:rsid w:val="00FE30AA"/>
    <w:rsid w:val="00FE3578"/>
    <w:rsid w:val="00FE39C2"/>
    <w:rsid w:val="00FE3A41"/>
    <w:rsid w:val="00FE4104"/>
    <w:rsid w:val="00FE419B"/>
    <w:rsid w:val="00FE56E8"/>
    <w:rsid w:val="00FE5821"/>
    <w:rsid w:val="00FE5FD1"/>
    <w:rsid w:val="00FE5FD3"/>
    <w:rsid w:val="00FE6298"/>
    <w:rsid w:val="00FE6377"/>
    <w:rsid w:val="00FE64D0"/>
    <w:rsid w:val="00FE662B"/>
    <w:rsid w:val="00FE69CC"/>
    <w:rsid w:val="00FE6F63"/>
    <w:rsid w:val="00FE726E"/>
    <w:rsid w:val="00FE74E9"/>
    <w:rsid w:val="00FE7624"/>
    <w:rsid w:val="00FE79CB"/>
    <w:rsid w:val="00FE7B2B"/>
    <w:rsid w:val="00FE7B8F"/>
    <w:rsid w:val="00FE7BE0"/>
    <w:rsid w:val="00FE7FEC"/>
    <w:rsid w:val="00FF00A8"/>
    <w:rsid w:val="00FF0143"/>
    <w:rsid w:val="00FF0344"/>
    <w:rsid w:val="00FF0365"/>
    <w:rsid w:val="00FF0541"/>
    <w:rsid w:val="00FF0B27"/>
    <w:rsid w:val="00FF0C56"/>
    <w:rsid w:val="00FF0F42"/>
    <w:rsid w:val="00FF10A1"/>
    <w:rsid w:val="00FF10A8"/>
    <w:rsid w:val="00FF17B5"/>
    <w:rsid w:val="00FF19D7"/>
    <w:rsid w:val="00FF1F2B"/>
    <w:rsid w:val="00FF1FA5"/>
    <w:rsid w:val="00FF2178"/>
    <w:rsid w:val="00FF2303"/>
    <w:rsid w:val="00FF26FD"/>
    <w:rsid w:val="00FF2861"/>
    <w:rsid w:val="00FF28A8"/>
    <w:rsid w:val="00FF2C9B"/>
    <w:rsid w:val="00FF2F9C"/>
    <w:rsid w:val="00FF2FA4"/>
    <w:rsid w:val="00FF3669"/>
    <w:rsid w:val="00FF374E"/>
    <w:rsid w:val="00FF3963"/>
    <w:rsid w:val="00FF3A3E"/>
    <w:rsid w:val="00FF3D3D"/>
    <w:rsid w:val="00FF3F5A"/>
    <w:rsid w:val="00FF3FC1"/>
    <w:rsid w:val="00FF48FD"/>
    <w:rsid w:val="00FF4A9D"/>
    <w:rsid w:val="00FF4AEA"/>
    <w:rsid w:val="00FF4CD4"/>
    <w:rsid w:val="00FF5B00"/>
    <w:rsid w:val="00FF5F66"/>
    <w:rsid w:val="00FF5FBE"/>
    <w:rsid w:val="00FF605F"/>
    <w:rsid w:val="00FF692D"/>
    <w:rsid w:val="00FF6939"/>
    <w:rsid w:val="00FF6B52"/>
    <w:rsid w:val="00FF6BA3"/>
    <w:rsid w:val="00FF7018"/>
    <w:rsid w:val="00FF74A5"/>
    <w:rsid w:val="00FF7654"/>
    <w:rsid w:val="00FF77C1"/>
    <w:rsid w:val="00FF79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4A7F6C6"/>
  <w15:docId w15:val="{3C14EA0C-ECCE-4DD2-8B1A-53A8F5AD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D59"/>
    <w:pPr>
      <w:widowControl w:val="0"/>
      <w:spacing w:line="264" w:lineRule="auto"/>
    </w:pPr>
    <w:rPr>
      <w:sz w:val="24"/>
      <w:szCs w:val="24"/>
    </w:rPr>
  </w:style>
  <w:style w:type="paragraph" w:styleId="Ttulo1">
    <w:name w:val="heading 1"/>
    <w:basedOn w:val="Normal"/>
    <w:next w:val="Corpodetexto"/>
    <w:link w:val="Ttulo1Char"/>
    <w:uiPriority w:val="99"/>
    <w:qFormat/>
    <w:rsid w:val="00E5561F"/>
    <w:pPr>
      <w:keepNext/>
      <w:keepLines/>
      <w:spacing w:after="120" w:line="400" w:lineRule="exact"/>
      <w:outlineLvl w:val="0"/>
    </w:pPr>
    <w:rPr>
      <w:rFonts w:ascii="Arial" w:hAnsi="Arial"/>
      <w:bCs/>
      <w:color w:val="00011F"/>
      <w:sz w:val="40"/>
      <w:szCs w:val="28"/>
    </w:rPr>
  </w:style>
  <w:style w:type="paragraph" w:styleId="Ttulo2">
    <w:name w:val="heading 2"/>
    <w:basedOn w:val="Normal"/>
    <w:next w:val="Corpodetexto"/>
    <w:link w:val="Ttulo2Char"/>
    <w:uiPriority w:val="99"/>
    <w:qFormat/>
    <w:rsid w:val="00E5561F"/>
    <w:pPr>
      <w:keepNext/>
      <w:keepLines/>
      <w:spacing w:after="60" w:line="360" w:lineRule="exact"/>
      <w:outlineLvl w:val="1"/>
    </w:pPr>
    <w:rPr>
      <w:rFonts w:ascii="Arial" w:hAnsi="Arial"/>
      <w:bCs/>
      <w:color w:val="A2978A"/>
      <w:sz w:val="36"/>
      <w:szCs w:val="26"/>
    </w:rPr>
  </w:style>
  <w:style w:type="paragraph" w:styleId="Ttulo3">
    <w:name w:val="heading 3"/>
    <w:basedOn w:val="Normal"/>
    <w:next w:val="Corpodetexto"/>
    <w:link w:val="Ttulo3Char"/>
    <w:uiPriority w:val="99"/>
    <w:qFormat/>
    <w:rsid w:val="00E5561F"/>
    <w:pPr>
      <w:keepNext/>
      <w:keepLines/>
      <w:spacing w:after="60" w:line="280" w:lineRule="exact"/>
      <w:outlineLvl w:val="2"/>
    </w:pPr>
    <w:rPr>
      <w:rFonts w:ascii="Arial" w:hAnsi="Arial"/>
      <w:bCs/>
      <w:color w:val="00011F"/>
      <w:sz w:val="28"/>
    </w:rPr>
  </w:style>
  <w:style w:type="paragraph" w:styleId="Ttulo4">
    <w:name w:val="heading 4"/>
    <w:basedOn w:val="Normal"/>
    <w:next w:val="Corpodetexto"/>
    <w:link w:val="Ttulo4Char"/>
    <w:uiPriority w:val="99"/>
    <w:qFormat/>
    <w:rsid w:val="00E5561F"/>
    <w:pPr>
      <w:keepNext/>
      <w:keepLines/>
      <w:spacing w:after="60" w:line="240" w:lineRule="exact"/>
      <w:outlineLvl w:val="3"/>
    </w:pPr>
    <w:rPr>
      <w:rFonts w:ascii="Arial" w:hAnsi="Arial"/>
      <w:bCs/>
      <w:iCs/>
      <w:color w:val="A2978A"/>
    </w:rPr>
  </w:style>
  <w:style w:type="paragraph" w:styleId="Ttulo5">
    <w:name w:val="heading 5"/>
    <w:basedOn w:val="Normal"/>
    <w:next w:val="Corpodetexto"/>
    <w:link w:val="Ttulo5Char"/>
    <w:uiPriority w:val="99"/>
    <w:qFormat/>
    <w:rsid w:val="00E5561F"/>
    <w:pPr>
      <w:keepNext/>
      <w:keepLines/>
      <w:spacing w:after="60" w:line="210" w:lineRule="exact"/>
      <w:outlineLvl w:val="4"/>
    </w:pPr>
    <w:rPr>
      <w:rFonts w:ascii="Arial" w:hAnsi="Arial"/>
      <w:color w:val="00011F"/>
    </w:rPr>
  </w:style>
  <w:style w:type="paragraph" w:styleId="Ttulo6">
    <w:name w:val="heading 6"/>
    <w:basedOn w:val="Normal"/>
    <w:next w:val="Corpodetexto"/>
    <w:link w:val="Ttulo6Char"/>
    <w:uiPriority w:val="99"/>
    <w:qFormat/>
    <w:rsid w:val="00E5561F"/>
    <w:pPr>
      <w:keepNext/>
      <w:keepLines/>
      <w:spacing w:after="60"/>
      <w:outlineLvl w:val="5"/>
    </w:pPr>
    <w:rPr>
      <w:rFonts w:ascii="Arial" w:hAnsi="Arial"/>
      <w:iCs/>
    </w:rPr>
  </w:style>
  <w:style w:type="paragraph" w:styleId="Ttulo7">
    <w:name w:val="heading 7"/>
    <w:basedOn w:val="Normal"/>
    <w:next w:val="Corpodetexto"/>
    <w:link w:val="Ttulo7Char"/>
    <w:uiPriority w:val="99"/>
    <w:qFormat/>
    <w:rsid w:val="00E5561F"/>
    <w:pPr>
      <w:keepNext/>
      <w:keepLines/>
      <w:spacing w:after="60"/>
      <w:outlineLvl w:val="6"/>
    </w:pPr>
    <w:rPr>
      <w:rFonts w:ascii="Arial" w:hAnsi="Arial"/>
      <w:iCs/>
    </w:rPr>
  </w:style>
  <w:style w:type="paragraph" w:styleId="Ttulo8">
    <w:name w:val="heading 8"/>
    <w:basedOn w:val="Normal"/>
    <w:next w:val="Corpodetexto"/>
    <w:link w:val="Ttulo8Char"/>
    <w:uiPriority w:val="99"/>
    <w:qFormat/>
    <w:rsid w:val="00E5561F"/>
    <w:pPr>
      <w:keepNext/>
      <w:keepLines/>
      <w:spacing w:after="60"/>
      <w:outlineLvl w:val="7"/>
    </w:pPr>
    <w:rPr>
      <w:rFonts w:ascii="Arial" w:hAnsi="Arial"/>
      <w:szCs w:val="20"/>
    </w:rPr>
  </w:style>
  <w:style w:type="paragraph" w:styleId="Ttulo9">
    <w:name w:val="heading 9"/>
    <w:basedOn w:val="Normal"/>
    <w:next w:val="Corpodetexto"/>
    <w:link w:val="Ttulo9Char"/>
    <w:uiPriority w:val="99"/>
    <w:qFormat/>
    <w:rsid w:val="00E5561F"/>
    <w:pPr>
      <w:keepNext/>
      <w:keepLines/>
      <w:spacing w:after="60"/>
      <w:outlineLvl w:val="8"/>
    </w:pPr>
    <w:rPr>
      <w:rFonts w:ascii="Arial" w:hAnsi="Arial"/>
      <w:i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5561F"/>
    <w:rPr>
      <w:rFonts w:ascii="Arial" w:hAnsi="Arial" w:cs="Times New Roman"/>
      <w:color w:val="00011F"/>
      <w:sz w:val="28"/>
      <w:lang w:val="pt-BR" w:eastAsia="pt-BR"/>
    </w:rPr>
  </w:style>
  <w:style w:type="character" w:customStyle="1" w:styleId="Ttulo2Char">
    <w:name w:val="Título 2 Char"/>
    <w:basedOn w:val="Fontepargpadro"/>
    <w:link w:val="Ttulo2"/>
    <w:uiPriority w:val="99"/>
    <w:locked/>
    <w:rsid w:val="00E5561F"/>
    <w:rPr>
      <w:rFonts w:ascii="Arial" w:hAnsi="Arial" w:cs="Times New Roman"/>
      <w:color w:val="A2978A"/>
      <w:sz w:val="26"/>
      <w:lang w:val="pt-BR" w:eastAsia="pt-BR"/>
    </w:rPr>
  </w:style>
  <w:style w:type="character" w:customStyle="1" w:styleId="Ttulo3Char">
    <w:name w:val="Título 3 Char"/>
    <w:basedOn w:val="Fontepargpadro"/>
    <w:link w:val="Ttulo3"/>
    <w:uiPriority w:val="99"/>
    <w:locked/>
    <w:rsid w:val="00E5561F"/>
    <w:rPr>
      <w:rFonts w:ascii="Arial" w:hAnsi="Arial" w:cs="Times New Roman"/>
      <w:color w:val="00011F"/>
      <w:sz w:val="24"/>
      <w:lang w:val="pt-BR" w:eastAsia="pt-BR"/>
    </w:rPr>
  </w:style>
  <w:style w:type="character" w:customStyle="1" w:styleId="Ttulo4Char">
    <w:name w:val="Título 4 Char"/>
    <w:basedOn w:val="Fontepargpadro"/>
    <w:link w:val="Ttulo4"/>
    <w:uiPriority w:val="99"/>
    <w:locked/>
    <w:rsid w:val="00E5561F"/>
    <w:rPr>
      <w:rFonts w:ascii="Arial" w:hAnsi="Arial" w:cs="Times New Roman"/>
      <w:color w:val="A2978A"/>
      <w:sz w:val="24"/>
      <w:lang w:val="pt-BR" w:eastAsia="pt-BR"/>
    </w:rPr>
  </w:style>
  <w:style w:type="character" w:customStyle="1" w:styleId="Ttulo5Char">
    <w:name w:val="Título 5 Char"/>
    <w:basedOn w:val="Fontepargpadro"/>
    <w:link w:val="Ttulo5"/>
    <w:uiPriority w:val="99"/>
    <w:semiHidden/>
    <w:locked/>
    <w:rsid w:val="00E5561F"/>
    <w:rPr>
      <w:rFonts w:ascii="Arial" w:hAnsi="Arial" w:cs="Times New Roman"/>
      <w:color w:val="00011F"/>
      <w:sz w:val="24"/>
      <w:lang w:val="pt-BR" w:eastAsia="pt-BR"/>
    </w:rPr>
  </w:style>
  <w:style w:type="character" w:customStyle="1" w:styleId="Ttulo6Char">
    <w:name w:val="Título 6 Char"/>
    <w:basedOn w:val="Fontepargpadro"/>
    <w:link w:val="Ttulo6"/>
    <w:uiPriority w:val="99"/>
    <w:semiHidden/>
    <w:locked/>
    <w:rsid w:val="00E5561F"/>
    <w:rPr>
      <w:rFonts w:ascii="Arial" w:hAnsi="Arial" w:cs="Times New Roman"/>
      <w:sz w:val="24"/>
      <w:lang w:val="pt-BR" w:eastAsia="pt-BR"/>
    </w:rPr>
  </w:style>
  <w:style w:type="character" w:customStyle="1" w:styleId="Ttulo7Char">
    <w:name w:val="Título 7 Char"/>
    <w:basedOn w:val="Fontepargpadro"/>
    <w:link w:val="Ttulo7"/>
    <w:uiPriority w:val="99"/>
    <w:semiHidden/>
    <w:locked/>
    <w:rsid w:val="00E5561F"/>
    <w:rPr>
      <w:rFonts w:ascii="Arial" w:hAnsi="Arial" w:cs="Times New Roman"/>
      <w:sz w:val="24"/>
      <w:lang w:val="pt-BR" w:eastAsia="pt-BR"/>
    </w:rPr>
  </w:style>
  <w:style w:type="character" w:customStyle="1" w:styleId="Ttulo8Char">
    <w:name w:val="Título 8 Char"/>
    <w:basedOn w:val="Fontepargpadro"/>
    <w:link w:val="Ttulo8"/>
    <w:uiPriority w:val="99"/>
    <w:semiHidden/>
    <w:locked/>
    <w:rsid w:val="00E5561F"/>
    <w:rPr>
      <w:rFonts w:ascii="Arial" w:hAnsi="Arial" w:cs="Times New Roman"/>
      <w:sz w:val="24"/>
      <w:lang w:val="pt-BR" w:eastAsia="pt-BR"/>
    </w:rPr>
  </w:style>
  <w:style w:type="character" w:customStyle="1" w:styleId="Ttulo9Char">
    <w:name w:val="Título 9 Char"/>
    <w:basedOn w:val="Fontepargpadro"/>
    <w:link w:val="Ttulo9"/>
    <w:uiPriority w:val="99"/>
    <w:semiHidden/>
    <w:locked/>
    <w:rsid w:val="00E5561F"/>
    <w:rPr>
      <w:rFonts w:ascii="Arial" w:hAnsi="Arial" w:cs="Times New Roman"/>
      <w:sz w:val="24"/>
      <w:lang w:val="pt-BR" w:eastAsia="pt-BR"/>
    </w:rPr>
  </w:style>
  <w:style w:type="paragraph" w:styleId="Corpodetexto">
    <w:name w:val="Body Text"/>
    <w:basedOn w:val="Normal"/>
    <w:link w:val="CorpodetextoChar"/>
    <w:uiPriority w:val="99"/>
    <w:rsid w:val="00E5561F"/>
  </w:style>
  <w:style w:type="character" w:customStyle="1" w:styleId="CorpodetextoChar">
    <w:name w:val="Corpo de texto Char"/>
    <w:basedOn w:val="Fontepargpadro"/>
    <w:link w:val="Corpodetexto"/>
    <w:uiPriority w:val="99"/>
    <w:locked/>
    <w:rsid w:val="00E5561F"/>
    <w:rPr>
      <w:rFonts w:cs="Times New Roman"/>
      <w:sz w:val="24"/>
      <w:lang w:val="pt-BR" w:eastAsia="pt-BR"/>
    </w:rPr>
  </w:style>
  <w:style w:type="paragraph" w:customStyle="1" w:styleId="CabealhodoSumrio1">
    <w:name w:val="Cabeçalho do Sumário1"/>
    <w:basedOn w:val="Ttulo1"/>
    <w:next w:val="Corpodetexto"/>
    <w:uiPriority w:val="99"/>
    <w:rsid w:val="00E5561F"/>
    <w:pPr>
      <w:spacing w:before="480" w:after="0" w:line="276" w:lineRule="auto"/>
      <w:outlineLvl w:val="9"/>
    </w:pPr>
  </w:style>
  <w:style w:type="paragraph" w:styleId="Ttulo">
    <w:name w:val="Title"/>
    <w:basedOn w:val="Normal"/>
    <w:next w:val="Subttulo"/>
    <w:link w:val="TtuloChar"/>
    <w:uiPriority w:val="99"/>
    <w:qFormat/>
    <w:rsid w:val="00E5561F"/>
    <w:pPr>
      <w:pageBreakBefore/>
    </w:pPr>
    <w:rPr>
      <w:rFonts w:ascii="Arial" w:hAnsi="Arial"/>
      <w:color w:val="00011F"/>
      <w:spacing w:val="5"/>
      <w:kern w:val="28"/>
      <w:sz w:val="72"/>
      <w:szCs w:val="52"/>
    </w:rPr>
  </w:style>
  <w:style w:type="character" w:customStyle="1" w:styleId="TtuloChar">
    <w:name w:val="Título Char"/>
    <w:basedOn w:val="Fontepargpadro"/>
    <w:link w:val="Ttulo"/>
    <w:uiPriority w:val="99"/>
    <w:locked/>
    <w:rsid w:val="00E5561F"/>
    <w:rPr>
      <w:rFonts w:ascii="Arial" w:hAnsi="Arial" w:cs="Times New Roman"/>
      <w:color w:val="00011F"/>
      <w:spacing w:val="5"/>
      <w:kern w:val="28"/>
      <w:sz w:val="52"/>
      <w:lang w:val="pt-BR" w:eastAsia="pt-BR"/>
    </w:rPr>
  </w:style>
  <w:style w:type="paragraph" w:styleId="Subttulo">
    <w:name w:val="Subtitle"/>
    <w:basedOn w:val="Normal"/>
    <w:next w:val="Corpodetexto"/>
    <w:link w:val="SubttuloChar"/>
    <w:uiPriority w:val="99"/>
    <w:qFormat/>
    <w:rsid w:val="00E5561F"/>
    <w:pPr>
      <w:numPr>
        <w:ilvl w:val="1"/>
      </w:numPr>
    </w:pPr>
    <w:rPr>
      <w:rFonts w:ascii="Arial" w:hAnsi="Arial"/>
      <w:iCs/>
      <w:color w:val="A2978A"/>
      <w:sz w:val="36"/>
    </w:rPr>
  </w:style>
  <w:style w:type="character" w:customStyle="1" w:styleId="SubttuloChar">
    <w:name w:val="Subtítulo Char"/>
    <w:basedOn w:val="Fontepargpadro"/>
    <w:link w:val="Subttulo"/>
    <w:uiPriority w:val="99"/>
    <w:locked/>
    <w:rsid w:val="00E5561F"/>
    <w:rPr>
      <w:rFonts w:ascii="Arial" w:hAnsi="Arial" w:cs="Times New Roman"/>
      <w:color w:val="A2978A"/>
      <w:sz w:val="24"/>
      <w:lang w:val="pt-BR" w:eastAsia="pt-BR"/>
    </w:rPr>
  </w:style>
  <w:style w:type="paragraph" w:styleId="Legenda">
    <w:name w:val="caption"/>
    <w:basedOn w:val="Normal"/>
    <w:next w:val="Normal"/>
    <w:uiPriority w:val="99"/>
    <w:qFormat/>
    <w:rsid w:val="00E5561F"/>
    <w:rPr>
      <w:b/>
      <w:bCs/>
      <w:sz w:val="18"/>
      <w:szCs w:val="18"/>
    </w:rPr>
  </w:style>
  <w:style w:type="paragraph" w:styleId="Textoembloco">
    <w:name w:val="Block Text"/>
    <w:basedOn w:val="Normal"/>
    <w:uiPriority w:val="99"/>
    <w:rsid w:val="00E5561F"/>
    <w:pPr>
      <w:pBdr>
        <w:top w:val="single" w:sz="2" w:space="10" w:color="auto"/>
        <w:left w:val="single" w:sz="2" w:space="10" w:color="auto"/>
        <w:bottom w:val="single" w:sz="2" w:space="10" w:color="auto"/>
        <w:right w:val="single" w:sz="2" w:space="10" w:color="auto"/>
      </w:pBdr>
      <w:ind w:left="1152" w:right="1152"/>
    </w:pPr>
    <w:rPr>
      <w:i/>
      <w:iCs/>
      <w:sz w:val="22"/>
      <w:szCs w:val="22"/>
    </w:rPr>
  </w:style>
  <w:style w:type="character" w:customStyle="1" w:styleId="nfaseIntensa1">
    <w:name w:val="Ênfase Intensa1"/>
    <w:uiPriority w:val="99"/>
    <w:rsid w:val="00E5561F"/>
    <w:rPr>
      <w:b/>
      <w:i/>
      <w:color w:val="auto"/>
      <w:u w:val="none"/>
    </w:rPr>
  </w:style>
  <w:style w:type="paragraph" w:customStyle="1" w:styleId="CitaoIntensa1">
    <w:name w:val="Citação Intensa1"/>
    <w:basedOn w:val="Normal"/>
    <w:next w:val="Normal"/>
    <w:link w:val="IntenseQuoteChar"/>
    <w:uiPriority w:val="99"/>
    <w:rsid w:val="00E5561F"/>
    <w:pPr>
      <w:pBdr>
        <w:bottom w:val="single" w:sz="4" w:space="4" w:color="auto"/>
      </w:pBdr>
      <w:ind w:left="936" w:right="936"/>
    </w:pPr>
    <w:rPr>
      <w:b/>
      <w:i/>
      <w:sz w:val="22"/>
      <w:szCs w:val="20"/>
    </w:rPr>
  </w:style>
  <w:style w:type="character" w:customStyle="1" w:styleId="IntenseQuoteChar">
    <w:name w:val="Intense Quote Char"/>
    <w:link w:val="CitaoIntensa1"/>
    <w:uiPriority w:val="99"/>
    <w:semiHidden/>
    <w:locked/>
    <w:rsid w:val="00E5561F"/>
    <w:rPr>
      <w:b/>
      <w:i/>
      <w:sz w:val="22"/>
      <w:lang w:val="pt-BR" w:eastAsia="pt-BR"/>
    </w:rPr>
  </w:style>
  <w:style w:type="character" w:customStyle="1" w:styleId="RefernciaIntensa1">
    <w:name w:val="Referência Intensa1"/>
    <w:uiPriority w:val="99"/>
    <w:rsid w:val="00E5561F"/>
    <w:rPr>
      <w:b/>
      <w:smallCaps/>
      <w:color w:val="auto"/>
      <w:spacing w:val="5"/>
      <w:u w:val="none"/>
    </w:rPr>
  </w:style>
  <w:style w:type="character" w:customStyle="1" w:styleId="nfaseSutil1">
    <w:name w:val="Ênfase Sutil1"/>
    <w:uiPriority w:val="99"/>
    <w:rsid w:val="00E5561F"/>
    <w:rPr>
      <w:i/>
      <w:color w:val="auto"/>
      <w:u w:val="none"/>
    </w:rPr>
  </w:style>
  <w:style w:type="character" w:customStyle="1" w:styleId="RefernciaSutil1">
    <w:name w:val="Referência Sutil1"/>
    <w:uiPriority w:val="99"/>
    <w:rsid w:val="00E5561F"/>
    <w:rPr>
      <w:smallCaps/>
      <w:color w:val="auto"/>
      <w:u w:val="single"/>
    </w:rPr>
  </w:style>
  <w:style w:type="paragraph" w:styleId="Commarcadores">
    <w:name w:val="List Bullet"/>
    <w:basedOn w:val="Normal"/>
    <w:uiPriority w:val="99"/>
    <w:rsid w:val="00E5561F"/>
    <w:pPr>
      <w:numPr>
        <w:numId w:val="2"/>
      </w:numPr>
    </w:pPr>
  </w:style>
  <w:style w:type="paragraph" w:styleId="Commarcadores2">
    <w:name w:val="List Bullet 2"/>
    <w:basedOn w:val="Normal"/>
    <w:uiPriority w:val="99"/>
    <w:rsid w:val="00E5561F"/>
    <w:pPr>
      <w:numPr>
        <w:ilvl w:val="1"/>
        <w:numId w:val="2"/>
      </w:numPr>
    </w:pPr>
  </w:style>
  <w:style w:type="paragraph" w:styleId="Commarcadores3">
    <w:name w:val="List Bullet 3"/>
    <w:basedOn w:val="Normal"/>
    <w:uiPriority w:val="99"/>
    <w:rsid w:val="00E5561F"/>
    <w:pPr>
      <w:numPr>
        <w:ilvl w:val="2"/>
        <w:numId w:val="2"/>
      </w:numPr>
    </w:pPr>
  </w:style>
  <w:style w:type="table" w:styleId="Tabelacomgrade">
    <w:name w:val="Table Grid"/>
    <w:basedOn w:val="Tabelanormal"/>
    <w:rsid w:val="00E5561F"/>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rte">
    <w:name w:val="Strong"/>
    <w:basedOn w:val="Fontepargpadro"/>
    <w:uiPriority w:val="99"/>
    <w:qFormat/>
    <w:rsid w:val="00E5561F"/>
    <w:rPr>
      <w:rFonts w:cs="Times New Roman"/>
      <w:b/>
    </w:rPr>
  </w:style>
  <w:style w:type="paragraph" w:styleId="Numerada">
    <w:name w:val="List Number"/>
    <w:basedOn w:val="Normal"/>
    <w:uiPriority w:val="99"/>
    <w:rsid w:val="00E5561F"/>
    <w:pPr>
      <w:numPr>
        <w:numId w:val="3"/>
      </w:numPr>
    </w:pPr>
  </w:style>
  <w:style w:type="paragraph" w:customStyle="1" w:styleId="BodySingle">
    <w:name w:val="Body Single"/>
    <w:basedOn w:val="Corpodetexto"/>
    <w:link w:val="BodySingleChar"/>
    <w:uiPriority w:val="99"/>
    <w:rsid w:val="00E5561F"/>
  </w:style>
  <w:style w:type="character" w:customStyle="1" w:styleId="BodySingleChar">
    <w:name w:val="Body Single Char"/>
    <w:basedOn w:val="CorpodetextoChar"/>
    <w:link w:val="BodySingle"/>
    <w:uiPriority w:val="99"/>
    <w:locked/>
    <w:rsid w:val="00E5561F"/>
    <w:rPr>
      <w:rFonts w:cs="Times New Roman"/>
      <w:sz w:val="24"/>
      <w:szCs w:val="24"/>
      <w:lang w:val="pt-BR" w:eastAsia="pt-BR" w:bidi="ar-SA"/>
    </w:rPr>
  </w:style>
  <w:style w:type="paragraph" w:customStyle="1" w:styleId="PargrafodaLista1">
    <w:name w:val="Parágrafo da Lista1"/>
    <w:basedOn w:val="Normal"/>
    <w:uiPriority w:val="99"/>
    <w:rsid w:val="00E5561F"/>
    <w:pPr>
      <w:ind w:left="720"/>
      <w:contextualSpacing/>
    </w:pPr>
  </w:style>
  <w:style w:type="paragraph" w:styleId="Cabealho">
    <w:name w:val="header"/>
    <w:basedOn w:val="Normal"/>
    <w:link w:val="CabealhoChar"/>
    <w:uiPriority w:val="99"/>
    <w:rsid w:val="00E5561F"/>
    <w:pPr>
      <w:tabs>
        <w:tab w:val="center" w:pos="4513"/>
        <w:tab w:val="right" w:pos="9026"/>
      </w:tabs>
      <w:spacing w:line="240" w:lineRule="auto"/>
    </w:pPr>
  </w:style>
  <w:style w:type="character" w:customStyle="1" w:styleId="CabealhoChar">
    <w:name w:val="Cabeçalho Char"/>
    <w:basedOn w:val="Fontepargpadro"/>
    <w:link w:val="Cabealho"/>
    <w:uiPriority w:val="99"/>
    <w:semiHidden/>
    <w:locked/>
    <w:rsid w:val="00E5561F"/>
    <w:rPr>
      <w:rFonts w:cs="Times New Roman"/>
      <w:sz w:val="24"/>
      <w:lang w:val="pt-BR" w:eastAsia="pt-BR"/>
    </w:rPr>
  </w:style>
  <w:style w:type="paragraph" w:styleId="Rodap">
    <w:name w:val="footer"/>
    <w:basedOn w:val="Normal"/>
    <w:link w:val="RodapChar"/>
    <w:uiPriority w:val="99"/>
    <w:rsid w:val="00E5561F"/>
    <w:pPr>
      <w:tabs>
        <w:tab w:val="center" w:pos="4513"/>
        <w:tab w:val="right" w:pos="9026"/>
      </w:tabs>
      <w:spacing w:line="240" w:lineRule="auto"/>
    </w:pPr>
  </w:style>
  <w:style w:type="character" w:customStyle="1" w:styleId="RodapChar">
    <w:name w:val="Rodapé Char"/>
    <w:basedOn w:val="Fontepargpadro"/>
    <w:link w:val="Rodap"/>
    <w:uiPriority w:val="99"/>
    <w:locked/>
    <w:rsid w:val="00E5561F"/>
    <w:rPr>
      <w:rFonts w:cs="Times New Roman"/>
      <w:sz w:val="24"/>
      <w:lang w:val="pt-BR" w:eastAsia="pt-BR"/>
    </w:rPr>
  </w:style>
  <w:style w:type="table" w:customStyle="1" w:styleId="LightShading-Accent21">
    <w:name w:val="Light Shading - Accent 21"/>
    <w:uiPriority w:val="99"/>
    <w:rsid w:val="00E5561F"/>
    <w:rPr>
      <w:rFonts w:ascii="Arial" w:hAnsi="Arial"/>
      <w:color w:val="83756D"/>
      <w:sz w:val="20"/>
      <w:szCs w:val="20"/>
    </w:rPr>
    <w:tblPr>
      <w:tblStyleRowBandSize w:val="1"/>
      <w:tblStyleColBandSize w:val="1"/>
      <w:tblInd w:w="0" w:type="dxa"/>
      <w:tblBorders>
        <w:top w:val="single" w:sz="8" w:space="0" w:color="AA9F98"/>
        <w:bottom w:val="single" w:sz="8" w:space="0" w:color="AA9F98"/>
      </w:tblBorders>
      <w:tblCellMar>
        <w:top w:w="0" w:type="dxa"/>
        <w:left w:w="108" w:type="dxa"/>
        <w:bottom w:w="0" w:type="dxa"/>
        <w:right w:w="108" w:type="dxa"/>
      </w:tblCellMar>
    </w:tblPr>
  </w:style>
  <w:style w:type="table" w:customStyle="1" w:styleId="MediumShading1-Accent41">
    <w:name w:val="Medium Shading 1 - Accent 41"/>
    <w:uiPriority w:val="99"/>
    <w:rsid w:val="00E5561F"/>
    <w:rPr>
      <w:rFonts w:ascii="Arial" w:hAnsi="Arial"/>
      <w:sz w:val="20"/>
      <w:szCs w:val="20"/>
    </w:rPr>
    <w:tblPr>
      <w:tblStyleRowBandSize w:val="1"/>
      <w:tblStyleColBandSize w:val="1"/>
      <w:tblInd w:w="0" w:type="dxa"/>
      <w:tblBorders>
        <w:top w:val="single" w:sz="8" w:space="0" w:color="E5E2E0"/>
        <w:left w:val="single" w:sz="8" w:space="0" w:color="E5E2E0"/>
        <w:bottom w:val="single" w:sz="8" w:space="0" w:color="E5E2E0"/>
        <w:right w:val="single" w:sz="8" w:space="0" w:color="E5E2E0"/>
        <w:insideH w:val="single" w:sz="8" w:space="0" w:color="E5E2E0"/>
      </w:tblBorders>
      <w:tblCellMar>
        <w:top w:w="0" w:type="dxa"/>
        <w:left w:w="108" w:type="dxa"/>
        <w:bottom w:w="0" w:type="dxa"/>
        <w:right w:w="108" w:type="dxa"/>
      </w:tblCellMar>
    </w:tblPr>
  </w:style>
  <w:style w:type="table" w:customStyle="1" w:styleId="MediumShading11">
    <w:name w:val="Medium Shading 11"/>
    <w:uiPriority w:val="99"/>
    <w:rsid w:val="00E5561F"/>
    <w:rPr>
      <w:rFonts w:ascii="Arial" w:hAnsi="Arial"/>
      <w:sz w:val="16"/>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E5561F"/>
    <w:rPr>
      <w:rFonts w:ascii="Arial" w:hAnsi="Arial"/>
      <w:sz w:val="20"/>
      <w:szCs w:val="20"/>
    </w:rPr>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style>
  <w:style w:type="table" w:customStyle="1" w:styleId="LightList1">
    <w:name w:val="Light List1"/>
    <w:uiPriority w:val="99"/>
    <w:rsid w:val="00E5561F"/>
    <w:rPr>
      <w:rFonts w:ascii="Arial" w:hAnsi="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E5561F"/>
    <w:rPr>
      <w:rFonts w:ascii="Arial" w:hAnsi="Arial"/>
      <w:sz w:val="20"/>
      <w:szCs w:val="20"/>
    </w:rPr>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style>
  <w:style w:type="paragraph" w:customStyle="1" w:styleId="SectionHeading">
    <w:name w:val="Section Heading"/>
    <w:basedOn w:val="Ttulo1"/>
    <w:next w:val="Corpodetexto"/>
    <w:uiPriority w:val="99"/>
    <w:rsid w:val="00E5561F"/>
    <w:pPr>
      <w:pageBreakBefore/>
      <w:framePr w:w="10478" w:wrap="notBeside" w:vAnchor="page" w:hAnchor="margin" w:y="1135"/>
      <w:spacing w:line="720" w:lineRule="exact"/>
    </w:pPr>
    <w:rPr>
      <w:sz w:val="72"/>
    </w:rPr>
  </w:style>
  <w:style w:type="paragraph" w:customStyle="1" w:styleId="Logo">
    <w:name w:val="Logo"/>
    <w:basedOn w:val="Normal"/>
    <w:next w:val="Corpodetexto"/>
    <w:uiPriority w:val="99"/>
    <w:rsid w:val="00E5561F"/>
    <w:pPr>
      <w:spacing w:line="204" w:lineRule="auto"/>
      <w:jc w:val="right"/>
    </w:pPr>
    <w:rPr>
      <w:rFonts w:ascii="PwC_Logo" w:hAnsi="PwC_Logo"/>
      <w:color w:val="00011F"/>
      <w:sz w:val="48"/>
      <w:szCs w:val="48"/>
    </w:rPr>
  </w:style>
  <w:style w:type="paragraph" w:styleId="Numerada2">
    <w:name w:val="List Number 2"/>
    <w:basedOn w:val="Normal"/>
    <w:uiPriority w:val="99"/>
    <w:rsid w:val="00E5561F"/>
    <w:pPr>
      <w:numPr>
        <w:ilvl w:val="1"/>
        <w:numId w:val="3"/>
      </w:numPr>
    </w:pPr>
  </w:style>
  <w:style w:type="paragraph" w:styleId="Numerada3">
    <w:name w:val="List Number 3"/>
    <w:basedOn w:val="Normal"/>
    <w:uiPriority w:val="99"/>
    <w:rsid w:val="00E5561F"/>
    <w:pPr>
      <w:numPr>
        <w:ilvl w:val="2"/>
        <w:numId w:val="3"/>
      </w:numPr>
    </w:pPr>
  </w:style>
  <w:style w:type="table" w:customStyle="1" w:styleId="PwCTable1">
    <w:name w:val="PwC Table 1"/>
    <w:uiPriority w:val="99"/>
    <w:rsid w:val="00E5561F"/>
    <w:rPr>
      <w:rFonts w:ascii="Arial" w:hAnsi="Arial"/>
      <w:sz w:val="18"/>
      <w:szCs w:val="20"/>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style>
  <w:style w:type="paragraph" w:styleId="Commarcadores4">
    <w:name w:val="List Bullet 4"/>
    <w:basedOn w:val="Normal"/>
    <w:uiPriority w:val="99"/>
    <w:semiHidden/>
    <w:rsid w:val="00E5561F"/>
    <w:pPr>
      <w:numPr>
        <w:ilvl w:val="3"/>
        <w:numId w:val="2"/>
      </w:numPr>
    </w:pPr>
  </w:style>
  <w:style w:type="paragraph" w:styleId="Listadecontinuao">
    <w:name w:val="List Continue"/>
    <w:basedOn w:val="Normal"/>
    <w:uiPriority w:val="99"/>
    <w:rsid w:val="00E5561F"/>
    <w:pPr>
      <w:ind w:left="397"/>
    </w:pPr>
  </w:style>
  <w:style w:type="paragraph" w:styleId="Listadecontinuao2">
    <w:name w:val="List Continue 2"/>
    <w:basedOn w:val="Normal"/>
    <w:uiPriority w:val="99"/>
    <w:rsid w:val="00E5561F"/>
    <w:pPr>
      <w:ind w:left="794"/>
    </w:pPr>
  </w:style>
  <w:style w:type="paragraph" w:styleId="Lista3">
    <w:name w:val="List 3"/>
    <w:basedOn w:val="Normal"/>
    <w:uiPriority w:val="99"/>
    <w:rsid w:val="00E5561F"/>
    <w:pPr>
      <w:ind w:left="1191" w:hanging="397"/>
    </w:pPr>
  </w:style>
  <w:style w:type="paragraph" w:styleId="Lista4">
    <w:name w:val="List 4"/>
    <w:basedOn w:val="Normal"/>
    <w:uiPriority w:val="99"/>
    <w:semiHidden/>
    <w:rsid w:val="00E5561F"/>
    <w:pPr>
      <w:ind w:left="1588" w:hanging="397"/>
    </w:pPr>
  </w:style>
  <w:style w:type="paragraph" w:styleId="Lista5">
    <w:name w:val="List 5"/>
    <w:basedOn w:val="Normal"/>
    <w:uiPriority w:val="99"/>
    <w:semiHidden/>
    <w:rsid w:val="00E5561F"/>
    <w:pPr>
      <w:ind w:left="1985" w:hanging="397"/>
    </w:pPr>
  </w:style>
  <w:style w:type="paragraph" w:styleId="Listadecontinuao3">
    <w:name w:val="List Continue 3"/>
    <w:basedOn w:val="Normal"/>
    <w:uiPriority w:val="99"/>
    <w:rsid w:val="00E5561F"/>
    <w:pPr>
      <w:ind w:left="1191"/>
    </w:pPr>
  </w:style>
  <w:style w:type="paragraph" w:styleId="Listadecontinuao4">
    <w:name w:val="List Continue 4"/>
    <w:basedOn w:val="Normal"/>
    <w:uiPriority w:val="99"/>
    <w:semiHidden/>
    <w:rsid w:val="00E5561F"/>
    <w:pPr>
      <w:ind w:left="1588"/>
    </w:pPr>
  </w:style>
  <w:style w:type="paragraph" w:styleId="Listadecontinuao5">
    <w:name w:val="List Continue 5"/>
    <w:basedOn w:val="Normal"/>
    <w:uiPriority w:val="99"/>
    <w:semiHidden/>
    <w:rsid w:val="00E5561F"/>
    <w:pPr>
      <w:ind w:left="1985"/>
    </w:pPr>
  </w:style>
  <w:style w:type="paragraph" w:styleId="Numerada4">
    <w:name w:val="List Number 4"/>
    <w:basedOn w:val="Normal"/>
    <w:uiPriority w:val="99"/>
    <w:semiHidden/>
    <w:rsid w:val="00E5561F"/>
    <w:pPr>
      <w:numPr>
        <w:ilvl w:val="3"/>
        <w:numId w:val="3"/>
      </w:numPr>
    </w:pPr>
  </w:style>
  <w:style w:type="paragraph" w:styleId="Numerada5">
    <w:name w:val="List Number 5"/>
    <w:basedOn w:val="Normal"/>
    <w:uiPriority w:val="99"/>
    <w:semiHidden/>
    <w:rsid w:val="00E5561F"/>
    <w:pPr>
      <w:numPr>
        <w:ilvl w:val="4"/>
        <w:numId w:val="3"/>
      </w:numPr>
    </w:pPr>
  </w:style>
  <w:style w:type="paragraph" w:styleId="Commarcadores5">
    <w:name w:val="List Bullet 5"/>
    <w:basedOn w:val="Normal"/>
    <w:uiPriority w:val="99"/>
    <w:semiHidden/>
    <w:rsid w:val="00E5561F"/>
    <w:pPr>
      <w:numPr>
        <w:ilvl w:val="4"/>
        <w:numId w:val="2"/>
      </w:numPr>
    </w:pPr>
  </w:style>
  <w:style w:type="paragraph" w:styleId="Lista2">
    <w:name w:val="List 2"/>
    <w:basedOn w:val="Normal"/>
    <w:uiPriority w:val="99"/>
    <w:rsid w:val="00E5561F"/>
    <w:pPr>
      <w:ind w:left="794" w:hanging="397"/>
    </w:pPr>
  </w:style>
  <w:style w:type="paragraph" w:styleId="Lista">
    <w:name w:val="List"/>
    <w:basedOn w:val="Normal"/>
    <w:uiPriority w:val="99"/>
    <w:rsid w:val="00E5561F"/>
    <w:pPr>
      <w:ind w:left="397" w:hanging="397"/>
    </w:pPr>
  </w:style>
  <w:style w:type="character" w:styleId="Nmerodepgina">
    <w:name w:val="page number"/>
    <w:basedOn w:val="Fontepargpadro"/>
    <w:uiPriority w:val="99"/>
    <w:rsid w:val="00E5561F"/>
    <w:rPr>
      <w:rFonts w:cs="Times New Roman"/>
    </w:rPr>
  </w:style>
  <w:style w:type="paragraph" w:styleId="TextosemFormatao">
    <w:name w:val="Plain Text"/>
    <w:basedOn w:val="Normal"/>
    <w:link w:val="TextosemFormataoChar"/>
    <w:uiPriority w:val="99"/>
    <w:rsid w:val="00E5561F"/>
    <w:pPr>
      <w:widowControl/>
      <w:spacing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E5561F"/>
    <w:rPr>
      <w:rFonts w:ascii="Courier New" w:hAnsi="Courier New" w:cs="Times New Roman"/>
      <w:lang w:val="pt-BR" w:eastAsia="pt-BR"/>
    </w:rPr>
  </w:style>
  <w:style w:type="paragraph" w:styleId="Recuodecorpodetexto">
    <w:name w:val="Body Text Indent"/>
    <w:basedOn w:val="Normal"/>
    <w:link w:val="RecuodecorpodetextoChar"/>
    <w:uiPriority w:val="99"/>
    <w:rsid w:val="00E5561F"/>
    <w:pPr>
      <w:spacing w:after="120"/>
      <w:ind w:left="283"/>
    </w:pPr>
  </w:style>
  <w:style w:type="character" w:customStyle="1" w:styleId="RecuodecorpodetextoChar">
    <w:name w:val="Recuo de corpo de texto Char"/>
    <w:basedOn w:val="Fontepargpadro"/>
    <w:link w:val="Recuodecorpodetexto"/>
    <w:uiPriority w:val="99"/>
    <w:semiHidden/>
    <w:locked/>
    <w:rsid w:val="00E5561F"/>
    <w:rPr>
      <w:rFonts w:cs="Times New Roman"/>
      <w:sz w:val="24"/>
      <w:lang w:val="pt-BR" w:eastAsia="pt-BR"/>
    </w:rPr>
  </w:style>
  <w:style w:type="paragraph" w:customStyle="1" w:styleId="CharChar1CharCharCharCharCharCharCharCharCharCharCharCharChar">
    <w:name w:val="Char Char1 Char Char Char Char Char Char Char Char Char Char Char Char Char"/>
    <w:basedOn w:val="Normal"/>
    <w:uiPriority w:val="99"/>
    <w:rsid w:val="00E5561F"/>
    <w:pPr>
      <w:widowControl/>
      <w:spacing w:after="160" w:line="240" w:lineRule="exact"/>
    </w:pPr>
    <w:rPr>
      <w:rFonts w:ascii="Verdana" w:eastAsia="SimSun" w:hAnsi="Verdana"/>
      <w:sz w:val="20"/>
      <w:szCs w:val="20"/>
      <w:lang w:val="en-US" w:eastAsia="en-US"/>
    </w:rPr>
  </w:style>
  <w:style w:type="paragraph" w:styleId="Corpodetexto2">
    <w:name w:val="Body Text 2"/>
    <w:basedOn w:val="Normal"/>
    <w:link w:val="Corpodetexto2Char"/>
    <w:uiPriority w:val="99"/>
    <w:rsid w:val="00E5561F"/>
    <w:pPr>
      <w:widowControl/>
      <w:spacing w:before="120" w:after="120" w:line="240" w:lineRule="auto"/>
      <w:ind w:firstLine="1440"/>
      <w:jc w:val="both"/>
    </w:pPr>
    <w:rPr>
      <w:rFonts w:ascii="Arial MT" w:hAnsi="Arial MT"/>
      <w:sz w:val="23"/>
      <w:szCs w:val="20"/>
    </w:rPr>
  </w:style>
  <w:style w:type="character" w:customStyle="1" w:styleId="Corpodetexto2Char">
    <w:name w:val="Corpo de texto 2 Char"/>
    <w:basedOn w:val="Fontepargpadro"/>
    <w:link w:val="Corpodetexto2"/>
    <w:uiPriority w:val="99"/>
    <w:locked/>
    <w:rsid w:val="00E5561F"/>
    <w:rPr>
      <w:rFonts w:ascii="Arial MT" w:hAnsi="Arial MT" w:cs="Times New Roman"/>
      <w:sz w:val="23"/>
      <w:lang w:val="pt-BR" w:eastAsia="pt-BR"/>
    </w:rPr>
  </w:style>
  <w:style w:type="paragraph" w:customStyle="1" w:styleId="LinhaTabela">
    <w:name w:val="Linha Tabela"/>
    <w:uiPriority w:val="99"/>
    <w:rsid w:val="00E5561F"/>
    <w:rPr>
      <w:rFonts w:ascii="Arial MT" w:hAnsi="Arial MT"/>
      <w:sz w:val="23"/>
      <w:szCs w:val="20"/>
    </w:rPr>
  </w:style>
  <w:style w:type="paragraph" w:styleId="Corpodetexto3">
    <w:name w:val="Body Text 3"/>
    <w:basedOn w:val="Normal"/>
    <w:link w:val="Corpodetexto3Char"/>
    <w:uiPriority w:val="99"/>
    <w:rsid w:val="00E5561F"/>
    <w:pPr>
      <w:widowControl/>
      <w:spacing w:line="240" w:lineRule="auto"/>
      <w:jc w:val="both"/>
    </w:pPr>
    <w:rPr>
      <w:rFonts w:ascii="Arial" w:hAnsi="Arial"/>
      <w:i/>
      <w:szCs w:val="20"/>
    </w:rPr>
  </w:style>
  <w:style w:type="character" w:customStyle="1" w:styleId="Corpodetexto3Char">
    <w:name w:val="Corpo de texto 3 Char"/>
    <w:basedOn w:val="Fontepargpadro"/>
    <w:link w:val="Corpodetexto3"/>
    <w:uiPriority w:val="99"/>
    <w:locked/>
    <w:rsid w:val="00E5561F"/>
    <w:rPr>
      <w:rFonts w:ascii="Arial" w:hAnsi="Arial" w:cs="Times New Roman"/>
      <w:i/>
      <w:sz w:val="24"/>
      <w:lang w:val="pt-BR" w:eastAsia="pt-BR"/>
    </w:rPr>
  </w:style>
  <w:style w:type="paragraph" w:styleId="Recuodecorpodetexto2">
    <w:name w:val="Body Text Indent 2"/>
    <w:basedOn w:val="Normal"/>
    <w:link w:val="Recuodecorpodetexto2Char"/>
    <w:uiPriority w:val="99"/>
    <w:rsid w:val="00E5561F"/>
    <w:pPr>
      <w:widowControl/>
      <w:tabs>
        <w:tab w:val="left" w:pos="284"/>
      </w:tabs>
      <w:spacing w:line="240" w:lineRule="auto"/>
      <w:ind w:left="284" w:hanging="284"/>
      <w:jc w:val="both"/>
    </w:pPr>
    <w:rPr>
      <w:rFonts w:ascii="Arial" w:hAnsi="Arial"/>
      <w:szCs w:val="20"/>
    </w:rPr>
  </w:style>
  <w:style w:type="character" w:customStyle="1" w:styleId="Recuodecorpodetexto2Char">
    <w:name w:val="Recuo de corpo de texto 2 Char"/>
    <w:basedOn w:val="Fontepargpadro"/>
    <w:link w:val="Recuodecorpodetexto2"/>
    <w:uiPriority w:val="99"/>
    <w:locked/>
    <w:rsid w:val="00E5561F"/>
    <w:rPr>
      <w:rFonts w:ascii="Arial" w:hAnsi="Arial" w:cs="Times New Roman"/>
      <w:sz w:val="24"/>
      <w:lang w:val="pt-BR" w:eastAsia="pt-BR"/>
    </w:rPr>
  </w:style>
  <w:style w:type="paragraph" w:styleId="MapadoDocumento">
    <w:name w:val="Document Map"/>
    <w:basedOn w:val="Normal"/>
    <w:link w:val="MapadoDocumentoChar"/>
    <w:uiPriority w:val="99"/>
    <w:semiHidden/>
    <w:rsid w:val="00E5561F"/>
    <w:pPr>
      <w:widowControl/>
      <w:shd w:val="clear" w:color="auto" w:fill="000080"/>
      <w:spacing w:after="240" w:line="240" w:lineRule="auto"/>
      <w:jc w:val="both"/>
    </w:pPr>
    <w:rPr>
      <w:rFonts w:ascii="Tahoma" w:hAnsi="Tahoma"/>
      <w:sz w:val="22"/>
      <w:szCs w:val="20"/>
    </w:rPr>
  </w:style>
  <w:style w:type="character" w:customStyle="1" w:styleId="MapadoDocumentoChar">
    <w:name w:val="Mapa do Documento Char"/>
    <w:basedOn w:val="Fontepargpadro"/>
    <w:link w:val="MapadoDocumento"/>
    <w:uiPriority w:val="99"/>
    <w:semiHidden/>
    <w:locked/>
    <w:rsid w:val="00E5561F"/>
    <w:rPr>
      <w:rFonts w:ascii="Tahoma" w:hAnsi="Tahoma" w:cs="Times New Roman"/>
      <w:sz w:val="22"/>
      <w:lang w:val="pt-BR" w:eastAsia="pt-BR"/>
    </w:rPr>
  </w:style>
  <w:style w:type="paragraph" w:styleId="Recuodecorpodetexto3">
    <w:name w:val="Body Text Indent 3"/>
    <w:basedOn w:val="Normal"/>
    <w:link w:val="Recuodecorpodetexto3Char"/>
    <w:uiPriority w:val="99"/>
    <w:rsid w:val="00E5561F"/>
    <w:pPr>
      <w:widowControl/>
      <w:spacing w:line="240" w:lineRule="auto"/>
      <w:ind w:left="426"/>
      <w:jc w:val="both"/>
    </w:pPr>
    <w:rPr>
      <w:rFonts w:ascii="Arial" w:hAnsi="Arial"/>
      <w:szCs w:val="20"/>
    </w:rPr>
  </w:style>
  <w:style w:type="character" w:customStyle="1" w:styleId="Recuodecorpodetexto3Char">
    <w:name w:val="Recuo de corpo de texto 3 Char"/>
    <w:basedOn w:val="Fontepargpadro"/>
    <w:link w:val="Recuodecorpodetexto3"/>
    <w:uiPriority w:val="99"/>
    <w:locked/>
    <w:rsid w:val="00E5561F"/>
    <w:rPr>
      <w:rFonts w:ascii="Arial" w:hAnsi="Arial" w:cs="Times New Roman"/>
      <w:sz w:val="24"/>
      <w:lang w:val="pt-BR" w:eastAsia="pt-BR"/>
    </w:rPr>
  </w:style>
  <w:style w:type="paragraph" w:styleId="NormalWeb">
    <w:name w:val="Normal (Web)"/>
    <w:basedOn w:val="Normal"/>
    <w:link w:val="NormalWebChar"/>
    <w:uiPriority w:val="99"/>
    <w:rsid w:val="00E5561F"/>
    <w:pPr>
      <w:widowControl/>
      <w:spacing w:before="100" w:beforeAutospacing="1" w:after="100" w:afterAutospacing="1" w:line="240" w:lineRule="auto"/>
    </w:pPr>
    <w:rPr>
      <w:szCs w:val="20"/>
    </w:rPr>
  </w:style>
  <w:style w:type="paragraph" w:customStyle="1" w:styleId="texto2">
    <w:name w:val="texto2"/>
    <w:basedOn w:val="Normal"/>
    <w:uiPriority w:val="99"/>
    <w:rsid w:val="00E5561F"/>
    <w:pPr>
      <w:widowControl/>
      <w:spacing w:before="100" w:beforeAutospacing="1" w:after="100" w:afterAutospacing="1" w:line="240" w:lineRule="auto"/>
    </w:pPr>
  </w:style>
  <w:style w:type="paragraph" w:customStyle="1" w:styleId="CharCharCharCharCharChar">
    <w:name w:val="Char Char Char Char Char Char"/>
    <w:basedOn w:val="Normal"/>
    <w:uiPriority w:val="99"/>
    <w:rsid w:val="00E5561F"/>
    <w:pPr>
      <w:widowControl/>
      <w:spacing w:after="160" w:line="240" w:lineRule="exact"/>
    </w:pPr>
    <w:rPr>
      <w:rFonts w:ascii="Verdana" w:hAnsi="Verdana"/>
      <w:sz w:val="20"/>
      <w:szCs w:val="20"/>
      <w:lang w:val="en-US" w:eastAsia="en-US"/>
    </w:rPr>
  </w:style>
  <w:style w:type="character" w:customStyle="1" w:styleId="luisfh">
    <w:name w:val="luisfh"/>
    <w:uiPriority w:val="99"/>
    <w:semiHidden/>
    <w:rsid w:val="00E5561F"/>
    <w:rPr>
      <w:rFonts w:ascii="Arial" w:hAnsi="Arial"/>
      <w:color w:val="000080"/>
      <w:sz w:val="20"/>
    </w:rPr>
  </w:style>
  <w:style w:type="paragraph" w:customStyle="1" w:styleId="BodyText21">
    <w:name w:val="Body Text 21"/>
    <w:basedOn w:val="Normal"/>
    <w:uiPriority w:val="99"/>
    <w:rsid w:val="00E5561F"/>
    <w:pPr>
      <w:widowControl/>
      <w:spacing w:line="240" w:lineRule="auto"/>
    </w:pPr>
    <w:rPr>
      <w:szCs w:val="20"/>
    </w:rPr>
  </w:style>
  <w:style w:type="paragraph" w:customStyle="1" w:styleId="default">
    <w:name w:val="default"/>
    <w:basedOn w:val="Normal"/>
    <w:uiPriority w:val="99"/>
    <w:rsid w:val="00E5561F"/>
    <w:pPr>
      <w:widowControl/>
      <w:autoSpaceDE w:val="0"/>
      <w:autoSpaceDN w:val="0"/>
      <w:spacing w:line="240" w:lineRule="auto"/>
    </w:pPr>
    <w:rPr>
      <w:color w:val="000000"/>
    </w:rPr>
  </w:style>
  <w:style w:type="paragraph" w:customStyle="1" w:styleId="Texto">
    <w:name w:val="Texto"/>
    <w:basedOn w:val="Normal"/>
    <w:uiPriority w:val="99"/>
    <w:rsid w:val="00E5561F"/>
    <w:pPr>
      <w:spacing w:line="240" w:lineRule="auto"/>
      <w:jc w:val="both"/>
    </w:pPr>
    <w:rPr>
      <w:rFonts w:ascii="Arial" w:hAnsi="Arial"/>
      <w:szCs w:val="20"/>
    </w:rPr>
  </w:style>
  <w:style w:type="table" w:customStyle="1" w:styleId="TableGrid1">
    <w:name w:val="Table Grid1"/>
    <w:uiPriority w:val="99"/>
    <w:rsid w:val="00E5561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link w:val="Normal1Char"/>
    <w:uiPriority w:val="99"/>
    <w:rsid w:val="00E5561F"/>
    <w:pPr>
      <w:spacing w:after="240" w:line="228" w:lineRule="auto"/>
      <w:ind w:left="460"/>
      <w:jc w:val="both"/>
    </w:pPr>
    <w:rPr>
      <w:szCs w:val="20"/>
    </w:rPr>
  </w:style>
  <w:style w:type="paragraph" w:customStyle="1" w:styleId="CharCharChar">
    <w:name w:val="Char Char Char"/>
    <w:basedOn w:val="Normal"/>
    <w:uiPriority w:val="99"/>
    <w:rsid w:val="00E5561F"/>
    <w:pPr>
      <w:widowControl/>
      <w:spacing w:after="160" w:line="240" w:lineRule="exact"/>
    </w:pPr>
    <w:rPr>
      <w:szCs w:val="20"/>
    </w:rPr>
  </w:style>
  <w:style w:type="paragraph" w:styleId="Textodenotadefim">
    <w:name w:val="endnote text"/>
    <w:basedOn w:val="Normal"/>
    <w:link w:val="TextodenotadefimChar"/>
    <w:uiPriority w:val="99"/>
    <w:semiHidden/>
    <w:rsid w:val="00E5561F"/>
    <w:pPr>
      <w:spacing w:line="240" w:lineRule="auto"/>
    </w:pPr>
    <w:rPr>
      <w:szCs w:val="20"/>
      <w:lang w:eastAsia="en-US"/>
    </w:rPr>
  </w:style>
  <w:style w:type="character" w:customStyle="1" w:styleId="TextodenotadefimChar">
    <w:name w:val="Texto de nota de fim Char"/>
    <w:basedOn w:val="Fontepargpadro"/>
    <w:link w:val="Textodenotadefim"/>
    <w:uiPriority w:val="99"/>
    <w:semiHidden/>
    <w:locked/>
    <w:rsid w:val="00BB794B"/>
    <w:rPr>
      <w:rFonts w:cs="Times New Roman"/>
      <w:sz w:val="20"/>
      <w:szCs w:val="20"/>
    </w:rPr>
  </w:style>
  <w:style w:type="paragraph" w:styleId="Textodebalo">
    <w:name w:val="Balloon Text"/>
    <w:basedOn w:val="Normal"/>
    <w:link w:val="TextodebaloChar"/>
    <w:uiPriority w:val="99"/>
    <w:semiHidden/>
    <w:rsid w:val="00E5561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E5561F"/>
    <w:rPr>
      <w:rFonts w:ascii="Tahoma" w:hAnsi="Tahoma" w:cs="Times New Roman"/>
      <w:sz w:val="16"/>
      <w:lang w:val="pt-BR" w:eastAsia="pt-BR"/>
    </w:rPr>
  </w:style>
  <w:style w:type="character" w:customStyle="1" w:styleId="Normal1Char">
    <w:name w:val="Normal1 Char"/>
    <w:link w:val="Normal1"/>
    <w:uiPriority w:val="99"/>
    <w:locked/>
    <w:rsid w:val="00E5561F"/>
    <w:rPr>
      <w:sz w:val="24"/>
      <w:lang w:val="pt-BR" w:eastAsia="pt-BR"/>
    </w:rPr>
  </w:style>
  <w:style w:type="character" w:customStyle="1" w:styleId="NormalWebChar">
    <w:name w:val="Normal (Web) Char"/>
    <w:link w:val="NormalWeb"/>
    <w:uiPriority w:val="99"/>
    <w:locked/>
    <w:rsid w:val="00E5561F"/>
    <w:rPr>
      <w:sz w:val="24"/>
      <w:lang w:val="pt-BR" w:eastAsia="pt-BR"/>
    </w:rPr>
  </w:style>
  <w:style w:type="character" w:styleId="nfase">
    <w:name w:val="Emphasis"/>
    <w:basedOn w:val="Fontepargpadro"/>
    <w:uiPriority w:val="99"/>
    <w:qFormat/>
    <w:rsid w:val="00992335"/>
    <w:rPr>
      <w:rFonts w:cs="Times New Roman"/>
      <w:i/>
    </w:rPr>
  </w:style>
  <w:style w:type="paragraph" w:styleId="Textodenotaderodap">
    <w:name w:val="footnote text"/>
    <w:basedOn w:val="Normal"/>
    <w:link w:val="TextodenotaderodapChar"/>
    <w:uiPriority w:val="99"/>
    <w:rsid w:val="00D01680"/>
    <w:pPr>
      <w:widowControl/>
      <w:spacing w:line="240" w:lineRule="auto"/>
    </w:pPr>
    <w:rPr>
      <w:rFonts w:eastAsia="SimSun"/>
      <w:sz w:val="20"/>
      <w:szCs w:val="20"/>
      <w:lang w:val="en-GB" w:eastAsia="zh-CN"/>
    </w:rPr>
  </w:style>
  <w:style w:type="character" w:customStyle="1" w:styleId="TextodenotaderodapChar">
    <w:name w:val="Texto de nota de rodapé Char"/>
    <w:basedOn w:val="Fontepargpadro"/>
    <w:link w:val="Textodenotaderodap"/>
    <w:uiPriority w:val="99"/>
    <w:locked/>
    <w:rsid w:val="00D01680"/>
    <w:rPr>
      <w:rFonts w:eastAsia="SimSun" w:cs="Times New Roman"/>
      <w:lang w:val="en-GB" w:eastAsia="zh-CN"/>
    </w:rPr>
  </w:style>
  <w:style w:type="character" w:styleId="Refdenotaderodap">
    <w:name w:val="footnote reference"/>
    <w:basedOn w:val="Fontepargpadro"/>
    <w:uiPriority w:val="99"/>
    <w:rsid w:val="00D01680"/>
    <w:rPr>
      <w:rFonts w:cs="Times New Roman"/>
      <w:vertAlign w:val="superscript"/>
    </w:rPr>
  </w:style>
  <w:style w:type="character" w:styleId="Hyperlink">
    <w:name w:val="Hyperlink"/>
    <w:basedOn w:val="Fontepargpadro"/>
    <w:uiPriority w:val="99"/>
    <w:rsid w:val="00013CD1"/>
    <w:rPr>
      <w:rFonts w:cs="Times New Roman"/>
      <w:color w:val="0000FF"/>
      <w:u w:val="single"/>
    </w:rPr>
  </w:style>
  <w:style w:type="character" w:styleId="HiperlinkVisitado">
    <w:name w:val="FollowedHyperlink"/>
    <w:basedOn w:val="Fontepargpadro"/>
    <w:uiPriority w:val="99"/>
    <w:rsid w:val="00AB7CB8"/>
    <w:rPr>
      <w:rFonts w:cs="Times New Roman"/>
      <w:color w:val="800080"/>
      <w:u w:val="single"/>
    </w:rPr>
  </w:style>
  <w:style w:type="character" w:styleId="Refdecomentrio">
    <w:name w:val="annotation reference"/>
    <w:basedOn w:val="Fontepargpadro"/>
    <w:uiPriority w:val="99"/>
    <w:rsid w:val="0021215C"/>
    <w:rPr>
      <w:rFonts w:cs="Times New Roman"/>
      <w:sz w:val="16"/>
    </w:rPr>
  </w:style>
  <w:style w:type="paragraph" w:styleId="Textodecomentrio">
    <w:name w:val="annotation text"/>
    <w:basedOn w:val="Normal"/>
    <w:link w:val="TextodecomentrioChar"/>
    <w:uiPriority w:val="99"/>
    <w:rsid w:val="0021215C"/>
    <w:rPr>
      <w:sz w:val="20"/>
      <w:szCs w:val="20"/>
    </w:rPr>
  </w:style>
  <w:style w:type="character" w:customStyle="1" w:styleId="TextodecomentrioChar">
    <w:name w:val="Texto de comentário Char"/>
    <w:basedOn w:val="Fontepargpadro"/>
    <w:link w:val="Textodecomentrio"/>
    <w:uiPriority w:val="99"/>
    <w:locked/>
    <w:rsid w:val="0021215C"/>
    <w:rPr>
      <w:rFonts w:cs="Times New Roman"/>
    </w:rPr>
  </w:style>
  <w:style w:type="paragraph" w:styleId="Assuntodocomentrio">
    <w:name w:val="annotation subject"/>
    <w:basedOn w:val="Textodecomentrio"/>
    <w:next w:val="Textodecomentrio"/>
    <w:link w:val="AssuntodocomentrioChar"/>
    <w:uiPriority w:val="99"/>
    <w:rsid w:val="0021215C"/>
    <w:rPr>
      <w:b/>
      <w:bCs/>
    </w:rPr>
  </w:style>
  <w:style w:type="character" w:customStyle="1" w:styleId="AssuntodocomentrioChar">
    <w:name w:val="Assunto do comentário Char"/>
    <w:basedOn w:val="TextodecomentrioChar"/>
    <w:link w:val="Assuntodocomentrio"/>
    <w:uiPriority w:val="99"/>
    <w:locked/>
    <w:rsid w:val="0021215C"/>
    <w:rPr>
      <w:rFonts w:cs="Times New Roman"/>
      <w:b/>
    </w:rPr>
  </w:style>
  <w:style w:type="paragraph" w:customStyle="1" w:styleId="Marcador">
    <w:name w:val="Marcador"/>
    <w:basedOn w:val="Normal"/>
    <w:uiPriority w:val="99"/>
    <w:rsid w:val="00D3530D"/>
    <w:pPr>
      <w:numPr>
        <w:numId w:val="1"/>
      </w:numPr>
      <w:tabs>
        <w:tab w:val="clear" w:pos="360"/>
        <w:tab w:val="num" w:pos="720"/>
      </w:tabs>
      <w:spacing w:after="120" w:line="240" w:lineRule="auto"/>
      <w:ind w:left="720"/>
      <w:jc w:val="both"/>
    </w:pPr>
    <w:rPr>
      <w:rFonts w:ascii="Arial" w:hAnsi="Arial"/>
      <w:noProof/>
      <w:color w:val="00469D"/>
    </w:rPr>
  </w:style>
  <w:style w:type="paragraph" w:customStyle="1" w:styleId="textonovo">
    <w:name w:val="texto novo"/>
    <w:basedOn w:val="Normal"/>
    <w:uiPriority w:val="99"/>
    <w:rsid w:val="00D3530D"/>
    <w:pPr>
      <w:widowControl/>
      <w:spacing w:after="120" w:line="240" w:lineRule="auto"/>
      <w:jc w:val="both"/>
    </w:pPr>
    <w:rPr>
      <w:rFonts w:ascii="Arial" w:hAnsi="Arial" w:cs="Arial"/>
      <w:noProof/>
      <w:color w:val="00469D"/>
      <w:szCs w:val="20"/>
    </w:rPr>
  </w:style>
  <w:style w:type="character" w:customStyle="1" w:styleId="charchar4">
    <w:name w:val="charchar4"/>
    <w:uiPriority w:val="99"/>
    <w:rsid w:val="00627B82"/>
  </w:style>
  <w:style w:type="paragraph" w:styleId="PargrafodaLista">
    <w:name w:val="List Paragraph"/>
    <w:aliases w:val="Párrafo de lista numerado"/>
    <w:basedOn w:val="Normal"/>
    <w:link w:val="PargrafodaListaChar"/>
    <w:uiPriority w:val="34"/>
    <w:qFormat/>
    <w:rsid w:val="00077C3B"/>
    <w:pPr>
      <w:ind w:left="720"/>
      <w:contextualSpacing/>
    </w:pPr>
  </w:style>
  <w:style w:type="character" w:customStyle="1" w:styleId="normalwebchar0">
    <w:name w:val="normalwebchar"/>
    <w:uiPriority w:val="99"/>
    <w:rsid w:val="00213DBF"/>
  </w:style>
  <w:style w:type="numbering" w:customStyle="1" w:styleId="PwCListNumbers1">
    <w:name w:val="PwC List Numbers 1"/>
    <w:rsid w:val="00462D99"/>
    <w:pPr>
      <w:numPr>
        <w:numId w:val="3"/>
      </w:numPr>
    </w:pPr>
  </w:style>
  <w:style w:type="numbering" w:customStyle="1" w:styleId="EstiloCommarcadoresSymbolsmboloAzulesquerda063cm">
    <w:name w:val="Estilo Com marcadores Symbol (símbolo) Azul À esquerda:  063 cm..."/>
    <w:rsid w:val="00462D99"/>
    <w:pPr>
      <w:numPr>
        <w:numId w:val="6"/>
      </w:numPr>
    </w:pPr>
  </w:style>
  <w:style w:type="numbering" w:customStyle="1" w:styleId="PwCListBullets1">
    <w:name w:val="PwC List Bullets 1"/>
    <w:rsid w:val="00462D99"/>
    <w:pPr>
      <w:numPr>
        <w:numId w:val="2"/>
      </w:numPr>
    </w:pPr>
  </w:style>
  <w:style w:type="paragraph" w:customStyle="1" w:styleId="Default0">
    <w:name w:val="Default"/>
    <w:link w:val="DefaultChar"/>
    <w:rsid w:val="00F44410"/>
    <w:pPr>
      <w:autoSpaceDE w:val="0"/>
      <w:autoSpaceDN w:val="0"/>
      <w:adjustRightInd w:val="0"/>
    </w:pPr>
    <w:rPr>
      <w:rFonts w:eastAsiaTheme="minorHAnsi"/>
      <w:color w:val="000000"/>
      <w:sz w:val="24"/>
      <w:szCs w:val="24"/>
      <w:lang w:eastAsia="en-US"/>
    </w:rPr>
  </w:style>
  <w:style w:type="character" w:customStyle="1" w:styleId="DefaultChar">
    <w:name w:val="Default Char"/>
    <w:basedOn w:val="Fontepargpadro"/>
    <w:link w:val="Default0"/>
    <w:locked/>
    <w:rsid w:val="00F44410"/>
    <w:rPr>
      <w:rFonts w:eastAsiaTheme="minorHAnsi"/>
      <w:color w:val="000000"/>
      <w:sz w:val="24"/>
      <w:szCs w:val="24"/>
      <w:lang w:eastAsia="en-US"/>
    </w:rPr>
  </w:style>
  <w:style w:type="paragraph" w:customStyle="1" w:styleId="Bodycopy">
    <w:name w:val="Body copy"/>
    <w:rsid w:val="00472453"/>
    <w:pPr>
      <w:spacing w:before="20" w:line="210" w:lineRule="exact"/>
    </w:pPr>
    <w:rPr>
      <w:rFonts w:ascii="Arial" w:eastAsia="PMingLiU" w:hAnsi="Arial" w:cs="Arial"/>
      <w:color w:val="000000"/>
      <w:sz w:val="17"/>
      <w:szCs w:val="17"/>
      <w:lang w:val="en-US" w:eastAsia="en-US"/>
    </w:rPr>
  </w:style>
  <w:style w:type="paragraph" w:customStyle="1" w:styleId="FCD">
    <w:name w:val="FCD"/>
    <w:basedOn w:val="Normal"/>
    <w:uiPriority w:val="99"/>
    <w:rsid w:val="003F4719"/>
    <w:pPr>
      <w:widowControl/>
      <w:spacing w:line="312" w:lineRule="auto"/>
      <w:jc w:val="both"/>
    </w:pPr>
    <w:rPr>
      <w:rFonts w:eastAsia="Calibri"/>
      <w:lang w:eastAsia="en-US"/>
    </w:rPr>
  </w:style>
  <w:style w:type="paragraph" w:customStyle="1" w:styleId="PargrafodaLista2">
    <w:name w:val="Parágrafo da Lista2"/>
    <w:basedOn w:val="Normal"/>
    <w:rsid w:val="00A43451"/>
    <w:pPr>
      <w:ind w:left="720"/>
      <w:contextualSpacing/>
    </w:pPr>
  </w:style>
  <w:style w:type="character" w:customStyle="1" w:styleId="PargrafodaListaChar">
    <w:name w:val="Parágrafo da Lista Char"/>
    <w:aliases w:val="Párrafo de lista numerado Char"/>
    <w:link w:val="PargrafodaLista"/>
    <w:uiPriority w:val="34"/>
    <w:rsid w:val="000C0B17"/>
    <w:rPr>
      <w:sz w:val="24"/>
      <w:szCs w:val="24"/>
    </w:rPr>
  </w:style>
  <w:style w:type="paragraph" w:styleId="Reviso">
    <w:name w:val="Revision"/>
    <w:hidden/>
    <w:uiPriority w:val="99"/>
    <w:semiHidden/>
    <w:rsid w:val="000823E7"/>
    <w:rPr>
      <w:sz w:val="24"/>
      <w:szCs w:val="24"/>
    </w:rPr>
  </w:style>
  <w:style w:type="paragraph" w:customStyle="1" w:styleId="ListParagraph1">
    <w:name w:val="List Paragraph1"/>
    <w:basedOn w:val="Normal"/>
    <w:uiPriority w:val="99"/>
    <w:rsid w:val="001D3E9C"/>
    <w:pPr>
      <w:widowControl/>
      <w:spacing w:line="240" w:lineRule="auto"/>
      <w:ind w:left="720"/>
      <w:contextualSpacing/>
    </w:pPr>
  </w:style>
  <w:style w:type="paragraph" w:customStyle="1" w:styleId="xmsolistparagraph">
    <w:name w:val="x_msolistparagraph"/>
    <w:basedOn w:val="Normal"/>
    <w:rsid w:val="00307CCF"/>
    <w:pPr>
      <w:widowControl/>
      <w:spacing w:before="100" w:beforeAutospacing="1" w:after="100" w:afterAutospacing="1" w:line="240" w:lineRule="auto"/>
    </w:pPr>
  </w:style>
  <w:style w:type="paragraph" w:customStyle="1" w:styleId="xmsonormal">
    <w:name w:val="x_msonormal"/>
    <w:basedOn w:val="Normal"/>
    <w:rsid w:val="00307CCF"/>
    <w:pPr>
      <w:widowControl/>
      <w:spacing w:before="100" w:beforeAutospacing="1" w:after="100" w:afterAutospacing="1" w:line="240" w:lineRule="auto"/>
    </w:pPr>
  </w:style>
  <w:style w:type="paragraph" w:customStyle="1" w:styleId="DSLxStyle">
    <w:name w:val="DSLxStyle"/>
    <w:basedOn w:val="Normal"/>
    <w:link w:val="DSLxStyleChar"/>
    <w:rsid w:val="00C55DAA"/>
    <w:pPr>
      <w:jc w:val="right"/>
    </w:pPr>
    <w:rPr>
      <w:rFonts w:ascii="Arial" w:hAnsi="Arial"/>
      <w:color w:val="666666"/>
      <w:sz w:val="12"/>
    </w:rPr>
  </w:style>
  <w:style w:type="character" w:customStyle="1" w:styleId="DSLxStyleChar">
    <w:name w:val="DSLxStyle Char"/>
    <w:basedOn w:val="Fontepargpadro"/>
    <w:link w:val="DSLxStyle"/>
    <w:rsid w:val="00C55DAA"/>
    <w:rPr>
      <w:rFonts w:ascii="Arial" w:hAnsi="Arial"/>
      <w:color w:val="666666"/>
      <w:sz w:val="12"/>
      <w:szCs w:val="24"/>
    </w:rPr>
  </w:style>
  <w:style w:type="paragraph" w:customStyle="1" w:styleId="yiv6459758197msolistparagraph">
    <w:name w:val="yiv6459758197msolistparagraph"/>
    <w:basedOn w:val="Normal"/>
    <w:rsid w:val="00170932"/>
    <w:pPr>
      <w:widowControl/>
      <w:spacing w:before="100" w:beforeAutospacing="1" w:after="100" w:afterAutospacing="1" w:line="240" w:lineRule="auto"/>
    </w:pPr>
  </w:style>
  <w:style w:type="character" w:customStyle="1" w:styleId="yiv6459758197spelle">
    <w:name w:val="yiv6459758197spelle"/>
    <w:basedOn w:val="Fontepargpadro"/>
    <w:rsid w:val="0017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1592">
      <w:bodyDiv w:val="1"/>
      <w:marLeft w:val="0"/>
      <w:marRight w:val="0"/>
      <w:marTop w:val="0"/>
      <w:marBottom w:val="0"/>
      <w:divBdr>
        <w:top w:val="none" w:sz="0" w:space="0" w:color="auto"/>
        <w:left w:val="none" w:sz="0" w:space="0" w:color="auto"/>
        <w:bottom w:val="none" w:sz="0" w:space="0" w:color="auto"/>
        <w:right w:val="none" w:sz="0" w:space="0" w:color="auto"/>
      </w:divBdr>
    </w:div>
    <w:div w:id="6174684">
      <w:bodyDiv w:val="1"/>
      <w:marLeft w:val="0"/>
      <w:marRight w:val="0"/>
      <w:marTop w:val="0"/>
      <w:marBottom w:val="0"/>
      <w:divBdr>
        <w:top w:val="none" w:sz="0" w:space="0" w:color="auto"/>
        <w:left w:val="none" w:sz="0" w:space="0" w:color="auto"/>
        <w:bottom w:val="none" w:sz="0" w:space="0" w:color="auto"/>
        <w:right w:val="none" w:sz="0" w:space="0" w:color="auto"/>
      </w:divBdr>
    </w:div>
    <w:div w:id="19742918">
      <w:bodyDiv w:val="1"/>
      <w:marLeft w:val="0"/>
      <w:marRight w:val="0"/>
      <w:marTop w:val="0"/>
      <w:marBottom w:val="0"/>
      <w:divBdr>
        <w:top w:val="none" w:sz="0" w:space="0" w:color="auto"/>
        <w:left w:val="none" w:sz="0" w:space="0" w:color="auto"/>
        <w:bottom w:val="none" w:sz="0" w:space="0" w:color="auto"/>
        <w:right w:val="none" w:sz="0" w:space="0" w:color="auto"/>
      </w:divBdr>
    </w:div>
    <w:div w:id="31082804">
      <w:bodyDiv w:val="1"/>
      <w:marLeft w:val="0"/>
      <w:marRight w:val="0"/>
      <w:marTop w:val="0"/>
      <w:marBottom w:val="0"/>
      <w:divBdr>
        <w:top w:val="none" w:sz="0" w:space="0" w:color="auto"/>
        <w:left w:val="none" w:sz="0" w:space="0" w:color="auto"/>
        <w:bottom w:val="none" w:sz="0" w:space="0" w:color="auto"/>
        <w:right w:val="none" w:sz="0" w:space="0" w:color="auto"/>
      </w:divBdr>
    </w:div>
    <w:div w:id="33232441">
      <w:bodyDiv w:val="1"/>
      <w:marLeft w:val="0"/>
      <w:marRight w:val="0"/>
      <w:marTop w:val="0"/>
      <w:marBottom w:val="0"/>
      <w:divBdr>
        <w:top w:val="none" w:sz="0" w:space="0" w:color="auto"/>
        <w:left w:val="none" w:sz="0" w:space="0" w:color="auto"/>
        <w:bottom w:val="none" w:sz="0" w:space="0" w:color="auto"/>
        <w:right w:val="none" w:sz="0" w:space="0" w:color="auto"/>
      </w:divBdr>
    </w:div>
    <w:div w:id="33236610">
      <w:bodyDiv w:val="1"/>
      <w:marLeft w:val="0"/>
      <w:marRight w:val="0"/>
      <w:marTop w:val="0"/>
      <w:marBottom w:val="0"/>
      <w:divBdr>
        <w:top w:val="none" w:sz="0" w:space="0" w:color="auto"/>
        <w:left w:val="none" w:sz="0" w:space="0" w:color="auto"/>
        <w:bottom w:val="none" w:sz="0" w:space="0" w:color="auto"/>
        <w:right w:val="none" w:sz="0" w:space="0" w:color="auto"/>
      </w:divBdr>
    </w:div>
    <w:div w:id="42028587">
      <w:bodyDiv w:val="1"/>
      <w:marLeft w:val="0"/>
      <w:marRight w:val="0"/>
      <w:marTop w:val="0"/>
      <w:marBottom w:val="0"/>
      <w:divBdr>
        <w:top w:val="none" w:sz="0" w:space="0" w:color="auto"/>
        <w:left w:val="none" w:sz="0" w:space="0" w:color="auto"/>
        <w:bottom w:val="none" w:sz="0" w:space="0" w:color="auto"/>
        <w:right w:val="none" w:sz="0" w:space="0" w:color="auto"/>
      </w:divBdr>
    </w:div>
    <w:div w:id="52967345">
      <w:bodyDiv w:val="1"/>
      <w:marLeft w:val="0"/>
      <w:marRight w:val="0"/>
      <w:marTop w:val="0"/>
      <w:marBottom w:val="0"/>
      <w:divBdr>
        <w:top w:val="none" w:sz="0" w:space="0" w:color="auto"/>
        <w:left w:val="none" w:sz="0" w:space="0" w:color="auto"/>
        <w:bottom w:val="none" w:sz="0" w:space="0" w:color="auto"/>
        <w:right w:val="none" w:sz="0" w:space="0" w:color="auto"/>
      </w:divBdr>
    </w:div>
    <w:div w:id="73431247">
      <w:bodyDiv w:val="1"/>
      <w:marLeft w:val="0"/>
      <w:marRight w:val="0"/>
      <w:marTop w:val="0"/>
      <w:marBottom w:val="0"/>
      <w:divBdr>
        <w:top w:val="none" w:sz="0" w:space="0" w:color="auto"/>
        <w:left w:val="none" w:sz="0" w:space="0" w:color="auto"/>
        <w:bottom w:val="none" w:sz="0" w:space="0" w:color="auto"/>
        <w:right w:val="none" w:sz="0" w:space="0" w:color="auto"/>
      </w:divBdr>
    </w:div>
    <w:div w:id="74714361">
      <w:bodyDiv w:val="1"/>
      <w:marLeft w:val="0"/>
      <w:marRight w:val="0"/>
      <w:marTop w:val="0"/>
      <w:marBottom w:val="0"/>
      <w:divBdr>
        <w:top w:val="none" w:sz="0" w:space="0" w:color="auto"/>
        <w:left w:val="none" w:sz="0" w:space="0" w:color="auto"/>
        <w:bottom w:val="none" w:sz="0" w:space="0" w:color="auto"/>
        <w:right w:val="none" w:sz="0" w:space="0" w:color="auto"/>
      </w:divBdr>
    </w:div>
    <w:div w:id="75366895">
      <w:bodyDiv w:val="1"/>
      <w:marLeft w:val="0"/>
      <w:marRight w:val="0"/>
      <w:marTop w:val="0"/>
      <w:marBottom w:val="0"/>
      <w:divBdr>
        <w:top w:val="none" w:sz="0" w:space="0" w:color="auto"/>
        <w:left w:val="none" w:sz="0" w:space="0" w:color="auto"/>
        <w:bottom w:val="none" w:sz="0" w:space="0" w:color="auto"/>
        <w:right w:val="none" w:sz="0" w:space="0" w:color="auto"/>
      </w:divBdr>
    </w:div>
    <w:div w:id="83109880">
      <w:bodyDiv w:val="1"/>
      <w:marLeft w:val="0"/>
      <w:marRight w:val="0"/>
      <w:marTop w:val="0"/>
      <w:marBottom w:val="0"/>
      <w:divBdr>
        <w:top w:val="none" w:sz="0" w:space="0" w:color="auto"/>
        <w:left w:val="none" w:sz="0" w:space="0" w:color="auto"/>
        <w:bottom w:val="none" w:sz="0" w:space="0" w:color="auto"/>
        <w:right w:val="none" w:sz="0" w:space="0" w:color="auto"/>
      </w:divBdr>
    </w:div>
    <w:div w:id="86468959">
      <w:bodyDiv w:val="1"/>
      <w:marLeft w:val="0"/>
      <w:marRight w:val="0"/>
      <w:marTop w:val="0"/>
      <w:marBottom w:val="0"/>
      <w:divBdr>
        <w:top w:val="none" w:sz="0" w:space="0" w:color="auto"/>
        <w:left w:val="none" w:sz="0" w:space="0" w:color="auto"/>
        <w:bottom w:val="none" w:sz="0" w:space="0" w:color="auto"/>
        <w:right w:val="none" w:sz="0" w:space="0" w:color="auto"/>
      </w:divBdr>
    </w:div>
    <w:div w:id="95641433">
      <w:bodyDiv w:val="1"/>
      <w:marLeft w:val="0"/>
      <w:marRight w:val="0"/>
      <w:marTop w:val="0"/>
      <w:marBottom w:val="0"/>
      <w:divBdr>
        <w:top w:val="none" w:sz="0" w:space="0" w:color="auto"/>
        <w:left w:val="none" w:sz="0" w:space="0" w:color="auto"/>
        <w:bottom w:val="none" w:sz="0" w:space="0" w:color="auto"/>
        <w:right w:val="none" w:sz="0" w:space="0" w:color="auto"/>
      </w:divBdr>
    </w:div>
    <w:div w:id="107749323">
      <w:bodyDiv w:val="1"/>
      <w:marLeft w:val="0"/>
      <w:marRight w:val="0"/>
      <w:marTop w:val="0"/>
      <w:marBottom w:val="0"/>
      <w:divBdr>
        <w:top w:val="none" w:sz="0" w:space="0" w:color="auto"/>
        <w:left w:val="none" w:sz="0" w:space="0" w:color="auto"/>
        <w:bottom w:val="none" w:sz="0" w:space="0" w:color="auto"/>
        <w:right w:val="none" w:sz="0" w:space="0" w:color="auto"/>
      </w:divBdr>
    </w:div>
    <w:div w:id="108548060">
      <w:bodyDiv w:val="1"/>
      <w:marLeft w:val="0"/>
      <w:marRight w:val="0"/>
      <w:marTop w:val="0"/>
      <w:marBottom w:val="0"/>
      <w:divBdr>
        <w:top w:val="none" w:sz="0" w:space="0" w:color="auto"/>
        <w:left w:val="none" w:sz="0" w:space="0" w:color="auto"/>
        <w:bottom w:val="none" w:sz="0" w:space="0" w:color="auto"/>
        <w:right w:val="none" w:sz="0" w:space="0" w:color="auto"/>
      </w:divBdr>
    </w:div>
    <w:div w:id="142280506">
      <w:bodyDiv w:val="1"/>
      <w:marLeft w:val="0"/>
      <w:marRight w:val="0"/>
      <w:marTop w:val="0"/>
      <w:marBottom w:val="0"/>
      <w:divBdr>
        <w:top w:val="none" w:sz="0" w:space="0" w:color="auto"/>
        <w:left w:val="none" w:sz="0" w:space="0" w:color="auto"/>
        <w:bottom w:val="none" w:sz="0" w:space="0" w:color="auto"/>
        <w:right w:val="none" w:sz="0" w:space="0" w:color="auto"/>
      </w:divBdr>
    </w:div>
    <w:div w:id="162742020">
      <w:bodyDiv w:val="1"/>
      <w:marLeft w:val="0"/>
      <w:marRight w:val="0"/>
      <w:marTop w:val="0"/>
      <w:marBottom w:val="0"/>
      <w:divBdr>
        <w:top w:val="none" w:sz="0" w:space="0" w:color="auto"/>
        <w:left w:val="none" w:sz="0" w:space="0" w:color="auto"/>
        <w:bottom w:val="none" w:sz="0" w:space="0" w:color="auto"/>
        <w:right w:val="none" w:sz="0" w:space="0" w:color="auto"/>
      </w:divBdr>
    </w:div>
    <w:div w:id="168908700">
      <w:bodyDiv w:val="1"/>
      <w:marLeft w:val="0"/>
      <w:marRight w:val="0"/>
      <w:marTop w:val="0"/>
      <w:marBottom w:val="0"/>
      <w:divBdr>
        <w:top w:val="none" w:sz="0" w:space="0" w:color="auto"/>
        <w:left w:val="none" w:sz="0" w:space="0" w:color="auto"/>
        <w:bottom w:val="none" w:sz="0" w:space="0" w:color="auto"/>
        <w:right w:val="none" w:sz="0" w:space="0" w:color="auto"/>
      </w:divBdr>
    </w:div>
    <w:div w:id="184025307">
      <w:bodyDiv w:val="1"/>
      <w:marLeft w:val="0"/>
      <w:marRight w:val="0"/>
      <w:marTop w:val="0"/>
      <w:marBottom w:val="0"/>
      <w:divBdr>
        <w:top w:val="none" w:sz="0" w:space="0" w:color="auto"/>
        <w:left w:val="none" w:sz="0" w:space="0" w:color="auto"/>
        <w:bottom w:val="none" w:sz="0" w:space="0" w:color="auto"/>
        <w:right w:val="none" w:sz="0" w:space="0" w:color="auto"/>
      </w:divBdr>
    </w:div>
    <w:div w:id="189151669">
      <w:bodyDiv w:val="1"/>
      <w:marLeft w:val="0"/>
      <w:marRight w:val="0"/>
      <w:marTop w:val="0"/>
      <w:marBottom w:val="0"/>
      <w:divBdr>
        <w:top w:val="none" w:sz="0" w:space="0" w:color="auto"/>
        <w:left w:val="none" w:sz="0" w:space="0" w:color="auto"/>
        <w:bottom w:val="none" w:sz="0" w:space="0" w:color="auto"/>
        <w:right w:val="none" w:sz="0" w:space="0" w:color="auto"/>
      </w:divBdr>
    </w:div>
    <w:div w:id="219100385">
      <w:bodyDiv w:val="1"/>
      <w:marLeft w:val="0"/>
      <w:marRight w:val="0"/>
      <w:marTop w:val="0"/>
      <w:marBottom w:val="0"/>
      <w:divBdr>
        <w:top w:val="none" w:sz="0" w:space="0" w:color="auto"/>
        <w:left w:val="none" w:sz="0" w:space="0" w:color="auto"/>
        <w:bottom w:val="none" w:sz="0" w:space="0" w:color="auto"/>
        <w:right w:val="none" w:sz="0" w:space="0" w:color="auto"/>
      </w:divBdr>
    </w:div>
    <w:div w:id="221984886">
      <w:bodyDiv w:val="1"/>
      <w:marLeft w:val="0"/>
      <w:marRight w:val="0"/>
      <w:marTop w:val="0"/>
      <w:marBottom w:val="0"/>
      <w:divBdr>
        <w:top w:val="none" w:sz="0" w:space="0" w:color="auto"/>
        <w:left w:val="none" w:sz="0" w:space="0" w:color="auto"/>
        <w:bottom w:val="none" w:sz="0" w:space="0" w:color="auto"/>
        <w:right w:val="none" w:sz="0" w:space="0" w:color="auto"/>
      </w:divBdr>
    </w:div>
    <w:div w:id="222909028">
      <w:bodyDiv w:val="1"/>
      <w:marLeft w:val="0"/>
      <w:marRight w:val="0"/>
      <w:marTop w:val="0"/>
      <w:marBottom w:val="0"/>
      <w:divBdr>
        <w:top w:val="none" w:sz="0" w:space="0" w:color="auto"/>
        <w:left w:val="none" w:sz="0" w:space="0" w:color="auto"/>
        <w:bottom w:val="none" w:sz="0" w:space="0" w:color="auto"/>
        <w:right w:val="none" w:sz="0" w:space="0" w:color="auto"/>
      </w:divBdr>
    </w:div>
    <w:div w:id="224535332">
      <w:bodyDiv w:val="1"/>
      <w:marLeft w:val="0"/>
      <w:marRight w:val="0"/>
      <w:marTop w:val="0"/>
      <w:marBottom w:val="0"/>
      <w:divBdr>
        <w:top w:val="none" w:sz="0" w:space="0" w:color="auto"/>
        <w:left w:val="none" w:sz="0" w:space="0" w:color="auto"/>
        <w:bottom w:val="none" w:sz="0" w:space="0" w:color="auto"/>
        <w:right w:val="none" w:sz="0" w:space="0" w:color="auto"/>
      </w:divBdr>
    </w:div>
    <w:div w:id="249853403">
      <w:bodyDiv w:val="1"/>
      <w:marLeft w:val="0"/>
      <w:marRight w:val="0"/>
      <w:marTop w:val="0"/>
      <w:marBottom w:val="0"/>
      <w:divBdr>
        <w:top w:val="none" w:sz="0" w:space="0" w:color="auto"/>
        <w:left w:val="none" w:sz="0" w:space="0" w:color="auto"/>
        <w:bottom w:val="none" w:sz="0" w:space="0" w:color="auto"/>
        <w:right w:val="none" w:sz="0" w:space="0" w:color="auto"/>
      </w:divBdr>
    </w:div>
    <w:div w:id="252670145">
      <w:bodyDiv w:val="1"/>
      <w:marLeft w:val="0"/>
      <w:marRight w:val="0"/>
      <w:marTop w:val="0"/>
      <w:marBottom w:val="0"/>
      <w:divBdr>
        <w:top w:val="none" w:sz="0" w:space="0" w:color="auto"/>
        <w:left w:val="none" w:sz="0" w:space="0" w:color="auto"/>
        <w:bottom w:val="none" w:sz="0" w:space="0" w:color="auto"/>
        <w:right w:val="none" w:sz="0" w:space="0" w:color="auto"/>
      </w:divBdr>
    </w:div>
    <w:div w:id="266426327">
      <w:bodyDiv w:val="1"/>
      <w:marLeft w:val="0"/>
      <w:marRight w:val="0"/>
      <w:marTop w:val="0"/>
      <w:marBottom w:val="0"/>
      <w:divBdr>
        <w:top w:val="none" w:sz="0" w:space="0" w:color="auto"/>
        <w:left w:val="none" w:sz="0" w:space="0" w:color="auto"/>
        <w:bottom w:val="none" w:sz="0" w:space="0" w:color="auto"/>
        <w:right w:val="none" w:sz="0" w:space="0" w:color="auto"/>
      </w:divBdr>
    </w:div>
    <w:div w:id="274750597">
      <w:bodyDiv w:val="1"/>
      <w:marLeft w:val="0"/>
      <w:marRight w:val="0"/>
      <w:marTop w:val="0"/>
      <w:marBottom w:val="0"/>
      <w:divBdr>
        <w:top w:val="none" w:sz="0" w:space="0" w:color="auto"/>
        <w:left w:val="none" w:sz="0" w:space="0" w:color="auto"/>
        <w:bottom w:val="none" w:sz="0" w:space="0" w:color="auto"/>
        <w:right w:val="none" w:sz="0" w:space="0" w:color="auto"/>
      </w:divBdr>
    </w:div>
    <w:div w:id="284309790">
      <w:bodyDiv w:val="1"/>
      <w:marLeft w:val="0"/>
      <w:marRight w:val="0"/>
      <w:marTop w:val="0"/>
      <w:marBottom w:val="0"/>
      <w:divBdr>
        <w:top w:val="none" w:sz="0" w:space="0" w:color="auto"/>
        <w:left w:val="none" w:sz="0" w:space="0" w:color="auto"/>
        <w:bottom w:val="none" w:sz="0" w:space="0" w:color="auto"/>
        <w:right w:val="none" w:sz="0" w:space="0" w:color="auto"/>
      </w:divBdr>
    </w:div>
    <w:div w:id="290795530">
      <w:bodyDiv w:val="1"/>
      <w:marLeft w:val="0"/>
      <w:marRight w:val="0"/>
      <w:marTop w:val="0"/>
      <w:marBottom w:val="0"/>
      <w:divBdr>
        <w:top w:val="none" w:sz="0" w:space="0" w:color="auto"/>
        <w:left w:val="none" w:sz="0" w:space="0" w:color="auto"/>
        <w:bottom w:val="none" w:sz="0" w:space="0" w:color="auto"/>
        <w:right w:val="none" w:sz="0" w:space="0" w:color="auto"/>
      </w:divBdr>
    </w:div>
    <w:div w:id="298338064">
      <w:bodyDiv w:val="1"/>
      <w:marLeft w:val="0"/>
      <w:marRight w:val="0"/>
      <w:marTop w:val="0"/>
      <w:marBottom w:val="0"/>
      <w:divBdr>
        <w:top w:val="none" w:sz="0" w:space="0" w:color="auto"/>
        <w:left w:val="none" w:sz="0" w:space="0" w:color="auto"/>
        <w:bottom w:val="none" w:sz="0" w:space="0" w:color="auto"/>
        <w:right w:val="none" w:sz="0" w:space="0" w:color="auto"/>
      </w:divBdr>
    </w:div>
    <w:div w:id="301542068">
      <w:bodyDiv w:val="1"/>
      <w:marLeft w:val="0"/>
      <w:marRight w:val="0"/>
      <w:marTop w:val="0"/>
      <w:marBottom w:val="0"/>
      <w:divBdr>
        <w:top w:val="none" w:sz="0" w:space="0" w:color="auto"/>
        <w:left w:val="none" w:sz="0" w:space="0" w:color="auto"/>
        <w:bottom w:val="none" w:sz="0" w:space="0" w:color="auto"/>
        <w:right w:val="none" w:sz="0" w:space="0" w:color="auto"/>
      </w:divBdr>
    </w:div>
    <w:div w:id="306858586">
      <w:bodyDiv w:val="1"/>
      <w:marLeft w:val="0"/>
      <w:marRight w:val="0"/>
      <w:marTop w:val="0"/>
      <w:marBottom w:val="0"/>
      <w:divBdr>
        <w:top w:val="none" w:sz="0" w:space="0" w:color="auto"/>
        <w:left w:val="none" w:sz="0" w:space="0" w:color="auto"/>
        <w:bottom w:val="none" w:sz="0" w:space="0" w:color="auto"/>
        <w:right w:val="none" w:sz="0" w:space="0" w:color="auto"/>
      </w:divBdr>
    </w:div>
    <w:div w:id="313682578">
      <w:bodyDiv w:val="1"/>
      <w:marLeft w:val="0"/>
      <w:marRight w:val="0"/>
      <w:marTop w:val="0"/>
      <w:marBottom w:val="0"/>
      <w:divBdr>
        <w:top w:val="none" w:sz="0" w:space="0" w:color="auto"/>
        <w:left w:val="none" w:sz="0" w:space="0" w:color="auto"/>
        <w:bottom w:val="none" w:sz="0" w:space="0" w:color="auto"/>
        <w:right w:val="none" w:sz="0" w:space="0" w:color="auto"/>
      </w:divBdr>
    </w:div>
    <w:div w:id="317734185">
      <w:bodyDiv w:val="1"/>
      <w:marLeft w:val="0"/>
      <w:marRight w:val="0"/>
      <w:marTop w:val="0"/>
      <w:marBottom w:val="0"/>
      <w:divBdr>
        <w:top w:val="none" w:sz="0" w:space="0" w:color="auto"/>
        <w:left w:val="none" w:sz="0" w:space="0" w:color="auto"/>
        <w:bottom w:val="none" w:sz="0" w:space="0" w:color="auto"/>
        <w:right w:val="none" w:sz="0" w:space="0" w:color="auto"/>
      </w:divBdr>
    </w:div>
    <w:div w:id="319387901">
      <w:bodyDiv w:val="1"/>
      <w:marLeft w:val="0"/>
      <w:marRight w:val="0"/>
      <w:marTop w:val="0"/>
      <w:marBottom w:val="0"/>
      <w:divBdr>
        <w:top w:val="none" w:sz="0" w:space="0" w:color="auto"/>
        <w:left w:val="none" w:sz="0" w:space="0" w:color="auto"/>
        <w:bottom w:val="none" w:sz="0" w:space="0" w:color="auto"/>
        <w:right w:val="none" w:sz="0" w:space="0" w:color="auto"/>
      </w:divBdr>
    </w:div>
    <w:div w:id="341974551">
      <w:bodyDiv w:val="1"/>
      <w:marLeft w:val="0"/>
      <w:marRight w:val="0"/>
      <w:marTop w:val="0"/>
      <w:marBottom w:val="0"/>
      <w:divBdr>
        <w:top w:val="none" w:sz="0" w:space="0" w:color="auto"/>
        <w:left w:val="none" w:sz="0" w:space="0" w:color="auto"/>
        <w:bottom w:val="none" w:sz="0" w:space="0" w:color="auto"/>
        <w:right w:val="none" w:sz="0" w:space="0" w:color="auto"/>
      </w:divBdr>
    </w:div>
    <w:div w:id="346979939">
      <w:bodyDiv w:val="1"/>
      <w:marLeft w:val="0"/>
      <w:marRight w:val="0"/>
      <w:marTop w:val="0"/>
      <w:marBottom w:val="0"/>
      <w:divBdr>
        <w:top w:val="none" w:sz="0" w:space="0" w:color="auto"/>
        <w:left w:val="none" w:sz="0" w:space="0" w:color="auto"/>
        <w:bottom w:val="none" w:sz="0" w:space="0" w:color="auto"/>
        <w:right w:val="none" w:sz="0" w:space="0" w:color="auto"/>
      </w:divBdr>
    </w:div>
    <w:div w:id="366181215">
      <w:bodyDiv w:val="1"/>
      <w:marLeft w:val="0"/>
      <w:marRight w:val="0"/>
      <w:marTop w:val="0"/>
      <w:marBottom w:val="0"/>
      <w:divBdr>
        <w:top w:val="none" w:sz="0" w:space="0" w:color="auto"/>
        <w:left w:val="none" w:sz="0" w:space="0" w:color="auto"/>
        <w:bottom w:val="none" w:sz="0" w:space="0" w:color="auto"/>
        <w:right w:val="none" w:sz="0" w:space="0" w:color="auto"/>
      </w:divBdr>
    </w:div>
    <w:div w:id="375588599">
      <w:bodyDiv w:val="1"/>
      <w:marLeft w:val="0"/>
      <w:marRight w:val="0"/>
      <w:marTop w:val="0"/>
      <w:marBottom w:val="0"/>
      <w:divBdr>
        <w:top w:val="none" w:sz="0" w:space="0" w:color="auto"/>
        <w:left w:val="none" w:sz="0" w:space="0" w:color="auto"/>
        <w:bottom w:val="none" w:sz="0" w:space="0" w:color="auto"/>
        <w:right w:val="none" w:sz="0" w:space="0" w:color="auto"/>
      </w:divBdr>
    </w:div>
    <w:div w:id="388504170">
      <w:bodyDiv w:val="1"/>
      <w:marLeft w:val="0"/>
      <w:marRight w:val="0"/>
      <w:marTop w:val="0"/>
      <w:marBottom w:val="0"/>
      <w:divBdr>
        <w:top w:val="none" w:sz="0" w:space="0" w:color="auto"/>
        <w:left w:val="none" w:sz="0" w:space="0" w:color="auto"/>
        <w:bottom w:val="none" w:sz="0" w:space="0" w:color="auto"/>
        <w:right w:val="none" w:sz="0" w:space="0" w:color="auto"/>
      </w:divBdr>
    </w:div>
    <w:div w:id="394741285">
      <w:bodyDiv w:val="1"/>
      <w:marLeft w:val="0"/>
      <w:marRight w:val="0"/>
      <w:marTop w:val="0"/>
      <w:marBottom w:val="0"/>
      <w:divBdr>
        <w:top w:val="none" w:sz="0" w:space="0" w:color="auto"/>
        <w:left w:val="none" w:sz="0" w:space="0" w:color="auto"/>
        <w:bottom w:val="none" w:sz="0" w:space="0" w:color="auto"/>
        <w:right w:val="none" w:sz="0" w:space="0" w:color="auto"/>
      </w:divBdr>
    </w:div>
    <w:div w:id="396243237">
      <w:bodyDiv w:val="1"/>
      <w:marLeft w:val="0"/>
      <w:marRight w:val="0"/>
      <w:marTop w:val="0"/>
      <w:marBottom w:val="0"/>
      <w:divBdr>
        <w:top w:val="none" w:sz="0" w:space="0" w:color="auto"/>
        <w:left w:val="none" w:sz="0" w:space="0" w:color="auto"/>
        <w:bottom w:val="none" w:sz="0" w:space="0" w:color="auto"/>
        <w:right w:val="none" w:sz="0" w:space="0" w:color="auto"/>
      </w:divBdr>
    </w:div>
    <w:div w:id="397872987">
      <w:bodyDiv w:val="1"/>
      <w:marLeft w:val="0"/>
      <w:marRight w:val="0"/>
      <w:marTop w:val="0"/>
      <w:marBottom w:val="0"/>
      <w:divBdr>
        <w:top w:val="none" w:sz="0" w:space="0" w:color="auto"/>
        <w:left w:val="none" w:sz="0" w:space="0" w:color="auto"/>
        <w:bottom w:val="none" w:sz="0" w:space="0" w:color="auto"/>
        <w:right w:val="none" w:sz="0" w:space="0" w:color="auto"/>
      </w:divBdr>
    </w:div>
    <w:div w:id="398989269">
      <w:bodyDiv w:val="1"/>
      <w:marLeft w:val="0"/>
      <w:marRight w:val="0"/>
      <w:marTop w:val="0"/>
      <w:marBottom w:val="0"/>
      <w:divBdr>
        <w:top w:val="none" w:sz="0" w:space="0" w:color="auto"/>
        <w:left w:val="none" w:sz="0" w:space="0" w:color="auto"/>
        <w:bottom w:val="none" w:sz="0" w:space="0" w:color="auto"/>
        <w:right w:val="none" w:sz="0" w:space="0" w:color="auto"/>
      </w:divBdr>
    </w:div>
    <w:div w:id="400565013">
      <w:bodyDiv w:val="1"/>
      <w:marLeft w:val="0"/>
      <w:marRight w:val="0"/>
      <w:marTop w:val="0"/>
      <w:marBottom w:val="0"/>
      <w:divBdr>
        <w:top w:val="none" w:sz="0" w:space="0" w:color="auto"/>
        <w:left w:val="none" w:sz="0" w:space="0" w:color="auto"/>
        <w:bottom w:val="none" w:sz="0" w:space="0" w:color="auto"/>
        <w:right w:val="none" w:sz="0" w:space="0" w:color="auto"/>
      </w:divBdr>
    </w:div>
    <w:div w:id="400912395">
      <w:bodyDiv w:val="1"/>
      <w:marLeft w:val="0"/>
      <w:marRight w:val="0"/>
      <w:marTop w:val="0"/>
      <w:marBottom w:val="0"/>
      <w:divBdr>
        <w:top w:val="none" w:sz="0" w:space="0" w:color="auto"/>
        <w:left w:val="none" w:sz="0" w:space="0" w:color="auto"/>
        <w:bottom w:val="none" w:sz="0" w:space="0" w:color="auto"/>
        <w:right w:val="none" w:sz="0" w:space="0" w:color="auto"/>
      </w:divBdr>
    </w:div>
    <w:div w:id="410274865">
      <w:bodyDiv w:val="1"/>
      <w:marLeft w:val="0"/>
      <w:marRight w:val="0"/>
      <w:marTop w:val="0"/>
      <w:marBottom w:val="0"/>
      <w:divBdr>
        <w:top w:val="none" w:sz="0" w:space="0" w:color="auto"/>
        <w:left w:val="none" w:sz="0" w:space="0" w:color="auto"/>
        <w:bottom w:val="none" w:sz="0" w:space="0" w:color="auto"/>
        <w:right w:val="none" w:sz="0" w:space="0" w:color="auto"/>
      </w:divBdr>
    </w:div>
    <w:div w:id="413091437">
      <w:bodyDiv w:val="1"/>
      <w:marLeft w:val="0"/>
      <w:marRight w:val="0"/>
      <w:marTop w:val="0"/>
      <w:marBottom w:val="0"/>
      <w:divBdr>
        <w:top w:val="none" w:sz="0" w:space="0" w:color="auto"/>
        <w:left w:val="none" w:sz="0" w:space="0" w:color="auto"/>
        <w:bottom w:val="none" w:sz="0" w:space="0" w:color="auto"/>
        <w:right w:val="none" w:sz="0" w:space="0" w:color="auto"/>
      </w:divBdr>
    </w:div>
    <w:div w:id="413866094">
      <w:bodyDiv w:val="1"/>
      <w:marLeft w:val="0"/>
      <w:marRight w:val="0"/>
      <w:marTop w:val="0"/>
      <w:marBottom w:val="0"/>
      <w:divBdr>
        <w:top w:val="none" w:sz="0" w:space="0" w:color="auto"/>
        <w:left w:val="none" w:sz="0" w:space="0" w:color="auto"/>
        <w:bottom w:val="none" w:sz="0" w:space="0" w:color="auto"/>
        <w:right w:val="none" w:sz="0" w:space="0" w:color="auto"/>
      </w:divBdr>
    </w:div>
    <w:div w:id="428817865">
      <w:bodyDiv w:val="1"/>
      <w:marLeft w:val="0"/>
      <w:marRight w:val="0"/>
      <w:marTop w:val="0"/>
      <w:marBottom w:val="0"/>
      <w:divBdr>
        <w:top w:val="none" w:sz="0" w:space="0" w:color="auto"/>
        <w:left w:val="none" w:sz="0" w:space="0" w:color="auto"/>
        <w:bottom w:val="none" w:sz="0" w:space="0" w:color="auto"/>
        <w:right w:val="none" w:sz="0" w:space="0" w:color="auto"/>
      </w:divBdr>
    </w:div>
    <w:div w:id="447819224">
      <w:bodyDiv w:val="1"/>
      <w:marLeft w:val="0"/>
      <w:marRight w:val="0"/>
      <w:marTop w:val="0"/>
      <w:marBottom w:val="0"/>
      <w:divBdr>
        <w:top w:val="none" w:sz="0" w:space="0" w:color="auto"/>
        <w:left w:val="none" w:sz="0" w:space="0" w:color="auto"/>
        <w:bottom w:val="none" w:sz="0" w:space="0" w:color="auto"/>
        <w:right w:val="none" w:sz="0" w:space="0" w:color="auto"/>
      </w:divBdr>
    </w:div>
    <w:div w:id="464585634">
      <w:bodyDiv w:val="1"/>
      <w:marLeft w:val="0"/>
      <w:marRight w:val="0"/>
      <w:marTop w:val="0"/>
      <w:marBottom w:val="0"/>
      <w:divBdr>
        <w:top w:val="none" w:sz="0" w:space="0" w:color="auto"/>
        <w:left w:val="none" w:sz="0" w:space="0" w:color="auto"/>
        <w:bottom w:val="none" w:sz="0" w:space="0" w:color="auto"/>
        <w:right w:val="none" w:sz="0" w:space="0" w:color="auto"/>
      </w:divBdr>
    </w:div>
    <w:div w:id="466317029">
      <w:bodyDiv w:val="1"/>
      <w:marLeft w:val="0"/>
      <w:marRight w:val="0"/>
      <w:marTop w:val="0"/>
      <w:marBottom w:val="0"/>
      <w:divBdr>
        <w:top w:val="none" w:sz="0" w:space="0" w:color="auto"/>
        <w:left w:val="none" w:sz="0" w:space="0" w:color="auto"/>
        <w:bottom w:val="none" w:sz="0" w:space="0" w:color="auto"/>
        <w:right w:val="none" w:sz="0" w:space="0" w:color="auto"/>
      </w:divBdr>
    </w:div>
    <w:div w:id="473648190">
      <w:bodyDiv w:val="1"/>
      <w:marLeft w:val="0"/>
      <w:marRight w:val="0"/>
      <w:marTop w:val="0"/>
      <w:marBottom w:val="0"/>
      <w:divBdr>
        <w:top w:val="none" w:sz="0" w:space="0" w:color="auto"/>
        <w:left w:val="none" w:sz="0" w:space="0" w:color="auto"/>
        <w:bottom w:val="none" w:sz="0" w:space="0" w:color="auto"/>
        <w:right w:val="none" w:sz="0" w:space="0" w:color="auto"/>
      </w:divBdr>
    </w:div>
    <w:div w:id="480773063">
      <w:bodyDiv w:val="1"/>
      <w:marLeft w:val="0"/>
      <w:marRight w:val="0"/>
      <w:marTop w:val="0"/>
      <w:marBottom w:val="0"/>
      <w:divBdr>
        <w:top w:val="none" w:sz="0" w:space="0" w:color="auto"/>
        <w:left w:val="none" w:sz="0" w:space="0" w:color="auto"/>
        <w:bottom w:val="none" w:sz="0" w:space="0" w:color="auto"/>
        <w:right w:val="none" w:sz="0" w:space="0" w:color="auto"/>
      </w:divBdr>
    </w:div>
    <w:div w:id="486895472">
      <w:bodyDiv w:val="1"/>
      <w:marLeft w:val="0"/>
      <w:marRight w:val="0"/>
      <w:marTop w:val="0"/>
      <w:marBottom w:val="0"/>
      <w:divBdr>
        <w:top w:val="none" w:sz="0" w:space="0" w:color="auto"/>
        <w:left w:val="none" w:sz="0" w:space="0" w:color="auto"/>
        <w:bottom w:val="none" w:sz="0" w:space="0" w:color="auto"/>
        <w:right w:val="none" w:sz="0" w:space="0" w:color="auto"/>
      </w:divBdr>
    </w:div>
    <w:div w:id="504636114">
      <w:bodyDiv w:val="1"/>
      <w:marLeft w:val="0"/>
      <w:marRight w:val="0"/>
      <w:marTop w:val="0"/>
      <w:marBottom w:val="0"/>
      <w:divBdr>
        <w:top w:val="none" w:sz="0" w:space="0" w:color="auto"/>
        <w:left w:val="none" w:sz="0" w:space="0" w:color="auto"/>
        <w:bottom w:val="none" w:sz="0" w:space="0" w:color="auto"/>
        <w:right w:val="none" w:sz="0" w:space="0" w:color="auto"/>
      </w:divBdr>
    </w:div>
    <w:div w:id="507183984">
      <w:bodyDiv w:val="1"/>
      <w:marLeft w:val="0"/>
      <w:marRight w:val="0"/>
      <w:marTop w:val="0"/>
      <w:marBottom w:val="0"/>
      <w:divBdr>
        <w:top w:val="none" w:sz="0" w:space="0" w:color="auto"/>
        <w:left w:val="none" w:sz="0" w:space="0" w:color="auto"/>
        <w:bottom w:val="none" w:sz="0" w:space="0" w:color="auto"/>
        <w:right w:val="none" w:sz="0" w:space="0" w:color="auto"/>
      </w:divBdr>
    </w:div>
    <w:div w:id="532839782">
      <w:bodyDiv w:val="1"/>
      <w:marLeft w:val="0"/>
      <w:marRight w:val="0"/>
      <w:marTop w:val="0"/>
      <w:marBottom w:val="0"/>
      <w:divBdr>
        <w:top w:val="none" w:sz="0" w:space="0" w:color="auto"/>
        <w:left w:val="none" w:sz="0" w:space="0" w:color="auto"/>
        <w:bottom w:val="none" w:sz="0" w:space="0" w:color="auto"/>
        <w:right w:val="none" w:sz="0" w:space="0" w:color="auto"/>
      </w:divBdr>
    </w:div>
    <w:div w:id="558710212">
      <w:bodyDiv w:val="1"/>
      <w:marLeft w:val="0"/>
      <w:marRight w:val="0"/>
      <w:marTop w:val="0"/>
      <w:marBottom w:val="0"/>
      <w:divBdr>
        <w:top w:val="none" w:sz="0" w:space="0" w:color="auto"/>
        <w:left w:val="none" w:sz="0" w:space="0" w:color="auto"/>
        <w:bottom w:val="none" w:sz="0" w:space="0" w:color="auto"/>
        <w:right w:val="none" w:sz="0" w:space="0" w:color="auto"/>
      </w:divBdr>
    </w:div>
    <w:div w:id="579951722">
      <w:bodyDiv w:val="1"/>
      <w:marLeft w:val="0"/>
      <w:marRight w:val="0"/>
      <w:marTop w:val="0"/>
      <w:marBottom w:val="0"/>
      <w:divBdr>
        <w:top w:val="none" w:sz="0" w:space="0" w:color="auto"/>
        <w:left w:val="none" w:sz="0" w:space="0" w:color="auto"/>
        <w:bottom w:val="none" w:sz="0" w:space="0" w:color="auto"/>
        <w:right w:val="none" w:sz="0" w:space="0" w:color="auto"/>
      </w:divBdr>
    </w:div>
    <w:div w:id="584613407">
      <w:marLeft w:val="0"/>
      <w:marRight w:val="0"/>
      <w:marTop w:val="0"/>
      <w:marBottom w:val="0"/>
      <w:divBdr>
        <w:top w:val="none" w:sz="0" w:space="0" w:color="auto"/>
        <w:left w:val="none" w:sz="0" w:space="0" w:color="auto"/>
        <w:bottom w:val="none" w:sz="0" w:space="0" w:color="auto"/>
        <w:right w:val="none" w:sz="0" w:space="0" w:color="auto"/>
      </w:divBdr>
    </w:div>
    <w:div w:id="584613408">
      <w:marLeft w:val="0"/>
      <w:marRight w:val="0"/>
      <w:marTop w:val="0"/>
      <w:marBottom w:val="0"/>
      <w:divBdr>
        <w:top w:val="none" w:sz="0" w:space="0" w:color="auto"/>
        <w:left w:val="none" w:sz="0" w:space="0" w:color="auto"/>
        <w:bottom w:val="none" w:sz="0" w:space="0" w:color="auto"/>
        <w:right w:val="none" w:sz="0" w:space="0" w:color="auto"/>
      </w:divBdr>
    </w:div>
    <w:div w:id="584613409">
      <w:marLeft w:val="0"/>
      <w:marRight w:val="0"/>
      <w:marTop w:val="0"/>
      <w:marBottom w:val="0"/>
      <w:divBdr>
        <w:top w:val="none" w:sz="0" w:space="0" w:color="auto"/>
        <w:left w:val="none" w:sz="0" w:space="0" w:color="auto"/>
        <w:bottom w:val="none" w:sz="0" w:space="0" w:color="auto"/>
        <w:right w:val="none" w:sz="0" w:space="0" w:color="auto"/>
      </w:divBdr>
    </w:div>
    <w:div w:id="584613410">
      <w:marLeft w:val="0"/>
      <w:marRight w:val="0"/>
      <w:marTop w:val="0"/>
      <w:marBottom w:val="0"/>
      <w:divBdr>
        <w:top w:val="none" w:sz="0" w:space="0" w:color="auto"/>
        <w:left w:val="none" w:sz="0" w:space="0" w:color="auto"/>
        <w:bottom w:val="none" w:sz="0" w:space="0" w:color="auto"/>
        <w:right w:val="none" w:sz="0" w:space="0" w:color="auto"/>
      </w:divBdr>
    </w:div>
    <w:div w:id="584613411">
      <w:marLeft w:val="0"/>
      <w:marRight w:val="0"/>
      <w:marTop w:val="0"/>
      <w:marBottom w:val="0"/>
      <w:divBdr>
        <w:top w:val="none" w:sz="0" w:space="0" w:color="auto"/>
        <w:left w:val="none" w:sz="0" w:space="0" w:color="auto"/>
        <w:bottom w:val="none" w:sz="0" w:space="0" w:color="auto"/>
        <w:right w:val="none" w:sz="0" w:space="0" w:color="auto"/>
      </w:divBdr>
    </w:div>
    <w:div w:id="584613412">
      <w:marLeft w:val="0"/>
      <w:marRight w:val="0"/>
      <w:marTop w:val="0"/>
      <w:marBottom w:val="0"/>
      <w:divBdr>
        <w:top w:val="none" w:sz="0" w:space="0" w:color="auto"/>
        <w:left w:val="none" w:sz="0" w:space="0" w:color="auto"/>
        <w:bottom w:val="none" w:sz="0" w:space="0" w:color="auto"/>
        <w:right w:val="none" w:sz="0" w:space="0" w:color="auto"/>
      </w:divBdr>
    </w:div>
    <w:div w:id="584613413">
      <w:marLeft w:val="0"/>
      <w:marRight w:val="0"/>
      <w:marTop w:val="0"/>
      <w:marBottom w:val="0"/>
      <w:divBdr>
        <w:top w:val="none" w:sz="0" w:space="0" w:color="auto"/>
        <w:left w:val="none" w:sz="0" w:space="0" w:color="auto"/>
        <w:bottom w:val="none" w:sz="0" w:space="0" w:color="auto"/>
        <w:right w:val="none" w:sz="0" w:space="0" w:color="auto"/>
      </w:divBdr>
    </w:div>
    <w:div w:id="584613414">
      <w:marLeft w:val="0"/>
      <w:marRight w:val="0"/>
      <w:marTop w:val="0"/>
      <w:marBottom w:val="0"/>
      <w:divBdr>
        <w:top w:val="none" w:sz="0" w:space="0" w:color="auto"/>
        <w:left w:val="none" w:sz="0" w:space="0" w:color="auto"/>
        <w:bottom w:val="none" w:sz="0" w:space="0" w:color="auto"/>
        <w:right w:val="none" w:sz="0" w:space="0" w:color="auto"/>
      </w:divBdr>
    </w:div>
    <w:div w:id="584613415">
      <w:marLeft w:val="0"/>
      <w:marRight w:val="0"/>
      <w:marTop w:val="0"/>
      <w:marBottom w:val="0"/>
      <w:divBdr>
        <w:top w:val="none" w:sz="0" w:space="0" w:color="auto"/>
        <w:left w:val="none" w:sz="0" w:space="0" w:color="auto"/>
        <w:bottom w:val="none" w:sz="0" w:space="0" w:color="auto"/>
        <w:right w:val="none" w:sz="0" w:space="0" w:color="auto"/>
      </w:divBdr>
    </w:div>
    <w:div w:id="584613416">
      <w:marLeft w:val="0"/>
      <w:marRight w:val="0"/>
      <w:marTop w:val="0"/>
      <w:marBottom w:val="0"/>
      <w:divBdr>
        <w:top w:val="none" w:sz="0" w:space="0" w:color="auto"/>
        <w:left w:val="none" w:sz="0" w:space="0" w:color="auto"/>
        <w:bottom w:val="none" w:sz="0" w:space="0" w:color="auto"/>
        <w:right w:val="none" w:sz="0" w:space="0" w:color="auto"/>
      </w:divBdr>
    </w:div>
    <w:div w:id="584613417">
      <w:marLeft w:val="0"/>
      <w:marRight w:val="0"/>
      <w:marTop w:val="0"/>
      <w:marBottom w:val="0"/>
      <w:divBdr>
        <w:top w:val="none" w:sz="0" w:space="0" w:color="auto"/>
        <w:left w:val="none" w:sz="0" w:space="0" w:color="auto"/>
        <w:bottom w:val="none" w:sz="0" w:space="0" w:color="auto"/>
        <w:right w:val="none" w:sz="0" w:space="0" w:color="auto"/>
      </w:divBdr>
    </w:div>
    <w:div w:id="584613418">
      <w:marLeft w:val="0"/>
      <w:marRight w:val="0"/>
      <w:marTop w:val="0"/>
      <w:marBottom w:val="0"/>
      <w:divBdr>
        <w:top w:val="none" w:sz="0" w:space="0" w:color="auto"/>
        <w:left w:val="none" w:sz="0" w:space="0" w:color="auto"/>
        <w:bottom w:val="none" w:sz="0" w:space="0" w:color="auto"/>
        <w:right w:val="none" w:sz="0" w:space="0" w:color="auto"/>
      </w:divBdr>
    </w:div>
    <w:div w:id="584613419">
      <w:marLeft w:val="0"/>
      <w:marRight w:val="0"/>
      <w:marTop w:val="0"/>
      <w:marBottom w:val="0"/>
      <w:divBdr>
        <w:top w:val="none" w:sz="0" w:space="0" w:color="auto"/>
        <w:left w:val="none" w:sz="0" w:space="0" w:color="auto"/>
        <w:bottom w:val="none" w:sz="0" w:space="0" w:color="auto"/>
        <w:right w:val="none" w:sz="0" w:space="0" w:color="auto"/>
      </w:divBdr>
    </w:div>
    <w:div w:id="584613420">
      <w:marLeft w:val="0"/>
      <w:marRight w:val="0"/>
      <w:marTop w:val="0"/>
      <w:marBottom w:val="0"/>
      <w:divBdr>
        <w:top w:val="none" w:sz="0" w:space="0" w:color="auto"/>
        <w:left w:val="none" w:sz="0" w:space="0" w:color="auto"/>
        <w:bottom w:val="none" w:sz="0" w:space="0" w:color="auto"/>
        <w:right w:val="none" w:sz="0" w:space="0" w:color="auto"/>
      </w:divBdr>
    </w:div>
    <w:div w:id="584613421">
      <w:marLeft w:val="0"/>
      <w:marRight w:val="0"/>
      <w:marTop w:val="0"/>
      <w:marBottom w:val="0"/>
      <w:divBdr>
        <w:top w:val="none" w:sz="0" w:space="0" w:color="auto"/>
        <w:left w:val="none" w:sz="0" w:space="0" w:color="auto"/>
        <w:bottom w:val="none" w:sz="0" w:space="0" w:color="auto"/>
        <w:right w:val="none" w:sz="0" w:space="0" w:color="auto"/>
      </w:divBdr>
    </w:div>
    <w:div w:id="584613422">
      <w:marLeft w:val="0"/>
      <w:marRight w:val="0"/>
      <w:marTop w:val="0"/>
      <w:marBottom w:val="0"/>
      <w:divBdr>
        <w:top w:val="none" w:sz="0" w:space="0" w:color="auto"/>
        <w:left w:val="none" w:sz="0" w:space="0" w:color="auto"/>
        <w:bottom w:val="none" w:sz="0" w:space="0" w:color="auto"/>
        <w:right w:val="none" w:sz="0" w:space="0" w:color="auto"/>
      </w:divBdr>
    </w:div>
    <w:div w:id="584613423">
      <w:marLeft w:val="0"/>
      <w:marRight w:val="0"/>
      <w:marTop w:val="0"/>
      <w:marBottom w:val="0"/>
      <w:divBdr>
        <w:top w:val="none" w:sz="0" w:space="0" w:color="auto"/>
        <w:left w:val="none" w:sz="0" w:space="0" w:color="auto"/>
        <w:bottom w:val="none" w:sz="0" w:space="0" w:color="auto"/>
        <w:right w:val="none" w:sz="0" w:space="0" w:color="auto"/>
      </w:divBdr>
    </w:div>
    <w:div w:id="584613424">
      <w:marLeft w:val="0"/>
      <w:marRight w:val="0"/>
      <w:marTop w:val="0"/>
      <w:marBottom w:val="0"/>
      <w:divBdr>
        <w:top w:val="none" w:sz="0" w:space="0" w:color="auto"/>
        <w:left w:val="none" w:sz="0" w:space="0" w:color="auto"/>
        <w:bottom w:val="none" w:sz="0" w:space="0" w:color="auto"/>
        <w:right w:val="none" w:sz="0" w:space="0" w:color="auto"/>
      </w:divBdr>
    </w:div>
    <w:div w:id="584613425">
      <w:marLeft w:val="0"/>
      <w:marRight w:val="0"/>
      <w:marTop w:val="0"/>
      <w:marBottom w:val="0"/>
      <w:divBdr>
        <w:top w:val="none" w:sz="0" w:space="0" w:color="auto"/>
        <w:left w:val="none" w:sz="0" w:space="0" w:color="auto"/>
        <w:bottom w:val="none" w:sz="0" w:space="0" w:color="auto"/>
        <w:right w:val="none" w:sz="0" w:space="0" w:color="auto"/>
      </w:divBdr>
    </w:div>
    <w:div w:id="584613426">
      <w:marLeft w:val="0"/>
      <w:marRight w:val="0"/>
      <w:marTop w:val="0"/>
      <w:marBottom w:val="0"/>
      <w:divBdr>
        <w:top w:val="none" w:sz="0" w:space="0" w:color="auto"/>
        <w:left w:val="none" w:sz="0" w:space="0" w:color="auto"/>
        <w:bottom w:val="none" w:sz="0" w:space="0" w:color="auto"/>
        <w:right w:val="none" w:sz="0" w:space="0" w:color="auto"/>
      </w:divBdr>
    </w:div>
    <w:div w:id="584613427">
      <w:marLeft w:val="0"/>
      <w:marRight w:val="0"/>
      <w:marTop w:val="0"/>
      <w:marBottom w:val="0"/>
      <w:divBdr>
        <w:top w:val="none" w:sz="0" w:space="0" w:color="auto"/>
        <w:left w:val="none" w:sz="0" w:space="0" w:color="auto"/>
        <w:bottom w:val="none" w:sz="0" w:space="0" w:color="auto"/>
        <w:right w:val="none" w:sz="0" w:space="0" w:color="auto"/>
      </w:divBdr>
    </w:div>
    <w:div w:id="584613428">
      <w:marLeft w:val="0"/>
      <w:marRight w:val="0"/>
      <w:marTop w:val="0"/>
      <w:marBottom w:val="0"/>
      <w:divBdr>
        <w:top w:val="none" w:sz="0" w:space="0" w:color="auto"/>
        <w:left w:val="none" w:sz="0" w:space="0" w:color="auto"/>
        <w:bottom w:val="none" w:sz="0" w:space="0" w:color="auto"/>
        <w:right w:val="none" w:sz="0" w:space="0" w:color="auto"/>
      </w:divBdr>
    </w:div>
    <w:div w:id="584613429">
      <w:marLeft w:val="0"/>
      <w:marRight w:val="0"/>
      <w:marTop w:val="0"/>
      <w:marBottom w:val="0"/>
      <w:divBdr>
        <w:top w:val="none" w:sz="0" w:space="0" w:color="auto"/>
        <w:left w:val="none" w:sz="0" w:space="0" w:color="auto"/>
        <w:bottom w:val="none" w:sz="0" w:space="0" w:color="auto"/>
        <w:right w:val="none" w:sz="0" w:space="0" w:color="auto"/>
      </w:divBdr>
    </w:div>
    <w:div w:id="584613430">
      <w:marLeft w:val="0"/>
      <w:marRight w:val="0"/>
      <w:marTop w:val="0"/>
      <w:marBottom w:val="0"/>
      <w:divBdr>
        <w:top w:val="none" w:sz="0" w:space="0" w:color="auto"/>
        <w:left w:val="none" w:sz="0" w:space="0" w:color="auto"/>
        <w:bottom w:val="none" w:sz="0" w:space="0" w:color="auto"/>
        <w:right w:val="none" w:sz="0" w:space="0" w:color="auto"/>
      </w:divBdr>
    </w:div>
    <w:div w:id="584613431">
      <w:marLeft w:val="0"/>
      <w:marRight w:val="0"/>
      <w:marTop w:val="0"/>
      <w:marBottom w:val="0"/>
      <w:divBdr>
        <w:top w:val="none" w:sz="0" w:space="0" w:color="auto"/>
        <w:left w:val="none" w:sz="0" w:space="0" w:color="auto"/>
        <w:bottom w:val="none" w:sz="0" w:space="0" w:color="auto"/>
        <w:right w:val="none" w:sz="0" w:space="0" w:color="auto"/>
      </w:divBdr>
    </w:div>
    <w:div w:id="584613432">
      <w:marLeft w:val="0"/>
      <w:marRight w:val="0"/>
      <w:marTop w:val="0"/>
      <w:marBottom w:val="0"/>
      <w:divBdr>
        <w:top w:val="none" w:sz="0" w:space="0" w:color="auto"/>
        <w:left w:val="none" w:sz="0" w:space="0" w:color="auto"/>
        <w:bottom w:val="none" w:sz="0" w:space="0" w:color="auto"/>
        <w:right w:val="none" w:sz="0" w:space="0" w:color="auto"/>
      </w:divBdr>
    </w:div>
    <w:div w:id="584613433">
      <w:marLeft w:val="0"/>
      <w:marRight w:val="0"/>
      <w:marTop w:val="0"/>
      <w:marBottom w:val="0"/>
      <w:divBdr>
        <w:top w:val="none" w:sz="0" w:space="0" w:color="auto"/>
        <w:left w:val="none" w:sz="0" w:space="0" w:color="auto"/>
        <w:bottom w:val="none" w:sz="0" w:space="0" w:color="auto"/>
        <w:right w:val="none" w:sz="0" w:space="0" w:color="auto"/>
      </w:divBdr>
    </w:div>
    <w:div w:id="584613434">
      <w:marLeft w:val="0"/>
      <w:marRight w:val="0"/>
      <w:marTop w:val="0"/>
      <w:marBottom w:val="0"/>
      <w:divBdr>
        <w:top w:val="none" w:sz="0" w:space="0" w:color="auto"/>
        <w:left w:val="none" w:sz="0" w:space="0" w:color="auto"/>
        <w:bottom w:val="none" w:sz="0" w:space="0" w:color="auto"/>
        <w:right w:val="none" w:sz="0" w:space="0" w:color="auto"/>
      </w:divBdr>
    </w:div>
    <w:div w:id="584613435">
      <w:marLeft w:val="0"/>
      <w:marRight w:val="0"/>
      <w:marTop w:val="0"/>
      <w:marBottom w:val="0"/>
      <w:divBdr>
        <w:top w:val="none" w:sz="0" w:space="0" w:color="auto"/>
        <w:left w:val="none" w:sz="0" w:space="0" w:color="auto"/>
        <w:bottom w:val="none" w:sz="0" w:space="0" w:color="auto"/>
        <w:right w:val="none" w:sz="0" w:space="0" w:color="auto"/>
      </w:divBdr>
    </w:div>
    <w:div w:id="584613436">
      <w:marLeft w:val="0"/>
      <w:marRight w:val="0"/>
      <w:marTop w:val="0"/>
      <w:marBottom w:val="0"/>
      <w:divBdr>
        <w:top w:val="none" w:sz="0" w:space="0" w:color="auto"/>
        <w:left w:val="none" w:sz="0" w:space="0" w:color="auto"/>
        <w:bottom w:val="none" w:sz="0" w:space="0" w:color="auto"/>
        <w:right w:val="none" w:sz="0" w:space="0" w:color="auto"/>
      </w:divBdr>
    </w:div>
    <w:div w:id="584613437">
      <w:marLeft w:val="0"/>
      <w:marRight w:val="0"/>
      <w:marTop w:val="0"/>
      <w:marBottom w:val="0"/>
      <w:divBdr>
        <w:top w:val="none" w:sz="0" w:space="0" w:color="auto"/>
        <w:left w:val="none" w:sz="0" w:space="0" w:color="auto"/>
        <w:bottom w:val="none" w:sz="0" w:space="0" w:color="auto"/>
        <w:right w:val="none" w:sz="0" w:space="0" w:color="auto"/>
      </w:divBdr>
    </w:div>
    <w:div w:id="584613438">
      <w:marLeft w:val="0"/>
      <w:marRight w:val="0"/>
      <w:marTop w:val="0"/>
      <w:marBottom w:val="0"/>
      <w:divBdr>
        <w:top w:val="none" w:sz="0" w:space="0" w:color="auto"/>
        <w:left w:val="none" w:sz="0" w:space="0" w:color="auto"/>
        <w:bottom w:val="none" w:sz="0" w:space="0" w:color="auto"/>
        <w:right w:val="none" w:sz="0" w:space="0" w:color="auto"/>
      </w:divBdr>
    </w:div>
    <w:div w:id="584613439">
      <w:marLeft w:val="0"/>
      <w:marRight w:val="0"/>
      <w:marTop w:val="0"/>
      <w:marBottom w:val="0"/>
      <w:divBdr>
        <w:top w:val="none" w:sz="0" w:space="0" w:color="auto"/>
        <w:left w:val="none" w:sz="0" w:space="0" w:color="auto"/>
        <w:bottom w:val="none" w:sz="0" w:space="0" w:color="auto"/>
        <w:right w:val="none" w:sz="0" w:space="0" w:color="auto"/>
      </w:divBdr>
    </w:div>
    <w:div w:id="584613440">
      <w:marLeft w:val="0"/>
      <w:marRight w:val="0"/>
      <w:marTop w:val="0"/>
      <w:marBottom w:val="0"/>
      <w:divBdr>
        <w:top w:val="none" w:sz="0" w:space="0" w:color="auto"/>
        <w:left w:val="none" w:sz="0" w:space="0" w:color="auto"/>
        <w:bottom w:val="none" w:sz="0" w:space="0" w:color="auto"/>
        <w:right w:val="none" w:sz="0" w:space="0" w:color="auto"/>
      </w:divBdr>
    </w:div>
    <w:div w:id="584613441">
      <w:marLeft w:val="0"/>
      <w:marRight w:val="0"/>
      <w:marTop w:val="0"/>
      <w:marBottom w:val="0"/>
      <w:divBdr>
        <w:top w:val="none" w:sz="0" w:space="0" w:color="auto"/>
        <w:left w:val="none" w:sz="0" w:space="0" w:color="auto"/>
        <w:bottom w:val="none" w:sz="0" w:space="0" w:color="auto"/>
        <w:right w:val="none" w:sz="0" w:space="0" w:color="auto"/>
      </w:divBdr>
    </w:div>
    <w:div w:id="584613442">
      <w:marLeft w:val="0"/>
      <w:marRight w:val="0"/>
      <w:marTop w:val="0"/>
      <w:marBottom w:val="0"/>
      <w:divBdr>
        <w:top w:val="none" w:sz="0" w:space="0" w:color="auto"/>
        <w:left w:val="none" w:sz="0" w:space="0" w:color="auto"/>
        <w:bottom w:val="none" w:sz="0" w:space="0" w:color="auto"/>
        <w:right w:val="none" w:sz="0" w:space="0" w:color="auto"/>
      </w:divBdr>
    </w:div>
    <w:div w:id="584613443">
      <w:marLeft w:val="0"/>
      <w:marRight w:val="0"/>
      <w:marTop w:val="0"/>
      <w:marBottom w:val="0"/>
      <w:divBdr>
        <w:top w:val="none" w:sz="0" w:space="0" w:color="auto"/>
        <w:left w:val="none" w:sz="0" w:space="0" w:color="auto"/>
        <w:bottom w:val="none" w:sz="0" w:space="0" w:color="auto"/>
        <w:right w:val="none" w:sz="0" w:space="0" w:color="auto"/>
      </w:divBdr>
    </w:div>
    <w:div w:id="584613444">
      <w:marLeft w:val="0"/>
      <w:marRight w:val="0"/>
      <w:marTop w:val="0"/>
      <w:marBottom w:val="0"/>
      <w:divBdr>
        <w:top w:val="none" w:sz="0" w:space="0" w:color="auto"/>
        <w:left w:val="none" w:sz="0" w:space="0" w:color="auto"/>
        <w:bottom w:val="none" w:sz="0" w:space="0" w:color="auto"/>
        <w:right w:val="none" w:sz="0" w:space="0" w:color="auto"/>
      </w:divBdr>
    </w:div>
    <w:div w:id="584613445">
      <w:marLeft w:val="0"/>
      <w:marRight w:val="0"/>
      <w:marTop w:val="0"/>
      <w:marBottom w:val="0"/>
      <w:divBdr>
        <w:top w:val="none" w:sz="0" w:space="0" w:color="auto"/>
        <w:left w:val="none" w:sz="0" w:space="0" w:color="auto"/>
        <w:bottom w:val="none" w:sz="0" w:space="0" w:color="auto"/>
        <w:right w:val="none" w:sz="0" w:space="0" w:color="auto"/>
      </w:divBdr>
    </w:div>
    <w:div w:id="584613446">
      <w:marLeft w:val="0"/>
      <w:marRight w:val="0"/>
      <w:marTop w:val="0"/>
      <w:marBottom w:val="0"/>
      <w:divBdr>
        <w:top w:val="none" w:sz="0" w:space="0" w:color="auto"/>
        <w:left w:val="none" w:sz="0" w:space="0" w:color="auto"/>
        <w:bottom w:val="none" w:sz="0" w:space="0" w:color="auto"/>
        <w:right w:val="none" w:sz="0" w:space="0" w:color="auto"/>
      </w:divBdr>
    </w:div>
    <w:div w:id="584613447">
      <w:marLeft w:val="0"/>
      <w:marRight w:val="0"/>
      <w:marTop w:val="0"/>
      <w:marBottom w:val="0"/>
      <w:divBdr>
        <w:top w:val="none" w:sz="0" w:space="0" w:color="auto"/>
        <w:left w:val="none" w:sz="0" w:space="0" w:color="auto"/>
        <w:bottom w:val="none" w:sz="0" w:space="0" w:color="auto"/>
        <w:right w:val="none" w:sz="0" w:space="0" w:color="auto"/>
      </w:divBdr>
    </w:div>
    <w:div w:id="584613448">
      <w:marLeft w:val="0"/>
      <w:marRight w:val="0"/>
      <w:marTop w:val="0"/>
      <w:marBottom w:val="0"/>
      <w:divBdr>
        <w:top w:val="none" w:sz="0" w:space="0" w:color="auto"/>
        <w:left w:val="none" w:sz="0" w:space="0" w:color="auto"/>
        <w:bottom w:val="none" w:sz="0" w:space="0" w:color="auto"/>
        <w:right w:val="none" w:sz="0" w:space="0" w:color="auto"/>
      </w:divBdr>
    </w:div>
    <w:div w:id="584613449">
      <w:marLeft w:val="0"/>
      <w:marRight w:val="0"/>
      <w:marTop w:val="0"/>
      <w:marBottom w:val="0"/>
      <w:divBdr>
        <w:top w:val="none" w:sz="0" w:space="0" w:color="auto"/>
        <w:left w:val="none" w:sz="0" w:space="0" w:color="auto"/>
        <w:bottom w:val="none" w:sz="0" w:space="0" w:color="auto"/>
        <w:right w:val="none" w:sz="0" w:space="0" w:color="auto"/>
      </w:divBdr>
    </w:div>
    <w:div w:id="584613450">
      <w:marLeft w:val="0"/>
      <w:marRight w:val="0"/>
      <w:marTop w:val="0"/>
      <w:marBottom w:val="0"/>
      <w:divBdr>
        <w:top w:val="none" w:sz="0" w:space="0" w:color="auto"/>
        <w:left w:val="none" w:sz="0" w:space="0" w:color="auto"/>
        <w:bottom w:val="none" w:sz="0" w:space="0" w:color="auto"/>
        <w:right w:val="none" w:sz="0" w:space="0" w:color="auto"/>
      </w:divBdr>
    </w:div>
    <w:div w:id="584613451">
      <w:marLeft w:val="0"/>
      <w:marRight w:val="0"/>
      <w:marTop w:val="0"/>
      <w:marBottom w:val="0"/>
      <w:divBdr>
        <w:top w:val="none" w:sz="0" w:space="0" w:color="auto"/>
        <w:left w:val="none" w:sz="0" w:space="0" w:color="auto"/>
        <w:bottom w:val="none" w:sz="0" w:space="0" w:color="auto"/>
        <w:right w:val="none" w:sz="0" w:space="0" w:color="auto"/>
      </w:divBdr>
    </w:div>
    <w:div w:id="584613452">
      <w:marLeft w:val="0"/>
      <w:marRight w:val="0"/>
      <w:marTop w:val="0"/>
      <w:marBottom w:val="0"/>
      <w:divBdr>
        <w:top w:val="none" w:sz="0" w:space="0" w:color="auto"/>
        <w:left w:val="none" w:sz="0" w:space="0" w:color="auto"/>
        <w:bottom w:val="none" w:sz="0" w:space="0" w:color="auto"/>
        <w:right w:val="none" w:sz="0" w:space="0" w:color="auto"/>
      </w:divBdr>
    </w:div>
    <w:div w:id="584613453">
      <w:marLeft w:val="0"/>
      <w:marRight w:val="0"/>
      <w:marTop w:val="0"/>
      <w:marBottom w:val="0"/>
      <w:divBdr>
        <w:top w:val="none" w:sz="0" w:space="0" w:color="auto"/>
        <w:left w:val="none" w:sz="0" w:space="0" w:color="auto"/>
        <w:bottom w:val="none" w:sz="0" w:space="0" w:color="auto"/>
        <w:right w:val="none" w:sz="0" w:space="0" w:color="auto"/>
      </w:divBdr>
    </w:div>
    <w:div w:id="584613454">
      <w:marLeft w:val="0"/>
      <w:marRight w:val="0"/>
      <w:marTop w:val="0"/>
      <w:marBottom w:val="0"/>
      <w:divBdr>
        <w:top w:val="none" w:sz="0" w:space="0" w:color="auto"/>
        <w:left w:val="none" w:sz="0" w:space="0" w:color="auto"/>
        <w:bottom w:val="none" w:sz="0" w:space="0" w:color="auto"/>
        <w:right w:val="none" w:sz="0" w:space="0" w:color="auto"/>
      </w:divBdr>
    </w:div>
    <w:div w:id="584613455">
      <w:marLeft w:val="0"/>
      <w:marRight w:val="0"/>
      <w:marTop w:val="0"/>
      <w:marBottom w:val="0"/>
      <w:divBdr>
        <w:top w:val="none" w:sz="0" w:space="0" w:color="auto"/>
        <w:left w:val="none" w:sz="0" w:space="0" w:color="auto"/>
        <w:bottom w:val="none" w:sz="0" w:space="0" w:color="auto"/>
        <w:right w:val="none" w:sz="0" w:space="0" w:color="auto"/>
      </w:divBdr>
    </w:div>
    <w:div w:id="584613456">
      <w:marLeft w:val="0"/>
      <w:marRight w:val="0"/>
      <w:marTop w:val="0"/>
      <w:marBottom w:val="0"/>
      <w:divBdr>
        <w:top w:val="none" w:sz="0" w:space="0" w:color="auto"/>
        <w:left w:val="none" w:sz="0" w:space="0" w:color="auto"/>
        <w:bottom w:val="none" w:sz="0" w:space="0" w:color="auto"/>
        <w:right w:val="none" w:sz="0" w:space="0" w:color="auto"/>
      </w:divBdr>
    </w:div>
    <w:div w:id="584613457">
      <w:marLeft w:val="0"/>
      <w:marRight w:val="0"/>
      <w:marTop w:val="0"/>
      <w:marBottom w:val="0"/>
      <w:divBdr>
        <w:top w:val="none" w:sz="0" w:space="0" w:color="auto"/>
        <w:left w:val="none" w:sz="0" w:space="0" w:color="auto"/>
        <w:bottom w:val="none" w:sz="0" w:space="0" w:color="auto"/>
        <w:right w:val="none" w:sz="0" w:space="0" w:color="auto"/>
      </w:divBdr>
    </w:div>
    <w:div w:id="584613458">
      <w:marLeft w:val="0"/>
      <w:marRight w:val="0"/>
      <w:marTop w:val="0"/>
      <w:marBottom w:val="0"/>
      <w:divBdr>
        <w:top w:val="none" w:sz="0" w:space="0" w:color="auto"/>
        <w:left w:val="none" w:sz="0" w:space="0" w:color="auto"/>
        <w:bottom w:val="none" w:sz="0" w:space="0" w:color="auto"/>
        <w:right w:val="none" w:sz="0" w:space="0" w:color="auto"/>
      </w:divBdr>
    </w:div>
    <w:div w:id="584613459">
      <w:marLeft w:val="0"/>
      <w:marRight w:val="0"/>
      <w:marTop w:val="0"/>
      <w:marBottom w:val="0"/>
      <w:divBdr>
        <w:top w:val="none" w:sz="0" w:space="0" w:color="auto"/>
        <w:left w:val="none" w:sz="0" w:space="0" w:color="auto"/>
        <w:bottom w:val="none" w:sz="0" w:space="0" w:color="auto"/>
        <w:right w:val="none" w:sz="0" w:space="0" w:color="auto"/>
      </w:divBdr>
    </w:div>
    <w:div w:id="584613460">
      <w:marLeft w:val="0"/>
      <w:marRight w:val="0"/>
      <w:marTop w:val="0"/>
      <w:marBottom w:val="0"/>
      <w:divBdr>
        <w:top w:val="none" w:sz="0" w:space="0" w:color="auto"/>
        <w:left w:val="none" w:sz="0" w:space="0" w:color="auto"/>
        <w:bottom w:val="none" w:sz="0" w:space="0" w:color="auto"/>
        <w:right w:val="none" w:sz="0" w:space="0" w:color="auto"/>
      </w:divBdr>
    </w:div>
    <w:div w:id="584613461">
      <w:marLeft w:val="0"/>
      <w:marRight w:val="0"/>
      <w:marTop w:val="0"/>
      <w:marBottom w:val="0"/>
      <w:divBdr>
        <w:top w:val="none" w:sz="0" w:space="0" w:color="auto"/>
        <w:left w:val="none" w:sz="0" w:space="0" w:color="auto"/>
        <w:bottom w:val="none" w:sz="0" w:space="0" w:color="auto"/>
        <w:right w:val="none" w:sz="0" w:space="0" w:color="auto"/>
      </w:divBdr>
    </w:div>
    <w:div w:id="584613462">
      <w:marLeft w:val="0"/>
      <w:marRight w:val="0"/>
      <w:marTop w:val="0"/>
      <w:marBottom w:val="0"/>
      <w:divBdr>
        <w:top w:val="none" w:sz="0" w:space="0" w:color="auto"/>
        <w:left w:val="none" w:sz="0" w:space="0" w:color="auto"/>
        <w:bottom w:val="none" w:sz="0" w:space="0" w:color="auto"/>
        <w:right w:val="none" w:sz="0" w:space="0" w:color="auto"/>
      </w:divBdr>
    </w:div>
    <w:div w:id="584613463">
      <w:marLeft w:val="0"/>
      <w:marRight w:val="0"/>
      <w:marTop w:val="0"/>
      <w:marBottom w:val="0"/>
      <w:divBdr>
        <w:top w:val="none" w:sz="0" w:space="0" w:color="auto"/>
        <w:left w:val="none" w:sz="0" w:space="0" w:color="auto"/>
        <w:bottom w:val="none" w:sz="0" w:space="0" w:color="auto"/>
        <w:right w:val="none" w:sz="0" w:space="0" w:color="auto"/>
      </w:divBdr>
    </w:div>
    <w:div w:id="584613464">
      <w:marLeft w:val="0"/>
      <w:marRight w:val="0"/>
      <w:marTop w:val="0"/>
      <w:marBottom w:val="0"/>
      <w:divBdr>
        <w:top w:val="none" w:sz="0" w:space="0" w:color="auto"/>
        <w:left w:val="none" w:sz="0" w:space="0" w:color="auto"/>
        <w:bottom w:val="none" w:sz="0" w:space="0" w:color="auto"/>
        <w:right w:val="none" w:sz="0" w:space="0" w:color="auto"/>
      </w:divBdr>
    </w:div>
    <w:div w:id="584613465">
      <w:marLeft w:val="0"/>
      <w:marRight w:val="0"/>
      <w:marTop w:val="0"/>
      <w:marBottom w:val="0"/>
      <w:divBdr>
        <w:top w:val="none" w:sz="0" w:space="0" w:color="auto"/>
        <w:left w:val="none" w:sz="0" w:space="0" w:color="auto"/>
        <w:bottom w:val="none" w:sz="0" w:space="0" w:color="auto"/>
        <w:right w:val="none" w:sz="0" w:space="0" w:color="auto"/>
      </w:divBdr>
    </w:div>
    <w:div w:id="584613466">
      <w:marLeft w:val="0"/>
      <w:marRight w:val="0"/>
      <w:marTop w:val="0"/>
      <w:marBottom w:val="0"/>
      <w:divBdr>
        <w:top w:val="none" w:sz="0" w:space="0" w:color="auto"/>
        <w:left w:val="none" w:sz="0" w:space="0" w:color="auto"/>
        <w:bottom w:val="none" w:sz="0" w:space="0" w:color="auto"/>
        <w:right w:val="none" w:sz="0" w:space="0" w:color="auto"/>
      </w:divBdr>
    </w:div>
    <w:div w:id="584613467">
      <w:marLeft w:val="0"/>
      <w:marRight w:val="0"/>
      <w:marTop w:val="0"/>
      <w:marBottom w:val="0"/>
      <w:divBdr>
        <w:top w:val="none" w:sz="0" w:space="0" w:color="auto"/>
        <w:left w:val="none" w:sz="0" w:space="0" w:color="auto"/>
        <w:bottom w:val="none" w:sz="0" w:space="0" w:color="auto"/>
        <w:right w:val="none" w:sz="0" w:space="0" w:color="auto"/>
      </w:divBdr>
    </w:div>
    <w:div w:id="584613468">
      <w:marLeft w:val="0"/>
      <w:marRight w:val="0"/>
      <w:marTop w:val="0"/>
      <w:marBottom w:val="0"/>
      <w:divBdr>
        <w:top w:val="none" w:sz="0" w:space="0" w:color="auto"/>
        <w:left w:val="none" w:sz="0" w:space="0" w:color="auto"/>
        <w:bottom w:val="none" w:sz="0" w:space="0" w:color="auto"/>
        <w:right w:val="none" w:sz="0" w:space="0" w:color="auto"/>
      </w:divBdr>
    </w:div>
    <w:div w:id="584613469">
      <w:marLeft w:val="0"/>
      <w:marRight w:val="0"/>
      <w:marTop w:val="0"/>
      <w:marBottom w:val="0"/>
      <w:divBdr>
        <w:top w:val="none" w:sz="0" w:space="0" w:color="auto"/>
        <w:left w:val="none" w:sz="0" w:space="0" w:color="auto"/>
        <w:bottom w:val="none" w:sz="0" w:space="0" w:color="auto"/>
        <w:right w:val="none" w:sz="0" w:space="0" w:color="auto"/>
      </w:divBdr>
    </w:div>
    <w:div w:id="584613470">
      <w:marLeft w:val="0"/>
      <w:marRight w:val="0"/>
      <w:marTop w:val="0"/>
      <w:marBottom w:val="0"/>
      <w:divBdr>
        <w:top w:val="none" w:sz="0" w:space="0" w:color="auto"/>
        <w:left w:val="none" w:sz="0" w:space="0" w:color="auto"/>
        <w:bottom w:val="none" w:sz="0" w:space="0" w:color="auto"/>
        <w:right w:val="none" w:sz="0" w:space="0" w:color="auto"/>
      </w:divBdr>
    </w:div>
    <w:div w:id="584613471">
      <w:marLeft w:val="0"/>
      <w:marRight w:val="0"/>
      <w:marTop w:val="0"/>
      <w:marBottom w:val="0"/>
      <w:divBdr>
        <w:top w:val="none" w:sz="0" w:space="0" w:color="auto"/>
        <w:left w:val="none" w:sz="0" w:space="0" w:color="auto"/>
        <w:bottom w:val="none" w:sz="0" w:space="0" w:color="auto"/>
        <w:right w:val="none" w:sz="0" w:space="0" w:color="auto"/>
      </w:divBdr>
    </w:div>
    <w:div w:id="584613472">
      <w:marLeft w:val="0"/>
      <w:marRight w:val="0"/>
      <w:marTop w:val="0"/>
      <w:marBottom w:val="0"/>
      <w:divBdr>
        <w:top w:val="none" w:sz="0" w:space="0" w:color="auto"/>
        <w:left w:val="none" w:sz="0" w:space="0" w:color="auto"/>
        <w:bottom w:val="none" w:sz="0" w:space="0" w:color="auto"/>
        <w:right w:val="none" w:sz="0" w:space="0" w:color="auto"/>
      </w:divBdr>
    </w:div>
    <w:div w:id="584613473">
      <w:marLeft w:val="0"/>
      <w:marRight w:val="0"/>
      <w:marTop w:val="0"/>
      <w:marBottom w:val="0"/>
      <w:divBdr>
        <w:top w:val="none" w:sz="0" w:space="0" w:color="auto"/>
        <w:left w:val="none" w:sz="0" w:space="0" w:color="auto"/>
        <w:bottom w:val="none" w:sz="0" w:space="0" w:color="auto"/>
        <w:right w:val="none" w:sz="0" w:space="0" w:color="auto"/>
      </w:divBdr>
    </w:div>
    <w:div w:id="584613474">
      <w:marLeft w:val="0"/>
      <w:marRight w:val="0"/>
      <w:marTop w:val="0"/>
      <w:marBottom w:val="0"/>
      <w:divBdr>
        <w:top w:val="none" w:sz="0" w:space="0" w:color="auto"/>
        <w:left w:val="none" w:sz="0" w:space="0" w:color="auto"/>
        <w:bottom w:val="none" w:sz="0" w:space="0" w:color="auto"/>
        <w:right w:val="none" w:sz="0" w:space="0" w:color="auto"/>
      </w:divBdr>
    </w:div>
    <w:div w:id="584613475">
      <w:marLeft w:val="0"/>
      <w:marRight w:val="0"/>
      <w:marTop w:val="0"/>
      <w:marBottom w:val="0"/>
      <w:divBdr>
        <w:top w:val="none" w:sz="0" w:space="0" w:color="auto"/>
        <w:left w:val="none" w:sz="0" w:space="0" w:color="auto"/>
        <w:bottom w:val="none" w:sz="0" w:space="0" w:color="auto"/>
        <w:right w:val="none" w:sz="0" w:space="0" w:color="auto"/>
      </w:divBdr>
    </w:div>
    <w:div w:id="584613476">
      <w:marLeft w:val="0"/>
      <w:marRight w:val="0"/>
      <w:marTop w:val="0"/>
      <w:marBottom w:val="0"/>
      <w:divBdr>
        <w:top w:val="none" w:sz="0" w:space="0" w:color="auto"/>
        <w:left w:val="none" w:sz="0" w:space="0" w:color="auto"/>
        <w:bottom w:val="none" w:sz="0" w:space="0" w:color="auto"/>
        <w:right w:val="none" w:sz="0" w:space="0" w:color="auto"/>
      </w:divBdr>
    </w:div>
    <w:div w:id="584613477">
      <w:marLeft w:val="0"/>
      <w:marRight w:val="0"/>
      <w:marTop w:val="0"/>
      <w:marBottom w:val="0"/>
      <w:divBdr>
        <w:top w:val="none" w:sz="0" w:space="0" w:color="auto"/>
        <w:left w:val="none" w:sz="0" w:space="0" w:color="auto"/>
        <w:bottom w:val="none" w:sz="0" w:space="0" w:color="auto"/>
        <w:right w:val="none" w:sz="0" w:space="0" w:color="auto"/>
      </w:divBdr>
    </w:div>
    <w:div w:id="600185152">
      <w:bodyDiv w:val="1"/>
      <w:marLeft w:val="0"/>
      <w:marRight w:val="0"/>
      <w:marTop w:val="0"/>
      <w:marBottom w:val="0"/>
      <w:divBdr>
        <w:top w:val="none" w:sz="0" w:space="0" w:color="auto"/>
        <w:left w:val="none" w:sz="0" w:space="0" w:color="auto"/>
        <w:bottom w:val="none" w:sz="0" w:space="0" w:color="auto"/>
        <w:right w:val="none" w:sz="0" w:space="0" w:color="auto"/>
      </w:divBdr>
    </w:div>
    <w:div w:id="603077763">
      <w:bodyDiv w:val="1"/>
      <w:marLeft w:val="0"/>
      <w:marRight w:val="0"/>
      <w:marTop w:val="0"/>
      <w:marBottom w:val="0"/>
      <w:divBdr>
        <w:top w:val="none" w:sz="0" w:space="0" w:color="auto"/>
        <w:left w:val="none" w:sz="0" w:space="0" w:color="auto"/>
        <w:bottom w:val="none" w:sz="0" w:space="0" w:color="auto"/>
        <w:right w:val="none" w:sz="0" w:space="0" w:color="auto"/>
      </w:divBdr>
    </w:div>
    <w:div w:id="605507668">
      <w:bodyDiv w:val="1"/>
      <w:marLeft w:val="0"/>
      <w:marRight w:val="0"/>
      <w:marTop w:val="0"/>
      <w:marBottom w:val="0"/>
      <w:divBdr>
        <w:top w:val="none" w:sz="0" w:space="0" w:color="auto"/>
        <w:left w:val="none" w:sz="0" w:space="0" w:color="auto"/>
        <w:bottom w:val="none" w:sz="0" w:space="0" w:color="auto"/>
        <w:right w:val="none" w:sz="0" w:space="0" w:color="auto"/>
      </w:divBdr>
    </w:div>
    <w:div w:id="613096198">
      <w:bodyDiv w:val="1"/>
      <w:marLeft w:val="0"/>
      <w:marRight w:val="0"/>
      <w:marTop w:val="0"/>
      <w:marBottom w:val="0"/>
      <w:divBdr>
        <w:top w:val="none" w:sz="0" w:space="0" w:color="auto"/>
        <w:left w:val="none" w:sz="0" w:space="0" w:color="auto"/>
        <w:bottom w:val="none" w:sz="0" w:space="0" w:color="auto"/>
        <w:right w:val="none" w:sz="0" w:space="0" w:color="auto"/>
      </w:divBdr>
    </w:div>
    <w:div w:id="631136951">
      <w:bodyDiv w:val="1"/>
      <w:marLeft w:val="0"/>
      <w:marRight w:val="0"/>
      <w:marTop w:val="0"/>
      <w:marBottom w:val="0"/>
      <w:divBdr>
        <w:top w:val="none" w:sz="0" w:space="0" w:color="auto"/>
        <w:left w:val="none" w:sz="0" w:space="0" w:color="auto"/>
        <w:bottom w:val="none" w:sz="0" w:space="0" w:color="auto"/>
        <w:right w:val="none" w:sz="0" w:space="0" w:color="auto"/>
      </w:divBdr>
    </w:div>
    <w:div w:id="645822113">
      <w:bodyDiv w:val="1"/>
      <w:marLeft w:val="0"/>
      <w:marRight w:val="0"/>
      <w:marTop w:val="0"/>
      <w:marBottom w:val="0"/>
      <w:divBdr>
        <w:top w:val="none" w:sz="0" w:space="0" w:color="auto"/>
        <w:left w:val="none" w:sz="0" w:space="0" w:color="auto"/>
        <w:bottom w:val="none" w:sz="0" w:space="0" w:color="auto"/>
        <w:right w:val="none" w:sz="0" w:space="0" w:color="auto"/>
      </w:divBdr>
    </w:div>
    <w:div w:id="650715626">
      <w:bodyDiv w:val="1"/>
      <w:marLeft w:val="0"/>
      <w:marRight w:val="0"/>
      <w:marTop w:val="0"/>
      <w:marBottom w:val="0"/>
      <w:divBdr>
        <w:top w:val="none" w:sz="0" w:space="0" w:color="auto"/>
        <w:left w:val="none" w:sz="0" w:space="0" w:color="auto"/>
        <w:bottom w:val="none" w:sz="0" w:space="0" w:color="auto"/>
        <w:right w:val="none" w:sz="0" w:space="0" w:color="auto"/>
      </w:divBdr>
    </w:div>
    <w:div w:id="657155394">
      <w:bodyDiv w:val="1"/>
      <w:marLeft w:val="0"/>
      <w:marRight w:val="0"/>
      <w:marTop w:val="0"/>
      <w:marBottom w:val="0"/>
      <w:divBdr>
        <w:top w:val="none" w:sz="0" w:space="0" w:color="auto"/>
        <w:left w:val="none" w:sz="0" w:space="0" w:color="auto"/>
        <w:bottom w:val="none" w:sz="0" w:space="0" w:color="auto"/>
        <w:right w:val="none" w:sz="0" w:space="0" w:color="auto"/>
      </w:divBdr>
    </w:div>
    <w:div w:id="696009304">
      <w:bodyDiv w:val="1"/>
      <w:marLeft w:val="0"/>
      <w:marRight w:val="0"/>
      <w:marTop w:val="0"/>
      <w:marBottom w:val="0"/>
      <w:divBdr>
        <w:top w:val="none" w:sz="0" w:space="0" w:color="auto"/>
        <w:left w:val="none" w:sz="0" w:space="0" w:color="auto"/>
        <w:bottom w:val="none" w:sz="0" w:space="0" w:color="auto"/>
        <w:right w:val="none" w:sz="0" w:space="0" w:color="auto"/>
      </w:divBdr>
    </w:div>
    <w:div w:id="700132797">
      <w:bodyDiv w:val="1"/>
      <w:marLeft w:val="0"/>
      <w:marRight w:val="0"/>
      <w:marTop w:val="0"/>
      <w:marBottom w:val="0"/>
      <w:divBdr>
        <w:top w:val="none" w:sz="0" w:space="0" w:color="auto"/>
        <w:left w:val="none" w:sz="0" w:space="0" w:color="auto"/>
        <w:bottom w:val="none" w:sz="0" w:space="0" w:color="auto"/>
        <w:right w:val="none" w:sz="0" w:space="0" w:color="auto"/>
      </w:divBdr>
    </w:div>
    <w:div w:id="705643569">
      <w:bodyDiv w:val="1"/>
      <w:marLeft w:val="0"/>
      <w:marRight w:val="0"/>
      <w:marTop w:val="0"/>
      <w:marBottom w:val="0"/>
      <w:divBdr>
        <w:top w:val="none" w:sz="0" w:space="0" w:color="auto"/>
        <w:left w:val="none" w:sz="0" w:space="0" w:color="auto"/>
        <w:bottom w:val="none" w:sz="0" w:space="0" w:color="auto"/>
        <w:right w:val="none" w:sz="0" w:space="0" w:color="auto"/>
      </w:divBdr>
    </w:div>
    <w:div w:id="713384438">
      <w:bodyDiv w:val="1"/>
      <w:marLeft w:val="0"/>
      <w:marRight w:val="0"/>
      <w:marTop w:val="0"/>
      <w:marBottom w:val="0"/>
      <w:divBdr>
        <w:top w:val="none" w:sz="0" w:space="0" w:color="auto"/>
        <w:left w:val="none" w:sz="0" w:space="0" w:color="auto"/>
        <w:bottom w:val="none" w:sz="0" w:space="0" w:color="auto"/>
        <w:right w:val="none" w:sz="0" w:space="0" w:color="auto"/>
      </w:divBdr>
    </w:div>
    <w:div w:id="726877583">
      <w:bodyDiv w:val="1"/>
      <w:marLeft w:val="0"/>
      <w:marRight w:val="0"/>
      <w:marTop w:val="0"/>
      <w:marBottom w:val="0"/>
      <w:divBdr>
        <w:top w:val="none" w:sz="0" w:space="0" w:color="auto"/>
        <w:left w:val="none" w:sz="0" w:space="0" w:color="auto"/>
        <w:bottom w:val="none" w:sz="0" w:space="0" w:color="auto"/>
        <w:right w:val="none" w:sz="0" w:space="0" w:color="auto"/>
      </w:divBdr>
    </w:div>
    <w:div w:id="748382515">
      <w:bodyDiv w:val="1"/>
      <w:marLeft w:val="0"/>
      <w:marRight w:val="0"/>
      <w:marTop w:val="0"/>
      <w:marBottom w:val="0"/>
      <w:divBdr>
        <w:top w:val="none" w:sz="0" w:space="0" w:color="auto"/>
        <w:left w:val="none" w:sz="0" w:space="0" w:color="auto"/>
        <w:bottom w:val="none" w:sz="0" w:space="0" w:color="auto"/>
        <w:right w:val="none" w:sz="0" w:space="0" w:color="auto"/>
      </w:divBdr>
    </w:div>
    <w:div w:id="748382837">
      <w:bodyDiv w:val="1"/>
      <w:marLeft w:val="0"/>
      <w:marRight w:val="0"/>
      <w:marTop w:val="0"/>
      <w:marBottom w:val="0"/>
      <w:divBdr>
        <w:top w:val="none" w:sz="0" w:space="0" w:color="auto"/>
        <w:left w:val="none" w:sz="0" w:space="0" w:color="auto"/>
        <w:bottom w:val="none" w:sz="0" w:space="0" w:color="auto"/>
        <w:right w:val="none" w:sz="0" w:space="0" w:color="auto"/>
      </w:divBdr>
    </w:div>
    <w:div w:id="750732825">
      <w:bodyDiv w:val="1"/>
      <w:marLeft w:val="0"/>
      <w:marRight w:val="0"/>
      <w:marTop w:val="0"/>
      <w:marBottom w:val="0"/>
      <w:divBdr>
        <w:top w:val="none" w:sz="0" w:space="0" w:color="auto"/>
        <w:left w:val="none" w:sz="0" w:space="0" w:color="auto"/>
        <w:bottom w:val="none" w:sz="0" w:space="0" w:color="auto"/>
        <w:right w:val="none" w:sz="0" w:space="0" w:color="auto"/>
      </w:divBdr>
    </w:div>
    <w:div w:id="754403017">
      <w:bodyDiv w:val="1"/>
      <w:marLeft w:val="0"/>
      <w:marRight w:val="0"/>
      <w:marTop w:val="0"/>
      <w:marBottom w:val="0"/>
      <w:divBdr>
        <w:top w:val="none" w:sz="0" w:space="0" w:color="auto"/>
        <w:left w:val="none" w:sz="0" w:space="0" w:color="auto"/>
        <w:bottom w:val="none" w:sz="0" w:space="0" w:color="auto"/>
        <w:right w:val="none" w:sz="0" w:space="0" w:color="auto"/>
      </w:divBdr>
    </w:div>
    <w:div w:id="765657633">
      <w:bodyDiv w:val="1"/>
      <w:marLeft w:val="0"/>
      <w:marRight w:val="0"/>
      <w:marTop w:val="0"/>
      <w:marBottom w:val="0"/>
      <w:divBdr>
        <w:top w:val="none" w:sz="0" w:space="0" w:color="auto"/>
        <w:left w:val="none" w:sz="0" w:space="0" w:color="auto"/>
        <w:bottom w:val="none" w:sz="0" w:space="0" w:color="auto"/>
        <w:right w:val="none" w:sz="0" w:space="0" w:color="auto"/>
      </w:divBdr>
    </w:div>
    <w:div w:id="780224905">
      <w:bodyDiv w:val="1"/>
      <w:marLeft w:val="0"/>
      <w:marRight w:val="0"/>
      <w:marTop w:val="0"/>
      <w:marBottom w:val="0"/>
      <w:divBdr>
        <w:top w:val="none" w:sz="0" w:space="0" w:color="auto"/>
        <w:left w:val="none" w:sz="0" w:space="0" w:color="auto"/>
        <w:bottom w:val="none" w:sz="0" w:space="0" w:color="auto"/>
        <w:right w:val="none" w:sz="0" w:space="0" w:color="auto"/>
      </w:divBdr>
    </w:div>
    <w:div w:id="784083574">
      <w:bodyDiv w:val="1"/>
      <w:marLeft w:val="0"/>
      <w:marRight w:val="0"/>
      <w:marTop w:val="0"/>
      <w:marBottom w:val="0"/>
      <w:divBdr>
        <w:top w:val="none" w:sz="0" w:space="0" w:color="auto"/>
        <w:left w:val="none" w:sz="0" w:space="0" w:color="auto"/>
        <w:bottom w:val="none" w:sz="0" w:space="0" w:color="auto"/>
        <w:right w:val="none" w:sz="0" w:space="0" w:color="auto"/>
      </w:divBdr>
    </w:div>
    <w:div w:id="793332042">
      <w:bodyDiv w:val="1"/>
      <w:marLeft w:val="0"/>
      <w:marRight w:val="0"/>
      <w:marTop w:val="0"/>
      <w:marBottom w:val="0"/>
      <w:divBdr>
        <w:top w:val="none" w:sz="0" w:space="0" w:color="auto"/>
        <w:left w:val="none" w:sz="0" w:space="0" w:color="auto"/>
        <w:bottom w:val="none" w:sz="0" w:space="0" w:color="auto"/>
        <w:right w:val="none" w:sz="0" w:space="0" w:color="auto"/>
      </w:divBdr>
    </w:div>
    <w:div w:id="803549838">
      <w:bodyDiv w:val="1"/>
      <w:marLeft w:val="0"/>
      <w:marRight w:val="0"/>
      <w:marTop w:val="0"/>
      <w:marBottom w:val="0"/>
      <w:divBdr>
        <w:top w:val="none" w:sz="0" w:space="0" w:color="auto"/>
        <w:left w:val="none" w:sz="0" w:space="0" w:color="auto"/>
        <w:bottom w:val="none" w:sz="0" w:space="0" w:color="auto"/>
        <w:right w:val="none" w:sz="0" w:space="0" w:color="auto"/>
      </w:divBdr>
    </w:div>
    <w:div w:id="805195702">
      <w:bodyDiv w:val="1"/>
      <w:marLeft w:val="0"/>
      <w:marRight w:val="0"/>
      <w:marTop w:val="0"/>
      <w:marBottom w:val="0"/>
      <w:divBdr>
        <w:top w:val="none" w:sz="0" w:space="0" w:color="auto"/>
        <w:left w:val="none" w:sz="0" w:space="0" w:color="auto"/>
        <w:bottom w:val="none" w:sz="0" w:space="0" w:color="auto"/>
        <w:right w:val="none" w:sz="0" w:space="0" w:color="auto"/>
      </w:divBdr>
    </w:div>
    <w:div w:id="836460737">
      <w:bodyDiv w:val="1"/>
      <w:marLeft w:val="0"/>
      <w:marRight w:val="0"/>
      <w:marTop w:val="0"/>
      <w:marBottom w:val="0"/>
      <w:divBdr>
        <w:top w:val="none" w:sz="0" w:space="0" w:color="auto"/>
        <w:left w:val="none" w:sz="0" w:space="0" w:color="auto"/>
        <w:bottom w:val="none" w:sz="0" w:space="0" w:color="auto"/>
        <w:right w:val="none" w:sz="0" w:space="0" w:color="auto"/>
      </w:divBdr>
    </w:div>
    <w:div w:id="843665747">
      <w:bodyDiv w:val="1"/>
      <w:marLeft w:val="0"/>
      <w:marRight w:val="0"/>
      <w:marTop w:val="0"/>
      <w:marBottom w:val="0"/>
      <w:divBdr>
        <w:top w:val="none" w:sz="0" w:space="0" w:color="auto"/>
        <w:left w:val="none" w:sz="0" w:space="0" w:color="auto"/>
        <w:bottom w:val="none" w:sz="0" w:space="0" w:color="auto"/>
        <w:right w:val="none" w:sz="0" w:space="0" w:color="auto"/>
      </w:divBdr>
    </w:div>
    <w:div w:id="844711858">
      <w:bodyDiv w:val="1"/>
      <w:marLeft w:val="0"/>
      <w:marRight w:val="0"/>
      <w:marTop w:val="0"/>
      <w:marBottom w:val="0"/>
      <w:divBdr>
        <w:top w:val="none" w:sz="0" w:space="0" w:color="auto"/>
        <w:left w:val="none" w:sz="0" w:space="0" w:color="auto"/>
        <w:bottom w:val="none" w:sz="0" w:space="0" w:color="auto"/>
        <w:right w:val="none" w:sz="0" w:space="0" w:color="auto"/>
      </w:divBdr>
    </w:div>
    <w:div w:id="872308816">
      <w:bodyDiv w:val="1"/>
      <w:marLeft w:val="0"/>
      <w:marRight w:val="0"/>
      <w:marTop w:val="0"/>
      <w:marBottom w:val="0"/>
      <w:divBdr>
        <w:top w:val="none" w:sz="0" w:space="0" w:color="auto"/>
        <w:left w:val="none" w:sz="0" w:space="0" w:color="auto"/>
        <w:bottom w:val="none" w:sz="0" w:space="0" w:color="auto"/>
        <w:right w:val="none" w:sz="0" w:space="0" w:color="auto"/>
      </w:divBdr>
    </w:div>
    <w:div w:id="877856515">
      <w:bodyDiv w:val="1"/>
      <w:marLeft w:val="0"/>
      <w:marRight w:val="0"/>
      <w:marTop w:val="0"/>
      <w:marBottom w:val="0"/>
      <w:divBdr>
        <w:top w:val="none" w:sz="0" w:space="0" w:color="auto"/>
        <w:left w:val="none" w:sz="0" w:space="0" w:color="auto"/>
        <w:bottom w:val="none" w:sz="0" w:space="0" w:color="auto"/>
        <w:right w:val="none" w:sz="0" w:space="0" w:color="auto"/>
      </w:divBdr>
    </w:div>
    <w:div w:id="895160413">
      <w:bodyDiv w:val="1"/>
      <w:marLeft w:val="0"/>
      <w:marRight w:val="0"/>
      <w:marTop w:val="0"/>
      <w:marBottom w:val="0"/>
      <w:divBdr>
        <w:top w:val="none" w:sz="0" w:space="0" w:color="auto"/>
        <w:left w:val="none" w:sz="0" w:space="0" w:color="auto"/>
        <w:bottom w:val="none" w:sz="0" w:space="0" w:color="auto"/>
        <w:right w:val="none" w:sz="0" w:space="0" w:color="auto"/>
      </w:divBdr>
    </w:div>
    <w:div w:id="898399452">
      <w:bodyDiv w:val="1"/>
      <w:marLeft w:val="0"/>
      <w:marRight w:val="0"/>
      <w:marTop w:val="0"/>
      <w:marBottom w:val="0"/>
      <w:divBdr>
        <w:top w:val="none" w:sz="0" w:space="0" w:color="auto"/>
        <w:left w:val="none" w:sz="0" w:space="0" w:color="auto"/>
        <w:bottom w:val="none" w:sz="0" w:space="0" w:color="auto"/>
        <w:right w:val="none" w:sz="0" w:space="0" w:color="auto"/>
      </w:divBdr>
    </w:div>
    <w:div w:id="899293442">
      <w:bodyDiv w:val="1"/>
      <w:marLeft w:val="0"/>
      <w:marRight w:val="0"/>
      <w:marTop w:val="0"/>
      <w:marBottom w:val="0"/>
      <w:divBdr>
        <w:top w:val="none" w:sz="0" w:space="0" w:color="auto"/>
        <w:left w:val="none" w:sz="0" w:space="0" w:color="auto"/>
        <w:bottom w:val="none" w:sz="0" w:space="0" w:color="auto"/>
        <w:right w:val="none" w:sz="0" w:space="0" w:color="auto"/>
      </w:divBdr>
    </w:div>
    <w:div w:id="904797371">
      <w:bodyDiv w:val="1"/>
      <w:marLeft w:val="0"/>
      <w:marRight w:val="0"/>
      <w:marTop w:val="0"/>
      <w:marBottom w:val="0"/>
      <w:divBdr>
        <w:top w:val="none" w:sz="0" w:space="0" w:color="auto"/>
        <w:left w:val="none" w:sz="0" w:space="0" w:color="auto"/>
        <w:bottom w:val="none" w:sz="0" w:space="0" w:color="auto"/>
        <w:right w:val="none" w:sz="0" w:space="0" w:color="auto"/>
      </w:divBdr>
    </w:div>
    <w:div w:id="921834516">
      <w:bodyDiv w:val="1"/>
      <w:marLeft w:val="0"/>
      <w:marRight w:val="0"/>
      <w:marTop w:val="0"/>
      <w:marBottom w:val="0"/>
      <w:divBdr>
        <w:top w:val="none" w:sz="0" w:space="0" w:color="auto"/>
        <w:left w:val="none" w:sz="0" w:space="0" w:color="auto"/>
        <w:bottom w:val="none" w:sz="0" w:space="0" w:color="auto"/>
        <w:right w:val="none" w:sz="0" w:space="0" w:color="auto"/>
      </w:divBdr>
    </w:div>
    <w:div w:id="924919251">
      <w:bodyDiv w:val="1"/>
      <w:marLeft w:val="0"/>
      <w:marRight w:val="0"/>
      <w:marTop w:val="0"/>
      <w:marBottom w:val="0"/>
      <w:divBdr>
        <w:top w:val="none" w:sz="0" w:space="0" w:color="auto"/>
        <w:left w:val="none" w:sz="0" w:space="0" w:color="auto"/>
        <w:bottom w:val="none" w:sz="0" w:space="0" w:color="auto"/>
        <w:right w:val="none" w:sz="0" w:space="0" w:color="auto"/>
      </w:divBdr>
    </w:div>
    <w:div w:id="942493600">
      <w:bodyDiv w:val="1"/>
      <w:marLeft w:val="0"/>
      <w:marRight w:val="0"/>
      <w:marTop w:val="0"/>
      <w:marBottom w:val="0"/>
      <w:divBdr>
        <w:top w:val="none" w:sz="0" w:space="0" w:color="auto"/>
        <w:left w:val="none" w:sz="0" w:space="0" w:color="auto"/>
        <w:bottom w:val="none" w:sz="0" w:space="0" w:color="auto"/>
        <w:right w:val="none" w:sz="0" w:space="0" w:color="auto"/>
      </w:divBdr>
    </w:div>
    <w:div w:id="985279234">
      <w:bodyDiv w:val="1"/>
      <w:marLeft w:val="0"/>
      <w:marRight w:val="0"/>
      <w:marTop w:val="0"/>
      <w:marBottom w:val="0"/>
      <w:divBdr>
        <w:top w:val="none" w:sz="0" w:space="0" w:color="auto"/>
        <w:left w:val="none" w:sz="0" w:space="0" w:color="auto"/>
        <w:bottom w:val="none" w:sz="0" w:space="0" w:color="auto"/>
        <w:right w:val="none" w:sz="0" w:space="0" w:color="auto"/>
      </w:divBdr>
    </w:div>
    <w:div w:id="1025406386">
      <w:bodyDiv w:val="1"/>
      <w:marLeft w:val="0"/>
      <w:marRight w:val="0"/>
      <w:marTop w:val="0"/>
      <w:marBottom w:val="0"/>
      <w:divBdr>
        <w:top w:val="none" w:sz="0" w:space="0" w:color="auto"/>
        <w:left w:val="none" w:sz="0" w:space="0" w:color="auto"/>
        <w:bottom w:val="none" w:sz="0" w:space="0" w:color="auto"/>
        <w:right w:val="none" w:sz="0" w:space="0" w:color="auto"/>
      </w:divBdr>
    </w:div>
    <w:div w:id="1049301830">
      <w:bodyDiv w:val="1"/>
      <w:marLeft w:val="0"/>
      <w:marRight w:val="0"/>
      <w:marTop w:val="0"/>
      <w:marBottom w:val="0"/>
      <w:divBdr>
        <w:top w:val="none" w:sz="0" w:space="0" w:color="auto"/>
        <w:left w:val="none" w:sz="0" w:space="0" w:color="auto"/>
        <w:bottom w:val="none" w:sz="0" w:space="0" w:color="auto"/>
        <w:right w:val="none" w:sz="0" w:space="0" w:color="auto"/>
      </w:divBdr>
    </w:div>
    <w:div w:id="1064718139">
      <w:bodyDiv w:val="1"/>
      <w:marLeft w:val="0"/>
      <w:marRight w:val="0"/>
      <w:marTop w:val="0"/>
      <w:marBottom w:val="0"/>
      <w:divBdr>
        <w:top w:val="none" w:sz="0" w:space="0" w:color="auto"/>
        <w:left w:val="none" w:sz="0" w:space="0" w:color="auto"/>
        <w:bottom w:val="none" w:sz="0" w:space="0" w:color="auto"/>
        <w:right w:val="none" w:sz="0" w:space="0" w:color="auto"/>
      </w:divBdr>
    </w:div>
    <w:div w:id="1086730471">
      <w:bodyDiv w:val="1"/>
      <w:marLeft w:val="0"/>
      <w:marRight w:val="0"/>
      <w:marTop w:val="0"/>
      <w:marBottom w:val="0"/>
      <w:divBdr>
        <w:top w:val="none" w:sz="0" w:space="0" w:color="auto"/>
        <w:left w:val="none" w:sz="0" w:space="0" w:color="auto"/>
        <w:bottom w:val="none" w:sz="0" w:space="0" w:color="auto"/>
        <w:right w:val="none" w:sz="0" w:space="0" w:color="auto"/>
      </w:divBdr>
    </w:div>
    <w:div w:id="1094280779">
      <w:bodyDiv w:val="1"/>
      <w:marLeft w:val="0"/>
      <w:marRight w:val="0"/>
      <w:marTop w:val="0"/>
      <w:marBottom w:val="0"/>
      <w:divBdr>
        <w:top w:val="none" w:sz="0" w:space="0" w:color="auto"/>
        <w:left w:val="none" w:sz="0" w:space="0" w:color="auto"/>
        <w:bottom w:val="none" w:sz="0" w:space="0" w:color="auto"/>
        <w:right w:val="none" w:sz="0" w:space="0" w:color="auto"/>
      </w:divBdr>
    </w:div>
    <w:div w:id="1107501554">
      <w:bodyDiv w:val="1"/>
      <w:marLeft w:val="0"/>
      <w:marRight w:val="0"/>
      <w:marTop w:val="0"/>
      <w:marBottom w:val="0"/>
      <w:divBdr>
        <w:top w:val="none" w:sz="0" w:space="0" w:color="auto"/>
        <w:left w:val="none" w:sz="0" w:space="0" w:color="auto"/>
        <w:bottom w:val="none" w:sz="0" w:space="0" w:color="auto"/>
        <w:right w:val="none" w:sz="0" w:space="0" w:color="auto"/>
      </w:divBdr>
    </w:div>
    <w:div w:id="1120682866">
      <w:bodyDiv w:val="1"/>
      <w:marLeft w:val="0"/>
      <w:marRight w:val="0"/>
      <w:marTop w:val="0"/>
      <w:marBottom w:val="0"/>
      <w:divBdr>
        <w:top w:val="none" w:sz="0" w:space="0" w:color="auto"/>
        <w:left w:val="none" w:sz="0" w:space="0" w:color="auto"/>
        <w:bottom w:val="none" w:sz="0" w:space="0" w:color="auto"/>
        <w:right w:val="none" w:sz="0" w:space="0" w:color="auto"/>
      </w:divBdr>
    </w:div>
    <w:div w:id="1136871828">
      <w:bodyDiv w:val="1"/>
      <w:marLeft w:val="0"/>
      <w:marRight w:val="0"/>
      <w:marTop w:val="0"/>
      <w:marBottom w:val="0"/>
      <w:divBdr>
        <w:top w:val="none" w:sz="0" w:space="0" w:color="auto"/>
        <w:left w:val="none" w:sz="0" w:space="0" w:color="auto"/>
        <w:bottom w:val="none" w:sz="0" w:space="0" w:color="auto"/>
        <w:right w:val="none" w:sz="0" w:space="0" w:color="auto"/>
      </w:divBdr>
    </w:div>
    <w:div w:id="1144273882">
      <w:bodyDiv w:val="1"/>
      <w:marLeft w:val="0"/>
      <w:marRight w:val="0"/>
      <w:marTop w:val="0"/>
      <w:marBottom w:val="0"/>
      <w:divBdr>
        <w:top w:val="none" w:sz="0" w:space="0" w:color="auto"/>
        <w:left w:val="none" w:sz="0" w:space="0" w:color="auto"/>
        <w:bottom w:val="none" w:sz="0" w:space="0" w:color="auto"/>
        <w:right w:val="none" w:sz="0" w:space="0" w:color="auto"/>
      </w:divBdr>
    </w:div>
    <w:div w:id="1149785378">
      <w:bodyDiv w:val="1"/>
      <w:marLeft w:val="0"/>
      <w:marRight w:val="0"/>
      <w:marTop w:val="0"/>
      <w:marBottom w:val="0"/>
      <w:divBdr>
        <w:top w:val="none" w:sz="0" w:space="0" w:color="auto"/>
        <w:left w:val="none" w:sz="0" w:space="0" w:color="auto"/>
        <w:bottom w:val="none" w:sz="0" w:space="0" w:color="auto"/>
        <w:right w:val="none" w:sz="0" w:space="0" w:color="auto"/>
      </w:divBdr>
    </w:div>
    <w:div w:id="1174954260">
      <w:bodyDiv w:val="1"/>
      <w:marLeft w:val="0"/>
      <w:marRight w:val="0"/>
      <w:marTop w:val="0"/>
      <w:marBottom w:val="0"/>
      <w:divBdr>
        <w:top w:val="none" w:sz="0" w:space="0" w:color="auto"/>
        <w:left w:val="none" w:sz="0" w:space="0" w:color="auto"/>
        <w:bottom w:val="none" w:sz="0" w:space="0" w:color="auto"/>
        <w:right w:val="none" w:sz="0" w:space="0" w:color="auto"/>
      </w:divBdr>
    </w:div>
    <w:div w:id="1175998529">
      <w:bodyDiv w:val="1"/>
      <w:marLeft w:val="0"/>
      <w:marRight w:val="0"/>
      <w:marTop w:val="0"/>
      <w:marBottom w:val="0"/>
      <w:divBdr>
        <w:top w:val="none" w:sz="0" w:space="0" w:color="auto"/>
        <w:left w:val="none" w:sz="0" w:space="0" w:color="auto"/>
        <w:bottom w:val="none" w:sz="0" w:space="0" w:color="auto"/>
        <w:right w:val="none" w:sz="0" w:space="0" w:color="auto"/>
      </w:divBdr>
    </w:div>
    <w:div w:id="1176920051">
      <w:bodyDiv w:val="1"/>
      <w:marLeft w:val="0"/>
      <w:marRight w:val="0"/>
      <w:marTop w:val="0"/>
      <w:marBottom w:val="0"/>
      <w:divBdr>
        <w:top w:val="none" w:sz="0" w:space="0" w:color="auto"/>
        <w:left w:val="none" w:sz="0" w:space="0" w:color="auto"/>
        <w:bottom w:val="none" w:sz="0" w:space="0" w:color="auto"/>
        <w:right w:val="none" w:sz="0" w:space="0" w:color="auto"/>
      </w:divBdr>
    </w:div>
    <w:div w:id="1178497810">
      <w:bodyDiv w:val="1"/>
      <w:marLeft w:val="0"/>
      <w:marRight w:val="0"/>
      <w:marTop w:val="0"/>
      <w:marBottom w:val="0"/>
      <w:divBdr>
        <w:top w:val="none" w:sz="0" w:space="0" w:color="auto"/>
        <w:left w:val="none" w:sz="0" w:space="0" w:color="auto"/>
        <w:bottom w:val="none" w:sz="0" w:space="0" w:color="auto"/>
        <w:right w:val="none" w:sz="0" w:space="0" w:color="auto"/>
      </w:divBdr>
    </w:div>
    <w:div w:id="1181818497">
      <w:bodyDiv w:val="1"/>
      <w:marLeft w:val="0"/>
      <w:marRight w:val="0"/>
      <w:marTop w:val="0"/>
      <w:marBottom w:val="0"/>
      <w:divBdr>
        <w:top w:val="none" w:sz="0" w:space="0" w:color="auto"/>
        <w:left w:val="none" w:sz="0" w:space="0" w:color="auto"/>
        <w:bottom w:val="none" w:sz="0" w:space="0" w:color="auto"/>
        <w:right w:val="none" w:sz="0" w:space="0" w:color="auto"/>
      </w:divBdr>
    </w:div>
    <w:div w:id="1206332324">
      <w:bodyDiv w:val="1"/>
      <w:marLeft w:val="0"/>
      <w:marRight w:val="0"/>
      <w:marTop w:val="0"/>
      <w:marBottom w:val="0"/>
      <w:divBdr>
        <w:top w:val="none" w:sz="0" w:space="0" w:color="auto"/>
        <w:left w:val="none" w:sz="0" w:space="0" w:color="auto"/>
        <w:bottom w:val="none" w:sz="0" w:space="0" w:color="auto"/>
        <w:right w:val="none" w:sz="0" w:space="0" w:color="auto"/>
      </w:divBdr>
    </w:div>
    <w:div w:id="1225290049">
      <w:bodyDiv w:val="1"/>
      <w:marLeft w:val="0"/>
      <w:marRight w:val="0"/>
      <w:marTop w:val="0"/>
      <w:marBottom w:val="0"/>
      <w:divBdr>
        <w:top w:val="none" w:sz="0" w:space="0" w:color="auto"/>
        <w:left w:val="none" w:sz="0" w:space="0" w:color="auto"/>
        <w:bottom w:val="none" w:sz="0" w:space="0" w:color="auto"/>
        <w:right w:val="none" w:sz="0" w:space="0" w:color="auto"/>
      </w:divBdr>
    </w:div>
    <w:div w:id="1228539593">
      <w:bodyDiv w:val="1"/>
      <w:marLeft w:val="0"/>
      <w:marRight w:val="0"/>
      <w:marTop w:val="0"/>
      <w:marBottom w:val="0"/>
      <w:divBdr>
        <w:top w:val="none" w:sz="0" w:space="0" w:color="auto"/>
        <w:left w:val="none" w:sz="0" w:space="0" w:color="auto"/>
        <w:bottom w:val="none" w:sz="0" w:space="0" w:color="auto"/>
        <w:right w:val="none" w:sz="0" w:space="0" w:color="auto"/>
      </w:divBdr>
    </w:div>
    <w:div w:id="1249001968">
      <w:bodyDiv w:val="1"/>
      <w:marLeft w:val="0"/>
      <w:marRight w:val="0"/>
      <w:marTop w:val="0"/>
      <w:marBottom w:val="0"/>
      <w:divBdr>
        <w:top w:val="none" w:sz="0" w:space="0" w:color="auto"/>
        <w:left w:val="none" w:sz="0" w:space="0" w:color="auto"/>
        <w:bottom w:val="none" w:sz="0" w:space="0" w:color="auto"/>
        <w:right w:val="none" w:sz="0" w:space="0" w:color="auto"/>
      </w:divBdr>
    </w:div>
    <w:div w:id="1257253178">
      <w:bodyDiv w:val="1"/>
      <w:marLeft w:val="0"/>
      <w:marRight w:val="0"/>
      <w:marTop w:val="0"/>
      <w:marBottom w:val="0"/>
      <w:divBdr>
        <w:top w:val="none" w:sz="0" w:space="0" w:color="auto"/>
        <w:left w:val="none" w:sz="0" w:space="0" w:color="auto"/>
        <w:bottom w:val="none" w:sz="0" w:space="0" w:color="auto"/>
        <w:right w:val="none" w:sz="0" w:space="0" w:color="auto"/>
      </w:divBdr>
    </w:div>
    <w:div w:id="1269237725">
      <w:bodyDiv w:val="1"/>
      <w:marLeft w:val="0"/>
      <w:marRight w:val="0"/>
      <w:marTop w:val="0"/>
      <w:marBottom w:val="0"/>
      <w:divBdr>
        <w:top w:val="none" w:sz="0" w:space="0" w:color="auto"/>
        <w:left w:val="none" w:sz="0" w:space="0" w:color="auto"/>
        <w:bottom w:val="none" w:sz="0" w:space="0" w:color="auto"/>
        <w:right w:val="none" w:sz="0" w:space="0" w:color="auto"/>
      </w:divBdr>
    </w:div>
    <w:div w:id="1295912301">
      <w:bodyDiv w:val="1"/>
      <w:marLeft w:val="0"/>
      <w:marRight w:val="0"/>
      <w:marTop w:val="0"/>
      <w:marBottom w:val="0"/>
      <w:divBdr>
        <w:top w:val="none" w:sz="0" w:space="0" w:color="auto"/>
        <w:left w:val="none" w:sz="0" w:space="0" w:color="auto"/>
        <w:bottom w:val="none" w:sz="0" w:space="0" w:color="auto"/>
        <w:right w:val="none" w:sz="0" w:space="0" w:color="auto"/>
      </w:divBdr>
    </w:div>
    <w:div w:id="1309090634">
      <w:bodyDiv w:val="1"/>
      <w:marLeft w:val="0"/>
      <w:marRight w:val="0"/>
      <w:marTop w:val="0"/>
      <w:marBottom w:val="0"/>
      <w:divBdr>
        <w:top w:val="none" w:sz="0" w:space="0" w:color="auto"/>
        <w:left w:val="none" w:sz="0" w:space="0" w:color="auto"/>
        <w:bottom w:val="none" w:sz="0" w:space="0" w:color="auto"/>
        <w:right w:val="none" w:sz="0" w:space="0" w:color="auto"/>
      </w:divBdr>
    </w:div>
    <w:div w:id="1313292362">
      <w:bodyDiv w:val="1"/>
      <w:marLeft w:val="0"/>
      <w:marRight w:val="0"/>
      <w:marTop w:val="0"/>
      <w:marBottom w:val="0"/>
      <w:divBdr>
        <w:top w:val="none" w:sz="0" w:space="0" w:color="auto"/>
        <w:left w:val="none" w:sz="0" w:space="0" w:color="auto"/>
        <w:bottom w:val="none" w:sz="0" w:space="0" w:color="auto"/>
        <w:right w:val="none" w:sz="0" w:space="0" w:color="auto"/>
      </w:divBdr>
    </w:div>
    <w:div w:id="1318730719">
      <w:bodyDiv w:val="1"/>
      <w:marLeft w:val="0"/>
      <w:marRight w:val="0"/>
      <w:marTop w:val="0"/>
      <w:marBottom w:val="0"/>
      <w:divBdr>
        <w:top w:val="none" w:sz="0" w:space="0" w:color="auto"/>
        <w:left w:val="none" w:sz="0" w:space="0" w:color="auto"/>
        <w:bottom w:val="none" w:sz="0" w:space="0" w:color="auto"/>
        <w:right w:val="none" w:sz="0" w:space="0" w:color="auto"/>
      </w:divBdr>
    </w:div>
    <w:div w:id="1323698359">
      <w:bodyDiv w:val="1"/>
      <w:marLeft w:val="0"/>
      <w:marRight w:val="0"/>
      <w:marTop w:val="0"/>
      <w:marBottom w:val="0"/>
      <w:divBdr>
        <w:top w:val="none" w:sz="0" w:space="0" w:color="auto"/>
        <w:left w:val="none" w:sz="0" w:space="0" w:color="auto"/>
        <w:bottom w:val="none" w:sz="0" w:space="0" w:color="auto"/>
        <w:right w:val="none" w:sz="0" w:space="0" w:color="auto"/>
      </w:divBdr>
    </w:div>
    <w:div w:id="1362977381">
      <w:bodyDiv w:val="1"/>
      <w:marLeft w:val="0"/>
      <w:marRight w:val="0"/>
      <w:marTop w:val="0"/>
      <w:marBottom w:val="0"/>
      <w:divBdr>
        <w:top w:val="none" w:sz="0" w:space="0" w:color="auto"/>
        <w:left w:val="none" w:sz="0" w:space="0" w:color="auto"/>
        <w:bottom w:val="none" w:sz="0" w:space="0" w:color="auto"/>
        <w:right w:val="none" w:sz="0" w:space="0" w:color="auto"/>
      </w:divBdr>
    </w:div>
    <w:div w:id="1368414315">
      <w:bodyDiv w:val="1"/>
      <w:marLeft w:val="0"/>
      <w:marRight w:val="0"/>
      <w:marTop w:val="0"/>
      <w:marBottom w:val="0"/>
      <w:divBdr>
        <w:top w:val="none" w:sz="0" w:space="0" w:color="auto"/>
        <w:left w:val="none" w:sz="0" w:space="0" w:color="auto"/>
        <w:bottom w:val="none" w:sz="0" w:space="0" w:color="auto"/>
        <w:right w:val="none" w:sz="0" w:space="0" w:color="auto"/>
      </w:divBdr>
    </w:div>
    <w:div w:id="1381780697">
      <w:bodyDiv w:val="1"/>
      <w:marLeft w:val="0"/>
      <w:marRight w:val="0"/>
      <w:marTop w:val="0"/>
      <w:marBottom w:val="0"/>
      <w:divBdr>
        <w:top w:val="none" w:sz="0" w:space="0" w:color="auto"/>
        <w:left w:val="none" w:sz="0" w:space="0" w:color="auto"/>
        <w:bottom w:val="none" w:sz="0" w:space="0" w:color="auto"/>
        <w:right w:val="none" w:sz="0" w:space="0" w:color="auto"/>
      </w:divBdr>
    </w:div>
    <w:div w:id="1383938964">
      <w:bodyDiv w:val="1"/>
      <w:marLeft w:val="0"/>
      <w:marRight w:val="0"/>
      <w:marTop w:val="0"/>
      <w:marBottom w:val="0"/>
      <w:divBdr>
        <w:top w:val="none" w:sz="0" w:space="0" w:color="auto"/>
        <w:left w:val="none" w:sz="0" w:space="0" w:color="auto"/>
        <w:bottom w:val="none" w:sz="0" w:space="0" w:color="auto"/>
        <w:right w:val="none" w:sz="0" w:space="0" w:color="auto"/>
      </w:divBdr>
    </w:div>
    <w:div w:id="1386176599">
      <w:bodyDiv w:val="1"/>
      <w:marLeft w:val="0"/>
      <w:marRight w:val="0"/>
      <w:marTop w:val="0"/>
      <w:marBottom w:val="0"/>
      <w:divBdr>
        <w:top w:val="none" w:sz="0" w:space="0" w:color="auto"/>
        <w:left w:val="none" w:sz="0" w:space="0" w:color="auto"/>
        <w:bottom w:val="none" w:sz="0" w:space="0" w:color="auto"/>
        <w:right w:val="none" w:sz="0" w:space="0" w:color="auto"/>
      </w:divBdr>
    </w:div>
    <w:div w:id="1387332812">
      <w:bodyDiv w:val="1"/>
      <w:marLeft w:val="0"/>
      <w:marRight w:val="0"/>
      <w:marTop w:val="0"/>
      <w:marBottom w:val="0"/>
      <w:divBdr>
        <w:top w:val="none" w:sz="0" w:space="0" w:color="auto"/>
        <w:left w:val="none" w:sz="0" w:space="0" w:color="auto"/>
        <w:bottom w:val="none" w:sz="0" w:space="0" w:color="auto"/>
        <w:right w:val="none" w:sz="0" w:space="0" w:color="auto"/>
      </w:divBdr>
    </w:div>
    <w:div w:id="1407534420">
      <w:bodyDiv w:val="1"/>
      <w:marLeft w:val="0"/>
      <w:marRight w:val="0"/>
      <w:marTop w:val="0"/>
      <w:marBottom w:val="0"/>
      <w:divBdr>
        <w:top w:val="none" w:sz="0" w:space="0" w:color="auto"/>
        <w:left w:val="none" w:sz="0" w:space="0" w:color="auto"/>
        <w:bottom w:val="none" w:sz="0" w:space="0" w:color="auto"/>
        <w:right w:val="none" w:sz="0" w:space="0" w:color="auto"/>
      </w:divBdr>
    </w:div>
    <w:div w:id="1410153645">
      <w:bodyDiv w:val="1"/>
      <w:marLeft w:val="0"/>
      <w:marRight w:val="0"/>
      <w:marTop w:val="0"/>
      <w:marBottom w:val="0"/>
      <w:divBdr>
        <w:top w:val="none" w:sz="0" w:space="0" w:color="auto"/>
        <w:left w:val="none" w:sz="0" w:space="0" w:color="auto"/>
        <w:bottom w:val="none" w:sz="0" w:space="0" w:color="auto"/>
        <w:right w:val="none" w:sz="0" w:space="0" w:color="auto"/>
      </w:divBdr>
    </w:div>
    <w:div w:id="1421835805">
      <w:bodyDiv w:val="1"/>
      <w:marLeft w:val="0"/>
      <w:marRight w:val="0"/>
      <w:marTop w:val="0"/>
      <w:marBottom w:val="0"/>
      <w:divBdr>
        <w:top w:val="none" w:sz="0" w:space="0" w:color="auto"/>
        <w:left w:val="none" w:sz="0" w:space="0" w:color="auto"/>
        <w:bottom w:val="none" w:sz="0" w:space="0" w:color="auto"/>
        <w:right w:val="none" w:sz="0" w:space="0" w:color="auto"/>
      </w:divBdr>
    </w:div>
    <w:div w:id="1422528251">
      <w:bodyDiv w:val="1"/>
      <w:marLeft w:val="0"/>
      <w:marRight w:val="0"/>
      <w:marTop w:val="0"/>
      <w:marBottom w:val="0"/>
      <w:divBdr>
        <w:top w:val="none" w:sz="0" w:space="0" w:color="auto"/>
        <w:left w:val="none" w:sz="0" w:space="0" w:color="auto"/>
        <w:bottom w:val="none" w:sz="0" w:space="0" w:color="auto"/>
        <w:right w:val="none" w:sz="0" w:space="0" w:color="auto"/>
      </w:divBdr>
    </w:div>
    <w:div w:id="1423070286">
      <w:bodyDiv w:val="1"/>
      <w:marLeft w:val="0"/>
      <w:marRight w:val="0"/>
      <w:marTop w:val="0"/>
      <w:marBottom w:val="0"/>
      <w:divBdr>
        <w:top w:val="none" w:sz="0" w:space="0" w:color="auto"/>
        <w:left w:val="none" w:sz="0" w:space="0" w:color="auto"/>
        <w:bottom w:val="none" w:sz="0" w:space="0" w:color="auto"/>
        <w:right w:val="none" w:sz="0" w:space="0" w:color="auto"/>
      </w:divBdr>
    </w:div>
    <w:div w:id="1425421950">
      <w:bodyDiv w:val="1"/>
      <w:marLeft w:val="0"/>
      <w:marRight w:val="0"/>
      <w:marTop w:val="0"/>
      <w:marBottom w:val="0"/>
      <w:divBdr>
        <w:top w:val="none" w:sz="0" w:space="0" w:color="auto"/>
        <w:left w:val="none" w:sz="0" w:space="0" w:color="auto"/>
        <w:bottom w:val="none" w:sz="0" w:space="0" w:color="auto"/>
        <w:right w:val="none" w:sz="0" w:space="0" w:color="auto"/>
      </w:divBdr>
    </w:div>
    <w:div w:id="1426998805">
      <w:bodyDiv w:val="1"/>
      <w:marLeft w:val="0"/>
      <w:marRight w:val="0"/>
      <w:marTop w:val="0"/>
      <w:marBottom w:val="0"/>
      <w:divBdr>
        <w:top w:val="none" w:sz="0" w:space="0" w:color="auto"/>
        <w:left w:val="none" w:sz="0" w:space="0" w:color="auto"/>
        <w:bottom w:val="none" w:sz="0" w:space="0" w:color="auto"/>
        <w:right w:val="none" w:sz="0" w:space="0" w:color="auto"/>
      </w:divBdr>
    </w:div>
    <w:div w:id="1431970382">
      <w:bodyDiv w:val="1"/>
      <w:marLeft w:val="0"/>
      <w:marRight w:val="0"/>
      <w:marTop w:val="0"/>
      <w:marBottom w:val="0"/>
      <w:divBdr>
        <w:top w:val="none" w:sz="0" w:space="0" w:color="auto"/>
        <w:left w:val="none" w:sz="0" w:space="0" w:color="auto"/>
        <w:bottom w:val="none" w:sz="0" w:space="0" w:color="auto"/>
        <w:right w:val="none" w:sz="0" w:space="0" w:color="auto"/>
      </w:divBdr>
    </w:div>
    <w:div w:id="1470634755">
      <w:bodyDiv w:val="1"/>
      <w:marLeft w:val="0"/>
      <w:marRight w:val="0"/>
      <w:marTop w:val="0"/>
      <w:marBottom w:val="0"/>
      <w:divBdr>
        <w:top w:val="none" w:sz="0" w:space="0" w:color="auto"/>
        <w:left w:val="none" w:sz="0" w:space="0" w:color="auto"/>
        <w:bottom w:val="none" w:sz="0" w:space="0" w:color="auto"/>
        <w:right w:val="none" w:sz="0" w:space="0" w:color="auto"/>
      </w:divBdr>
    </w:div>
    <w:div w:id="1472097723">
      <w:bodyDiv w:val="1"/>
      <w:marLeft w:val="0"/>
      <w:marRight w:val="0"/>
      <w:marTop w:val="0"/>
      <w:marBottom w:val="0"/>
      <w:divBdr>
        <w:top w:val="none" w:sz="0" w:space="0" w:color="auto"/>
        <w:left w:val="none" w:sz="0" w:space="0" w:color="auto"/>
        <w:bottom w:val="none" w:sz="0" w:space="0" w:color="auto"/>
        <w:right w:val="none" w:sz="0" w:space="0" w:color="auto"/>
      </w:divBdr>
    </w:div>
    <w:div w:id="1490751719">
      <w:bodyDiv w:val="1"/>
      <w:marLeft w:val="0"/>
      <w:marRight w:val="0"/>
      <w:marTop w:val="0"/>
      <w:marBottom w:val="0"/>
      <w:divBdr>
        <w:top w:val="none" w:sz="0" w:space="0" w:color="auto"/>
        <w:left w:val="none" w:sz="0" w:space="0" w:color="auto"/>
        <w:bottom w:val="none" w:sz="0" w:space="0" w:color="auto"/>
        <w:right w:val="none" w:sz="0" w:space="0" w:color="auto"/>
      </w:divBdr>
    </w:div>
    <w:div w:id="1523930048">
      <w:bodyDiv w:val="1"/>
      <w:marLeft w:val="0"/>
      <w:marRight w:val="0"/>
      <w:marTop w:val="0"/>
      <w:marBottom w:val="0"/>
      <w:divBdr>
        <w:top w:val="none" w:sz="0" w:space="0" w:color="auto"/>
        <w:left w:val="none" w:sz="0" w:space="0" w:color="auto"/>
        <w:bottom w:val="none" w:sz="0" w:space="0" w:color="auto"/>
        <w:right w:val="none" w:sz="0" w:space="0" w:color="auto"/>
      </w:divBdr>
    </w:div>
    <w:div w:id="1529296807">
      <w:bodyDiv w:val="1"/>
      <w:marLeft w:val="0"/>
      <w:marRight w:val="0"/>
      <w:marTop w:val="0"/>
      <w:marBottom w:val="0"/>
      <w:divBdr>
        <w:top w:val="none" w:sz="0" w:space="0" w:color="auto"/>
        <w:left w:val="none" w:sz="0" w:space="0" w:color="auto"/>
        <w:bottom w:val="none" w:sz="0" w:space="0" w:color="auto"/>
        <w:right w:val="none" w:sz="0" w:space="0" w:color="auto"/>
      </w:divBdr>
    </w:div>
    <w:div w:id="1556429590">
      <w:bodyDiv w:val="1"/>
      <w:marLeft w:val="0"/>
      <w:marRight w:val="0"/>
      <w:marTop w:val="0"/>
      <w:marBottom w:val="0"/>
      <w:divBdr>
        <w:top w:val="none" w:sz="0" w:space="0" w:color="auto"/>
        <w:left w:val="none" w:sz="0" w:space="0" w:color="auto"/>
        <w:bottom w:val="none" w:sz="0" w:space="0" w:color="auto"/>
        <w:right w:val="none" w:sz="0" w:space="0" w:color="auto"/>
      </w:divBdr>
    </w:div>
    <w:div w:id="1562402550">
      <w:bodyDiv w:val="1"/>
      <w:marLeft w:val="0"/>
      <w:marRight w:val="0"/>
      <w:marTop w:val="0"/>
      <w:marBottom w:val="0"/>
      <w:divBdr>
        <w:top w:val="none" w:sz="0" w:space="0" w:color="auto"/>
        <w:left w:val="none" w:sz="0" w:space="0" w:color="auto"/>
        <w:bottom w:val="none" w:sz="0" w:space="0" w:color="auto"/>
        <w:right w:val="none" w:sz="0" w:space="0" w:color="auto"/>
      </w:divBdr>
    </w:div>
    <w:div w:id="1564295101">
      <w:bodyDiv w:val="1"/>
      <w:marLeft w:val="0"/>
      <w:marRight w:val="0"/>
      <w:marTop w:val="0"/>
      <w:marBottom w:val="0"/>
      <w:divBdr>
        <w:top w:val="none" w:sz="0" w:space="0" w:color="auto"/>
        <w:left w:val="none" w:sz="0" w:space="0" w:color="auto"/>
        <w:bottom w:val="none" w:sz="0" w:space="0" w:color="auto"/>
        <w:right w:val="none" w:sz="0" w:space="0" w:color="auto"/>
      </w:divBdr>
    </w:div>
    <w:div w:id="1575892149">
      <w:bodyDiv w:val="1"/>
      <w:marLeft w:val="0"/>
      <w:marRight w:val="0"/>
      <w:marTop w:val="0"/>
      <w:marBottom w:val="0"/>
      <w:divBdr>
        <w:top w:val="none" w:sz="0" w:space="0" w:color="auto"/>
        <w:left w:val="none" w:sz="0" w:space="0" w:color="auto"/>
        <w:bottom w:val="none" w:sz="0" w:space="0" w:color="auto"/>
        <w:right w:val="none" w:sz="0" w:space="0" w:color="auto"/>
      </w:divBdr>
    </w:div>
    <w:div w:id="1604848749">
      <w:bodyDiv w:val="1"/>
      <w:marLeft w:val="0"/>
      <w:marRight w:val="0"/>
      <w:marTop w:val="0"/>
      <w:marBottom w:val="0"/>
      <w:divBdr>
        <w:top w:val="none" w:sz="0" w:space="0" w:color="auto"/>
        <w:left w:val="none" w:sz="0" w:space="0" w:color="auto"/>
        <w:bottom w:val="none" w:sz="0" w:space="0" w:color="auto"/>
        <w:right w:val="none" w:sz="0" w:space="0" w:color="auto"/>
      </w:divBdr>
    </w:div>
    <w:div w:id="1610970406">
      <w:bodyDiv w:val="1"/>
      <w:marLeft w:val="0"/>
      <w:marRight w:val="0"/>
      <w:marTop w:val="0"/>
      <w:marBottom w:val="0"/>
      <w:divBdr>
        <w:top w:val="none" w:sz="0" w:space="0" w:color="auto"/>
        <w:left w:val="none" w:sz="0" w:space="0" w:color="auto"/>
        <w:bottom w:val="none" w:sz="0" w:space="0" w:color="auto"/>
        <w:right w:val="none" w:sz="0" w:space="0" w:color="auto"/>
      </w:divBdr>
    </w:div>
    <w:div w:id="1611283398">
      <w:bodyDiv w:val="1"/>
      <w:marLeft w:val="0"/>
      <w:marRight w:val="0"/>
      <w:marTop w:val="0"/>
      <w:marBottom w:val="0"/>
      <w:divBdr>
        <w:top w:val="none" w:sz="0" w:space="0" w:color="auto"/>
        <w:left w:val="none" w:sz="0" w:space="0" w:color="auto"/>
        <w:bottom w:val="none" w:sz="0" w:space="0" w:color="auto"/>
        <w:right w:val="none" w:sz="0" w:space="0" w:color="auto"/>
      </w:divBdr>
    </w:div>
    <w:div w:id="1615359203">
      <w:bodyDiv w:val="1"/>
      <w:marLeft w:val="0"/>
      <w:marRight w:val="0"/>
      <w:marTop w:val="0"/>
      <w:marBottom w:val="0"/>
      <w:divBdr>
        <w:top w:val="none" w:sz="0" w:space="0" w:color="auto"/>
        <w:left w:val="none" w:sz="0" w:space="0" w:color="auto"/>
        <w:bottom w:val="none" w:sz="0" w:space="0" w:color="auto"/>
        <w:right w:val="none" w:sz="0" w:space="0" w:color="auto"/>
      </w:divBdr>
    </w:div>
    <w:div w:id="1625698303">
      <w:bodyDiv w:val="1"/>
      <w:marLeft w:val="0"/>
      <w:marRight w:val="0"/>
      <w:marTop w:val="0"/>
      <w:marBottom w:val="0"/>
      <w:divBdr>
        <w:top w:val="none" w:sz="0" w:space="0" w:color="auto"/>
        <w:left w:val="none" w:sz="0" w:space="0" w:color="auto"/>
        <w:bottom w:val="none" w:sz="0" w:space="0" w:color="auto"/>
        <w:right w:val="none" w:sz="0" w:space="0" w:color="auto"/>
      </w:divBdr>
    </w:div>
    <w:div w:id="1646157868">
      <w:bodyDiv w:val="1"/>
      <w:marLeft w:val="0"/>
      <w:marRight w:val="0"/>
      <w:marTop w:val="0"/>
      <w:marBottom w:val="0"/>
      <w:divBdr>
        <w:top w:val="none" w:sz="0" w:space="0" w:color="auto"/>
        <w:left w:val="none" w:sz="0" w:space="0" w:color="auto"/>
        <w:bottom w:val="none" w:sz="0" w:space="0" w:color="auto"/>
        <w:right w:val="none" w:sz="0" w:space="0" w:color="auto"/>
      </w:divBdr>
    </w:div>
    <w:div w:id="1661232771">
      <w:bodyDiv w:val="1"/>
      <w:marLeft w:val="0"/>
      <w:marRight w:val="0"/>
      <w:marTop w:val="0"/>
      <w:marBottom w:val="0"/>
      <w:divBdr>
        <w:top w:val="none" w:sz="0" w:space="0" w:color="auto"/>
        <w:left w:val="none" w:sz="0" w:space="0" w:color="auto"/>
        <w:bottom w:val="none" w:sz="0" w:space="0" w:color="auto"/>
        <w:right w:val="none" w:sz="0" w:space="0" w:color="auto"/>
      </w:divBdr>
    </w:div>
    <w:div w:id="1678187223">
      <w:bodyDiv w:val="1"/>
      <w:marLeft w:val="0"/>
      <w:marRight w:val="0"/>
      <w:marTop w:val="0"/>
      <w:marBottom w:val="0"/>
      <w:divBdr>
        <w:top w:val="none" w:sz="0" w:space="0" w:color="auto"/>
        <w:left w:val="none" w:sz="0" w:space="0" w:color="auto"/>
        <w:bottom w:val="none" w:sz="0" w:space="0" w:color="auto"/>
        <w:right w:val="none" w:sz="0" w:space="0" w:color="auto"/>
      </w:divBdr>
    </w:div>
    <w:div w:id="1683583950">
      <w:bodyDiv w:val="1"/>
      <w:marLeft w:val="0"/>
      <w:marRight w:val="0"/>
      <w:marTop w:val="0"/>
      <w:marBottom w:val="0"/>
      <w:divBdr>
        <w:top w:val="none" w:sz="0" w:space="0" w:color="auto"/>
        <w:left w:val="none" w:sz="0" w:space="0" w:color="auto"/>
        <w:bottom w:val="none" w:sz="0" w:space="0" w:color="auto"/>
        <w:right w:val="none" w:sz="0" w:space="0" w:color="auto"/>
      </w:divBdr>
    </w:div>
    <w:div w:id="1694309402">
      <w:bodyDiv w:val="1"/>
      <w:marLeft w:val="0"/>
      <w:marRight w:val="0"/>
      <w:marTop w:val="0"/>
      <w:marBottom w:val="0"/>
      <w:divBdr>
        <w:top w:val="none" w:sz="0" w:space="0" w:color="auto"/>
        <w:left w:val="none" w:sz="0" w:space="0" w:color="auto"/>
        <w:bottom w:val="none" w:sz="0" w:space="0" w:color="auto"/>
        <w:right w:val="none" w:sz="0" w:space="0" w:color="auto"/>
      </w:divBdr>
    </w:div>
    <w:div w:id="1722249637">
      <w:bodyDiv w:val="1"/>
      <w:marLeft w:val="0"/>
      <w:marRight w:val="0"/>
      <w:marTop w:val="0"/>
      <w:marBottom w:val="0"/>
      <w:divBdr>
        <w:top w:val="none" w:sz="0" w:space="0" w:color="auto"/>
        <w:left w:val="none" w:sz="0" w:space="0" w:color="auto"/>
        <w:bottom w:val="none" w:sz="0" w:space="0" w:color="auto"/>
        <w:right w:val="none" w:sz="0" w:space="0" w:color="auto"/>
      </w:divBdr>
    </w:div>
    <w:div w:id="1727757201">
      <w:bodyDiv w:val="1"/>
      <w:marLeft w:val="0"/>
      <w:marRight w:val="0"/>
      <w:marTop w:val="0"/>
      <w:marBottom w:val="0"/>
      <w:divBdr>
        <w:top w:val="none" w:sz="0" w:space="0" w:color="auto"/>
        <w:left w:val="none" w:sz="0" w:space="0" w:color="auto"/>
        <w:bottom w:val="none" w:sz="0" w:space="0" w:color="auto"/>
        <w:right w:val="none" w:sz="0" w:space="0" w:color="auto"/>
      </w:divBdr>
    </w:div>
    <w:div w:id="1801418826">
      <w:bodyDiv w:val="1"/>
      <w:marLeft w:val="0"/>
      <w:marRight w:val="0"/>
      <w:marTop w:val="0"/>
      <w:marBottom w:val="0"/>
      <w:divBdr>
        <w:top w:val="none" w:sz="0" w:space="0" w:color="auto"/>
        <w:left w:val="none" w:sz="0" w:space="0" w:color="auto"/>
        <w:bottom w:val="none" w:sz="0" w:space="0" w:color="auto"/>
        <w:right w:val="none" w:sz="0" w:space="0" w:color="auto"/>
      </w:divBdr>
    </w:div>
    <w:div w:id="1823307216">
      <w:bodyDiv w:val="1"/>
      <w:marLeft w:val="0"/>
      <w:marRight w:val="0"/>
      <w:marTop w:val="0"/>
      <w:marBottom w:val="0"/>
      <w:divBdr>
        <w:top w:val="none" w:sz="0" w:space="0" w:color="auto"/>
        <w:left w:val="none" w:sz="0" w:space="0" w:color="auto"/>
        <w:bottom w:val="none" w:sz="0" w:space="0" w:color="auto"/>
        <w:right w:val="none" w:sz="0" w:space="0" w:color="auto"/>
      </w:divBdr>
    </w:div>
    <w:div w:id="1825706567">
      <w:bodyDiv w:val="1"/>
      <w:marLeft w:val="0"/>
      <w:marRight w:val="0"/>
      <w:marTop w:val="0"/>
      <w:marBottom w:val="0"/>
      <w:divBdr>
        <w:top w:val="none" w:sz="0" w:space="0" w:color="auto"/>
        <w:left w:val="none" w:sz="0" w:space="0" w:color="auto"/>
        <w:bottom w:val="none" w:sz="0" w:space="0" w:color="auto"/>
        <w:right w:val="none" w:sz="0" w:space="0" w:color="auto"/>
      </w:divBdr>
    </w:div>
    <w:div w:id="1825966470">
      <w:bodyDiv w:val="1"/>
      <w:marLeft w:val="0"/>
      <w:marRight w:val="0"/>
      <w:marTop w:val="0"/>
      <w:marBottom w:val="0"/>
      <w:divBdr>
        <w:top w:val="none" w:sz="0" w:space="0" w:color="auto"/>
        <w:left w:val="none" w:sz="0" w:space="0" w:color="auto"/>
        <w:bottom w:val="none" w:sz="0" w:space="0" w:color="auto"/>
        <w:right w:val="none" w:sz="0" w:space="0" w:color="auto"/>
      </w:divBdr>
    </w:div>
    <w:div w:id="1830750613">
      <w:bodyDiv w:val="1"/>
      <w:marLeft w:val="0"/>
      <w:marRight w:val="0"/>
      <w:marTop w:val="0"/>
      <w:marBottom w:val="0"/>
      <w:divBdr>
        <w:top w:val="none" w:sz="0" w:space="0" w:color="auto"/>
        <w:left w:val="none" w:sz="0" w:space="0" w:color="auto"/>
        <w:bottom w:val="none" w:sz="0" w:space="0" w:color="auto"/>
        <w:right w:val="none" w:sz="0" w:space="0" w:color="auto"/>
      </w:divBdr>
    </w:div>
    <w:div w:id="1841852626">
      <w:bodyDiv w:val="1"/>
      <w:marLeft w:val="0"/>
      <w:marRight w:val="0"/>
      <w:marTop w:val="0"/>
      <w:marBottom w:val="0"/>
      <w:divBdr>
        <w:top w:val="none" w:sz="0" w:space="0" w:color="auto"/>
        <w:left w:val="none" w:sz="0" w:space="0" w:color="auto"/>
        <w:bottom w:val="none" w:sz="0" w:space="0" w:color="auto"/>
        <w:right w:val="none" w:sz="0" w:space="0" w:color="auto"/>
      </w:divBdr>
    </w:div>
    <w:div w:id="1852528771">
      <w:bodyDiv w:val="1"/>
      <w:marLeft w:val="0"/>
      <w:marRight w:val="0"/>
      <w:marTop w:val="0"/>
      <w:marBottom w:val="0"/>
      <w:divBdr>
        <w:top w:val="none" w:sz="0" w:space="0" w:color="auto"/>
        <w:left w:val="none" w:sz="0" w:space="0" w:color="auto"/>
        <w:bottom w:val="none" w:sz="0" w:space="0" w:color="auto"/>
        <w:right w:val="none" w:sz="0" w:space="0" w:color="auto"/>
      </w:divBdr>
    </w:div>
    <w:div w:id="1874151599">
      <w:bodyDiv w:val="1"/>
      <w:marLeft w:val="0"/>
      <w:marRight w:val="0"/>
      <w:marTop w:val="0"/>
      <w:marBottom w:val="0"/>
      <w:divBdr>
        <w:top w:val="none" w:sz="0" w:space="0" w:color="auto"/>
        <w:left w:val="none" w:sz="0" w:space="0" w:color="auto"/>
        <w:bottom w:val="none" w:sz="0" w:space="0" w:color="auto"/>
        <w:right w:val="none" w:sz="0" w:space="0" w:color="auto"/>
      </w:divBdr>
    </w:div>
    <w:div w:id="1877810650">
      <w:bodyDiv w:val="1"/>
      <w:marLeft w:val="0"/>
      <w:marRight w:val="0"/>
      <w:marTop w:val="0"/>
      <w:marBottom w:val="0"/>
      <w:divBdr>
        <w:top w:val="none" w:sz="0" w:space="0" w:color="auto"/>
        <w:left w:val="none" w:sz="0" w:space="0" w:color="auto"/>
        <w:bottom w:val="none" w:sz="0" w:space="0" w:color="auto"/>
        <w:right w:val="none" w:sz="0" w:space="0" w:color="auto"/>
      </w:divBdr>
    </w:div>
    <w:div w:id="1879050526">
      <w:bodyDiv w:val="1"/>
      <w:marLeft w:val="0"/>
      <w:marRight w:val="0"/>
      <w:marTop w:val="0"/>
      <w:marBottom w:val="0"/>
      <w:divBdr>
        <w:top w:val="none" w:sz="0" w:space="0" w:color="auto"/>
        <w:left w:val="none" w:sz="0" w:space="0" w:color="auto"/>
        <w:bottom w:val="none" w:sz="0" w:space="0" w:color="auto"/>
        <w:right w:val="none" w:sz="0" w:space="0" w:color="auto"/>
      </w:divBdr>
    </w:div>
    <w:div w:id="1885561564">
      <w:bodyDiv w:val="1"/>
      <w:marLeft w:val="0"/>
      <w:marRight w:val="0"/>
      <w:marTop w:val="0"/>
      <w:marBottom w:val="0"/>
      <w:divBdr>
        <w:top w:val="none" w:sz="0" w:space="0" w:color="auto"/>
        <w:left w:val="none" w:sz="0" w:space="0" w:color="auto"/>
        <w:bottom w:val="none" w:sz="0" w:space="0" w:color="auto"/>
        <w:right w:val="none" w:sz="0" w:space="0" w:color="auto"/>
      </w:divBdr>
    </w:div>
    <w:div w:id="1886866723">
      <w:bodyDiv w:val="1"/>
      <w:marLeft w:val="0"/>
      <w:marRight w:val="0"/>
      <w:marTop w:val="0"/>
      <w:marBottom w:val="0"/>
      <w:divBdr>
        <w:top w:val="none" w:sz="0" w:space="0" w:color="auto"/>
        <w:left w:val="none" w:sz="0" w:space="0" w:color="auto"/>
        <w:bottom w:val="none" w:sz="0" w:space="0" w:color="auto"/>
        <w:right w:val="none" w:sz="0" w:space="0" w:color="auto"/>
      </w:divBdr>
    </w:div>
    <w:div w:id="1890844872">
      <w:bodyDiv w:val="1"/>
      <w:marLeft w:val="0"/>
      <w:marRight w:val="0"/>
      <w:marTop w:val="0"/>
      <w:marBottom w:val="0"/>
      <w:divBdr>
        <w:top w:val="none" w:sz="0" w:space="0" w:color="auto"/>
        <w:left w:val="none" w:sz="0" w:space="0" w:color="auto"/>
        <w:bottom w:val="none" w:sz="0" w:space="0" w:color="auto"/>
        <w:right w:val="none" w:sz="0" w:space="0" w:color="auto"/>
      </w:divBdr>
    </w:div>
    <w:div w:id="1892111139">
      <w:bodyDiv w:val="1"/>
      <w:marLeft w:val="0"/>
      <w:marRight w:val="0"/>
      <w:marTop w:val="0"/>
      <w:marBottom w:val="0"/>
      <w:divBdr>
        <w:top w:val="none" w:sz="0" w:space="0" w:color="auto"/>
        <w:left w:val="none" w:sz="0" w:space="0" w:color="auto"/>
        <w:bottom w:val="none" w:sz="0" w:space="0" w:color="auto"/>
        <w:right w:val="none" w:sz="0" w:space="0" w:color="auto"/>
      </w:divBdr>
    </w:div>
    <w:div w:id="1923221389">
      <w:bodyDiv w:val="1"/>
      <w:marLeft w:val="0"/>
      <w:marRight w:val="0"/>
      <w:marTop w:val="0"/>
      <w:marBottom w:val="0"/>
      <w:divBdr>
        <w:top w:val="none" w:sz="0" w:space="0" w:color="auto"/>
        <w:left w:val="none" w:sz="0" w:space="0" w:color="auto"/>
        <w:bottom w:val="none" w:sz="0" w:space="0" w:color="auto"/>
        <w:right w:val="none" w:sz="0" w:space="0" w:color="auto"/>
      </w:divBdr>
    </w:div>
    <w:div w:id="1927884947">
      <w:bodyDiv w:val="1"/>
      <w:marLeft w:val="0"/>
      <w:marRight w:val="0"/>
      <w:marTop w:val="0"/>
      <w:marBottom w:val="0"/>
      <w:divBdr>
        <w:top w:val="none" w:sz="0" w:space="0" w:color="auto"/>
        <w:left w:val="none" w:sz="0" w:space="0" w:color="auto"/>
        <w:bottom w:val="none" w:sz="0" w:space="0" w:color="auto"/>
        <w:right w:val="none" w:sz="0" w:space="0" w:color="auto"/>
      </w:divBdr>
    </w:div>
    <w:div w:id="1928688680">
      <w:bodyDiv w:val="1"/>
      <w:marLeft w:val="0"/>
      <w:marRight w:val="0"/>
      <w:marTop w:val="0"/>
      <w:marBottom w:val="0"/>
      <w:divBdr>
        <w:top w:val="none" w:sz="0" w:space="0" w:color="auto"/>
        <w:left w:val="none" w:sz="0" w:space="0" w:color="auto"/>
        <w:bottom w:val="none" w:sz="0" w:space="0" w:color="auto"/>
        <w:right w:val="none" w:sz="0" w:space="0" w:color="auto"/>
      </w:divBdr>
    </w:div>
    <w:div w:id="1944149279">
      <w:bodyDiv w:val="1"/>
      <w:marLeft w:val="0"/>
      <w:marRight w:val="0"/>
      <w:marTop w:val="0"/>
      <w:marBottom w:val="0"/>
      <w:divBdr>
        <w:top w:val="none" w:sz="0" w:space="0" w:color="auto"/>
        <w:left w:val="none" w:sz="0" w:space="0" w:color="auto"/>
        <w:bottom w:val="none" w:sz="0" w:space="0" w:color="auto"/>
        <w:right w:val="none" w:sz="0" w:space="0" w:color="auto"/>
      </w:divBdr>
    </w:div>
    <w:div w:id="1947233071">
      <w:bodyDiv w:val="1"/>
      <w:marLeft w:val="0"/>
      <w:marRight w:val="0"/>
      <w:marTop w:val="0"/>
      <w:marBottom w:val="0"/>
      <w:divBdr>
        <w:top w:val="none" w:sz="0" w:space="0" w:color="auto"/>
        <w:left w:val="none" w:sz="0" w:space="0" w:color="auto"/>
        <w:bottom w:val="none" w:sz="0" w:space="0" w:color="auto"/>
        <w:right w:val="none" w:sz="0" w:space="0" w:color="auto"/>
      </w:divBdr>
    </w:div>
    <w:div w:id="1953899687">
      <w:bodyDiv w:val="1"/>
      <w:marLeft w:val="0"/>
      <w:marRight w:val="0"/>
      <w:marTop w:val="0"/>
      <w:marBottom w:val="0"/>
      <w:divBdr>
        <w:top w:val="none" w:sz="0" w:space="0" w:color="auto"/>
        <w:left w:val="none" w:sz="0" w:space="0" w:color="auto"/>
        <w:bottom w:val="none" w:sz="0" w:space="0" w:color="auto"/>
        <w:right w:val="none" w:sz="0" w:space="0" w:color="auto"/>
      </w:divBdr>
    </w:div>
    <w:div w:id="1957783716">
      <w:bodyDiv w:val="1"/>
      <w:marLeft w:val="0"/>
      <w:marRight w:val="0"/>
      <w:marTop w:val="0"/>
      <w:marBottom w:val="0"/>
      <w:divBdr>
        <w:top w:val="none" w:sz="0" w:space="0" w:color="auto"/>
        <w:left w:val="none" w:sz="0" w:space="0" w:color="auto"/>
        <w:bottom w:val="none" w:sz="0" w:space="0" w:color="auto"/>
        <w:right w:val="none" w:sz="0" w:space="0" w:color="auto"/>
      </w:divBdr>
    </w:div>
    <w:div w:id="1963531456">
      <w:bodyDiv w:val="1"/>
      <w:marLeft w:val="0"/>
      <w:marRight w:val="0"/>
      <w:marTop w:val="0"/>
      <w:marBottom w:val="0"/>
      <w:divBdr>
        <w:top w:val="none" w:sz="0" w:space="0" w:color="auto"/>
        <w:left w:val="none" w:sz="0" w:space="0" w:color="auto"/>
        <w:bottom w:val="none" w:sz="0" w:space="0" w:color="auto"/>
        <w:right w:val="none" w:sz="0" w:space="0" w:color="auto"/>
      </w:divBdr>
    </w:div>
    <w:div w:id="1997297590">
      <w:bodyDiv w:val="1"/>
      <w:marLeft w:val="0"/>
      <w:marRight w:val="0"/>
      <w:marTop w:val="0"/>
      <w:marBottom w:val="0"/>
      <w:divBdr>
        <w:top w:val="none" w:sz="0" w:space="0" w:color="auto"/>
        <w:left w:val="none" w:sz="0" w:space="0" w:color="auto"/>
        <w:bottom w:val="none" w:sz="0" w:space="0" w:color="auto"/>
        <w:right w:val="none" w:sz="0" w:space="0" w:color="auto"/>
      </w:divBdr>
    </w:div>
    <w:div w:id="1999378333">
      <w:bodyDiv w:val="1"/>
      <w:marLeft w:val="0"/>
      <w:marRight w:val="0"/>
      <w:marTop w:val="0"/>
      <w:marBottom w:val="0"/>
      <w:divBdr>
        <w:top w:val="none" w:sz="0" w:space="0" w:color="auto"/>
        <w:left w:val="none" w:sz="0" w:space="0" w:color="auto"/>
        <w:bottom w:val="none" w:sz="0" w:space="0" w:color="auto"/>
        <w:right w:val="none" w:sz="0" w:space="0" w:color="auto"/>
      </w:divBdr>
    </w:div>
    <w:div w:id="2004236652">
      <w:bodyDiv w:val="1"/>
      <w:marLeft w:val="0"/>
      <w:marRight w:val="0"/>
      <w:marTop w:val="0"/>
      <w:marBottom w:val="0"/>
      <w:divBdr>
        <w:top w:val="none" w:sz="0" w:space="0" w:color="auto"/>
        <w:left w:val="none" w:sz="0" w:space="0" w:color="auto"/>
        <w:bottom w:val="none" w:sz="0" w:space="0" w:color="auto"/>
        <w:right w:val="none" w:sz="0" w:space="0" w:color="auto"/>
      </w:divBdr>
    </w:div>
    <w:div w:id="2005818918">
      <w:bodyDiv w:val="1"/>
      <w:marLeft w:val="0"/>
      <w:marRight w:val="0"/>
      <w:marTop w:val="0"/>
      <w:marBottom w:val="0"/>
      <w:divBdr>
        <w:top w:val="none" w:sz="0" w:space="0" w:color="auto"/>
        <w:left w:val="none" w:sz="0" w:space="0" w:color="auto"/>
        <w:bottom w:val="none" w:sz="0" w:space="0" w:color="auto"/>
        <w:right w:val="none" w:sz="0" w:space="0" w:color="auto"/>
      </w:divBdr>
    </w:div>
    <w:div w:id="2006474614">
      <w:bodyDiv w:val="1"/>
      <w:marLeft w:val="0"/>
      <w:marRight w:val="0"/>
      <w:marTop w:val="0"/>
      <w:marBottom w:val="0"/>
      <w:divBdr>
        <w:top w:val="none" w:sz="0" w:space="0" w:color="auto"/>
        <w:left w:val="none" w:sz="0" w:space="0" w:color="auto"/>
        <w:bottom w:val="none" w:sz="0" w:space="0" w:color="auto"/>
        <w:right w:val="none" w:sz="0" w:space="0" w:color="auto"/>
      </w:divBdr>
    </w:div>
    <w:div w:id="2028170158">
      <w:bodyDiv w:val="1"/>
      <w:marLeft w:val="0"/>
      <w:marRight w:val="0"/>
      <w:marTop w:val="0"/>
      <w:marBottom w:val="0"/>
      <w:divBdr>
        <w:top w:val="none" w:sz="0" w:space="0" w:color="auto"/>
        <w:left w:val="none" w:sz="0" w:space="0" w:color="auto"/>
        <w:bottom w:val="none" w:sz="0" w:space="0" w:color="auto"/>
        <w:right w:val="none" w:sz="0" w:space="0" w:color="auto"/>
      </w:divBdr>
    </w:div>
    <w:div w:id="2029021248">
      <w:bodyDiv w:val="1"/>
      <w:marLeft w:val="0"/>
      <w:marRight w:val="0"/>
      <w:marTop w:val="0"/>
      <w:marBottom w:val="0"/>
      <w:divBdr>
        <w:top w:val="none" w:sz="0" w:space="0" w:color="auto"/>
        <w:left w:val="none" w:sz="0" w:space="0" w:color="auto"/>
        <w:bottom w:val="none" w:sz="0" w:space="0" w:color="auto"/>
        <w:right w:val="none" w:sz="0" w:space="0" w:color="auto"/>
      </w:divBdr>
    </w:div>
    <w:div w:id="2031688037">
      <w:bodyDiv w:val="1"/>
      <w:marLeft w:val="0"/>
      <w:marRight w:val="0"/>
      <w:marTop w:val="0"/>
      <w:marBottom w:val="0"/>
      <w:divBdr>
        <w:top w:val="none" w:sz="0" w:space="0" w:color="auto"/>
        <w:left w:val="none" w:sz="0" w:space="0" w:color="auto"/>
        <w:bottom w:val="none" w:sz="0" w:space="0" w:color="auto"/>
        <w:right w:val="none" w:sz="0" w:space="0" w:color="auto"/>
      </w:divBdr>
    </w:div>
    <w:div w:id="2040664909">
      <w:bodyDiv w:val="1"/>
      <w:marLeft w:val="0"/>
      <w:marRight w:val="0"/>
      <w:marTop w:val="0"/>
      <w:marBottom w:val="0"/>
      <w:divBdr>
        <w:top w:val="none" w:sz="0" w:space="0" w:color="auto"/>
        <w:left w:val="none" w:sz="0" w:space="0" w:color="auto"/>
        <w:bottom w:val="none" w:sz="0" w:space="0" w:color="auto"/>
        <w:right w:val="none" w:sz="0" w:space="0" w:color="auto"/>
      </w:divBdr>
    </w:div>
    <w:div w:id="2047413234">
      <w:bodyDiv w:val="1"/>
      <w:marLeft w:val="0"/>
      <w:marRight w:val="0"/>
      <w:marTop w:val="0"/>
      <w:marBottom w:val="0"/>
      <w:divBdr>
        <w:top w:val="none" w:sz="0" w:space="0" w:color="auto"/>
        <w:left w:val="none" w:sz="0" w:space="0" w:color="auto"/>
        <w:bottom w:val="none" w:sz="0" w:space="0" w:color="auto"/>
        <w:right w:val="none" w:sz="0" w:space="0" w:color="auto"/>
      </w:divBdr>
    </w:div>
    <w:div w:id="2074429232">
      <w:bodyDiv w:val="1"/>
      <w:marLeft w:val="0"/>
      <w:marRight w:val="0"/>
      <w:marTop w:val="0"/>
      <w:marBottom w:val="0"/>
      <w:divBdr>
        <w:top w:val="none" w:sz="0" w:space="0" w:color="auto"/>
        <w:left w:val="none" w:sz="0" w:space="0" w:color="auto"/>
        <w:bottom w:val="none" w:sz="0" w:space="0" w:color="auto"/>
        <w:right w:val="none" w:sz="0" w:space="0" w:color="auto"/>
      </w:divBdr>
    </w:div>
    <w:div w:id="2078015627">
      <w:bodyDiv w:val="1"/>
      <w:marLeft w:val="0"/>
      <w:marRight w:val="0"/>
      <w:marTop w:val="0"/>
      <w:marBottom w:val="0"/>
      <w:divBdr>
        <w:top w:val="none" w:sz="0" w:space="0" w:color="auto"/>
        <w:left w:val="none" w:sz="0" w:space="0" w:color="auto"/>
        <w:bottom w:val="none" w:sz="0" w:space="0" w:color="auto"/>
        <w:right w:val="none" w:sz="0" w:space="0" w:color="auto"/>
      </w:divBdr>
    </w:div>
    <w:div w:id="2079671105">
      <w:bodyDiv w:val="1"/>
      <w:marLeft w:val="0"/>
      <w:marRight w:val="0"/>
      <w:marTop w:val="0"/>
      <w:marBottom w:val="0"/>
      <w:divBdr>
        <w:top w:val="none" w:sz="0" w:space="0" w:color="auto"/>
        <w:left w:val="none" w:sz="0" w:space="0" w:color="auto"/>
        <w:bottom w:val="none" w:sz="0" w:space="0" w:color="auto"/>
        <w:right w:val="none" w:sz="0" w:space="0" w:color="auto"/>
      </w:divBdr>
    </w:div>
    <w:div w:id="2079741572">
      <w:bodyDiv w:val="1"/>
      <w:marLeft w:val="0"/>
      <w:marRight w:val="0"/>
      <w:marTop w:val="0"/>
      <w:marBottom w:val="0"/>
      <w:divBdr>
        <w:top w:val="none" w:sz="0" w:space="0" w:color="auto"/>
        <w:left w:val="none" w:sz="0" w:space="0" w:color="auto"/>
        <w:bottom w:val="none" w:sz="0" w:space="0" w:color="auto"/>
        <w:right w:val="none" w:sz="0" w:space="0" w:color="auto"/>
      </w:divBdr>
    </w:div>
    <w:div w:id="2085954531">
      <w:bodyDiv w:val="1"/>
      <w:marLeft w:val="0"/>
      <w:marRight w:val="0"/>
      <w:marTop w:val="0"/>
      <w:marBottom w:val="0"/>
      <w:divBdr>
        <w:top w:val="none" w:sz="0" w:space="0" w:color="auto"/>
        <w:left w:val="none" w:sz="0" w:space="0" w:color="auto"/>
        <w:bottom w:val="none" w:sz="0" w:space="0" w:color="auto"/>
        <w:right w:val="none" w:sz="0" w:space="0" w:color="auto"/>
      </w:divBdr>
    </w:div>
    <w:div w:id="2100519948">
      <w:bodyDiv w:val="1"/>
      <w:marLeft w:val="0"/>
      <w:marRight w:val="0"/>
      <w:marTop w:val="0"/>
      <w:marBottom w:val="0"/>
      <w:divBdr>
        <w:top w:val="none" w:sz="0" w:space="0" w:color="auto"/>
        <w:left w:val="none" w:sz="0" w:space="0" w:color="auto"/>
        <w:bottom w:val="none" w:sz="0" w:space="0" w:color="auto"/>
        <w:right w:val="none" w:sz="0" w:space="0" w:color="auto"/>
      </w:divBdr>
    </w:div>
    <w:div w:id="2108228381">
      <w:bodyDiv w:val="1"/>
      <w:marLeft w:val="0"/>
      <w:marRight w:val="0"/>
      <w:marTop w:val="0"/>
      <w:marBottom w:val="0"/>
      <w:divBdr>
        <w:top w:val="none" w:sz="0" w:space="0" w:color="auto"/>
        <w:left w:val="none" w:sz="0" w:space="0" w:color="auto"/>
        <w:bottom w:val="none" w:sz="0" w:space="0" w:color="auto"/>
        <w:right w:val="none" w:sz="0" w:space="0" w:color="auto"/>
      </w:divBdr>
    </w:div>
    <w:div w:id="2115250311">
      <w:bodyDiv w:val="1"/>
      <w:marLeft w:val="0"/>
      <w:marRight w:val="0"/>
      <w:marTop w:val="0"/>
      <w:marBottom w:val="0"/>
      <w:divBdr>
        <w:top w:val="none" w:sz="0" w:space="0" w:color="auto"/>
        <w:left w:val="none" w:sz="0" w:space="0" w:color="auto"/>
        <w:bottom w:val="none" w:sz="0" w:space="0" w:color="auto"/>
        <w:right w:val="none" w:sz="0" w:space="0" w:color="auto"/>
      </w:divBdr>
    </w:div>
    <w:div w:id="212830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emf"/><Relationship Id="rId21" Type="http://schemas.openxmlformats.org/officeDocument/2006/relationships/image" Target="media/image13.png"/><Relationship Id="rId42" Type="http://schemas.openxmlformats.org/officeDocument/2006/relationships/image" Target="media/image34.emf"/><Relationship Id="rId47" Type="http://schemas.openxmlformats.org/officeDocument/2006/relationships/image" Target="media/image39.emf"/><Relationship Id="rId63" Type="http://schemas.openxmlformats.org/officeDocument/2006/relationships/image" Target="media/image54.emf"/><Relationship Id="rId68" Type="http://schemas.openxmlformats.org/officeDocument/2006/relationships/image" Target="media/image59.emf"/><Relationship Id="rId16" Type="http://schemas.openxmlformats.org/officeDocument/2006/relationships/image" Target="media/image8.emf"/><Relationship Id="rId11" Type="http://schemas.openxmlformats.org/officeDocument/2006/relationships/image" Target="media/image3.emf"/><Relationship Id="rId32" Type="http://schemas.openxmlformats.org/officeDocument/2006/relationships/image" Target="media/image24.emf"/><Relationship Id="rId37" Type="http://schemas.openxmlformats.org/officeDocument/2006/relationships/image" Target="media/image29.emf"/><Relationship Id="rId53" Type="http://schemas.openxmlformats.org/officeDocument/2006/relationships/image" Target="media/image45.emf"/><Relationship Id="rId58" Type="http://schemas.openxmlformats.org/officeDocument/2006/relationships/image" Target="media/image50.emf"/><Relationship Id="rId74" Type="http://schemas.openxmlformats.org/officeDocument/2006/relationships/image" Target="media/image65.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Planilha_do_Microsoft_Excel_97-20031.xls"/><Relationship Id="rId82" Type="http://schemas.openxmlformats.org/officeDocument/2006/relationships/customXml" Target="../customXml/item3.xml"/><Relationship Id="rId19" Type="http://schemas.openxmlformats.org/officeDocument/2006/relationships/image" Target="media/image1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image" Target="media/image48.emf"/><Relationship Id="rId64" Type="http://schemas.openxmlformats.org/officeDocument/2006/relationships/image" Target="media/image55.emf"/><Relationship Id="rId69" Type="http://schemas.openxmlformats.org/officeDocument/2006/relationships/image" Target="media/image60.emf"/><Relationship Id="rId77" Type="http://schemas.openxmlformats.org/officeDocument/2006/relationships/footer" Target="footer2.xml"/><Relationship Id="rId8" Type="http://schemas.openxmlformats.org/officeDocument/2006/relationships/image" Target="media/image1.emf"/><Relationship Id="rId51" Type="http://schemas.openxmlformats.org/officeDocument/2006/relationships/image" Target="media/image43.emf"/><Relationship Id="rId72" Type="http://schemas.openxmlformats.org/officeDocument/2006/relationships/image" Target="media/image63.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59" Type="http://schemas.openxmlformats.org/officeDocument/2006/relationships/image" Target="media/image51.emf"/><Relationship Id="rId67" Type="http://schemas.openxmlformats.org/officeDocument/2006/relationships/image" Target="media/image58.emf"/><Relationship Id="rId20" Type="http://schemas.openxmlformats.org/officeDocument/2006/relationships/image" Target="media/image12.emf"/><Relationship Id="rId41" Type="http://schemas.openxmlformats.org/officeDocument/2006/relationships/image" Target="media/image33.emf"/><Relationship Id="rId54" Type="http://schemas.openxmlformats.org/officeDocument/2006/relationships/image" Target="media/image46.emf"/><Relationship Id="rId62" Type="http://schemas.openxmlformats.org/officeDocument/2006/relationships/image" Target="media/image53.emf"/><Relationship Id="rId70" Type="http://schemas.openxmlformats.org/officeDocument/2006/relationships/image" Target="media/image61.emf"/><Relationship Id="rId75" Type="http://schemas.openxmlformats.org/officeDocument/2006/relationships/header" Target="header1.xml"/><Relationship Id="rId83"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image" Target="media/image49.emf"/><Relationship Id="rId10" Type="http://schemas.openxmlformats.org/officeDocument/2006/relationships/image" Target="media/image2.emf"/><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image" Target="media/image52.emf"/><Relationship Id="rId65" Type="http://schemas.openxmlformats.org/officeDocument/2006/relationships/image" Target="media/image56.emf"/><Relationship Id="rId73" Type="http://schemas.openxmlformats.org/officeDocument/2006/relationships/image" Target="media/image64.emf"/><Relationship Id="rId78" Type="http://schemas.openxmlformats.org/officeDocument/2006/relationships/footer" Target="footer3.xml"/><Relationship Id="rId8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Planilha_do_Microsoft_Excel_97-2003.xls"/><Relationship Id="rId13" Type="http://schemas.openxmlformats.org/officeDocument/2006/relationships/image" Target="media/image5.emf"/><Relationship Id="rId18" Type="http://schemas.openxmlformats.org/officeDocument/2006/relationships/image" Target="media/image10.emf"/><Relationship Id="rId39" Type="http://schemas.openxmlformats.org/officeDocument/2006/relationships/image" Target="media/image31.emf"/><Relationship Id="rId34" Type="http://schemas.openxmlformats.org/officeDocument/2006/relationships/image" Target="media/image26.emf"/><Relationship Id="rId50" Type="http://schemas.openxmlformats.org/officeDocument/2006/relationships/image" Target="media/image42.emf"/><Relationship Id="rId55" Type="http://schemas.openxmlformats.org/officeDocument/2006/relationships/image" Target="media/image47.emf"/><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62.emf"/><Relationship Id="rId2" Type="http://schemas.openxmlformats.org/officeDocument/2006/relationships/numbering" Target="numbering.xml"/><Relationship Id="rId29" Type="http://schemas.openxmlformats.org/officeDocument/2006/relationships/image" Target="media/image21.emf"/><Relationship Id="rId24" Type="http://schemas.openxmlformats.org/officeDocument/2006/relationships/image" Target="media/image16.emf"/><Relationship Id="rId40" Type="http://schemas.openxmlformats.org/officeDocument/2006/relationships/image" Target="media/image32.emf"/><Relationship Id="rId45" Type="http://schemas.openxmlformats.org/officeDocument/2006/relationships/image" Target="media/image37.emf"/><Relationship Id="rId66" Type="http://schemas.openxmlformats.org/officeDocument/2006/relationships/image" Target="media/image57.emf"/></Relationships>
</file>

<file path=word/_rels/header1.xml.rels><?xml version="1.0" encoding="UTF-8" standalone="yes"?>
<Relationships xmlns="http://schemas.openxmlformats.org/package/2006/relationships"><Relationship Id="rId1" Type="http://schemas.openxmlformats.org/officeDocument/2006/relationships/image" Target="media/image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8F11BDC41DB7D4F9F945297A936FBF3" ma:contentTypeVersion="1" ma:contentTypeDescription="Crie um novo documento." ma:contentTypeScope="" ma:versionID="077310c38954d617e053da517d454bf0">
  <xsd:schema xmlns:xsd="http://www.w3.org/2001/XMLSchema" xmlns:xs="http://www.w3.org/2001/XMLSchema" xmlns:p="http://schemas.microsoft.com/office/2006/metadata/properties" xmlns:ns1="http://schemas.microsoft.com/sharepoint/v3" targetNamespace="http://schemas.microsoft.com/office/2006/metadata/properties" ma:root="true" ma:fieldsID="27df3e864a1ba1b0c791d115cbe994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AE3B20-29CD-4278-85B9-2A4F43DEF68A}">
  <ds:schemaRefs>
    <ds:schemaRef ds:uri="http://schemas.openxmlformats.org/officeDocument/2006/bibliography"/>
  </ds:schemaRefs>
</ds:datastoreItem>
</file>

<file path=customXml/itemProps2.xml><?xml version="1.0" encoding="utf-8"?>
<ds:datastoreItem xmlns:ds="http://schemas.openxmlformats.org/officeDocument/2006/customXml" ds:itemID="{CA7AEC7C-3EDC-41AA-B8F5-65C7D58FD59B}"/>
</file>

<file path=customXml/itemProps3.xml><?xml version="1.0" encoding="utf-8"?>
<ds:datastoreItem xmlns:ds="http://schemas.openxmlformats.org/officeDocument/2006/customXml" ds:itemID="{EFA75768-26A1-48DB-A954-85DBA0FCDED5}"/>
</file>

<file path=customXml/itemProps4.xml><?xml version="1.0" encoding="utf-8"?>
<ds:datastoreItem xmlns:ds="http://schemas.openxmlformats.org/officeDocument/2006/customXml" ds:itemID="{13202135-F941-49F4-9B9A-75C81315F103}"/>
</file>

<file path=docProps/app.xml><?xml version="1.0" encoding="utf-8"?>
<Properties xmlns="http://schemas.openxmlformats.org/officeDocument/2006/extended-properties" xmlns:vt="http://schemas.openxmlformats.org/officeDocument/2006/docPropsVTypes">
  <Template>Normal.dotm</Template>
  <TotalTime>32</TotalTime>
  <Pages>78</Pages>
  <Words>18884</Words>
  <Characters>103922</Characters>
  <Application>Microsoft Office Word</Application>
  <DocSecurity>0</DocSecurity>
  <Lines>866</Lines>
  <Paragraphs>245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 DA ADMINISTRAÇÃO ÀS DEMONSTRAÇÕES CONTÁBEIS EM 31 DE DEZEMBRO DE 2010 E 2009</vt:lpstr>
      <vt:lpstr>NOTAS EXPLICATIVAS DA ADMINISTRAÇÃO ÀS DEMONSTRAÇÕES CONTÁBEIS EM 31 DE DEZEMBRO DE 2010 E 2009</vt:lpstr>
    </vt:vector>
  </TitlesOfParts>
  <Company>ETN</Company>
  <LinksUpToDate>false</LinksUpToDate>
  <CharactersWithSpaces>122561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 DA ADMINISTRAÇÃO ÀS DEMONSTRAÇÕES CONTÁBEIS EM 31 DE DEZEMBRO DE 2010 E 2009</dc:title>
  <dc:subject/>
  <dc:creator>PricewaterhouseCoopers</dc:creator>
  <cp:keywords/>
  <dc:description/>
  <cp:lastModifiedBy>Beatriz Albino da Silva</cp:lastModifiedBy>
  <cp:revision>11</cp:revision>
  <cp:lastPrinted>2020-11-10T15:19:00Z</cp:lastPrinted>
  <dcterms:created xsi:type="dcterms:W3CDTF">2020-11-10T14:29:00Z</dcterms:created>
  <dcterms:modified xsi:type="dcterms:W3CDTF">2020-11-10T18:32:00Z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SDCxCLASSFICATION_LEVEL">
    <vt:lpwstr>3</vt:lpwstr>
  </property>
  <property fmtid="{D5CDD505-2E9C-101B-9397-08002B2CF9AE}" pid="3" name="SSDCxCLASSFICATION_USER">
    <vt:lpwstr>PWCGLB\iabreu004</vt:lpwstr>
  </property>
  <property fmtid="{D5CDD505-2E9C-101B-9397-08002B2CF9AE}" pid="4" name="SSDCxCLASSFICATION_DATE">
    <vt:lpwstr>30/07/2020 14:05:40</vt:lpwstr>
  </property>
  <property fmtid="{D5CDD505-2E9C-101B-9397-08002B2CF9AE}" pid="5" name="SSDCxCLASSFICATION_GUID">
    <vt:lpwstr>C3E1ABC2CDE5652F94452DF8862D8915</vt:lpwstr>
  </property>
  <property fmtid="{D5CDD505-2E9C-101B-9397-08002B2CF9AE}" pid="6" name="SSDCxCLASSFICATION_LANG">
    <vt:lpwstr>pt</vt:lpwstr>
  </property>
  <property fmtid="{D5CDD505-2E9C-101B-9397-08002B2CF9AE}" pid="7" name="DSLxDOC_SAVED">
    <vt:lpwstr>1</vt:lpwstr>
  </property>
  <property fmtid="{D5CDD505-2E9C-101B-9397-08002B2CF9AE}" pid="8" name="ContentTypeId">
    <vt:lpwstr>0x010100C8F11BDC41DB7D4F9F945297A936FBF3</vt:lpwstr>
  </property>
</Properties>
</file>